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4C" w:rsidRDefault="00B4054C" w:rsidP="00987351">
      <w:pPr>
        <w:widowControl/>
        <w:rPr>
          <w:snapToGrid/>
          <w:szCs w:val="22"/>
        </w:rPr>
      </w:pPr>
      <w:r w:rsidRPr="00B07E65" w:rsidDel="00B4054C">
        <w:rPr>
          <w:b/>
          <w:snapToGrid/>
          <w:szCs w:val="22"/>
        </w:rPr>
        <w:t xml:space="preserve"> </w:t>
      </w:r>
    </w:p>
    <w:p w:rsidR="00B4054C" w:rsidRPr="00B07E65" w:rsidRDefault="00B4054C" w:rsidP="00987351">
      <w:pPr>
        <w:widowControl/>
        <w:rPr>
          <w:snapToGrid/>
          <w:szCs w:val="22"/>
        </w:rPr>
      </w:pPr>
    </w:p>
    <w:p w:rsidR="001A790A" w:rsidRPr="00242572" w:rsidRDefault="001A790A" w:rsidP="00985386">
      <w:pPr>
        <w:ind w:left="1418" w:hanging="1418"/>
        <w:outlineLvl w:val="0"/>
        <w:rPr>
          <w:rFonts w:asciiTheme="minorHAnsi" w:hAnsiTheme="minorHAnsi"/>
          <w:b/>
          <w:sz w:val="36"/>
          <w:szCs w:val="36"/>
        </w:rPr>
      </w:pPr>
      <w:r w:rsidRPr="00242572">
        <w:rPr>
          <w:rFonts w:asciiTheme="minorHAnsi" w:hAnsiTheme="minorHAnsi"/>
          <w:b/>
          <w:sz w:val="36"/>
          <w:szCs w:val="36"/>
        </w:rPr>
        <w:t>7.06</w:t>
      </w:r>
      <w:r w:rsidRPr="00242572">
        <w:rPr>
          <w:rFonts w:asciiTheme="minorHAnsi" w:hAnsiTheme="minorHAnsi"/>
          <w:b/>
          <w:sz w:val="36"/>
          <w:szCs w:val="36"/>
        </w:rPr>
        <w:tab/>
        <w:t xml:space="preserve">PERAMPANEL, </w:t>
      </w:r>
      <w:r w:rsidR="00985386">
        <w:rPr>
          <w:rFonts w:asciiTheme="minorHAnsi" w:hAnsiTheme="minorHAnsi"/>
          <w:b/>
          <w:sz w:val="36"/>
          <w:szCs w:val="36"/>
        </w:rPr>
        <w:br/>
      </w:r>
      <w:r w:rsidRPr="00242572">
        <w:rPr>
          <w:rFonts w:asciiTheme="minorHAnsi" w:hAnsiTheme="minorHAnsi"/>
          <w:b/>
          <w:sz w:val="36"/>
          <w:szCs w:val="36"/>
        </w:rPr>
        <w:t>Film-coated tablets, 2 mg, 4 mg, 6 mg, 8 mg, 10 mg and 12 mg, Fycompa</w:t>
      </w:r>
      <w:r w:rsidRPr="00242572">
        <w:rPr>
          <w:rFonts w:asciiTheme="minorHAnsi" w:hAnsiTheme="minorHAnsi"/>
          <w:b/>
          <w:sz w:val="36"/>
          <w:szCs w:val="36"/>
          <w:vertAlign w:val="superscript"/>
        </w:rPr>
        <w:t>®</w:t>
      </w:r>
      <w:r w:rsidRPr="00242572">
        <w:rPr>
          <w:rFonts w:asciiTheme="minorHAnsi" w:hAnsiTheme="minorHAnsi"/>
          <w:b/>
          <w:sz w:val="36"/>
          <w:szCs w:val="36"/>
        </w:rPr>
        <w:t xml:space="preserve">, </w:t>
      </w:r>
      <w:r w:rsidR="00A3018C" w:rsidRPr="00242572">
        <w:rPr>
          <w:rFonts w:asciiTheme="minorHAnsi" w:hAnsiTheme="minorHAnsi"/>
          <w:b/>
          <w:sz w:val="36"/>
          <w:szCs w:val="36"/>
        </w:rPr>
        <w:t>Eisai</w:t>
      </w:r>
      <w:r w:rsidR="00985386">
        <w:rPr>
          <w:rFonts w:asciiTheme="minorHAnsi" w:hAnsiTheme="minorHAnsi"/>
          <w:b/>
          <w:sz w:val="36"/>
          <w:szCs w:val="36"/>
        </w:rPr>
        <w:t xml:space="preserve"> Australia Pty Ltd</w:t>
      </w:r>
    </w:p>
    <w:p w:rsidR="00824BC8" w:rsidRDefault="00824BC8" w:rsidP="00BE6EB3">
      <w:bookmarkStart w:id="0" w:name="_Toc482695848"/>
    </w:p>
    <w:p w:rsidR="003D041A" w:rsidRPr="00824BC8" w:rsidRDefault="003D041A" w:rsidP="00BE6EB3">
      <w:bookmarkStart w:id="1" w:name="_GoBack"/>
      <w:bookmarkEnd w:id="1"/>
    </w:p>
    <w:p w:rsidR="001B0F98" w:rsidRPr="00824BC8" w:rsidRDefault="001B0F98" w:rsidP="00824BC8">
      <w:pPr>
        <w:pStyle w:val="PBACheading1"/>
        <w:numPr>
          <w:ilvl w:val="0"/>
          <w:numId w:val="16"/>
        </w:numPr>
        <w:ind w:hanging="720"/>
        <w:rPr>
          <w:caps/>
          <w:szCs w:val="32"/>
        </w:rPr>
      </w:pPr>
      <w:r w:rsidRPr="00824BC8">
        <w:rPr>
          <w:szCs w:val="32"/>
        </w:rPr>
        <w:t xml:space="preserve">Purpose of </w:t>
      </w:r>
      <w:r w:rsidR="00D624D8" w:rsidRPr="00824BC8">
        <w:rPr>
          <w:szCs w:val="32"/>
        </w:rPr>
        <w:t>a</w:t>
      </w:r>
      <w:r w:rsidRPr="00824BC8">
        <w:rPr>
          <w:szCs w:val="32"/>
        </w:rPr>
        <w:t>pplication</w:t>
      </w:r>
      <w:bookmarkEnd w:id="0"/>
    </w:p>
    <w:p w:rsidR="00824BC8" w:rsidRPr="00824BC8" w:rsidRDefault="00824BC8" w:rsidP="00BE6EB3"/>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re-submission proposed an Authority Required (STREAMLINED) listing for perampanel for the treatment of Idiopathic Generalised Epilepsy (IGE) with primary generalised tonic-clonic (PGTC) seizures. The first submission was considered by the PBAC in July 2016.</w:t>
      </w:r>
    </w:p>
    <w:p w:rsidR="00482F0F" w:rsidRDefault="00482F0F" w:rsidP="00482F0F">
      <w:pPr>
        <w:pStyle w:val="Caption"/>
      </w:pPr>
      <w:r>
        <w:t xml:space="preserve">Table </w:t>
      </w:r>
      <w:fldSimple w:instr=" SEQ Table \* ARABIC ">
        <w:r w:rsidR="000B634D">
          <w:rPr>
            <w:noProof/>
          </w:rPr>
          <w:t>1</w:t>
        </w:r>
      </w:fldSimple>
      <w:r w:rsidRPr="00693279">
        <w:t>: Key components of the clinical issues addressed by the re-submission</w:t>
      </w:r>
    </w:p>
    <w:tbl>
      <w:tblPr>
        <w:tblStyle w:val="TableGrid"/>
        <w:tblW w:w="0" w:type="auto"/>
        <w:tblInd w:w="108" w:type="dxa"/>
        <w:tblLook w:val="04A0" w:firstRow="1" w:lastRow="0" w:firstColumn="1" w:lastColumn="0" w:noHBand="0" w:noVBand="1"/>
        <w:tblCaption w:val="Key components of the clinical issues addressed by the re-submission"/>
      </w:tblPr>
      <w:tblGrid>
        <w:gridCol w:w="1588"/>
        <w:gridCol w:w="7320"/>
      </w:tblGrid>
      <w:tr w:rsidR="001B0F98" w:rsidRPr="00242572" w:rsidTr="00474CF2">
        <w:trPr>
          <w:tblHeader/>
        </w:trPr>
        <w:tc>
          <w:tcPr>
            <w:tcW w:w="1588" w:type="dxa"/>
            <w:shd w:val="clear" w:color="auto" w:fill="auto"/>
          </w:tcPr>
          <w:p w:rsidR="001B0F98" w:rsidRPr="00242572" w:rsidRDefault="001B0F98" w:rsidP="00FC59E0">
            <w:pPr>
              <w:pStyle w:val="TableText1"/>
              <w:keepNext w:val="0"/>
              <w:widowControl w:val="0"/>
              <w:rPr>
                <w:b/>
              </w:rPr>
            </w:pPr>
            <w:r w:rsidRPr="00242572">
              <w:rPr>
                <w:b/>
              </w:rPr>
              <w:t>Component</w:t>
            </w:r>
          </w:p>
        </w:tc>
        <w:tc>
          <w:tcPr>
            <w:tcW w:w="7320" w:type="dxa"/>
            <w:shd w:val="clear" w:color="auto" w:fill="auto"/>
          </w:tcPr>
          <w:p w:rsidR="001B0F98" w:rsidRPr="00242572" w:rsidRDefault="001B0F98" w:rsidP="00FC59E0">
            <w:pPr>
              <w:pStyle w:val="TableText1"/>
              <w:keepNext w:val="0"/>
              <w:widowControl w:val="0"/>
              <w:rPr>
                <w:b/>
              </w:rPr>
            </w:pPr>
            <w:r w:rsidRPr="00242572">
              <w:rPr>
                <w:b/>
              </w:rPr>
              <w:t>Description</w:t>
            </w:r>
          </w:p>
        </w:tc>
      </w:tr>
      <w:tr w:rsidR="001B0F98" w:rsidRPr="00242572" w:rsidTr="00474CF2">
        <w:tc>
          <w:tcPr>
            <w:tcW w:w="1588" w:type="dxa"/>
            <w:shd w:val="clear" w:color="auto" w:fill="auto"/>
          </w:tcPr>
          <w:p w:rsidR="001B0F98" w:rsidRPr="00242572" w:rsidRDefault="001B0F98" w:rsidP="00FC59E0">
            <w:pPr>
              <w:pStyle w:val="TableText1"/>
              <w:keepNext w:val="0"/>
              <w:widowControl w:val="0"/>
            </w:pPr>
            <w:r w:rsidRPr="00242572">
              <w:t>Population</w:t>
            </w:r>
          </w:p>
        </w:tc>
        <w:tc>
          <w:tcPr>
            <w:tcW w:w="7320" w:type="dxa"/>
            <w:shd w:val="clear" w:color="auto" w:fill="auto"/>
          </w:tcPr>
          <w:p w:rsidR="001B0F98" w:rsidRPr="00242572" w:rsidRDefault="001B0F98" w:rsidP="00FC59E0">
            <w:pPr>
              <w:pStyle w:val="TableText1"/>
              <w:keepNext w:val="0"/>
              <w:widowControl w:val="0"/>
            </w:pPr>
            <w:r w:rsidRPr="00242572">
              <w:t>Idiopathic Generalised Epilepsy (IGE) patients with Primary Generalised Tonic-Clonic (PGTC) seizures</w:t>
            </w:r>
          </w:p>
        </w:tc>
      </w:tr>
      <w:tr w:rsidR="001B0F98" w:rsidRPr="00242572" w:rsidTr="00474CF2">
        <w:tc>
          <w:tcPr>
            <w:tcW w:w="1588" w:type="dxa"/>
            <w:shd w:val="clear" w:color="auto" w:fill="auto"/>
          </w:tcPr>
          <w:p w:rsidR="001B0F98" w:rsidRPr="00242572" w:rsidRDefault="001B0F98" w:rsidP="00FC59E0">
            <w:pPr>
              <w:pStyle w:val="TableText1"/>
              <w:keepNext w:val="0"/>
              <w:widowControl w:val="0"/>
            </w:pPr>
            <w:r w:rsidRPr="00242572">
              <w:t>Intervention</w:t>
            </w:r>
          </w:p>
        </w:tc>
        <w:tc>
          <w:tcPr>
            <w:tcW w:w="7320" w:type="dxa"/>
            <w:shd w:val="clear" w:color="auto" w:fill="auto"/>
          </w:tcPr>
          <w:p w:rsidR="001B0F98" w:rsidRPr="00242572" w:rsidRDefault="001B0F98" w:rsidP="00FC59E0">
            <w:pPr>
              <w:pStyle w:val="TableText1"/>
              <w:keepNext w:val="0"/>
              <w:widowControl w:val="0"/>
            </w:pPr>
            <w:r w:rsidRPr="00242572">
              <w:t>Perampanel tablets taken orally once daily before bedtime. Initial dose of 2mg/day, increased to a maintenance dose of up to 8mg/day. The dose may be increased up to a maximum of 12mg/day depending upon clinical response and tolerability.</w:t>
            </w:r>
          </w:p>
        </w:tc>
      </w:tr>
      <w:tr w:rsidR="001B0F98" w:rsidRPr="00242572" w:rsidTr="00474CF2">
        <w:tc>
          <w:tcPr>
            <w:tcW w:w="1588" w:type="dxa"/>
            <w:shd w:val="clear" w:color="auto" w:fill="auto"/>
          </w:tcPr>
          <w:p w:rsidR="001B0F98" w:rsidRPr="00242572" w:rsidRDefault="001B0F98" w:rsidP="00FC59E0">
            <w:pPr>
              <w:pStyle w:val="TableText1"/>
              <w:keepNext w:val="0"/>
              <w:widowControl w:val="0"/>
            </w:pPr>
            <w:r w:rsidRPr="00242572">
              <w:t>Comparator</w:t>
            </w:r>
          </w:p>
        </w:tc>
        <w:tc>
          <w:tcPr>
            <w:tcW w:w="7320" w:type="dxa"/>
            <w:shd w:val="clear" w:color="auto" w:fill="auto"/>
          </w:tcPr>
          <w:p w:rsidR="001B0F98" w:rsidRPr="00242572" w:rsidRDefault="001B0F98" w:rsidP="00FC59E0">
            <w:pPr>
              <w:pStyle w:val="TableText1"/>
              <w:keepNext w:val="0"/>
              <w:widowControl w:val="0"/>
            </w:pPr>
            <w:r w:rsidRPr="00242572">
              <w:t>Mixed comparators – (i) placebo for use as a last option add-on treatment and (ii) other antiepileptic drugs (AEDs) (individually) when used as an additional option to the currently used AEDs</w:t>
            </w:r>
          </w:p>
        </w:tc>
      </w:tr>
      <w:tr w:rsidR="001B0F98" w:rsidRPr="00242572" w:rsidTr="00474CF2">
        <w:tc>
          <w:tcPr>
            <w:tcW w:w="1588" w:type="dxa"/>
            <w:shd w:val="clear" w:color="auto" w:fill="auto"/>
          </w:tcPr>
          <w:p w:rsidR="001B0F98" w:rsidRPr="00242572" w:rsidRDefault="001B0F98" w:rsidP="00FC59E0">
            <w:pPr>
              <w:pStyle w:val="TableText1"/>
              <w:keepNext w:val="0"/>
              <w:widowControl w:val="0"/>
            </w:pPr>
            <w:r w:rsidRPr="00242572">
              <w:t>Outcomes</w:t>
            </w:r>
          </w:p>
        </w:tc>
        <w:tc>
          <w:tcPr>
            <w:tcW w:w="7320" w:type="dxa"/>
            <w:shd w:val="clear" w:color="auto" w:fill="auto"/>
          </w:tcPr>
          <w:p w:rsidR="001B0F98" w:rsidRPr="00242572" w:rsidRDefault="001B0F98" w:rsidP="00FC59E0">
            <w:pPr>
              <w:pStyle w:val="TableText1"/>
              <w:keepNext w:val="0"/>
              <w:widowControl w:val="0"/>
            </w:pPr>
            <w:r w:rsidRPr="00242572">
              <w:t>The percent change from baseline in PGTC or GTC seizure frequency, the 50% PGTC or GTC seizure responder rate, defined as the percentage of subjects experiencing a 50% or greater reduction in PGTC or GTC seizure frequency relative to baseline, and treatment-emergent adverse events (TEAEs).</w:t>
            </w:r>
          </w:p>
        </w:tc>
      </w:tr>
      <w:tr w:rsidR="001B0F98" w:rsidRPr="00242572" w:rsidTr="00474CF2">
        <w:tc>
          <w:tcPr>
            <w:tcW w:w="1588" w:type="dxa"/>
            <w:shd w:val="clear" w:color="auto" w:fill="auto"/>
          </w:tcPr>
          <w:p w:rsidR="001B0F98" w:rsidRPr="00242572" w:rsidRDefault="001B0F98" w:rsidP="00FC59E0">
            <w:pPr>
              <w:pStyle w:val="TableText1"/>
              <w:keepNext w:val="0"/>
              <w:widowControl w:val="0"/>
            </w:pPr>
            <w:r w:rsidRPr="00242572">
              <w:t>Clinical claim</w:t>
            </w:r>
          </w:p>
        </w:tc>
        <w:tc>
          <w:tcPr>
            <w:tcW w:w="7320" w:type="dxa"/>
            <w:shd w:val="clear" w:color="auto" w:fill="auto"/>
          </w:tcPr>
          <w:p w:rsidR="001B0F98" w:rsidRPr="00242572" w:rsidRDefault="001B0F98" w:rsidP="00FC59E0">
            <w:pPr>
              <w:pStyle w:val="TableText1"/>
              <w:keepNext w:val="0"/>
              <w:widowControl w:val="0"/>
            </w:pPr>
            <w:r w:rsidRPr="00242572">
              <w:t xml:space="preserve">Perampanel versus placebo: perampanel (plus standard care, i.e. background AEDs) is superior to placebo (plus standard care) in terms of efficacy and inferior to placebo (plus standard care) in terms of safety. </w:t>
            </w:r>
          </w:p>
          <w:p w:rsidR="001B0F98" w:rsidRPr="00242572" w:rsidRDefault="001B0F98" w:rsidP="00FC59E0">
            <w:pPr>
              <w:pStyle w:val="TableText1"/>
              <w:keepNext w:val="0"/>
              <w:widowControl w:val="0"/>
            </w:pPr>
            <w:r w:rsidRPr="00242572">
              <w:t>Perampanel versus lamotrigine or levetiracetam: perampanel (plus standard care) is non-inferior</w:t>
            </w:r>
            <w:r w:rsidR="00EF724B" w:rsidRPr="00242572">
              <w:t>,</w:t>
            </w:r>
            <w:r w:rsidRPr="00242572">
              <w:t xml:space="preserve"> in terms of </w:t>
            </w:r>
            <w:r w:rsidR="00205C15" w:rsidRPr="00242572">
              <w:t xml:space="preserve">both </w:t>
            </w:r>
            <w:r w:rsidRPr="00242572">
              <w:t>comparative effectiveness and comparative safety</w:t>
            </w:r>
            <w:r w:rsidR="00EF724B" w:rsidRPr="00242572">
              <w:t>,</w:t>
            </w:r>
            <w:r w:rsidRPr="00242572">
              <w:t xml:space="preserve"> </w:t>
            </w:r>
            <w:r w:rsidR="00205C15" w:rsidRPr="00242572">
              <w:t>to</w:t>
            </w:r>
            <w:r w:rsidRPr="00242572">
              <w:t xml:space="preserve"> either lamotrigine (plus standard care) or levetiracetam (plus standard care).</w:t>
            </w:r>
          </w:p>
        </w:tc>
      </w:tr>
    </w:tbl>
    <w:p w:rsidR="001B0F98" w:rsidRPr="00242572" w:rsidRDefault="001B0F98" w:rsidP="001B0F98">
      <w:pPr>
        <w:pStyle w:val="TableFooter"/>
      </w:pPr>
      <w:r w:rsidRPr="00242572">
        <w:t>Source: Compiled during the evaluation</w:t>
      </w:r>
    </w:p>
    <w:p w:rsidR="001B0F98" w:rsidRPr="00242572" w:rsidRDefault="001B0F98" w:rsidP="001B0F98">
      <w:pPr>
        <w:pStyle w:val="05-NormalBodyText"/>
      </w:pPr>
      <w:bookmarkStart w:id="2" w:name="_Toc413139272"/>
      <w:bookmarkStart w:id="3" w:name="_Toc476306882"/>
    </w:p>
    <w:p w:rsidR="001B0F98" w:rsidRDefault="001B0F98" w:rsidP="00824BC8">
      <w:pPr>
        <w:pStyle w:val="PBACheading1"/>
      </w:pPr>
      <w:bookmarkStart w:id="4" w:name="_Toc482695849"/>
      <w:r w:rsidRPr="000E0FCC">
        <w:t>Requested listing</w:t>
      </w:r>
      <w:bookmarkEnd w:id="2"/>
      <w:bookmarkEnd w:id="3"/>
      <w:bookmarkEnd w:id="4"/>
    </w:p>
    <w:p w:rsidR="002E4AFC" w:rsidRDefault="002E4AFC" w:rsidP="002E4AFC">
      <w:pPr>
        <w:keepNext/>
        <w:keepLines/>
        <w:rPr>
          <w:szCs w:val="22"/>
        </w:rPr>
      </w:pPr>
    </w:p>
    <w:p w:rsidR="00B01EC5" w:rsidRPr="005D105D" w:rsidRDefault="00B01EC5" w:rsidP="00B01EC5">
      <w:pPr>
        <w:rPr>
          <w:szCs w:val="24"/>
        </w:rPr>
      </w:pPr>
      <w:r w:rsidRPr="005D105D">
        <w:rPr>
          <w:rFonts w:eastAsia="SimSun"/>
          <w:iCs/>
          <w:color w:val="000000"/>
          <w:szCs w:val="24"/>
        </w:rPr>
        <w:t>Suggestions and additions proposed by the Secretariat to the requested listing are added in italics and suggested deletions are crossed out with strikethrough.</w:t>
      </w:r>
    </w:p>
    <w:p w:rsidR="00B01EC5" w:rsidRDefault="00B01EC5" w:rsidP="002E4AFC">
      <w:pPr>
        <w:keepNext/>
        <w:keepLines/>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2E4AFC" w:rsidRPr="00260CE3" w:rsidTr="00470A79">
        <w:trPr>
          <w:cantSplit/>
          <w:trHeight w:val="471"/>
        </w:trPr>
        <w:tc>
          <w:tcPr>
            <w:tcW w:w="3261" w:type="dxa"/>
            <w:gridSpan w:val="2"/>
            <w:tcBorders>
              <w:bottom w:val="single" w:sz="4" w:space="0" w:color="auto"/>
            </w:tcBorders>
          </w:tcPr>
          <w:p w:rsidR="002E4AFC" w:rsidRPr="00260CE3" w:rsidRDefault="002E4AFC" w:rsidP="00470A79">
            <w:pPr>
              <w:keepNext/>
              <w:keepLines/>
              <w:ind w:left="-108"/>
              <w:rPr>
                <w:rFonts w:ascii="Arial Narrow" w:hAnsi="Arial Narrow"/>
                <w:sz w:val="20"/>
              </w:rPr>
            </w:pPr>
            <w:r w:rsidRPr="00260CE3">
              <w:rPr>
                <w:rFonts w:ascii="Arial Narrow" w:hAnsi="Arial Narrow"/>
                <w:sz w:val="20"/>
              </w:rPr>
              <w:t>Name, Restriction,</w:t>
            </w:r>
          </w:p>
          <w:p w:rsidR="002E4AFC" w:rsidRPr="00260CE3" w:rsidRDefault="002E4AFC" w:rsidP="00470A79">
            <w:pPr>
              <w:keepNext/>
              <w:keepLines/>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2E4AFC" w:rsidRPr="00260CE3" w:rsidRDefault="002E4AFC" w:rsidP="00470A79">
            <w:pPr>
              <w:keepNext/>
              <w:keepLines/>
              <w:ind w:left="-108"/>
              <w:rPr>
                <w:rFonts w:ascii="Arial Narrow" w:hAnsi="Arial Narrow"/>
                <w:sz w:val="20"/>
              </w:rPr>
            </w:pPr>
            <w:r w:rsidRPr="00260CE3">
              <w:rPr>
                <w:rFonts w:ascii="Arial Narrow" w:hAnsi="Arial Narrow"/>
                <w:sz w:val="20"/>
              </w:rPr>
              <w:t>Max.</w:t>
            </w:r>
          </w:p>
          <w:p w:rsidR="002E4AFC" w:rsidRPr="00260CE3" w:rsidRDefault="002E4AFC" w:rsidP="00470A79">
            <w:pPr>
              <w:keepNext/>
              <w:keepLines/>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2E4AFC" w:rsidRPr="00260CE3" w:rsidRDefault="002E4AFC" w:rsidP="00470A79">
            <w:pPr>
              <w:keepNext/>
              <w:keepLines/>
              <w:ind w:left="-108"/>
              <w:rPr>
                <w:rFonts w:ascii="Arial Narrow" w:hAnsi="Arial Narrow"/>
                <w:sz w:val="20"/>
              </w:rPr>
            </w:pPr>
            <w:r w:rsidRPr="00260CE3">
              <w:rPr>
                <w:rFonts w:ascii="Arial Narrow" w:hAnsi="Arial Narrow"/>
                <w:sz w:val="20"/>
              </w:rPr>
              <w:t>№.of</w:t>
            </w:r>
          </w:p>
          <w:p w:rsidR="002E4AFC" w:rsidRPr="00260CE3" w:rsidRDefault="002E4AFC" w:rsidP="00470A79">
            <w:pPr>
              <w:keepNext/>
              <w:keepLines/>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2E4AFC" w:rsidRPr="00260CE3" w:rsidRDefault="002E4AFC" w:rsidP="00470A79">
            <w:pPr>
              <w:keepNext/>
              <w:keepLines/>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2E4AFC" w:rsidRPr="00260CE3" w:rsidRDefault="002E4AFC" w:rsidP="00470A79">
            <w:pPr>
              <w:keepNext/>
              <w:keepLines/>
              <w:rPr>
                <w:rFonts w:ascii="Arial Narrow" w:hAnsi="Arial Narrow"/>
                <w:sz w:val="20"/>
                <w:lang w:val="fr-FR"/>
              </w:rPr>
            </w:pPr>
            <w:r w:rsidRPr="00260CE3">
              <w:rPr>
                <w:rFonts w:ascii="Arial Narrow" w:hAnsi="Arial Narrow"/>
                <w:sz w:val="20"/>
              </w:rPr>
              <w:t>Proprietary Name and Manufacturer</w:t>
            </w:r>
          </w:p>
        </w:tc>
      </w:tr>
      <w:tr w:rsidR="002E4AFC" w:rsidRPr="00260CE3" w:rsidTr="00470A79">
        <w:trPr>
          <w:cantSplit/>
          <w:trHeight w:val="577"/>
        </w:trPr>
        <w:tc>
          <w:tcPr>
            <w:tcW w:w="3261" w:type="dxa"/>
            <w:gridSpan w:val="2"/>
          </w:tcPr>
          <w:p w:rsidR="002E4AFC" w:rsidRPr="00260CE3" w:rsidRDefault="002E4AFC" w:rsidP="00470A79">
            <w:pPr>
              <w:keepNext/>
              <w:keepLines/>
              <w:ind w:left="-108"/>
              <w:rPr>
                <w:rFonts w:ascii="Arial Narrow" w:hAnsi="Arial Narrow"/>
                <w:sz w:val="20"/>
              </w:rPr>
            </w:pPr>
            <w:r>
              <w:rPr>
                <w:rFonts w:ascii="Arial Narrow" w:hAnsi="Arial Narrow"/>
                <w:smallCaps/>
                <w:sz w:val="20"/>
              </w:rPr>
              <w:t>PERAMPENAL</w:t>
            </w:r>
          </w:p>
          <w:p w:rsidR="002E4AFC" w:rsidRPr="00260CE3" w:rsidRDefault="002E4AFC" w:rsidP="00470A79">
            <w:pPr>
              <w:keepNext/>
              <w:keepLines/>
              <w:ind w:left="-108"/>
              <w:rPr>
                <w:rFonts w:ascii="Arial Narrow" w:hAnsi="Arial Narrow"/>
                <w:sz w:val="20"/>
              </w:rPr>
            </w:pPr>
            <w:r>
              <w:rPr>
                <w:rFonts w:ascii="Arial Narrow" w:hAnsi="Arial Narrow"/>
                <w:sz w:val="20"/>
              </w:rPr>
              <w:t>2 mg tablet, 7</w:t>
            </w:r>
          </w:p>
        </w:tc>
        <w:tc>
          <w:tcPr>
            <w:tcW w:w="567" w:type="dxa"/>
          </w:tcPr>
          <w:p w:rsidR="002E4AFC" w:rsidRPr="00260CE3" w:rsidRDefault="002E4AFC" w:rsidP="00470A79">
            <w:pPr>
              <w:keepNext/>
              <w:keepLines/>
              <w:ind w:left="-108"/>
              <w:rPr>
                <w:rFonts w:ascii="Arial Narrow" w:hAnsi="Arial Narrow"/>
                <w:sz w:val="20"/>
              </w:rPr>
            </w:pPr>
          </w:p>
          <w:p w:rsidR="002E4AFC" w:rsidRPr="00260CE3" w:rsidRDefault="002E4AFC" w:rsidP="00470A79">
            <w:pPr>
              <w:keepNext/>
              <w:keepLines/>
              <w:ind w:left="-108"/>
              <w:rPr>
                <w:rFonts w:ascii="Arial Narrow" w:hAnsi="Arial Narrow"/>
                <w:sz w:val="20"/>
              </w:rPr>
            </w:pPr>
            <w:r w:rsidRPr="00761802">
              <w:rPr>
                <w:rFonts w:ascii="Arial Narrow" w:hAnsi="Arial Narrow"/>
                <w:sz w:val="20"/>
              </w:rPr>
              <w:t>2</w:t>
            </w:r>
          </w:p>
        </w:tc>
        <w:tc>
          <w:tcPr>
            <w:tcW w:w="850" w:type="dxa"/>
          </w:tcPr>
          <w:p w:rsidR="002E4AFC" w:rsidRPr="00260CE3" w:rsidRDefault="002E4AFC" w:rsidP="00470A79">
            <w:pPr>
              <w:keepNext/>
              <w:keepLines/>
              <w:ind w:left="-108"/>
              <w:rPr>
                <w:rFonts w:ascii="Arial Narrow" w:hAnsi="Arial Narrow"/>
                <w:sz w:val="20"/>
              </w:rPr>
            </w:pPr>
          </w:p>
          <w:p w:rsidR="002E4AFC" w:rsidRPr="00260CE3" w:rsidRDefault="002E4AFC" w:rsidP="00470A79">
            <w:pPr>
              <w:keepNext/>
              <w:keepLines/>
              <w:ind w:left="-108"/>
              <w:rPr>
                <w:rFonts w:ascii="Arial Narrow" w:hAnsi="Arial Narrow"/>
                <w:sz w:val="20"/>
              </w:rPr>
            </w:pPr>
            <w:r w:rsidRPr="00761802">
              <w:rPr>
                <w:rFonts w:ascii="Arial Narrow" w:hAnsi="Arial Narrow"/>
                <w:sz w:val="20"/>
              </w:rPr>
              <w:t>1</w:t>
            </w:r>
          </w:p>
        </w:tc>
        <w:tc>
          <w:tcPr>
            <w:tcW w:w="1701" w:type="dxa"/>
          </w:tcPr>
          <w:p w:rsidR="002E4AFC" w:rsidRPr="00260CE3" w:rsidRDefault="002E4AFC" w:rsidP="00470A79">
            <w:pPr>
              <w:keepNext/>
              <w:keepLines/>
              <w:ind w:left="-108"/>
              <w:rPr>
                <w:rFonts w:ascii="Arial Narrow" w:hAnsi="Arial Narrow"/>
                <w:sz w:val="20"/>
              </w:rPr>
            </w:pPr>
          </w:p>
          <w:p w:rsidR="002E4AFC" w:rsidRPr="00260CE3" w:rsidRDefault="002E4AFC" w:rsidP="00470A79">
            <w:pPr>
              <w:keepNext/>
              <w:keepLines/>
              <w:ind w:left="-108"/>
              <w:rPr>
                <w:rFonts w:ascii="Arial Narrow" w:hAnsi="Arial Narrow"/>
                <w:sz w:val="20"/>
              </w:rPr>
            </w:pPr>
            <w:r w:rsidRPr="00260CE3">
              <w:rPr>
                <w:rFonts w:ascii="Arial Narrow" w:hAnsi="Arial Narrow"/>
                <w:sz w:val="20"/>
              </w:rPr>
              <w:t>$</w:t>
            </w:r>
            <w:r w:rsidR="00247FD4">
              <w:rPr>
                <w:rFonts w:ascii="Arial Narrow" w:hAnsi="Arial Narrow"/>
                <w:noProof/>
                <w:color w:val="000000"/>
                <w:sz w:val="20"/>
                <w:highlight w:val="black"/>
              </w:rPr>
              <w:t>'''''''''''''''</w:t>
            </w:r>
          </w:p>
        </w:tc>
        <w:tc>
          <w:tcPr>
            <w:tcW w:w="1559" w:type="dxa"/>
          </w:tcPr>
          <w:p w:rsidR="002E4AFC" w:rsidRDefault="002E4AFC" w:rsidP="00470A79">
            <w:pPr>
              <w:keepNext/>
              <w:keepLines/>
              <w:rPr>
                <w:rFonts w:ascii="Arial Narrow" w:hAnsi="Arial Narrow"/>
                <w:sz w:val="20"/>
              </w:rPr>
            </w:pPr>
          </w:p>
          <w:p w:rsidR="002E4AFC" w:rsidRPr="00260CE3" w:rsidRDefault="002E4AFC" w:rsidP="00470A79">
            <w:pPr>
              <w:keepNext/>
              <w:keepLines/>
              <w:rPr>
                <w:rFonts w:ascii="Arial Narrow" w:hAnsi="Arial Narrow"/>
                <w:sz w:val="20"/>
              </w:rPr>
            </w:pPr>
            <w:r>
              <w:rPr>
                <w:rFonts w:ascii="Arial Narrow" w:hAnsi="Arial Narrow"/>
                <w:sz w:val="20"/>
              </w:rPr>
              <w:t>Fycompa</w:t>
            </w:r>
            <w:r w:rsidRPr="009A02FB">
              <w:rPr>
                <w:rFonts w:ascii="Arial Narrow" w:hAnsi="Arial Narrow"/>
                <w:sz w:val="20"/>
                <w:vertAlign w:val="superscript"/>
              </w:rPr>
              <w:t>®</w:t>
            </w:r>
          </w:p>
        </w:tc>
        <w:tc>
          <w:tcPr>
            <w:tcW w:w="1276" w:type="dxa"/>
          </w:tcPr>
          <w:p w:rsidR="002E4AFC" w:rsidRDefault="002E4AFC" w:rsidP="00470A79">
            <w:pPr>
              <w:keepNext/>
              <w:keepLines/>
              <w:rPr>
                <w:rFonts w:ascii="Arial Narrow" w:hAnsi="Arial Narrow"/>
                <w:sz w:val="20"/>
              </w:rPr>
            </w:pPr>
          </w:p>
          <w:p w:rsidR="002E4AFC" w:rsidRPr="00260CE3" w:rsidRDefault="002E4AFC" w:rsidP="00470A79">
            <w:pPr>
              <w:keepNext/>
              <w:keepLines/>
              <w:rPr>
                <w:rFonts w:ascii="Arial Narrow" w:hAnsi="Arial Narrow"/>
                <w:sz w:val="20"/>
              </w:rPr>
            </w:pPr>
            <w:r>
              <w:rPr>
                <w:rFonts w:ascii="Arial Narrow" w:hAnsi="Arial Narrow"/>
                <w:sz w:val="20"/>
              </w:rPr>
              <w:t>Eisai Australia Pty Ltd</w:t>
            </w:r>
          </w:p>
        </w:tc>
      </w:tr>
      <w:tr w:rsidR="002E4AFC" w:rsidRPr="00260CE3" w:rsidTr="00470A79">
        <w:trPr>
          <w:cantSplit/>
          <w:trHeight w:val="360"/>
        </w:trPr>
        <w:tc>
          <w:tcPr>
            <w:tcW w:w="9214" w:type="dxa"/>
            <w:gridSpan w:val="7"/>
            <w:tcBorders>
              <w:bottom w:val="single" w:sz="4" w:space="0" w:color="auto"/>
            </w:tcBorders>
          </w:tcPr>
          <w:p w:rsidR="002E4AFC" w:rsidRPr="00260CE3" w:rsidRDefault="002E4AFC" w:rsidP="00470A79">
            <w:pPr>
              <w:keepNext/>
              <w:keepLines/>
              <w:rPr>
                <w:rFonts w:ascii="Arial Narrow" w:hAnsi="Arial Narrow"/>
                <w:sz w:val="20"/>
              </w:rPr>
            </w:pP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 xml:space="preserve">Category / </w:t>
            </w:r>
          </w:p>
          <w:p w:rsidR="002E4AFC" w:rsidRPr="00260CE3" w:rsidRDefault="002E4AFC" w:rsidP="00470A79">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260CE3">
              <w:rPr>
                <w:rFonts w:ascii="Arial Narrow" w:hAnsi="Arial Narrow"/>
                <w:sz w:val="20"/>
              </w:rPr>
              <w:t>GENERAL – General Schedule (Code GE)</w:t>
            </w:r>
          </w:p>
          <w:p w:rsidR="002E4AFC" w:rsidRPr="00260CE3" w:rsidRDefault="002E4AFC" w:rsidP="00470A79">
            <w:pPr>
              <w:keepNext/>
              <w:keepLines/>
              <w:rPr>
                <w:rFonts w:ascii="Arial Narrow" w:hAnsi="Arial Narrow"/>
                <w:sz w:val="20"/>
              </w:rPr>
            </w:pP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Default="002E4AFC" w:rsidP="00470A79">
            <w:pPr>
              <w:keepNext/>
              <w:keepLines/>
              <w:rPr>
                <w:rFonts w:ascii="Arial Narrow" w:hAnsi="Arial Narrow"/>
                <w:b/>
                <w:sz w:val="20"/>
              </w:rPr>
            </w:pPr>
            <w:r w:rsidRPr="00260CE3">
              <w:rPr>
                <w:rFonts w:ascii="Arial Narrow" w:hAnsi="Arial Narrow"/>
                <w:b/>
                <w:sz w:val="20"/>
              </w:rPr>
              <w:t>Prescriber type:</w:t>
            </w:r>
          </w:p>
          <w:p w:rsidR="002E4AFC" w:rsidRPr="00260CE3" w:rsidRDefault="002E4AFC" w:rsidP="00470A79">
            <w:pPr>
              <w:keepNext/>
              <w:keepLines/>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E4AFC" w:rsidRPr="00260CE3" w:rsidRDefault="002E4AFC" w:rsidP="00470A79">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9F4475" w:rsidRDefault="002E4AFC" w:rsidP="00470A79">
            <w:pPr>
              <w:keepNext/>
              <w:keepLines/>
              <w:rPr>
                <w:rFonts w:ascii="Arial Narrow" w:hAnsi="Arial Narrow"/>
                <w:i/>
                <w:strike/>
                <w:sz w:val="20"/>
              </w:rPr>
            </w:pPr>
            <w:r>
              <w:rPr>
                <w:rFonts w:ascii="Arial Narrow" w:hAnsi="Arial Narrow"/>
                <w:i/>
                <w:sz w:val="20"/>
              </w:rPr>
              <w:t>Primary g</w:t>
            </w:r>
            <w:r w:rsidRPr="009F4475">
              <w:rPr>
                <w:rFonts w:ascii="Arial Narrow" w:hAnsi="Arial Narrow"/>
                <w:i/>
                <w:sz w:val="20"/>
              </w:rPr>
              <w:t xml:space="preserve">eneralised </w:t>
            </w:r>
            <w:r>
              <w:rPr>
                <w:rFonts w:ascii="Arial Narrow" w:hAnsi="Arial Narrow"/>
                <w:i/>
                <w:sz w:val="20"/>
              </w:rPr>
              <w:t>t</w:t>
            </w:r>
            <w:r w:rsidRPr="009F4475">
              <w:rPr>
                <w:rFonts w:ascii="Arial Narrow" w:hAnsi="Arial Narrow"/>
                <w:i/>
                <w:sz w:val="20"/>
              </w:rPr>
              <w:t>onic-</w:t>
            </w:r>
            <w:r>
              <w:rPr>
                <w:rFonts w:ascii="Arial Narrow" w:hAnsi="Arial Narrow"/>
                <w:i/>
                <w:sz w:val="20"/>
              </w:rPr>
              <w:t>c</w:t>
            </w:r>
            <w:r w:rsidRPr="009F4475">
              <w:rPr>
                <w:rFonts w:ascii="Arial Narrow" w:hAnsi="Arial Narrow"/>
                <w:i/>
                <w:sz w:val="20"/>
              </w:rPr>
              <w:t xml:space="preserve">lonic </w:t>
            </w:r>
            <w:r>
              <w:rPr>
                <w:rFonts w:ascii="Arial Narrow" w:hAnsi="Arial Narrow"/>
                <w:i/>
                <w:sz w:val="20"/>
              </w:rPr>
              <w:t>s</w:t>
            </w:r>
            <w:r w:rsidRPr="009F4475">
              <w:rPr>
                <w:rFonts w:ascii="Arial Narrow" w:hAnsi="Arial Narrow"/>
                <w:i/>
                <w:sz w:val="20"/>
              </w:rPr>
              <w:t>eizures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FA5816" w:rsidRDefault="002E4AFC" w:rsidP="00470A79">
            <w:pPr>
              <w:keepNext/>
              <w:keepLines/>
              <w:rPr>
                <w:rFonts w:eastAsia="SimSun"/>
                <w:i/>
                <w:sz w:val="20"/>
                <w:lang w:eastAsia="ja-JP"/>
              </w:rPr>
            </w:pPr>
            <w:r w:rsidRPr="004964C8">
              <w:rPr>
                <w:rFonts w:ascii="Arial Narrow" w:hAnsi="Arial Narrow"/>
                <w:sz w:val="20"/>
              </w:rPr>
              <w:t xml:space="preserve">Idiopathic </w:t>
            </w:r>
            <w:r>
              <w:rPr>
                <w:rFonts w:ascii="Arial Narrow" w:hAnsi="Arial Narrow"/>
                <w:sz w:val="20"/>
              </w:rPr>
              <w:t>g</w:t>
            </w:r>
            <w:r w:rsidRPr="004964C8">
              <w:rPr>
                <w:rFonts w:ascii="Arial Narrow" w:hAnsi="Arial Narrow"/>
                <w:sz w:val="20"/>
              </w:rPr>
              <w:t xml:space="preserve">eneralised </w:t>
            </w:r>
            <w:r>
              <w:rPr>
                <w:rFonts w:ascii="Arial Narrow" w:hAnsi="Arial Narrow"/>
                <w:sz w:val="20"/>
              </w:rPr>
              <w:t>e</w:t>
            </w:r>
            <w:r w:rsidRPr="00FA5816">
              <w:rPr>
                <w:rFonts w:ascii="Arial Narrow" w:hAnsi="Arial Narrow"/>
                <w:sz w:val="20"/>
              </w:rPr>
              <w:t>pilepsy</w:t>
            </w:r>
            <w:r w:rsidRPr="00F719B1">
              <w:rPr>
                <w:rFonts w:ascii="Arial Narrow" w:hAnsi="Arial Narrow"/>
                <w:strike/>
                <w:sz w:val="20"/>
              </w:rPr>
              <w:t xml:space="preserve"> with Primary Generalised Tonic-Clonic seizures </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F719B1" w:rsidRDefault="002E4AFC" w:rsidP="00470A79">
            <w:pPr>
              <w:keepNext/>
              <w:keepLines/>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F719B1" w:rsidRDefault="002E4AFC" w:rsidP="00470A79">
            <w:pPr>
              <w:keepNext/>
              <w:keepLines/>
              <w:rPr>
                <w:rFonts w:ascii="Arial Narrow" w:hAnsi="Arial Narrow"/>
                <w:i/>
                <w:sz w:val="20"/>
              </w:rPr>
            </w:pPr>
            <w:r>
              <w:rPr>
                <w:rFonts w:ascii="Arial Narrow" w:hAnsi="Arial Narrow"/>
                <w:i/>
                <w:sz w:val="20"/>
              </w:rPr>
              <w:t>Idiopathic generalised e</w:t>
            </w:r>
            <w:r w:rsidRPr="00F719B1">
              <w:rPr>
                <w:rFonts w:ascii="Arial Narrow" w:hAnsi="Arial Narrow"/>
                <w:i/>
                <w:sz w:val="20"/>
              </w:rPr>
              <w:t xml:space="preserve">pilepsy with </w:t>
            </w:r>
            <w:r>
              <w:rPr>
                <w:rFonts w:ascii="Arial Narrow" w:hAnsi="Arial Narrow"/>
                <w:i/>
                <w:sz w:val="20"/>
              </w:rPr>
              <w:t>p</w:t>
            </w:r>
            <w:r w:rsidRPr="00F719B1">
              <w:rPr>
                <w:rFonts w:ascii="Arial Narrow" w:hAnsi="Arial Narrow"/>
                <w:i/>
                <w:sz w:val="20"/>
              </w:rPr>
              <w:t xml:space="preserve">rimary </w:t>
            </w:r>
            <w:r>
              <w:rPr>
                <w:rFonts w:ascii="Arial Narrow" w:hAnsi="Arial Narrow"/>
                <w:i/>
                <w:sz w:val="20"/>
              </w:rPr>
              <w:t>g</w:t>
            </w:r>
            <w:r w:rsidRPr="00F719B1">
              <w:rPr>
                <w:rFonts w:ascii="Arial Narrow" w:hAnsi="Arial Narrow"/>
                <w:i/>
                <w:sz w:val="20"/>
              </w:rPr>
              <w:t xml:space="preserve">eneralised </w:t>
            </w:r>
            <w:r>
              <w:rPr>
                <w:rFonts w:ascii="Arial Narrow" w:hAnsi="Arial Narrow"/>
                <w:i/>
                <w:sz w:val="20"/>
              </w:rPr>
              <w:t>t</w:t>
            </w:r>
            <w:r w:rsidRPr="00F719B1">
              <w:rPr>
                <w:rFonts w:ascii="Arial Narrow" w:hAnsi="Arial Narrow"/>
                <w:i/>
                <w:sz w:val="20"/>
              </w:rPr>
              <w:t>onic-</w:t>
            </w:r>
            <w:r>
              <w:rPr>
                <w:rFonts w:ascii="Arial Narrow" w:hAnsi="Arial Narrow"/>
                <w:i/>
                <w:sz w:val="20"/>
              </w:rPr>
              <w:t>c</w:t>
            </w:r>
            <w:r w:rsidRPr="00F719B1">
              <w:rPr>
                <w:rFonts w:ascii="Arial Narrow" w:hAnsi="Arial Narrow"/>
                <w:i/>
                <w:sz w:val="20"/>
              </w:rPr>
              <w:t>lonic seizures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FA5816" w:rsidRDefault="002E4AFC" w:rsidP="00470A79">
            <w:pPr>
              <w:keepNext/>
              <w:keepLines/>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Pr>
                <w:rFonts w:ascii="Arial Narrow" w:hAnsi="Arial Narrow"/>
                <w:sz w:val="20"/>
              </w:rPr>
              <w:t xml:space="preserve">Initial </w:t>
            </w:r>
            <w:r w:rsidRPr="00A929BD">
              <w:rPr>
                <w:rFonts w:ascii="Arial Narrow" w:hAnsi="Arial Narrow"/>
                <w:strike/>
                <w:sz w:val="20"/>
              </w:rPr>
              <w:t>therapy</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2E4AFC" w:rsidRDefault="002E4AFC" w:rsidP="00470A79">
            <w:pPr>
              <w:keepNext/>
              <w:keepLines/>
              <w:rPr>
                <w:rFonts w:ascii="Arial Narrow" w:hAnsi="Arial Narrow"/>
                <w:i/>
                <w:sz w:val="20"/>
              </w:rPr>
            </w:pPr>
          </w:p>
          <w:p w:rsidR="002E4AFC" w:rsidRDefault="002E4AFC" w:rsidP="00470A79">
            <w:pPr>
              <w:keepNext/>
              <w:keepLines/>
              <w:rPr>
                <w:rFonts w:ascii="Arial Narrow" w:hAnsi="Arial Narrow"/>
                <w:i/>
                <w:sz w:val="20"/>
              </w:rPr>
            </w:pPr>
          </w:p>
          <w:p w:rsidR="002E4AFC" w:rsidRPr="00CD28F3" w:rsidRDefault="002E4AFC" w:rsidP="00470A79">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E4AFC" w:rsidRPr="00260CE3" w:rsidRDefault="002E4AFC" w:rsidP="00470A79">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260CE3">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FE7A24">
              <w:rPr>
                <w:rFonts w:ascii="Arial Narrow" w:hAnsi="Arial Narrow"/>
                <w:sz w:val="20"/>
              </w:rPr>
              <w:t>Must be treated by a neurologist</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FA5816" w:rsidRDefault="002E4AFC" w:rsidP="00470A79">
            <w:pPr>
              <w:keepNext/>
              <w:keepLines/>
              <w:rPr>
                <w:rFonts w:ascii="Arial Narrow" w:hAnsi="Arial Narrow"/>
                <w:b/>
                <w:sz w:val="20"/>
              </w:rPr>
            </w:pPr>
            <w:r w:rsidRPr="00FA5816">
              <w:rPr>
                <w:rFonts w:ascii="Arial Narrow" w:hAnsi="Arial Narrow"/>
                <w:b/>
                <w:sz w:val="20"/>
              </w:rPr>
              <w:t>Clinical criteria:</w:t>
            </w:r>
          </w:p>
          <w:p w:rsidR="002E4AFC" w:rsidRPr="00FA5816" w:rsidRDefault="002E4AFC" w:rsidP="00470A79">
            <w:pPr>
              <w:keepNext/>
              <w:keepLines/>
              <w:rPr>
                <w:rFonts w:ascii="Arial Narrow" w:hAnsi="Arial Narrow"/>
                <w:i/>
                <w:sz w:val="20"/>
              </w:rPr>
            </w:pPr>
          </w:p>
          <w:p w:rsidR="002E4AFC" w:rsidRPr="00FA5816" w:rsidRDefault="002E4AFC" w:rsidP="00470A7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Default="002E4AFC" w:rsidP="00470A79">
            <w:pPr>
              <w:keepNext/>
              <w:keepLines/>
              <w:rPr>
                <w:rFonts w:ascii="Arial Narrow" w:hAnsi="Arial Narrow"/>
                <w:sz w:val="20"/>
              </w:rPr>
            </w:pPr>
            <w:r w:rsidRPr="00FA5816">
              <w:rPr>
                <w:rFonts w:ascii="Arial Narrow" w:hAnsi="Arial Narrow"/>
                <w:sz w:val="20"/>
              </w:rPr>
              <w:t>The condition must have failed to be controlled satisfactorily by at least two anti-epileptic drugs</w:t>
            </w:r>
            <w:r w:rsidRPr="00FA5816">
              <w:rPr>
                <w:rFonts w:ascii="Arial Narrow" w:hAnsi="Arial Narrow"/>
                <w:i/>
                <w:sz w:val="20"/>
              </w:rPr>
              <w:t>,</w:t>
            </w:r>
            <w:r w:rsidRPr="00FA5816">
              <w:rPr>
                <w:rFonts w:ascii="Arial Narrow" w:hAnsi="Arial Narrow"/>
                <w:sz w:val="20"/>
              </w:rPr>
              <w:t xml:space="preserve"> </w:t>
            </w:r>
          </w:p>
          <w:p w:rsidR="002E4AFC" w:rsidRPr="00FA5816" w:rsidRDefault="002E4AFC" w:rsidP="00470A79">
            <w:pPr>
              <w:keepNext/>
              <w:keepLines/>
              <w:rPr>
                <w:rFonts w:ascii="Arial Narrow" w:hAnsi="Arial Narrow"/>
                <w:sz w:val="20"/>
              </w:rPr>
            </w:pPr>
          </w:p>
          <w:p w:rsidR="002E4AFC" w:rsidRDefault="002E4AFC" w:rsidP="00470A79">
            <w:pPr>
              <w:keepNext/>
              <w:keepLines/>
              <w:rPr>
                <w:rFonts w:ascii="Arial Narrow" w:hAnsi="Arial Narrow"/>
                <w:sz w:val="20"/>
              </w:rPr>
            </w:pPr>
            <w:r w:rsidRPr="00FA5816">
              <w:rPr>
                <w:rFonts w:ascii="Arial Narrow" w:hAnsi="Arial Narrow"/>
                <w:sz w:val="20"/>
              </w:rPr>
              <w:t>AND</w:t>
            </w:r>
          </w:p>
          <w:p w:rsidR="002E4AFC" w:rsidRPr="00FA5816" w:rsidRDefault="002E4AFC" w:rsidP="00470A79">
            <w:pPr>
              <w:keepNext/>
              <w:keepLines/>
              <w:rPr>
                <w:rFonts w:ascii="Arial Narrow" w:hAnsi="Arial Narrow"/>
                <w:sz w:val="20"/>
              </w:rPr>
            </w:pPr>
          </w:p>
          <w:p w:rsidR="002E4AFC" w:rsidRDefault="002E4AFC" w:rsidP="00470A79">
            <w:pPr>
              <w:keepNext/>
              <w:keepLines/>
              <w:rPr>
                <w:rFonts w:ascii="Arial Narrow" w:hAnsi="Arial Narrow"/>
                <w:sz w:val="20"/>
              </w:rPr>
            </w:pPr>
            <w:r w:rsidRPr="00FA5816">
              <w:rPr>
                <w:rFonts w:ascii="Arial Narrow" w:hAnsi="Arial Narrow"/>
                <w:i/>
                <w:sz w:val="20"/>
              </w:rPr>
              <w:t>The treatment m</w:t>
            </w:r>
            <w:r w:rsidRPr="00FA5816">
              <w:rPr>
                <w:rFonts w:ascii="Arial Narrow" w:hAnsi="Arial Narrow"/>
                <w:strike/>
                <w:sz w:val="20"/>
              </w:rPr>
              <w:t>M</w:t>
            </w:r>
            <w:r w:rsidRPr="00FA5816">
              <w:rPr>
                <w:rFonts w:ascii="Arial Narrow" w:hAnsi="Arial Narrow"/>
                <w:sz w:val="20"/>
              </w:rPr>
              <w:t xml:space="preserve">ust be in combination with at least one </w:t>
            </w:r>
            <w:r>
              <w:rPr>
                <w:rFonts w:ascii="Arial Narrow" w:hAnsi="Arial Narrow"/>
                <w:i/>
                <w:sz w:val="20"/>
              </w:rPr>
              <w:t xml:space="preserve">PBS subsidised </w:t>
            </w:r>
            <w:r w:rsidRPr="00FA5816">
              <w:rPr>
                <w:rFonts w:ascii="Arial Narrow" w:hAnsi="Arial Narrow"/>
                <w:sz w:val="20"/>
              </w:rPr>
              <w:t>anti-epileptic drug</w:t>
            </w:r>
            <w:r w:rsidRPr="00FA5816">
              <w:rPr>
                <w:rFonts w:ascii="Arial Narrow" w:hAnsi="Arial Narrow"/>
                <w:i/>
                <w:sz w:val="20"/>
              </w:rPr>
              <w:t>,</w:t>
            </w:r>
            <w:r w:rsidRPr="00FA5816">
              <w:rPr>
                <w:rFonts w:ascii="Arial Narrow" w:hAnsi="Arial Narrow"/>
                <w:sz w:val="20"/>
              </w:rPr>
              <w:t xml:space="preserve"> </w:t>
            </w:r>
          </w:p>
          <w:p w:rsidR="002E4AFC" w:rsidRPr="00FA5816" w:rsidRDefault="002E4AFC" w:rsidP="00470A79">
            <w:pPr>
              <w:keepNext/>
              <w:keepLines/>
              <w:rPr>
                <w:rFonts w:ascii="Arial Narrow" w:hAnsi="Arial Narrow"/>
                <w:sz w:val="20"/>
              </w:rPr>
            </w:pPr>
          </w:p>
          <w:p w:rsidR="002E4AFC" w:rsidRDefault="002E4AFC" w:rsidP="00470A79">
            <w:pPr>
              <w:keepNext/>
              <w:keepLines/>
              <w:rPr>
                <w:rFonts w:ascii="Arial Narrow" w:hAnsi="Arial Narrow"/>
                <w:sz w:val="20"/>
              </w:rPr>
            </w:pPr>
            <w:r w:rsidRPr="00FA5816">
              <w:rPr>
                <w:rFonts w:ascii="Arial Narrow" w:hAnsi="Arial Narrow"/>
                <w:sz w:val="20"/>
              </w:rPr>
              <w:t>AND</w:t>
            </w:r>
          </w:p>
          <w:p w:rsidR="002E4AFC" w:rsidRPr="00FA5816" w:rsidRDefault="002E4AFC" w:rsidP="00470A79">
            <w:pPr>
              <w:keepNext/>
              <w:keepLines/>
              <w:rPr>
                <w:rFonts w:ascii="Arial Narrow" w:hAnsi="Arial Narrow"/>
                <w:sz w:val="20"/>
              </w:rPr>
            </w:pPr>
          </w:p>
          <w:p w:rsidR="002E4AFC" w:rsidRPr="00FA5816" w:rsidRDefault="002E4AFC" w:rsidP="00470A79">
            <w:pPr>
              <w:keepNext/>
              <w:keepLines/>
              <w:rPr>
                <w:rFonts w:ascii="Arial Narrow" w:hAnsi="Arial Narrow"/>
                <w:sz w:val="20"/>
              </w:rPr>
            </w:pPr>
            <w:r w:rsidRPr="00FA5816">
              <w:rPr>
                <w:rFonts w:ascii="Arial Narrow" w:hAnsi="Arial Narrow"/>
                <w:sz w:val="20"/>
              </w:rPr>
              <w:t xml:space="preserve">The treatment must be for dose titration purposes </w:t>
            </w:r>
            <w:r w:rsidRPr="00FA5816">
              <w:rPr>
                <w:rFonts w:ascii="Arial Narrow" w:hAnsi="Arial Narrow"/>
                <w:strike/>
                <w:sz w:val="20"/>
              </w:rPr>
              <w:t>(2mg, 7 packs sizes only)</w:t>
            </w:r>
            <w:r w:rsidRPr="00FA5816">
              <w:rPr>
                <w:rFonts w:ascii="Arial Narrow" w:hAnsi="Arial Narrow"/>
                <w:sz w:val="20"/>
              </w:rPr>
              <w:t>.</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Population criteria:</w:t>
            </w:r>
          </w:p>
          <w:p w:rsidR="002E4AFC" w:rsidRPr="00260CE3" w:rsidRDefault="002E4AFC" w:rsidP="00470A7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FE7A24">
              <w:rPr>
                <w:rFonts w:ascii="Arial Narrow" w:hAnsi="Arial Narrow"/>
                <w:sz w:val="20"/>
              </w:rPr>
              <w:t>Patient must be aged 12 years or older.</w:t>
            </w:r>
          </w:p>
          <w:p w:rsidR="002E4AFC" w:rsidRPr="00260CE3" w:rsidRDefault="002E4AFC" w:rsidP="00470A79">
            <w:pPr>
              <w:keepNext/>
              <w:keepLines/>
              <w:rPr>
                <w:rFonts w:ascii="Arial Narrow" w:hAnsi="Arial Narrow"/>
                <w:sz w:val="20"/>
              </w:rPr>
            </w:pP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i/>
                <w:sz w:val="20"/>
              </w:rPr>
            </w:pPr>
            <w:r w:rsidRPr="00260CE3">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FE7A24">
              <w:rPr>
                <w:rFonts w:ascii="Arial Narrow" w:hAnsi="Arial Narrow"/>
                <w:sz w:val="20"/>
              </w:rPr>
              <w:t>No</w:t>
            </w:r>
            <w:r w:rsidRPr="00F719B1">
              <w:rPr>
                <w:rFonts w:ascii="Arial Narrow" w:hAnsi="Arial Narrow"/>
                <w:strike/>
                <w:sz w:val="20"/>
              </w:rPr>
              <w:t xml:space="preserve"> applications for</w:t>
            </w:r>
            <w:r w:rsidRPr="00FE7A24">
              <w:rPr>
                <w:rFonts w:ascii="Arial Narrow" w:hAnsi="Arial Narrow"/>
                <w:sz w:val="20"/>
              </w:rPr>
              <w:t xml:space="preserve"> increase</w:t>
            </w:r>
            <w:r w:rsidRPr="009F4475">
              <w:rPr>
                <w:rFonts w:ascii="Arial Narrow" w:hAnsi="Arial Narrow"/>
                <w:strike/>
                <w:sz w:val="20"/>
              </w:rPr>
              <w:t>d</w:t>
            </w:r>
            <w:r>
              <w:rPr>
                <w:rFonts w:ascii="Arial Narrow" w:hAnsi="Arial Narrow"/>
                <w:sz w:val="20"/>
              </w:rPr>
              <w:t xml:space="preserve"> </w:t>
            </w:r>
            <w:r>
              <w:rPr>
                <w:rFonts w:ascii="Arial Narrow" w:hAnsi="Arial Narrow"/>
                <w:i/>
                <w:sz w:val="20"/>
              </w:rPr>
              <w:t>to the</w:t>
            </w:r>
            <w:r w:rsidRPr="00FE7A24">
              <w:rPr>
                <w:rFonts w:ascii="Arial Narrow" w:hAnsi="Arial Narrow"/>
                <w:sz w:val="20"/>
              </w:rPr>
              <w:t xml:space="preserve"> maximum quantities will be authorised.</w:t>
            </w:r>
          </w:p>
        </w:tc>
      </w:tr>
    </w:tbl>
    <w:p w:rsidR="002E4AFC" w:rsidRDefault="002E4AFC" w:rsidP="002E4AFC">
      <w:pPr>
        <w:rPr>
          <w:szCs w:val="22"/>
        </w:rPr>
      </w:pPr>
    </w:p>
    <w:p w:rsidR="006F6C1F" w:rsidRDefault="006F6C1F" w:rsidP="002E4AFC">
      <w:pPr>
        <w:rPr>
          <w:szCs w:val="22"/>
        </w:rPr>
      </w:pPr>
    </w:p>
    <w:p w:rsidR="006F6C1F" w:rsidRDefault="006F6C1F" w:rsidP="002E4AFC">
      <w:pPr>
        <w:rPr>
          <w:szCs w:val="22"/>
        </w:rPr>
      </w:pPr>
    </w:p>
    <w:p w:rsidR="006F6C1F" w:rsidRPr="00552722" w:rsidRDefault="006F6C1F" w:rsidP="002E4AFC">
      <w:pPr>
        <w:rPr>
          <w:szCs w:val="22"/>
        </w:rPr>
      </w:pPr>
    </w:p>
    <w:p w:rsidR="002E4AFC" w:rsidRPr="00552722" w:rsidRDefault="002E4AFC" w:rsidP="002E4AFC">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2E4AFC" w:rsidRPr="006F6C1F" w:rsidTr="00470A79">
        <w:trPr>
          <w:cantSplit/>
          <w:trHeight w:val="471"/>
        </w:trPr>
        <w:tc>
          <w:tcPr>
            <w:tcW w:w="3261" w:type="dxa"/>
            <w:gridSpan w:val="2"/>
            <w:tcBorders>
              <w:bottom w:val="single" w:sz="4" w:space="0" w:color="auto"/>
            </w:tcBorders>
          </w:tcPr>
          <w:p w:rsidR="002E4AFC" w:rsidRPr="006F6C1F" w:rsidRDefault="002E4AFC" w:rsidP="00470A79">
            <w:pPr>
              <w:keepNext/>
              <w:keepLines/>
              <w:ind w:left="-108"/>
              <w:rPr>
                <w:rFonts w:ascii="Arial Narrow" w:hAnsi="Arial Narrow"/>
                <w:sz w:val="20"/>
              </w:rPr>
            </w:pPr>
            <w:r w:rsidRPr="006F6C1F">
              <w:rPr>
                <w:rFonts w:ascii="Arial Narrow" w:hAnsi="Arial Narrow"/>
                <w:sz w:val="20"/>
              </w:rPr>
              <w:lastRenderedPageBreak/>
              <w:t>Name, Restriction,</w:t>
            </w:r>
          </w:p>
          <w:p w:rsidR="002E4AFC" w:rsidRPr="006F6C1F" w:rsidRDefault="002E4AFC" w:rsidP="00470A79">
            <w:pPr>
              <w:keepNext/>
              <w:keepLines/>
              <w:ind w:left="-108"/>
              <w:rPr>
                <w:rFonts w:ascii="Arial Narrow" w:hAnsi="Arial Narrow"/>
                <w:sz w:val="20"/>
              </w:rPr>
            </w:pPr>
            <w:r w:rsidRPr="006F6C1F">
              <w:rPr>
                <w:rFonts w:ascii="Arial Narrow" w:hAnsi="Arial Narrow"/>
                <w:sz w:val="20"/>
              </w:rPr>
              <w:t>Manner of administration and form</w:t>
            </w:r>
          </w:p>
        </w:tc>
        <w:tc>
          <w:tcPr>
            <w:tcW w:w="567" w:type="dxa"/>
            <w:tcBorders>
              <w:bottom w:val="single" w:sz="4" w:space="0" w:color="auto"/>
            </w:tcBorders>
          </w:tcPr>
          <w:p w:rsidR="002E4AFC" w:rsidRPr="006F6C1F" w:rsidRDefault="002E4AFC" w:rsidP="00470A79">
            <w:pPr>
              <w:keepNext/>
              <w:keepLines/>
              <w:ind w:left="-108"/>
              <w:rPr>
                <w:rFonts w:ascii="Arial Narrow" w:hAnsi="Arial Narrow"/>
                <w:sz w:val="20"/>
              </w:rPr>
            </w:pPr>
            <w:r w:rsidRPr="006F6C1F">
              <w:rPr>
                <w:rFonts w:ascii="Arial Narrow" w:hAnsi="Arial Narrow"/>
                <w:sz w:val="20"/>
              </w:rPr>
              <w:t>Max.</w:t>
            </w:r>
          </w:p>
          <w:p w:rsidR="002E4AFC" w:rsidRPr="006F6C1F" w:rsidRDefault="002E4AFC" w:rsidP="00470A79">
            <w:pPr>
              <w:keepNext/>
              <w:keepLines/>
              <w:ind w:left="-108"/>
              <w:rPr>
                <w:rFonts w:ascii="Arial Narrow" w:hAnsi="Arial Narrow"/>
                <w:sz w:val="20"/>
              </w:rPr>
            </w:pPr>
            <w:r w:rsidRPr="006F6C1F">
              <w:rPr>
                <w:rFonts w:ascii="Arial Narrow" w:hAnsi="Arial Narrow"/>
                <w:sz w:val="20"/>
              </w:rPr>
              <w:t>Qty</w:t>
            </w:r>
          </w:p>
        </w:tc>
        <w:tc>
          <w:tcPr>
            <w:tcW w:w="850" w:type="dxa"/>
            <w:tcBorders>
              <w:bottom w:val="single" w:sz="4" w:space="0" w:color="auto"/>
            </w:tcBorders>
          </w:tcPr>
          <w:p w:rsidR="002E4AFC" w:rsidRPr="006F6C1F" w:rsidRDefault="002E4AFC" w:rsidP="00470A79">
            <w:pPr>
              <w:keepNext/>
              <w:keepLines/>
              <w:ind w:left="-108"/>
              <w:rPr>
                <w:rFonts w:ascii="Arial Narrow" w:hAnsi="Arial Narrow"/>
                <w:sz w:val="20"/>
              </w:rPr>
            </w:pPr>
            <w:r w:rsidRPr="006F6C1F">
              <w:rPr>
                <w:rFonts w:ascii="Arial Narrow" w:hAnsi="Arial Narrow"/>
                <w:sz w:val="20"/>
              </w:rPr>
              <w:t>№.of</w:t>
            </w:r>
          </w:p>
          <w:p w:rsidR="002E4AFC" w:rsidRPr="006F6C1F" w:rsidRDefault="002E4AFC" w:rsidP="00470A79">
            <w:pPr>
              <w:keepNext/>
              <w:keepLines/>
              <w:ind w:left="-108"/>
              <w:rPr>
                <w:rFonts w:ascii="Arial Narrow" w:hAnsi="Arial Narrow"/>
                <w:sz w:val="20"/>
              </w:rPr>
            </w:pPr>
            <w:r w:rsidRPr="006F6C1F">
              <w:rPr>
                <w:rFonts w:ascii="Arial Narrow" w:hAnsi="Arial Narrow"/>
                <w:sz w:val="20"/>
              </w:rPr>
              <w:t>Rpts</w:t>
            </w:r>
          </w:p>
        </w:tc>
        <w:tc>
          <w:tcPr>
            <w:tcW w:w="1701" w:type="dxa"/>
            <w:tcBorders>
              <w:bottom w:val="single" w:sz="4" w:space="0" w:color="auto"/>
            </w:tcBorders>
          </w:tcPr>
          <w:p w:rsidR="002E4AFC" w:rsidRPr="006F6C1F" w:rsidRDefault="002E4AFC" w:rsidP="00470A79">
            <w:pPr>
              <w:keepNext/>
              <w:keepLines/>
              <w:ind w:left="-108"/>
              <w:rPr>
                <w:rFonts w:ascii="Arial Narrow" w:hAnsi="Arial Narrow"/>
                <w:sz w:val="20"/>
              </w:rPr>
            </w:pPr>
            <w:r w:rsidRPr="006F6C1F">
              <w:rPr>
                <w:rFonts w:ascii="Arial Narrow" w:hAnsi="Arial Narrow"/>
                <w:sz w:val="20"/>
              </w:rPr>
              <w:t>Dispensed Price for Max. Qty</w:t>
            </w:r>
          </w:p>
        </w:tc>
        <w:tc>
          <w:tcPr>
            <w:tcW w:w="2835" w:type="dxa"/>
            <w:gridSpan w:val="2"/>
            <w:tcBorders>
              <w:bottom w:val="single" w:sz="4" w:space="0" w:color="auto"/>
            </w:tcBorders>
          </w:tcPr>
          <w:p w:rsidR="002E4AFC" w:rsidRPr="006F6C1F" w:rsidRDefault="002E4AFC" w:rsidP="00470A79">
            <w:pPr>
              <w:keepNext/>
              <w:keepLines/>
              <w:rPr>
                <w:rFonts w:ascii="Arial Narrow" w:hAnsi="Arial Narrow"/>
                <w:sz w:val="20"/>
                <w:lang w:val="fr-FR"/>
              </w:rPr>
            </w:pPr>
            <w:r w:rsidRPr="006F6C1F">
              <w:rPr>
                <w:rFonts w:ascii="Arial Narrow" w:hAnsi="Arial Narrow"/>
                <w:sz w:val="20"/>
              </w:rPr>
              <w:t>Proprietary Name and Manufacturer</w:t>
            </w:r>
          </w:p>
        </w:tc>
      </w:tr>
      <w:tr w:rsidR="002E4AFC" w:rsidRPr="00260CE3" w:rsidTr="00470A79">
        <w:trPr>
          <w:cantSplit/>
          <w:trHeight w:val="577"/>
        </w:trPr>
        <w:tc>
          <w:tcPr>
            <w:tcW w:w="3261" w:type="dxa"/>
            <w:gridSpan w:val="2"/>
          </w:tcPr>
          <w:p w:rsidR="002E4AFC" w:rsidRPr="00260CE3" w:rsidRDefault="002E4AFC" w:rsidP="00470A79">
            <w:pPr>
              <w:keepNext/>
              <w:keepLines/>
              <w:ind w:left="-108"/>
              <w:rPr>
                <w:rFonts w:ascii="Arial Narrow" w:hAnsi="Arial Narrow"/>
                <w:sz w:val="20"/>
              </w:rPr>
            </w:pPr>
            <w:r>
              <w:rPr>
                <w:rFonts w:ascii="Arial Narrow" w:hAnsi="Arial Narrow"/>
                <w:smallCaps/>
                <w:sz w:val="20"/>
              </w:rPr>
              <w:t>PERAMPENAL</w:t>
            </w:r>
          </w:p>
          <w:p w:rsidR="002E4AFC" w:rsidRDefault="002E4AFC" w:rsidP="00470A79">
            <w:pPr>
              <w:keepNext/>
              <w:keepLines/>
              <w:ind w:left="-108"/>
              <w:rPr>
                <w:rFonts w:ascii="Arial Narrow" w:hAnsi="Arial Narrow"/>
                <w:sz w:val="20"/>
              </w:rPr>
            </w:pPr>
            <w:r>
              <w:rPr>
                <w:rFonts w:ascii="Arial Narrow" w:hAnsi="Arial Narrow"/>
                <w:sz w:val="20"/>
              </w:rPr>
              <w:t>4 mg tablet, 28</w:t>
            </w:r>
          </w:p>
          <w:p w:rsidR="002E4AFC" w:rsidRDefault="002E4AFC" w:rsidP="00470A79">
            <w:pPr>
              <w:keepNext/>
              <w:keepLines/>
              <w:ind w:left="-108"/>
              <w:rPr>
                <w:rFonts w:ascii="Arial Narrow" w:hAnsi="Arial Narrow"/>
                <w:sz w:val="20"/>
              </w:rPr>
            </w:pPr>
            <w:r>
              <w:rPr>
                <w:rFonts w:ascii="Arial Narrow" w:hAnsi="Arial Narrow"/>
                <w:sz w:val="20"/>
              </w:rPr>
              <w:t>6 mg tablet, 28</w:t>
            </w:r>
          </w:p>
          <w:p w:rsidR="002E4AFC" w:rsidRDefault="002E4AFC" w:rsidP="00470A79">
            <w:pPr>
              <w:keepNext/>
              <w:keepLines/>
              <w:ind w:left="-108"/>
              <w:rPr>
                <w:rFonts w:ascii="Arial Narrow" w:hAnsi="Arial Narrow"/>
                <w:sz w:val="20"/>
              </w:rPr>
            </w:pPr>
            <w:r>
              <w:rPr>
                <w:rFonts w:ascii="Arial Narrow" w:hAnsi="Arial Narrow"/>
                <w:sz w:val="20"/>
              </w:rPr>
              <w:t>8 mg tablet, 28</w:t>
            </w:r>
          </w:p>
          <w:p w:rsidR="002E4AFC" w:rsidRDefault="002E4AFC" w:rsidP="00470A79">
            <w:pPr>
              <w:keepNext/>
              <w:keepLines/>
              <w:ind w:left="-108"/>
              <w:rPr>
                <w:rFonts w:ascii="Arial Narrow" w:hAnsi="Arial Narrow"/>
                <w:sz w:val="20"/>
              </w:rPr>
            </w:pPr>
            <w:r>
              <w:rPr>
                <w:rFonts w:ascii="Arial Narrow" w:hAnsi="Arial Narrow"/>
                <w:sz w:val="20"/>
              </w:rPr>
              <w:t>10 mg tablet, 28</w:t>
            </w:r>
          </w:p>
          <w:p w:rsidR="002E4AFC" w:rsidRPr="00260CE3" w:rsidRDefault="002E4AFC" w:rsidP="00470A79">
            <w:pPr>
              <w:keepNext/>
              <w:keepLines/>
              <w:ind w:left="-108"/>
              <w:rPr>
                <w:rFonts w:ascii="Arial Narrow" w:hAnsi="Arial Narrow"/>
                <w:sz w:val="20"/>
              </w:rPr>
            </w:pPr>
            <w:r>
              <w:rPr>
                <w:rFonts w:ascii="Arial Narrow" w:hAnsi="Arial Narrow"/>
                <w:sz w:val="20"/>
              </w:rPr>
              <w:t>12 mg tablet, 28</w:t>
            </w:r>
          </w:p>
        </w:tc>
        <w:tc>
          <w:tcPr>
            <w:tcW w:w="567" w:type="dxa"/>
          </w:tcPr>
          <w:p w:rsidR="002E4AFC" w:rsidRPr="00260CE3" w:rsidRDefault="002E4AFC" w:rsidP="00470A79">
            <w:pPr>
              <w:keepNext/>
              <w:keepLines/>
              <w:ind w:left="-108"/>
              <w:rPr>
                <w:rFonts w:ascii="Arial Narrow" w:hAnsi="Arial Narrow"/>
                <w:sz w:val="20"/>
              </w:rPr>
            </w:pPr>
          </w:p>
          <w:p w:rsidR="002E4AFC" w:rsidRDefault="002E4AFC" w:rsidP="00470A79">
            <w:pPr>
              <w:keepNext/>
              <w:keepLines/>
              <w:ind w:left="-108"/>
              <w:rPr>
                <w:rFonts w:ascii="Arial Narrow" w:hAnsi="Arial Narrow"/>
                <w:sz w:val="20"/>
              </w:rPr>
            </w:pPr>
            <w:r>
              <w:rPr>
                <w:rFonts w:ascii="Arial Narrow" w:hAnsi="Arial Narrow"/>
                <w:sz w:val="20"/>
              </w:rPr>
              <w:t>1</w:t>
            </w:r>
          </w:p>
          <w:p w:rsidR="002E4AFC" w:rsidRDefault="002E4AFC" w:rsidP="00470A79">
            <w:pPr>
              <w:keepNext/>
              <w:keepLines/>
              <w:ind w:left="-108"/>
              <w:rPr>
                <w:rFonts w:ascii="Arial Narrow" w:hAnsi="Arial Narrow"/>
                <w:sz w:val="20"/>
              </w:rPr>
            </w:pPr>
            <w:r>
              <w:rPr>
                <w:rFonts w:ascii="Arial Narrow" w:hAnsi="Arial Narrow"/>
                <w:sz w:val="20"/>
              </w:rPr>
              <w:t>1</w:t>
            </w:r>
          </w:p>
          <w:p w:rsidR="002E4AFC" w:rsidRDefault="002E4AFC" w:rsidP="00470A79">
            <w:pPr>
              <w:keepNext/>
              <w:keepLines/>
              <w:ind w:left="-108"/>
              <w:rPr>
                <w:rFonts w:ascii="Arial Narrow" w:hAnsi="Arial Narrow"/>
                <w:sz w:val="20"/>
              </w:rPr>
            </w:pPr>
            <w:r>
              <w:rPr>
                <w:rFonts w:ascii="Arial Narrow" w:hAnsi="Arial Narrow"/>
                <w:sz w:val="20"/>
              </w:rPr>
              <w:t>1</w:t>
            </w:r>
          </w:p>
          <w:p w:rsidR="002E4AFC" w:rsidRDefault="002E4AFC" w:rsidP="00470A79">
            <w:pPr>
              <w:keepNext/>
              <w:keepLines/>
              <w:ind w:left="-108"/>
              <w:rPr>
                <w:rFonts w:ascii="Arial Narrow" w:hAnsi="Arial Narrow"/>
                <w:sz w:val="20"/>
              </w:rPr>
            </w:pPr>
            <w:r>
              <w:rPr>
                <w:rFonts w:ascii="Arial Narrow" w:hAnsi="Arial Narrow"/>
                <w:sz w:val="20"/>
              </w:rPr>
              <w:t>1</w:t>
            </w:r>
          </w:p>
          <w:p w:rsidR="002E4AFC" w:rsidRPr="00260CE3" w:rsidRDefault="002E4AFC" w:rsidP="00470A79">
            <w:pPr>
              <w:keepNext/>
              <w:keepLines/>
              <w:ind w:left="-108"/>
              <w:rPr>
                <w:rFonts w:ascii="Arial Narrow" w:hAnsi="Arial Narrow"/>
                <w:sz w:val="20"/>
              </w:rPr>
            </w:pPr>
            <w:r>
              <w:rPr>
                <w:rFonts w:ascii="Arial Narrow" w:hAnsi="Arial Narrow"/>
                <w:sz w:val="20"/>
              </w:rPr>
              <w:t>1</w:t>
            </w:r>
          </w:p>
        </w:tc>
        <w:tc>
          <w:tcPr>
            <w:tcW w:w="850" w:type="dxa"/>
          </w:tcPr>
          <w:p w:rsidR="002E4AFC" w:rsidRPr="00260CE3" w:rsidRDefault="002E4AFC" w:rsidP="00470A79">
            <w:pPr>
              <w:keepNext/>
              <w:keepLines/>
              <w:ind w:left="-108"/>
              <w:rPr>
                <w:rFonts w:ascii="Arial Narrow" w:hAnsi="Arial Narrow"/>
                <w:sz w:val="20"/>
              </w:rPr>
            </w:pPr>
          </w:p>
          <w:p w:rsidR="002E4AFC" w:rsidRDefault="002E4AFC" w:rsidP="00470A79">
            <w:pPr>
              <w:keepNext/>
              <w:keepLines/>
              <w:ind w:left="-108"/>
              <w:rPr>
                <w:rFonts w:ascii="Arial Narrow" w:hAnsi="Arial Narrow"/>
                <w:sz w:val="20"/>
              </w:rPr>
            </w:pPr>
            <w:r>
              <w:rPr>
                <w:rFonts w:ascii="Arial Narrow" w:hAnsi="Arial Narrow"/>
                <w:sz w:val="20"/>
              </w:rPr>
              <w:t>2</w:t>
            </w:r>
          </w:p>
          <w:p w:rsidR="002E4AFC" w:rsidRDefault="002E4AFC" w:rsidP="00470A79">
            <w:pPr>
              <w:keepNext/>
              <w:keepLines/>
              <w:ind w:left="-108"/>
              <w:rPr>
                <w:rFonts w:ascii="Arial Narrow" w:hAnsi="Arial Narrow"/>
                <w:sz w:val="20"/>
              </w:rPr>
            </w:pPr>
            <w:r>
              <w:rPr>
                <w:rFonts w:ascii="Arial Narrow" w:hAnsi="Arial Narrow"/>
                <w:sz w:val="20"/>
              </w:rPr>
              <w:t>2</w:t>
            </w:r>
          </w:p>
          <w:p w:rsidR="002E4AFC" w:rsidRDefault="002E4AFC" w:rsidP="00470A79">
            <w:pPr>
              <w:keepNext/>
              <w:keepLines/>
              <w:ind w:left="-108"/>
              <w:rPr>
                <w:rFonts w:ascii="Arial Narrow" w:hAnsi="Arial Narrow"/>
                <w:sz w:val="20"/>
              </w:rPr>
            </w:pPr>
            <w:r>
              <w:rPr>
                <w:rFonts w:ascii="Arial Narrow" w:hAnsi="Arial Narrow"/>
                <w:sz w:val="20"/>
              </w:rPr>
              <w:t>5</w:t>
            </w:r>
          </w:p>
          <w:p w:rsidR="002E4AFC" w:rsidRDefault="002E4AFC" w:rsidP="00470A79">
            <w:pPr>
              <w:keepNext/>
              <w:keepLines/>
              <w:ind w:left="-108"/>
              <w:rPr>
                <w:rFonts w:ascii="Arial Narrow" w:hAnsi="Arial Narrow"/>
                <w:sz w:val="20"/>
              </w:rPr>
            </w:pPr>
            <w:r>
              <w:rPr>
                <w:rFonts w:ascii="Arial Narrow" w:hAnsi="Arial Narrow"/>
                <w:sz w:val="20"/>
              </w:rPr>
              <w:t>5</w:t>
            </w:r>
          </w:p>
          <w:p w:rsidR="002E4AFC" w:rsidRPr="00260CE3" w:rsidRDefault="002E4AFC" w:rsidP="00470A79">
            <w:pPr>
              <w:keepNext/>
              <w:keepLines/>
              <w:ind w:left="-108"/>
              <w:rPr>
                <w:rFonts w:ascii="Arial Narrow" w:hAnsi="Arial Narrow"/>
                <w:sz w:val="20"/>
              </w:rPr>
            </w:pPr>
            <w:r>
              <w:rPr>
                <w:rFonts w:ascii="Arial Narrow" w:hAnsi="Arial Narrow"/>
                <w:sz w:val="20"/>
              </w:rPr>
              <w:t>5</w:t>
            </w:r>
          </w:p>
        </w:tc>
        <w:tc>
          <w:tcPr>
            <w:tcW w:w="1701" w:type="dxa"/>
          </w:tcPr>
          <w:p w:rsidR="002E4AFC" w:rsidRPr="00260CE3" w:rsidRDefault="002E4AFC" w:rsidP="00470A79">
            <w:pPr>
              <w:keepNext/>
              <w:keepLines/>
              <w:ind w:left="-108"/>
              <w:rPr>
                <w:rFonts w:ascii="Arial Narrow" w:hAnsi="Arial Narrow"/>
                <w:sz w:val="20"/>
              </w:rPr>
            </w:pPr>
          </w:p>
          <w:p w:rsidR="002E4AFC" w:rsidRDefault="002E4AFC" w:rsidP="00470A79">
            <w:pPr>
              <w:keepNext/>
              <w:keepLines/>
              <w:ind w:left="-108"/>
              <w:rPr>
                <w:rFonts w:ascii="Arial Narrow" w:hAnsi="Arial Narrow"/>
                <w:sz w:val="20"/>
              </w:rPr>
            </w:pPr>
            <w:r w:rsidRPr="00260CE3">
              <w:rPr>
                <w:rFonts w:ascii="Arial Narrow" w:hAnsi="Arial Narrow"/>
                <w:sz w:val="20"/>
              </w:rPr>
              <w:t>$</w:t>
            </w:r>
            <w:r w:rsidR="00247FD4">
              <w:rPr>
                <w:rFonts w:ascii="Arial Narrow" w:hAnsi="Arial Narrow"/>
                <w:noProof/>
                <w:color w:val="000000"/>
                <w:sz w:val="20"/>
                <w:highlight w:val="black"/>
              </w:rPr>
              <w:t>''''''''''''''''''</w:t>
            </w:r>
          </w:p>
          <w:p w:rsidR="002E4AFC" w:rsidRDefault="002E4AFC" w:rsidP="00470A79">
            <w:pPr>
              <w:keepNext/>
              <w:keepLines/>
              <w:ind w:left="-108"/>
              <w:rPr>
                <w:rFonts w:ascii="Arial Narrow" w:hAnsi="Arial Narrow"/>
                <w:sz w:val="20"/>
              </w:rPr>
            </w:pPr>
            <w:r>
              <w:rPr>
                <w:rFonts w:ascii="Arial Narrow" w:hAnsi="Arial Narrow"/>
                <w:sz w:val="20"/>
              </w:rPr>
              <w:t>$</w:t>
            </w:r>
            <w:r w:rsidR="00247FD4">
              <w:rPr>
                <w:rFonts w:ascii="Arial Narrow" w:hAnsi="Arial Narrow"/>
                <w:noProof/>
                <w:color w:val="000000"/>
                <w:sz w:val="20"/>
                <w:highlight w:val="black"/>
              </w:rPr>
              <w:t>'''''''''''''''</w:t>
            </w:r>
          </w:p>
          <w:p w:rsidR="002E4AFC" w:rsidRPr="00247FD4" w:rsidRDefault="002E4AFC" w:rsidP="00470A79">
            <w:pPr>
              <w:keepNext/>
              <w:keepLines/>
              <w:ind w:left="-108"/>
              <w:rPr>
                <w:rFonts w:ascii="Arial Narrow" w:hAnsi="Arial Narrow"/>
                <w:sz w:val="20"/>
              </w:rPr>
            </w:pPr>
            <w:r>
              <w:rPr>
                <w:rFonts w:ascii="Arial Narrow" w:hAnsi="Arial Narrow"/>
                <w:sz w:val="20"/>
              </w:rPr>
              <w:t>$</w:t>
            </w:r>
            <w:r w:rsidR="00247FD4">
              <w:rPr>
                <w:rFonts w:ascii="Arial Narrow" w:hAnsi="Arial Narrow"/>
                <w:noProof/>
                <w:color w:val="000000"/>
                <w:sz w:val="20"/>
                <w:highlight w:val="black"/>
              </w:rPr>
              <w:t>''''''''''''''''</w:t>
            </w:r>
          </w:p>
          <w:p w:rsidR="002E4AFC" w:rsidRDefault="002E4AFC" w:rsidP="00470A79">
            <w:pPr>
              <w:keepNext/>
              <w:keepLines/>
              <w:ind w:left="-108"/>
              <w:rPr>
                <w:rFonts w:ascii="Arial Narrow" w:hAnsi="Arial Narrow"/>
                <w:sz w:val="20"/>
              </w:rPr>
            </w:pPr>
            <w:r>
              <w:rPr>
                <w:rFonts w:ascii="Arial Narrow" w:hAnsi="Arial Narrow"/>
                <w:sz w:val="20"/>
              </w:rPr>
              <w:t>$</w:t>
            </w:r>
            <w:r w:rsidR="00247FD4">
              <w:rPr>
                <w:rFonts w:ascii="Arial Narrow" w:hAnsi="Arial Narrow"/>
                <w:noProof/>
                <w:color w:val="000000"/>
                <w:sz w:val="20"/>
                <w:highlight w:val="black"/>
              </w:rPr>
              <w:t>'''''''''''''''</w:t>
            </w:r>
          </w:p>
          <w:p w:rsidR="002E4AFC" w:rsidRPr="00260CE3" w:rsidRDefault="002E4AFC" w:rsidP="00470A79">
            <w:pPr>
              <w:keepNext/>
              <w:keepLines/>
              <w:ind w:left="-108"/>
              <w:rPr>
                <w:rFonts w:ascii="Arial Narrow" w:hAnsi="Arial Narrow"/>
                <w:sz w:val="20"/>
              </w:rPr>
            </w:pPr>
            <w:r>
              <w:rPr>
                <w:rFonts w:ascii="Arial Narrow" w:hAnsi="Arial Narrow"/>
                <w:sz w:val="20"/>
              </w:rPr>
              <w:t>$</w:t>
            </w:r>
            <w:r w:rsidR="00247FD4">
              <w:rPr>
                <w:rFonts w:ascii="Arial Narrow" w:hAnsi="Arial Narrow"/>
                <w:noProof/>
                <w:color w:val="000000"/>
                <w:sz w:val="20"/>
                <w:highlight w:val="black"/>
              </w:rPr>
              <w:t>'''''''''''''''</w:t>
            </w:r>
          </w:p>
        </w:tc>
        <w:tc>
          <w:tcPr>
            <w:tcW w:w="1559" w:type="dxa"/>
          </w:tcPr>
          <w:p w:rsidR="002E4AFC" w:rsidRDefault="002E4AFC" w:rsidP="00470A79">
            <w:pPr>
              <w:keepNext/>
              <w:keepLines/>
              <w:rPr>
                <w:rFonts w:ascii="Arial Narrow" w:hAnsi="Arial Narrow"/>
                <w:sz w:val="20"/>
              </w:rPr>
            </w:pPr>
          </w:p>
          <w:p w:rsidR="002E4AFC" w:rsidRPr="00260CE3" w:rsidRDefault="002E4AFC" w:rsidP="00470A79">
            <w:pPr>
              <w:keepNext/>
              <w:keepLines/>
              <w:rPr>
                <w:rFonts w:ascii="Arial Narrow" w:hAnsi="Arial Narrow"/>
                <w:sz w:val="20"/>
              </w:rPr>
            </w:pPr>
            <w:r>
              <w:rPr>
                <w:rFonts w:ascii="Arial Narrow" w:hAnsi="Arial Narrow"/>
                <w:sz w:val="20"/>
              </w:rPr>
              <w:t>Fycompa</w:t>
            </w:r>
            <w:r w:rsidRPr="009A02FB">
              <w:rPr>
                <w:rFonts w:ascii="Arial Narrow" w:hAnsi="Arial Narrow"/>
                <w:sz w:val="20"/>
                <w:vertAlign w:val="superscript"/>
              </w:rPr>
              <w:t>®</w:t>
            </w:r>
          </w:p>
        </w:tc>
        <w:tc>
          <w:tcPr>
            <w:tcW w:w="1276" w:type="dxa"/>
          </w:tcPr>
          <w:p w:rsidR="002E4AFC" w:rsidRDefault="002E4AFC" w:rsidP="00470A79">
            <w:pPr>
              <w:keepNext/>
              <w:keepLines/>
              <w:rPr>
                <w:rFonts w:ascii="Arial Narrow" w:hAnsi="Arial Narrow"/>
                <w:sz w:val="20"/>
              </w:rPr>
            </w:pPr>
          </w:p>
          <w:p w:rsidR="002E4AFC" w:rsidRPr="00260CE3" w:rsidRDefault="002E4AFC" w:rsidP="00470A79">
            <w:pPr>
              <w:keepNext/>
              <w:keepLines/>
              <w:rPr>
                <w:rFonts w:ascii="Arial Narrow" w:hAnsi="Arial Narrow"/>
                <w:sz w:val="20"/>
              </w:rPr>
            </w:pPr>
            <w:r>
              <w:rPr>
                <w:rFonts w:ascii="Arial Narrow" w:hAnsi="Arial Narrow"/>
                <w:sz w:val="20"/>
              </w:rPr>
              <w:t>Eisai Australia Pty Ltd</w:t>
            </w:r>
          </w:p>
        </w:tc>
      </w:tr>
      <w:tr w:rsidR="002E4AFC" w:rsidRPr="00260CE3" w:rsidTr="00470A79">
        <w:trPr>
          <w:cantSplit/>
          <w:trHeight w:val="360"/>
        </w:trPr>
        <w:tc>
          <w:tcPr>
            <w:tcW w:w="9214" w:type="dxa"/>
            <w:gridSpan w:val="7"/>
            <w:tcBorders>
              <w:bottom w:val="single" w:sz="4" w:space="0" w:color="auto"/>
            </w:tcBorders>
          </w:tcPr>
          <w:p w:rsidR="002E4AFC" w:rsidRPr="00260CE3" w:rsidRDefault="002E4AFC" w:rsidP="00470A79">
            <w:pPr>
              <w:keepNext/>
              <w:keepLines/>
              <w:rPr>
                <w:rFonts w:ascii="Arial Narrow" w:hAnsi="Arial Narrow"/>
                <w:sz w:val="20"/>
              </w:rPr>
            </w:pP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 xml:space="preserve">Category / </w:t>
            </w:r>
          </w:p>
          <w:p w:rsidR="002E4AFC" w:rsidRPr="00260CE3" w:rsidRDefault="002E4AFC" w:rsidP="00470A79">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260CE3">
              <w:rPr>
                <w:rFonts w:ascii="Arial Narrow" w:hAnsi="Arial Narrow"/>
                <w:sz w:val="20"/>
              </w:rPr>
              <w:t>GENERAL – General Schedule (Code GE)</w:t>
            </w:r>
          </w:p>
          <w:p w:rsidR="002E4AFC" w:rsidRPr="00260CE3" w:rsidRDefault="002E4AFC" w:rsidP="00470A79">
            <w:pPr>
              <w:keepNext/>
              <w:keepLines/>
              <w:rPr>
                <w:rFonts w:ascii="Arial Narrow" w:hAnsi="Arial Narrow"/>
                <w:sz w:val="20"/>
              </w:rPr>
            </w:pP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Default="002E4AFC" w:rsidP="00470A79">
            <w:pPr>
              <w:keepNext/>
              <w:keepLines/>
              <w:rPr>
                <w:rFonts w:ascii="Arial Narrow" w:hAnsi="Arial Narrow"/>
                <w:b/>
                <w:sz w:val="20"/>
              </w:rPr>
            </w:pPr>
            <w:r w:rsidRPr="00260CE3">
              <w:rPr>
                <w:rFonts w:ascii="Arial Narrow" w:hAnsi="Arial Narrow"/>
                <w:b/>
                <w:sz w:val="20"/>
              </w:rPr>
              <w:t>Prescriber type:</w:t>
            </w:r>
          </w:p>
          <w:p w:rsidR="002E4AFC" w:rsidRPr="00260CE3" w:rsidRDefault="002E4AFC" w:rsidP="00470A79">
            <w:pPr>
              <w:keepNext/>
              <w:keepLines/>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5" w:name="Check3"/>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bookmarkEnd w:id="5"/>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E4AFC" w:rsidRPr="00260CE3" w:rsidRDefault="002E4AFC" w:rsidP="00470A79">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8F7DDA" w:rsidRDefault="002E4AFC" w:rsidP="00470A79">
            <w:pPr>
              <w:keepNext/>
              <w:keepLines/>
              <w:rPr>
                <w:rFonts w:eastAsia="SimSun"/>
                <w:sz w:val="20"/>
                <w:lang w:eastAsia="ja-JP"/>
              </w:rPr>
            </w:pPr>
            <w:r>
              <w:rPr>
                <w:rFonts w:ascii="Arial Narrow" w:hAnsi="Arial Narrow"/>
                <w:i/>
                <w:sz w:val="20"/>
              </w:rPr>
              <w:t>Primary generalised tonic-clonic s</w:t>
            </w:r>
            <w:r w:rsidRPr="009F4475">
              <w:rPr>
                <w:rFonts w:ascii="Arial Narrow" w:hAnsi="Arial Narrow"/>
                <w:i/>
                <w:sz w:val="20"/>
              </w:rPr>
              <w:t>eizures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4964C8">
              <w:rPr>
                <w:rFonts w:ascii="Arial Narrow" w:hAnsi="Arial Narrow"/>
                <w:sz w:val="20"/>
              </w:rPr>
              <w:t xml:space="preserve">Idiopathic Generalised </w:t>
            </w:r>
            <w:r>
              <w:rPr>
                <w:rFonts w:ascii="Arial Narrow" w:hAnsi="Arial Narrow"/>
                <w:sz w:val="20"/>
              </w:rPr>
              <w:t>e</w:t>
            </w:r>
            <w:r w:rsidRPr="00FE7A24">
              <w:rPr>
                <w:rFonts w:ascii="Arial Narrow" w:hAnsi="Arial Narrow"/>
                <w:sz w:val="20"/>
              </w:rPr>
              <w:t>pilepsy</w:t>
            </w:r>
            <w:r w:rsidRPr="009F4475">
              <w:rPr>
                <w:rFonts w:ascii="Arial Narrow" w:hAnsi="Arial Narrow"/>
                <w:strike/>
                <w:sz w:val="20"/>
              </w:rPr>
              <w:t xml:space="preserve"> with Primary Generalised Tonic-Clonic seizures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Default="002E4AFC" w:rsidP="00470A79">
            <w:pPr>
              <w:keepNext/>
              <w:keepLines/>
              <w:rPr>
                <w:rFonts w:ascii="Arial Narrow" w:hAnsi="Arial Narrow"/>
                <w:b/>
                <w:sz w:val="20"/>
              </w:rPr>
            </w:pPr>
            <w:r w:rsidRPr="00260CE3">
              <w:rPr>
                <w:rFonts w:ascii="Arial Narrow" w:hAnsi="Arial Narrow"/>
                <w:b/>
                <w:sz w:val="20"/>
              </w:rPr>
              <w:t>PBS Indication:</w:t>
            </w:r>
          </w:p>
          <w:p w:rsidR="002E4AFC" w:rsidRDefault="002E4AFC" w:rsidP="00470A79">
            <w:pPr>
              <w:keepNext/>
              <w:keepLines/>
              <w:rPr>
                <w:rFonts w:ascii="Arial Narrow" w:hAnsi="Arial Narrow"/>
                <w:b/>
                <w:sz w:val="20"/>
              </w:rPr>
            </w:pPr>
          </w:p>
          <w:p w:rsidR="002E4AFC" w:rsidRPr="00AE058A" w:rsidRDefault="002E4AFC" w:rsidP="00470A79">
            <w:pPr>
              <w:keepNext/>
              <w:keepLines/>
              <w:rPr>
                <w:rFonts w:ascii="Arial Narrow" w:hAnsi="Arial Narrow"/>
                <w:i/>
                <w:sz w:val="20"/>
              </w:rPr>
            </w:pPr>
            <w:r w:rsidRPr="00AE058A">
              <w:rPr>
                <w:rFonts w:ascii="Arial Narrow" w:hAnsi="Arial Narrow"/>
                <w:i/>
                <w:sz w:val="20"/>
              </w:rPr>
              <w:t>PBS Indication is the combination of the Episodicity, Severity and Condition.</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Pr>
                <w:rFonts w:ascii="Arial Narrow" w:hAnsi="Arial Narrow"/>
                <w:i/>
                <w:sz w:val="20"/>
              </w:rPr>
              <w:t>Idiopathic generalised e</w:t>
            </w:r>
            <w:r w:rsidRPr="00F719B1">
              <w:rPr>
                <w:rFonts w:ascii="Arial Narrow" w:hAnsi="Arial Narrow"/>
                <w:i/>
                <w:sz w:val="20"/>
              </w:rPr>
              <w:t xml:space="preserve">pilepsy with </w:t>
            </w:r>
            <w:r>
              <w:rPr>
                <w:rFonts w:ascii="Arial Narrow" w:hAnsi="Arial Narrow"/>
                <w:i/>
                <w:sz w:val="20"/>
              </w:rPr>
              <w:t>p</w:t>
            </w:r>
            <w:r w:rsidRPr="00F719B1">
              <w:rPr>
                <w:rFonts w:ascii="Arial Narrow" w:hAnsi="Arial Narrow"/>
                <w:i/>
                <w:sz w:val="20"/>
              </w:rPr>
              <w:t xml:space="preserve">rimary </w:t>
            </w:r>
            <w:r>
              <w:rPr>
                <w:rFonts w:ascii="Arial Narrow" w:hAnsi="Arial Narrow"/>
                <w:i/>
                <w:sz w:val="20"/>
              </w:rPr>
              <w:t>g</w:t>
            </w:r>
            <w:r w:rsidRPr="00F719B1">
              <w:rPr>
                <w:rFonts w:ascii="Arial Narrow" w:hAnsi="Arial Narrow"/>
                <w:i/>
                <w:sz w:val="20"/>
              </w:rPr>
              <w:t xml:space="preserve">eneralised </w:t>
            </w:r>
            <w:r>
              <w:rPr>
                <w:rFonts w:ascii="Arial Narrow" w:hAnsi="Arial Narrow"/>
                <w:i/>
                <w:sz w:val="20"/>
              </w:rPr>
              <w:t>t</w:t>
            </w:r>
            <w:r w:rsidRPr="00F719B1">
              <w:rPr>
                <w:rFonts w:ascii="Arial Narrow" w:hAnsi="Arial Narrow"/>
                <w:i/>
                <w:sz w:val="20"/>
              </w:rPr>
              <w:t>onic-</w:t>
            </w:r>
            <w:r>
              <w:rPr>
                <w:rFonts w:ascii="Arial Narrow" w:hAnsi="Arial Narrow"/>
                <w:i/>
                <w:sz w:val="20"/>
              </w:rPr>
              <w:t>c</w:t>
            </w:r>
            <w:r w:rsidRPr="00F719B1">
              <w:rPr>
                <w:rFonts w:ascii="Arial Narrow" w:hAnsi="Arial Narrow"/>
                <w:i/>
                <w:sz w:val="20"/>
              </w:rPr>
              <w:t>lonic seizures</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9F4475" w:rsidRDefault="002E4AFC" w:rsidP="00470A79">
            <w:pPr>
              <w:keepNext/>
              <w:keepLines/>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Pr>
                <w:rFonts w:ascii="Arial Narrow" w:hAnsi="Arial Narrow"/>
                <w:sz w:val="20"/>
              </w:rPr>
              <w:t>Continuing</w:t>
            </w:r>
            <w:r w:rsidRPr="009F4475">
              <w:rPr>
                <w:rFonts w:ascii="Arial Narrow" w:hAnsi="Arial Narrow"/>
                <w:strike/>
                <w:sz w:val="20"/>
              </w:rPr>
              <w:t xml:space="preserve"> therapy</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2E4AFC" w:rsidRDefault="002E4AFC" w:rsidP="00470A79">
            <w:pPr>
              <w:keepNext/>
              <w:keepLines/>
              <w:rPr>
                <w:rFonts w:ascii="Arial Narrow" w:hAnsi="Arial Narrow"/>
                <w:i/>
                <w:sz w:val="20"/>
              </w:rPr>
            </w:pPr>
          </w:p>
          <w:p w:rsidR="002E4AFC" w:rsidRPr="00CD28F3" w:rsidRDefault="002E4AFC" w:rsidP="00470A79">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2E4AFC" w:rsidRPr="00106BCF" w:rsidRDefault="002E4AFC" w:rsidP="00470A79">
            <w:pPr>
              <w:keepNext/>
              <w:keepLines/>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E4AFC" w:rsidRPr="00260CE3" w:rsidRDefault="002E4AFC" w:rsidP="00470A79">
            <w:pPr>
              <w:keepNext/>
              <w:keepLines/>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6" w:name="Check5"/>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bookmarkEnd w:id="6"/>
            <w:r w:rsidRPr="00106BCF">
              <w:rPr>
                <w:rFonts w:ascii="Arial Narrow" w:hAnsi="Arial Narrow"/>
                <w:sz w:val="20"/>
              </w:rPr>
              <w:t>Streamlined</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Treatment criteria:</w:t>
            </w:r>
          </w:p>
          <w:p w:rsidR="002E4AFC" w:rsidRPr="00260CE3" w:rsidRDefault="002E4AFC" w:rsidP="00470A7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9F4475" w:rsidRDefault="002E4AFC" w:rsidP="00470A79">
            <w:pPr>
              <w:keepNext/>
              <w:keepLines/>
              <w:rPr>
                <w:rFonts w:ascii="Arial Narrow" w:hAnsi="Arial Narrow"/>
                <w:strike/>
                <w:sz w:val="20"/>
              </w:rPr>
            </w:pPr>
            <w:r w:rsidRPr="00F719B1">
              <w:rPr>
                <w:rFonts w:ascii="Arial Narrow" w:hAnsi="Arial Narrow"/>
                <w:strike/>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r>
              <w:rPr>
                <w:rFonts w:ascii="Arial Narrow" w:hAnsi="Arial Narrow"/>
                <w:strike/>
                <w:sz w:val="20"/>
              </w:rPr>
              <w:t>.</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Clinical criteria:</w:t>
            </w:r>
          </w:p>
          <w:p w:rsidR="002E4AFC" w:rsidRPr="00260CE3" w:rsidRDefault="002E4AFC" w:rsidP="00470A79">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Pr="00F719B1" w:rsidRDefault="002E4AFC" w:rsidP="00470A79">
            <w:pPr>
              <w:keepNext/>
              <w:keepLines/>
              <w:rPr>
                <w:rFonts w:ascii="Arial Narrow" w:hAnsi="Arial Narrow"/>
                <w:strike/>
                <w:sz w:val="20"/>
              </w:rPr>
            </w:pPr>
            <w:r w:rsidRPr="00F719B1">
              <w:rPr>
                <w:rFonts w:ascii="Arial Narrow" w:hAnsi="Arial Narrow"/>
                <w:sz w:val="20"/>
              </w:rPr>
              <w:t xml:space="preserve">Patient must have previously been </w:t>
            </w:r>
            <w:r w:rsidRPr="00F719B1">
              <w:rPr>
                <w:rFonts w:ascii="Arial Narrow" w:hAnsi="Arial Narrow"/>
                <w:strike/>
                <w:sz w:val="20"/>
              </w:rPr>
              <w:t>treated with PBS-subsidised perampanel.</w:t>
            </w:r>
          </w:p>
          <w:p w:rsidR="002E4AFC" w:rsidRPr="00260CE3" w:rsidRDefault="002E4AFC" w:rsidP="00470A79">
            <w:pPr>
              <w:keepNext/>
              <w:keepLines/>
              <w:rPr>
                <w:rFonts w:ascii="Arial Narrow" w:hAnsi="Arial Narrow"/>
                <w:sz w:val="20"/>
              </w:rPr>
            </w:pPr>
            <w:r w:rsidRPr="00F719B1">
              <w:rPr>
                <w:rFonts w:ascii="Arial Narrow" w:hAnsi="Arial Narrow"/>
                <w:i/>
                <w:sz w:val="20"/>
              </w:rPr>
              <w:t>issued with an authority prescription for this drug</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F719B1" w:rsidRDefault="002E4AFC" w:rsidP="00470A79">
            <w:pPr>
              <w:keepNext/>
              <w:keepLines/>
              <w:rPr>
                <w:rFonts w:ascii="Arial Narrow" w:hAnsi="Arial Narrow"/>
                <w:b/>
                <w:sz w:val="20"/>
              </w:rPr>
            </w:pPr>
            <w:r w:rsidRPr="00260CE3">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sz w:val="20"/>
              </w:rPr>
            </w:pPr>
            <w:r w:rsidRPr="00FE7A24">
              <w:rPr>
                <w:rFonts w:ascii="Arial Narrow" w:hAnsi="Arial Narrow"/>
                <w:sz w:val="20"/>
              </w:rPr>
              <w:t>Patient must be aged 12 years or older.</w:t>
            </w:r>
          </w:p>
        </w:tc>
      </w:tr>
      <w:tr w:rsidR="002E4AFC" w:rsidRPr="00260CE3" w:rsidTr="00470A7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E4AFC" w:rsidRPr="00260CE3" w:rsidRDefault="002E4AFC" w:rsidP="00470A79">
            <w:pPr>
              <w:keepNext/>
              <w:keepLines/>
              <w:rPr>
                <w:rFonts w:ascii="Arial Narrow" w:hAnsi="Arial Narrow"/>
                <w:b/>
                <w:sz w:val="20"/>
              </w:rPr>
            </w:pPr>
            <w:r w:rsidRPr="00260CE3">
              <w:rPr>
                <w:rFonts w:ascii="Arial Narrow" w:hAnsi="Arial Narrow"/>
                <w:b/>
                <w:sz w:val="20"/>
              </w:rPr>
              <w:t>Administrative Advice</w:t>
            </w:r>
          </w:p>
          <w:p w:rsidR="002E4AFC" w:rsidRPr="00260CE3" w:rsidRDefault="002E4AFC" w:rsidP="00470A79">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2E4AFC" w:rsidRDefault="002E4AFC" w:rsidP="00470A79">
            <w:pPr>
              <w:keepNext/>
              <w:keepLines/>
              <w:rPr>
                <w:rFonts w:ascii="Arial Narrow" w:hAnsi="Arial Narrow"/>
                <w:sz w:val="20"/>
              </w:rPr>
            </w:pPr>
            <w:r w:rsidRPr="00FE7A24">
              <w:rPr>
                <w:rFonts w:ascii="Arial Narrow" w:hAnsi="Arial Narrow"/>
                <w:sz w:val="20"/>
              </w:rPr>
              <w:t>No</w:t>
            </w:r>
            <w:r w:rsidRPr="00F719B1">
              <w:rPr>
                <w:rFonts w:ascii="Arial Narrow" w:hAnsi="Arial Narrow"/>
                <w:strike/>
                <w:sz w:val="20"/>
              </w:rPr>
              <w:t xml:space="preserve"> applications for</w:t>
            </w:r>
            <w:r w:rsidRPr="00FE7A24">
              <w:rPr>
                <w:rFonts w:ascii="Arial Narrow" w:hAnsi="Arial Narrow"/>
                <w:sz w:val="20"/>
              </w:rPr>
              <w:t xml:space="preserve"> increase</w:t>
            </w:r>
            <w:r w:rsidRPr="009F4475">
              <w:rPr>
                <w:rFonts w:ascii="Arial Narrow" w:hAnsi="Arial Narrow"/>
                <w:strike/>
                <w:sz w:val="20"/>
              </w:rPr>
              <w:t>d</w:t>
            </w:r>
            <w:r>
              <w:rPr>
                <w:rFonts w:ascii="Arial Narrow" w:hAnsi="Arial Narrow"/>
                <w:sz w:val="20"/>
              </w:rPr>
              <w:t xml:space="preserve"> </w:t>
            </w:r>
            <w:r>
              <w:rPr>
                <w:rFonts w:ascii="Arial Narrow" w:hAnsi="Arial Narrow"/>
                <w:i/>
                <w:sz w:val="20"/>
              </w:rPr>
              <w:t>to the</w:t>
            </w:r>
            <w:r w:rsidRPr="00FE7A24">
              <w:rPr>
                <w:rFonts w:ascii="Arial Narrow" w:hAnsi="Arial Narrow"/>
                <w:sz w:val="20"/>
              </w:rPr>
              <w:t xml:space="preserve"> maximum quantities will be authorised.</w:t>
            </w:r>
          </w:p>
          <w:p w:rsidR="002E4AFC" w:rsidRPr="00260CE3" w:rsidRDefault="002E4AFC" w:rsidP="00470A79">
            <w:pPr>
              <w:keepNext/>
              <w:keepLines/>
              <w:rPr>
                <w:rFonts w:ascii="Arial Narrow" w:hAnsi="Arial Narrow"/>
                <w:sz w:val="20"/>
              </w:rPr>
            </w:pPr>
            <w:r w:rsidRPr="00F719B1">
              <w:rPr>
                <w:rFonts w:ascii="Arial Narrow" w:hAnsi="Arial Narrow"/>
                <w:i/>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r>
              <w:rPr>
                <w:rFonts w:ascii="Arial Narrow" w:hAnsi="Arial Narrow"/>
                <w:i/>
                <w:sz w:val="20"/>
              </w:rPr>
              <w:t>.</w:t>
            </w:r>
          </w:p>
        </w:tc>
      </w:tr>
    </w:tbl>
    <w:p w:rsidR="002E4AFC" w:rsidRDefault="002E4AFC" w:rsidP="001B0F98">
      <w:pPr>
        <w:pStyle w:val="ListParagraph"/>
      </w:pPr>
    </w:p>
    <w:p w:rsidR="002E4AFC" w:rsidRPr="00242572" w:rsidRDefault="002E4AFC" w:rsidP="001B0F98">
      <w:pPr>
        <w:pStyle w:val="ListParagraph"/>
      </w:pPr>
    </w:p>
    <w:p w:rsidR="004F7D32" w:rsidRPr="00242572" w:rsidRDefault="001B0F98" w:rsidP="001125CC">
      <w:pPr>
        <w:pStyle w:val="ListParagraph"/>
        <w:widowControl/>
        <w:numPr>
          <w:ilvl w:val="1"/>
          <w:numId w:val="3"/>
        </w:numPr>
        <w:spacing w:after="120"/>
        <w:contextualSpacing w:val="0"/>
      </w:pPr>
      <w:r w:rsidRPr="001125CC">
        <w:rPr>
          <w:rFonts w:asciiTheme="minorHAnsi" w:hAnsiTheme="minorHAnsi"/>
          <w:sz w:val="24"/>
          <w:szCs w:val="24"/>
        </w:rPr>
        <w:t>The re-submission was based on</w:t>
      </w:r>
      <w:r w:rsidR="001125CC">
        <w:rPr>
          <w:rFonts w:asciiTheme="minorHAnsi" w:hAnsiTheme="minorHAnsi"/>
          <w:sz w:val="24"/>
          <w:szCs w:val="24"/>
        </w:rPr>
        <w:t>:</w:t>
      </w:r>
      <w:r w:rsidRPr="00242572">
        <w:t xml:space="preserve"> </w:t>
      </w:r>
    </w:p>
    <w:p w:rsidR="004F7D32" w:rsidRPr="00242572" w:rsidRDefault="004F7D32" w:rsidP="006441EA">
      <w:pPr>
        <w:pStyle w:val="ListParagraph"/>
        <w:widowControl/>
        <w:numPr>
          <w:ilvl w:val="0"/>
          <w:numId w:val="10"/>
        </w:numPr>
        <w:spacing w:after="120"/>
        <w:ind w:left="1134"/>
        <w:contextualSpacing w:val="0"/>
        <w:rPr>
          <w:rFonts w:asciiTheme="minorHAnsi" w:hAnsiTheme="minorHAnsi"/>
          <w:sz w:val="24"/>
          <w:szCs w:val="24"/>
        </w:rPr>
      </w:pPr>
      <w:r w:rsidRPr="00242572">
        <w:rPr>
          <w:rFonts w:asciiTheme="minorHAnsi" w:hAnsiTheme="minorHAnsi"/>
          <w:sz w:val="24"/>
          <w:szCs w:val="24"/>
        </w:rPr>
        <w:t>A</w:t>
      </w:r>
      <w:r w:rsidR="001B0F98" w:rsidRPr="00242572">
        <w:rPr>
          <w:rFonts w:asciiTheme="minorHAnsi" w:hAnsiTheme="minorHAnsi"/>
          <w:sz w:val="24"/>
          <w:szCs w:val="24"/>
        </w:rPr>
        <w:t xml:space="preserve"> cost-minimisation analysis of perampanel plus standard care compared with other </w:t>
      </w:r>
      <w:r w:rsidR="00073FC3">
        <w:rPr>
          <w:rFonts w:asciiTheme="minorHAnsi" w:hAnsiTheme="minorHAnsi"/>
          <w:sz w:val="24"/>
          <w:szCs w:val="24"/>
        </w:rPr>
        <w:t>anti-epileptic drugs (</w:t>
      </w:r>
      <w:r w:rsidR="001B0F98" w:rsidRPr="00242572">
        <w:rPr>
          <w:rFonts w:asciiTheme="minorHAnsi" w:hAnsiTheme="minorHAnsi"/>
          <w:sz w:val="24"/>
          <w:szCs w:val="24"/>
        </w:rPr>
        <w:t>AEDs</w:t>
      </w:r>
      <w:r w:rsidR="00073FC3">
        <w:rPr>
          <w:rFonts w:asciiTheme="minorHAnsi" w:hAnsiTheme="minorHAnsi"/>
          <w:sz w:val="24"/>
          <w:szCs w:val="24"/>
        </w:rPr>
        <w:t>)</w:t>
      </w:r>
      <w:r w:rsidR="001B0F98" w:rsidRPr="00242572">
        <w:rPr>
          <w:rFonts w:asciiTheme="minorHAnsi" w:hAnsiTheme="minorHAnsi"/>
          <w:sz w:val="24"/>
          <w:szCs w:val="24"/>
        </w:rPr>
        <w:t xml:space="preserve"> (represented by lamotrigine or levetiracetam) plus standard care</w:t>
      </w:r>
      <w:r w:rsidRPr="00242572">
        <w:rPr>
          <w:rFonts w:asciiTheme="minorHAnsi" w:hAnsiTheme="minorHAnsi"/>
          <w:sz w:val="24"/>
          <w:szCs w:val="24"/>
        </w:rPr>
        <w:t>; and</w:t>
      </w:r>
    </w:p>
    <w:p w:rsidR="001B0F98" w:rsidRPr="00242572" w:rsidRDefault="004F7D32" w:rsidP="006441EA">
      <w:pPr>
        <w:pStyle w:val="ListParagraph"/>
        <w:widowControl/>
        <w:numPr>
          <w:ilvl w:val="0"/>
          <w:numId w:val="10"/>
        </w:numPr>
        <w:spacing w:after="120"/>
        <w:ind w:left="1134"/>
        <w:contextualSpacing w:val="0"/>
        <w:rPr>
          <w:rFonts w:asciiTheme="minorHAnsi" w:hAnsiTheme="minorHAnsi"/>
          <w:sz w:val="24"/>
          <w:szCs w:val="24"/>
        </w:rPr>
      </w:pPr>
      <w:r w:rsidRPr="00242572">
        <w:rPr>
          <w:rFonts w:asciiTheme="minorHAnsi" w:hAnsiTheme="minorHAnsi"/>
          <w:sz w:val="24"/>
          <w:szCs w:val="24"/>
        </w:rPr>
        <w:t>A</w:t>
      </w:r>
      <w:r w:rsidR="001B0F98" w:rsidRPr="00242572">
        <w:rPr>
          <w:rFonts w:asciiTheme="minorHAnsi" w:hAnsiTheme="minorHAnsi"/>
          <w:sz w:val="24"/>
          <w:szCs w:val="24"/>
        </w:rPr>
        <w:t xml:space="preserve"> cost-utility analysis of perampanel plus standard care compared with placebo plus standard care. Standard care refers to AEDs that patients currently receive.</w:t>
      </w:r>
    </w:p>
    <w:p w:rsidR="001B0F98" w:rsidRPr="00242572" w:rsidRDefault="001B0F98" w:rsidP="006441EA">
      <w:pPr>
        <w:pStyle w:val="ListParagraph"/>
        <w:widowControl/>
        <w:numPr>
          <w:ilvl w:val="1"/>
          <w:numId w:val="3"/>
        </w:numPr>
        <w:spacing w:after="120"/>
        <w:contextualSpacing w:val="0"/>
        <w:rPr>
          <w:rFonts w:asciiTheme="minorHAnsi" w:hAnsiTheme="minorHAnsi"/>
          <w:sz w:val="24"/>
          <w:szCs w:val="24"/>
        </w:rPr>
      </w:pPr>
      <w:r w:rsidRPr="00242572">
        <w:rPr>
          <w:rFonts w:asciiTheme="minorHAnsi" w:hAnsiTheme="minorHAnsi"/>
          <w:sz w:val="24"/>
          <w:szCs w:val="24"/>
        </w:rPr>
        <w:t>The recommend</w:t>
      </w:r>
      <w:r w:rsidR="00205C15" w:rsidRPr="00242572">
        <w:rPr>
          <w:rFonts w:asciiTheme="minorHAnsi" w:hAnsiTheme="minorHAnsi"/>
          <w:sz w:val="24"/>
          <w:szCs w:val="24"/>
        </w:rPr>
        <w:t>ed</w:t>
      </w:r>
      <w:r w:rsidRPr="00242572">
        <w:rPr>
          <w:rFonts w:asciiTheme="minorHAnsi" w:hAnsiTheme="minorHAnsi"/>
          <w:sz w:val="24"/>
          <w:szCs w:val="24"/>
        </w:rPr>
        <w:t xml:space="preserve"> dose regimen for perampanel for the treatment of PGTC seizures in patients ≥ 12 years old with IGE is an initial dose of 2mg/day, which may be </w:t>
      </w:r>
      <w:r w:rsidRPr="00242572">
        <w:rPr>
          <w:rFonts w:asciiTheme="minorHAnsi" w:hAnsiTheme="minorHAnsi"/>
          <w:sz w:val="24"/>
          <w:szCs w:val="24"/>
        </w:rPr>
        <w:lastRenderedPageBreak/>
        <w:t>increased based on clinical response and tolerability, by increments of 2mg/day, weekly or fortnightly, to a maintenance dose of up to 8mg/day. Depending upon clinical response and tolerability at a dose of 8mg/day, the dose may be increased up to a maximum of 12mg/day. Perampanel tablets are to be taken once daily before bedtime</w:t>
      </w:r>
      <w:r w:rsidR="00205C15" w:rsidRPr="00242572">
        <w:rPr>
          <w:rFonts w:asciiTheme="minorHAnsi" w:hAnsiTheme="minorHAnsi"/>
          <w:sz w:val="24"/>
          <w:szCs w:val="24"/>
        </w:rPr>
        <w:t>.</w:t>
      </w:r>
    </w:p>
    <w:p w:rsidR="001B0F98" w:rsidRPr="00242572" w:rsidRDefault="001B0F98" w:rsidP="006441EA">
      <w:pPr>
        <w:pStyle w:val="ListParagraph"/>
        <w:widowControl/>
        <w:numPr>
          <w:ilvl w:val="1"/>
          <w:numId w:val="3"/>
        </w:numPr>
        <w:spacing w:after="120"/>
        <w:contextualSpacing w:val="0"/>
        <w:rPr>
          <w:rFonts w:asciiTheme="minorHAnsi" w:hAnsiTheme="minorHAnsi"/>
          <w:sz w:val="24"/>
          <w:szCs w:val="24"/>
        </w:rPr>
      </w:pPr>
      <w:r w:rsidRPr="00242572">
        <w:rPr>
          <w:rFonts w:asciiTheme="minorHAnsi" w:hAnsiTheme="minorHAnsi"/>
          <w:sz w:val="24"/>
          <w:szCs w:val="24"/>
        </w:rPr>
        <w:t xml:space="preserve">The re-submission proposed a special pricing arrangement with a confidential price for perampanel </w:t>
      </w:r>
      <w:r w:rsidR="00954494" w:rsidRPr="00242572">
        <w:rPr>
          <w:rFonts w:asciiTheme="minorHAnsi" w:hAnsiTheme="minorHAnsi"/>
          <w:sz w:val="24"/>
          <w:szCs w:val="24"/>
        </w:rPr>
        <w:t>for this indication</w:t>
      </w:r>
      <w:r w:rsidRPr="00242572">
        <w:rPr>
          <w:rFonts w:asciiTheme="minorHAnsi" w:hAnsiTheme="minorHAnsi"/>
          <w:sz w:val="24"/>
          <w:szCs w:val="24"/>
        </w:rPr>
        <w:t>. Based on the weighted pricing analysis across ‘substituted use’ and ‘last line use’ of perampanel</w:t>
      </w:r>
      <w:r w:rsidR="00205C15" w:rsidRPr="00242572">
        <w:rPr>
          <w:rFonts w:asciiTheme="minorHAnsi" w:hAnsiTheme="minorHAnsi"/>
          <w:sz w:val="24"/>
          <w:szCs w:val="24"/>
        </w:rPr>
        <w:t>,</w:t>
      </w:r>
      <w:r w:rsidRPr="00242572">
        <w:rPr>
          <w:rFonts w:asciiTheme="minorHAnsi" w:hAnsiTheme="minorHAnsi"/>
          <w:sz w:val="24"/>
          <w:szCs w:val="24"/>
        </w:rPr>
        <w:t xml:space="preserve"> the Sponsor proposed a confidential dispensed price of $</w:t>
      </w:r>
      <w:r w:rsidR="00247FD4">
        <w:rPr>
          <w:rFonts w:asciiTheme="minorHAnsi" w:hAnsiTheme="minorHAnsi"/>
          <w:noProof/>
          <w:color w:val="000000"/>
          <w:sz w:val="24"/>
          <w:szCs w:val="24"/>
          <w:highlight w:val="black"/>
        </w:rPr>
        <w:t>'''''''''''''</w:t>
      </w:r>
      <w:r w:rsidRPr="00242572">
        <w:rPr>
          <w:rFonts w:asciiTheme="minorHAnsi" w:hAnsiTheme="minorHAnsi"/>
          <w:sz w:val="24"/>
          <w:szCs w:val="24"/>
        </w:rPr>
        <w:t xml:space="preserve"> for the </w:t>
      </w:r>
      <w:r w:rsidR="003F5E5F" w:rsidRPr="00242572">
        <w:rPr>
          <w:rFonts w:asciiTheme="minorHAnsi" w:hAnsiTheme="minorHAnsi"/>
          <w:sz w:val="24"/>
          <w:szCs w:val="24"/>
        </w:rPr>
        <w:t>8mg, 10mg, and 12mg packs (i.e.</w:t>
      </w:r>
      <w:r w:rsidRPr="00242572">
        <w:rPr>
          <w:rFonts w:asciiTheme="minorHAnsi" w:hAnsiTheme="minorHAnsi"/>
          <w:sz w:val="24"/>
          <w:szCs w:val="24"/>
        </w:rPr>
        <w:t xml:space="preserve"> flat pricing as per the current PBS listing).  No special pricing arrangement was proposed for the 2mg, 4mg and 6mg packs</w:t>
      </w:r>
      <w:r w:rsidR="00205C15" w:rsidRPr="00242572">
        <w:rPr>
          <w:rFonts w:asciiTheme="minorHAnsi" w:hAnsiTheme="minorHAnsi"/>
          <w:sz w:val="24"/>
          <w:szCs w:val="24"/>
        </w:rPr>
        <w:t xml:space="preserve">, which </w:t>
      </w:r>
      <w:r w:rsidRPr="00242572">
        <w:rPr>
          <w:rFonts w:asciiTheme="minorHAnsi" w:hAnsiTheme="minorHAnsi"/>
          <w:sz w:val="24"/>
          <w:szCs w:val="24"/>
        </w:rPr>
        <w:t xml:space="preserve">are sub-therapeutic doses intended only for titration in the PGTC seizure indication. </w:t>
      </w:r>
    </w:p>
    <w:p w:rsidR="006378C2" w:rsidRPr="00242572" w:rsidRDefault="001B0F98" w:rsidP="006441EA">
      <w:pPr>
        <w:pStyle w:val="ListParagraph"/>
        <w:widowControl/>
        <w:numPr>
          <w:ilvl w:val="1"/>
          <w:numId w:val="3"/>
        </w:numPr>
        <w:spacing w:after="120"/>
        <w:contextualSpacing w:val="0"/>
        <w:rPr>
          <w:rFonts w:asciiTheme="minorHAnsi" w:hAnsiTheme="minorHAnsi"/>
          <w:sz w:val="24"/>
          <w:szCs w:val="24"/>
        </w:rPr>
      </w:pPr>
      <w:r w:rsidRPr="00242572">
        <w:rPr>
          <w:rFonts w:asciiTheme="minorHAnsi" w:hAnsiTheme="minorHAnsi"/>
          <w:sz w:val="24"/>
          <w:szCs w:val="24"/>
        </w:rPr>
        <w:t xml:space="preserve">Compared to the original submission, the listing for the initial treatment phase proposed in the re-submission has been revised to reduce the number of AEDs that a patient is required to have failed before being eligible for perampanel from at least three to at least two, and reduce the minimum number of AEDs that perampanel must be used in combination with from two to one. </w:t>
      </w:r>
    </w:p>
    <w:p w:rsidR="001B0F98" w:rsidRDefault="00167B0E" w:rsidP="006441EA">
      <w:pPr>
        <w:pStyle w:val="ListParagraph"/>
        <w:widowControl/>
        <w:numPr>
          <w:ilvl w:val="1"/>
          <w:numId w:val="3"/>
        </w:numPr>
        <w:spacing w:after="120"/>
        <w:contextualSpacing w:val="0"/>
        <w:rPr>
          <w:rFonts w:asciiTheme="minorHAnsi" w:hAnsiTheme="minorHAnsi"/>
          <w:sz w:val="24"/>
          <w:szCs w:val="24"/>
        </w:rPr>
      </w:pPr>
      <w:r w:rsidRPr="00242572">
        <w:rPr>
          <w:rFonts w:asciiTheme="minorHAnsi" w:hAnsiTheme="minorHAnsi"/>
          <w:sz w:val="24"/>
          <w:szCs w:val="24"/>
        </w:rPr>
        <w:t xml:space="preserve">The PSCR to the original submission proposed that patients must have failed to be controlled satisfactorily by all available and reimbursed AEDs unless </w:t>
      </w:r>
      <w:r w:rsidR="003F5E5F" w:rsidRPr="00242572">
        <w:rPr>
          <w:rFonts w:asciiTheme="minorHAnsi" w:hAnsiTheme="minorHAnsi"/>
          <w:sz w:val="24"/>
          <w:szCs w:val="24"/>
        </w:rPr>
        <w:t xml:space="preserve">those AEDs are </w:t>
      </w:r>
      <w:r w:rsidRPr="00242572">
        <w:rPr>
          <w:rFonts w:asciiTheme="minorHAnsi" w:hAnsiTheme="minorHAnsi"/>
          <w:sz w:val="24"/>
          <w:szCs w:val="24"/>
        </w:rPr>
        <w:t>contraindicated</w:t>
      </w:r>
      <w:r w:rsidR="003F5E5F" w:rsidRPr="00242572">
        <w:rPr>
          <w:rFonts w:asciiTheme="minorHAnsi" w:hAnsiTheme="minorHAnsi"/>
          <w:sz w:val="24"/>
          <w:szCs w:val="24"/>
        </w:rPr>
        <w:t>, could exacerbate other seizure types,</w:t>
      </w:r>
      <w:r w:rsidRPr="00242572">
        <w:rPr>
          <w:rFonts w:asciiTheme="minorHAnsi" w:hAnsiTheme="minorHAnsi"/>
          <w:sz w:val="24"/>
          <w:szCs w:val="24"/>
        </w:rPr>
        <w:t xml:space="preserve"> </w:t>
      </w:r>
      <w:r w:rsidR="00705B57" w:rsidRPr="00242572">
        <w:rPr>
          <w:rFonts w:asciiTheme="minorHAnsi" w:hAnsiTheme="minorHAnsi"/>
          <w:sz w:val="24"/>
          <w:szCs w:val="24"/>
        </w:rPr>
        <w:t xml:space="preserve">or </w:t>
      </w:r>
      <w:r w:rsidR="003F5E5F" w:rsidRPr="00242572">
        <w:rPr>
          <w:rFonts w:asciiTheme="minorHAnsi" w:hAnsiTheme="minorHAnsi"/>
          <w:sz w:val="24"/>
          <w:szCs w:val="24"/>
        </w:rPr>
        <w:t>could worsen tolerability</w:t>
      </w:r>
      <w:r w:rsidRPr="00242572">
        <w:rPr>
          <w:rFonts w:asciiTheme="minorHAnsi" w:hAnsiTheme="minorHAnsi"/>
          <w:sz w:val="24"/>
          <w:szCs w:val="24"/>
        </w:rPr>
        <w:t>. The revised restriction allows perampanel to be used as an earlier line of treatment</w:t>
      </w:r>
      <w:r w:rsidR="00410BA0">
        <w:rPr>
          <w:rFonts w:asciiTheme="minorHAnsi" w:hAnsiTheme="minorHAnsi"/>
          <w:sz w:val="24"/>
          <w:szCs w:val="24"/>
        </w:rPr>
        <w:t>.</w:t>
      </w:r>
      <w:r w:rsidR="00C35563">
        <w:rPr>
          <w:rFonts w:asciiTheme="minorHAnsi" w:hAnsiTheme="minorHAnsi"/>
          <w:sz w:val="24"/>
          <w:szCs w:val="24"/>
        </w:rPr>
        <w:t xml:space="preserve"> </w:t>
      </w:r>
      <w:r w:rsidR="00410BA0">
        <w:rPr>
          <w:rFonts w:asciiTheme="minorHAnsi" w:hAnsiTheme="minorHAnsi"/>
          <w:sz w:val="24"/>
          <w:szCs w:val="24"/>
        </w:rPr>
        <w:t>T</w:t>
      </w:r>
      <w:r w:rsidR="006E186B">
        <w:rPr>
          <w:rFonts w:asciiTheme="minorHAnsi" w:hAnsiTheme="minorHAnsi"/>
          <w:sz w:val="24"/>
          <w:szCs w:val="24"/>
        </w:rPr>
        <w:t xml:space="preserve">he PBAC noted that </w:t>
      </w:r>
      <w:r w:rsidR="001B0F98" w:rsidRPr="00242572">
        <w:rPr>
          <w:rFonts w:asciiTheme="minorHAnsi" w:hAnsiTheme="minorHAnsi"/>
          <w:sz w:val="24"/>
          <w:szCs w:val="24"/>
        </w:rPr>
        <w:t xml:space="preserve">this is consistent with </w:t>
      </w:r>
      <w:r w:rsidR="006E186B">
        <w:rPr>
          <w:rFonts w:asciiTheme="minorHAnsi" w:hAnsiTheme="minorHAnsi"/>
          <w:sz w:val="24"/>
          <w:szCs w:val="24"/>
        </w:rPr>
        <w:t>its earlier</w:t>
      </w:r>
      <w:r w:rsidR="001B0F98" w:rsidRPr="00242572">
        <w:rPr>
          <w:rFonts w:asciiTheme="minorHAnsi" w:hAnsiTheme="minorHAnsi"/>
          <w:sz w:val="24"/>
          <w:szCs w:val="24"/>
        </w:rPr>
        <w:t xml:space="preserve"> consideration that “the most appropriate place in therapy for perampanel was for it to be an additional option to those currently available for the treatment of refractory patients” (</w:t>
      </w:r>
      <w:r w:rsidR="00705B57" w:rsidRPr="00242572">
        <w:rPr>
          <w:rFonts w:asciiTheme="minorHAnsi" w:hAnsiTheme="minorHAnsi"/>
          <w:sz w:val="24"/>
          <w:szCs w:val="24"/>
        </w:rPr>
        <w:t>P</w:t>
      </w:r>
      <w:r w:rsidR="00F261CD" w:rsidRPr="00242572">
        <w:rPr>
          <w:rFonts w:asciiTheme="minorHAnsi" w:hAnsiTheme="minorHAnsi"/>
          <w:sz w:val="24"/>
          <w:szCs w:val="24"/>
        </w:rPr>
        <w:t>ara</w:t>
      </w:r>
      <w:r w:rsidR="00705B57" w:rsidRPr="00242572">
        <w:rPr>
          <w:rFonts w:asciiTheme="minorHAnsi" w:hAnsiTheme="minorHAnsi"/>
          <w:sz w:val="24"/>
          <w:szCs w:val="24"/>
        </w:rPr>
        <w:t>graph</w:t>
      </w:r>
      <w:r w:rsidR="00F261CD" w:rsidRPr="00242572">
        <w:rPr>
          <w:rFonts w:asciiTheme="minorHAnsi" w:hAnsiTheme="minorHAnsi"/>
          <w:sz w:val="24"/>
          <w:szCs w:val="24"/>
        </w:rPr>
        <w:t xml:space="preserve"> 4.4, Item 6.05</w:t>
      </w:r>
      <w:r w:rsidR="00705B57" w:rsidRPr="00242572">
        <w:rPr>
          <w:rFonts w:asciiTheme="minorHAnsi" w:hAnsiTheme="minorHAnsi"/>
          <w:sz w:val="24"/>
          <w:szCs w:val="24"/>
        </w:rPr>
        <w:t>,</w:t>
      </w:r>
      <w:r w:rsidR="00F261CD" w:rsidRPr="00242572">
        <w:rPr>
          <w:rFonts w:asciiTheme="minorHAnsi" w:hAnsiTheme="minorHAnsi"/>
          <w:sz w:val="24"/>
          <w:szCs w:val="24"/>
        </w:rPr>
        <w:t xml:space="preserve"> </w:t>
      </w:r>
      <w:r w:rsidR="00705B57" w:rsidRPr="00242572">
        <w:rPr>
          <w:rFonts w:asciiTheme="minorHAnsi" w:hAnsiTheme="minorHAnsi"/>
          <w:sz w:val="24"/>
          <w:szCs w:val="24"/>
        </w:rPr>
        <w:t xml:space="preserve">Perampanel </w:t>
      </w:r>
      <w:r w:rsidR="001B0F98" w:rsidRPr="00242572">
        <w:rPr>
          <w:rFonts w:asciiTheme="minorHAnsi" w:hAnsiTheme="minorHAnsi"/>
          <w:sz w:val="24"/>
          <w:szCs w:val="24"/>
        </w:rPr>
        <w:t>PSD, July 2016).</w:t>
      </w:r>
    </w:p>
    <w:p w:rsidR="002E4AFC" w:rsidRPr="00511D49" w:rsidRDefault="002E4AFC" w:rsidP="006441EA">
      <w:pPr>
        <w:pStyle w:val="ListParagraph"/>
        <w:widowControl/>
        <w:numPr>
          <w:ilvl w:val="1"/>
          <w:numId w:val="3"/>
        </w:numPr>
        <w:spacing w:after="120"/>
        <w:contextualSpacing w:val="0"/>
        <w:rPr>
          <w:rFonts w:asciiTheme="minorHAnsi" w:hAnsiTheme="minorHAnsi"/>
          <w:sz w:val="24"/>
          <w:szCs w:val="24"/>
        </w:rPr>
      </w:pPr>
      <w:r w:rsidRPr="00511D49">
        <w:rPr>
          <w:rFonts w:asciiTheme="minorHAnsi" w:hAnsiTheme="minorHAnsi"/>
          <w:sz w:val="24"/>
          <w:szCs w:val="24"/>
        </w:rPr>
        <w:t xml:space="preserve">The ESC noted the </w:t>
      </w:r>
      <w:r w:rsidR="00927951" w:rsidRPr="00511D49">
        <w:rPr>
          <w:rFonts w:asciiTheme="minorHAnsi" w:hAnsiTheme="minorHAnsi"/>
          <w:sz w:val="24"/>
          <w:szCs w:val="24"/>
        </w:rPr>
        <w:t xml:space="preserve">requirement in the </w:t>
      </w:r>
      <w:r w:rsidRPr="00511D49">
        <w:rPr>
          <w:rFonts w:asciiTheme="minorHAnsi" w:hAnsiTheme="minorHAnsi"/>
          <w:sz w:val="24"/>
          <w:szCs w:val="24"/>
        </w:rPr>
        <w:t>proposed restriction</w:t>
      </w:r>
      <w:r w:rsidR="00E1616E" w:rsidRPr="00511D49">
        <w:rPr>
          <w:rFonts w:asciiTheme="minorHAnsi" w:hAnsiTheme="minorHAnsi"/>
          <w:sz w:val="24"/>
          <w:szCs w:val="24"/>
        </w:rPr>
        <w:t xml:space="preserve"> that the condition must have failed to </w:t>
      </w:r>
      <w:r w:rsidRPr="00511D49">
        <w:rPr>
          <w:rFonts w:asciiTheme="minorHAnsi" w:hAnsiTheme="minorHAnsi"/>
          <w:sz w:val="24"/>
          <w:szCs w:val="24"/>
        </w:rPr>
        <w:t xml:space="preserve">be controlled satisfactorily by at least two AEDs was not well justified given 33.7% of Trial 332 participants were treated with </w:t>
      </w:r>
      <w:r w:rsidR="00927951" w:rsidRPr="00511D49">
        <w:rPr>
          <w:rFonts w:asciiTheme="minorHAnsi" w:hAnsiTheme="minorHAnsi"/>
          <w:sz w:val="24"/>
          <w:szCs w:val="24"/>
        </w:rPr>
        <w:t xml:space="preserve">only </w:t>
      </w:r>
      <w:r w:rsidR="00E1616E" w:rsidRPr="00511D49">
        <w:rPr>
          <w:rFonts w:asciiTheme="minorHAnsi" w:hAnsiTheme="minorHAnsi"/>
          <w:sz w:val="24"/>
          <w:szCs w:val="24"/>
        </w:rPr>
        <w:t>one</w:t>
      </w:r>
      <w:r w:rsidRPr="00511D49">
        <w:rPr>
          <w:rFonts w:asciiTheme="minorHAnsi" w:hAnsiTheme="minorHAnsi"/>
          <w:sz w:val="24"/>
          <w:szCs w:val="24"/>
        </w:rPr>
        <w:t xml:space="preserve"> AED at baseline. </w:t>
      </w:r>
    </w:p>
    <w:p w:rsidR="00015532" w:rsidRPr="00511D49" w:rsidRDefault="00015532" w:rsidP="006441EA">
      <w:pPr>
        <w:pStyle w:val="ListParagraph"/>
        <w:widowControl/>
        <w:numPr>
          <w:ilvl w:val="1"/>
          <w:numId w:val="3"/>
        </w:numPr>
        <w:spacing w:after="120"/>
        <w:contextualSpacing w:val="0"/>
        <w:rPr>
          <w:rFonts w:asciiTheme="minorHAnsi" w:hAnsiTheme="minorHAnsi"/>
          <w:sz w:val="24"/>
          <w:szCs w:val="24"/>
        </w:rPr>
      </w:pPr>
      <w:r w:rsidRPr="00511D49">
        <w:rPr>
          <w:rFonts w:asciiTheme="minorHAnsi" w:hAnsiTheme="minorHAnsi"/>
          <w:sz w:val="24"/>
          <w:szCs w:val="24"/>
        </w:rPr>
        <w:t xml:space="preserve">The pre-PBAC Response stated that trial 332 included a heavily pre-treated and refractory population, with </w:t>
      </w:r>
      <w:r w:rsidRPr="00511D49">
        <w:rPr>
          <w:rFonts w:asciiTheme="minorHAnsi" w:hAnsiTheme="minorHAnsi"/>
          <w:sz w:val="24"/>
          <w:szCs w:val="24"/>
          <w:lang w:eastAsia="zh-CN"/>
        </w:rPr>
        <w:t>20% of patients taking three or more AEDs and 46% of patients taking two AEDs at study baseline. It argued that while the number of AEDs ever tried by patients was not col</w:t>
      </w:r>
      <w:r w:rsidR="00CF5DE8" w:rsidRPr="00511D49">
        <w:rPr>
          <w:rFonts w:asciiTheme="minorHAnsi" w:hAnsiTheme="minorHAnsi"/>
          <w:sz w:val="24"/>
          <w:szCs w:val="24"/>
          <w:lang w:eastAsia="zh-CN"/>
        </w:rPr>
        <w:t xml:space="preserve">lected, given </w:t>
      </w:r>
      <w:r w:rsidRPr="00511D49">
        <w:rPr>
          <w:rFonts w:asciiTheme="minorHAnsi" w:hAnsiTheme="minorHAnsi"/>
          <w:sz w:val="24"/>
          <w:szCs w:val="24"/>
          <w:lang w:eastAsia="zh-CN"/>
        </w:rPr>
        <w:t>the median length of time since diagnosis (14 years</w:t>
      </w:r>
      <w:r w:rsidR="00CF5DE8" w:rsidRPr="00511D49">
        <w:rPr>
          <w:rFonts w:asciiTheme="minorHAnsi" w:hAnsiTheme="minorHAnsi"/>
          <w:sz w:val="24"/>
          <w:szCs w:val="24"/>
          <w:lang w:eastAsia="zh-CN"/>
        </w:rPr>
        <w:t>) and</w:t>
      </w:r>
      <w:r w:rsidRPr="00511D49">
        <w:rPr>
          <w:rFonts w:asciiTheme="minorHAnsi" w:hAnsiTheme="minorHAnsi"/>
          <w:sz w:val="24"/>
          <w:szCs w:val="24"/>
          <w:lang w:eastAsia="zh-CN"/>
        </w:rPr>
        <w:t xml:space="preserve"> the inclusion criteria for the trial </w:t>
      </w:r>
      <w:r w:rsidR="00CF5DE8" w:rsidRPr="00511D49">
        <w:rPr>
          <w:rFonts w:asciiTheme="minorHAnsi" w:hAnsiTheme="minorHAnsi"/>
          <w:sz w:val="24"/>
          <w:szCs w:val="24"/>
          <w:lang w:eastAsia="zh-CN"/>
        </w:rPr>
        <w:t>(</w:t>
      </w:r>
      <w:r w:rsidRPr="00511D49">
        <w:rPr>
          <w:rFonts w:asciiTheme="minorHAnsi" w:hAnsiTheme="minorHAnsi"/>
          <w:sz w:val="24"/>
          <w:szCs w:val="24"/>
          <w:lang w:eastAsia="zh-CN"/>
        </w:rPr>
        <w:t>a minimum of 3 seizures in the 8 week period prior</w:t>
      </w:r>
      <w:r w:rsidR="00CF5DE8" w:rsidRPr="00511D49">
        <w:rPr>
          <w:rFonts w:asciiTheme="minorHAnsi" w:hAnsiTheme="minorHAnsi"/>
          <w:sz w:val="24"/>
          <w:szCs w:val="24"/>
          <w:lang w:eastAsia="zh-CN"/>
        </w:rPr>
        <w:t>), it was</w:t>
      </w:r>
      <w:r w:rsidRPr="00511D49">
        <w:rPr>
          <w:rFonts w:asciiTheme="minorHAnsi" w:hAnsiTheme="minorHAnsi"/>
          <w:sz w:val="24"/>
          <w:szCs w:val="24"/>
          <w:lang w:eastAsia="zh-CN"/>
        </w:rPr>
        <w:t xml:space="preserve"> not unreasonable to infer that most, if not all, suitable treatments had </w:t>
      </w:r>
      <w:r w:rsidR="00CF5DE8" w:rsidRPr="00511D49">
        <w:rPr>
          <w:rFonts w:asciiTheme="minorHAnsi" w:hAnsiTheme="minorHAnsi"/>
          <w:sz w:val="24"/>
          <w:szCs w:val="24"/>
          <w:lang w:eastAsia="zh-CN"/>
        </w:rPr>
        <w:t xml:space="preserve">previously </w:t>
      </w:r>
      <w:r w:rsidRPr="00511D49">
        <w:rPr>
          <w:rFonts w:asciiTheme="minorHAnsi" w:hAnsiTheme="minorHAnsi"/>
          <w:sz w:val="24"/>
          <w:szCs w:val="24"/>
          <w:lang w:eastAsia="zh-CN"/>
        </w:rPr>
        <w:t>been tried</w:t>
      </w:r>
      <w:r w:rsidR="00CF5DE8" w:rsidRPr="00511D49">
        <w:rPr>
          <w:rFonts w:asciiTheme="minorHAnsi" w:hAnsiTheme="minorHAnsi"/>
          <w:sz w:val="24"/>
          <w:szCs w:val="24"/>
          <w:lang w:eastAsia="zh-CN"/>
        </w:rPr>
        <w:t xml:space="preserve"> by patients</w:t>
      </w:r>
      <w:r w:rsidRPr="00511D49">
        <w:rPr>
          <w:rFonts w:asciiTheme="minorHAnsi" w:hAnsiTheme="minorHAnsi"/>
          <w:sz w:val="24"/>
          <w:szCs w:val="24"/>
          <w:lang w:eastAsia="zh-CN"/>
        </w:rPr>
        <w:t xml:space="preserve">.  </w:t>
      </w:r>
    </w:p>
    <w:p w:rsidR="00824BC8" w:rsidRPr="002E4AFC" w:rsidRDefault="00824BC8" w:rsidP="00824BC8">
      <w:pPr>
        <w:pStyle w:val="ListParagraph"/>
        <w:widowControl/>
        <w:spacing w:after="120"/>
        <w:contextualSpacing w:val="0"/>
        <w:rPr>
          <w:rFonts w:asciiTheme="minorHAnsi" w:hAnsiTheme="minorHAnsi"/>
          <w:i/>
          <w:sz w:val="24"/>
          <w:szCs w:val="24"/>
        </w:rPr>
      </w:pPr>
      <w:r w:rsidRPr="002312BF">
        <w:rPr>
          <w:rFonts w:asciiTheme="minorHAnsi" w:hAnsiTheme="minorHAnsi"/>
          <w:i/>
          <w:sz w:val="24"/>
          <w:szCs w:val="24"/>
        </w:rPr>
        <w:t>For more detail on PBAC’s view, see section 7 “PBAC outcome.”</w:t>
      </w:r>
    </w:p>
    <w:p w:rsidR="004738B2" w:rsidRDefault="004738B2">
      <w:pPr>
        <w:widowControl/>
        <w:jc w:val="left"/>
        <w:rPr>
          <w:rFonts w:asciiTheme="minorHAnsi" w:hAnsiTheme="minorHAnsi"/>
          <w:b/>
          <w:sz w:val="32"/>
          <w:szCs w:val="22"/>
        </w:rPr>
      </w:pPr>
      <w:bookmarkStart w:id="7" w:name="_Toc482695850"/>
      <w:r>
        <w:br w:type="page"/>
      </w:r>
    </w:p>
    <w:p w:rsidR="001B0F98" w:rsidRDefault="001B0F98" w:rsidP="00824BC8">
      <w:pPr>
        <w:pStyle w:val="PBACheading1"/>
      </w:pPr>
      <w:r w:rsidRPr="00242572">
        <w:t>Background</w:t>
      </w:r>
      <w:bookmarkEnd w:id="7"/>
    </w:p>
    <w:p w:rsidR="00BE6EB3" w:rsidRPr="00242572" w:rsidRDefault="00BE6EB3" w:rsidP="00BE6EB3"/>
    <w:p w:rsidR="001B0F98" w:rsidRPr="00242572" w:rsidRDefault="002173C3" w:rsidP="006441EA">
      <w:pPr>
        <w:pStyle w:val="ListParagraph"/>
        <w:widowControl/>
        <w:numPr>
          <w:ilvl w:val="1"/>
          <w:numId w:val="3"/>
        </w:numPr>
        <w:spacing w:after="120"/>
        <w:contextualSpacing w:val="0"/>
        <w:rPr>
          <w:rFonts w:asciiTheme="minorHAnsi" w:hAnsiTheme="minorHAnsi"/>
          <w:sz w:val="24"/>
        </w:rPr>
      </w:pPr>
      <w:r w:rsidRPr="002E4AFC">
        <w:rPr>
          <w:rFonts w:asciiTheme="minorHAnsi" w:hAnsiTheme="minorHAnsi"/>
          <w:sz w:val="24"/>
        </w:rPr>
        <w:t xml:space="preserve">TGA status: </w:t>
      </w:r>
      <w:r w:rsidR="001B0F98" w:rsidRPr="002E4AFC">
        <w:rPr>
          <w:rFonts w:asciiTheme="minorHAnsi" w:hAnsiTheme="minorHAnsi"/>
          <w:sz w:val="24"/>
        </w:rPr>
        <w:t>Per</w:t>
      </w:r>
      <w:r w:rsidR="001B0F98" w:rsidRPr="00242572">
        <w:rPr>
          <w:rFonts w:asciiTheme="minorHAnsi" w:hAnsiTheme="minorHAnsi"/>
          <w:sz w:val="24"/>
        </w:rPr>
        <w:t>ampanel received approval by the TGA in May 2014 for the indication of:</w:t>
      </w:r>
    </w:p>
    <w:p w:rsidR="001B0F98" w:rsidRPr="00242572" w:rsidRDefault="001B0F98" w:rsidP="001B0F98">
      <w:pPr>
        <w:pStyle w:val="ListParagraph"/>
        <w:widowControl/>
        <w:spacing w:after="120"/>
        <w:contextualSpacing w:val="0"/>
        <w:rPr>
          <w:rFonts w:asciiTheme="minorHAnsi" w:hAnsiTheme="minorHAnsi"/>
          <w:sz w:val="24"/>
        </w:rPr>
      </w:pPr>
      <w:r w:rsidRPr="00242572">
        <w:rPr>
          <w:rFonts w:asciiTheme="minorHAnsi" w:hAnsiTheme="minorHAnsi"/>
          <w:sz w:val="24"/>
        </w:rPr>
        <w:t>"adjunctive treatment of partial-onset seizures with or without secondary generalised seizures in patients with epilepsy aged 12 years and older".</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In May 2016, the TGA indication for perampanel was extended to include:</w:t>
      </w:r>
    </w:p>
    <w:p w:rsidR="001B0F98" w:rsidRPr="00242572" w:rsidRDefault="001B0F98" w:rsidP="001B0F98">
      <w:pPr>
        <w:pStyle w:val="ListParagraph"/>
        <w:widowControl/>
        <w:spacing w:after="120"/>
        <w:contextualSpacing w:val="0"/>
        <w:rPr>
          <w:rFonts w:asciiTheme="minorHAnsi" w:hAnsiTheme="minorHAnsi"/>
          <w:sz w:val="24"/>
        </w:rPr>
      </w:pPr>
      <w:r w:rsidRPr="00242572">
        <w:rPr>
          <w:rFonts w:asciiTheme="minorHAnsi" w:hAnsiTheme="minorHAnsi"/>
          <w:sz w:val="24"/>
        </w:rPr>
        <w:t>“PGTC seizures in adult and adolescent patients from 12 years of age with idiopathic generalised epilepsy.”</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This was the second submission of perampanel to the PBAC for the treatment of </w:t>
      </w:r>
      <w:r w:rsidR="00474A35" w:rsidRPr="00242572">
        <w:rPr>
          <w:rFonts w:asciiTheme="minorHAnsi" w:hAnsiTheme="minorHAnsi"/>
          <w:sz w:val="24"/>
        </w:rPr>
        <w:t>PGTC</w:t>
      </w:r>
      <w:r w:rsidRPr="00242572">
        <w:rPr>
          <w:rFonts w:asciiTheme="minorHAnsi" w:hAnsiTheme="minorHAnsi"/>
          <w:sz w:val="24"/>
        </w:rPr>
        <w:t xml:space="preserve"> seizures in patients with IGE. Perampanel is listed on the PBS for the treatment of partial onset seizures.</w:t>
      </w:r>
    </w:p>
    <w:p w:rsidR="001B0F98" w:rsidRPr="00BE6EB3" w:rsidRDefault="001B0F98" w:rsidP="001B0F98">
      <w:pPr>
        <w:pStyle w:val="ListParagraph"/>
        <w:widowControl/>
        <w:numPr>
          <w:ilvl w:val="1"/>
          <w:numId w:val="3"/>
        </w:numPr>
        <w:spacing w:after="120"/>
        <w:contextualSpacing w:val="0"/>
      </w:pPr>
      <w:r w:rsidRPr="002E4AFC">
        <w:rPr>
          <w:rFonts w:asciiTheme="minorHAnsi" w:hAnsiTheme="minorHAnsi"/>
          <w:sz w:val="24"/>
        </w:rPr>
        <w:t xml:space="preserve">The major outstanding matters of concern from the previous submission are summarised in Table 2 below. </w:t>
      </w:r>
    </w:p>
    <w:p w:rsidR="00BE6EB3" w:rsidRPr="00242572" w:rsidRDefault="00BE6EB3" w:rsidP="00BE6EB3">
      <w:pPr>
        <w:pStyle w:val="ListParagraph"/>
        <w:widowControl/>
        <w:spacing w:after="120"/>
        <w:contextualSpacing w:val="0"/>
      </w:pPr>
    </w:p>
    <w:p w:rsidR="00482F0F" w:rsidRDefault="00482F0F" w:rsidP="00482F0F">
      <w:pPr>
        <w:pStyle w:val="Caption"/>
      </w:pPr>
      <w:r>
        <w:t xml:space="preserve">Table </w:t>
      </w:r>
      <w:fldSimple w:instr=" SEQ Table \* ARABIC ">
        <w:r w:rsidR="000B634D">
          <w:rPr>
            <w:noProof/>
          </w:rPr>
          <w:t>2</w:t>
        </w:r>
      </w:fldSimple>
      <w:r w:rsidRPr="00E00194">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43"/>
        <w:gridCol w:w="4540"/>
      </w:tblGrid>
      <w:tr w:rsidR="001B0F98" w:rsidRPr="00242572" w:rsidTr="00DB2644">
        <w:trPr>
          <w:tblHeader/>
        </w:trPr>
        <w:tc>
          <w:tcPr>
            <w:tcW w:w="2501" w:type="pct"/>
            <w:shd w:val="clear" w:color="auto" w:fill="auto"/>
          </w:tcPr>
          <w:p w:rsidR="001B0F98" w:rsidRPr="00242572" w:rsidRDefault="001B0F98" w:rsidP="001B0F98">
            <w:pPr>
              <w:pStyle w:val="TableText1"/>
              <w:keepNext w:val="0"/>
              <w:widowControl w:val="0"/>
              <w:rPr>
                <w:b/>
              </w:rPr>
            </w:pPr>
            <w:r w:rsidRPr="00242572">
              <w:rPr>
                <w:b/>
              </w:rPr>
              <w:t>Matters of concern</w:t>
            </w:r>
          </w:p>
        </w:tc>
        <w:tc>
          <w:tcPr>
            <w:tcW w:w="2499" w:type="pct"/>
            <w:shd w:val="clear" w:color="auto" w:fill="auto"/>
          </w:tcPr>
          <w:p w:rsidR="001B0F98" w:rsidRPr="00242572" w:rsidRDefault="001B0F98" w:rsidP="001B0F98">
            <w:pPr>
              <w:pStyle w:val="TableText1"/>
              <w:keepNext w:val="0"/>
              <w:widowControl w:val="0"/>
              <w:rPr>
                <w:b/>
              </w:rPr>
            </w:pPr>
            <w:r w:rsidRPr="00242572">
              <w:rPr>
                <w:b/>
              </w:rPr>
              <w:t>How the resubmission addresse</w:t>
            </w:r>
            <w:r w:rsidR="00333A15">
              <w:rPr>
                <w:b/>
              </w:rPr>
              <w:t>d</w:t>
            </w:r>
            <w:r w:rsidRPr="00242572">
              <w:rPr>
                <w:b/>
              </w:rPr>
              <w:t xml:space="preserve"> it</w:t>
            </w:r>
          </w:p>
        </w:tc>
      </w:tr>
      <w:tr w:rsidR="001B0F98" w:rsidRPr="00242572" w:rsidTr="00DB2644">
        <w:tc>
          <w:tcPr>
            <w:tcW w:w="2501" w:type="pct"/>
            <w:shd w:val="clear" w:color="auto" w:fill="auto"/>
          </w:tcPr>
          <w:p w:rsidR="001B0F98" w:rsidRPr="00242572" w:rsidRDefault="001B0F98" w:rsidP="00AF0E6F">
            <w:pPr>
              <w:pStyle w:val="TableText1"/>
              <w:keepNext w:val="0"/>
              <w:widowControl w:val="0"/>
            </w:pPr>
            <w:r w:rsidRPr="00242572">
              <w:t>The submission's analysis of perampanel as a last-line therapy (</w:t>
            </w:r>
            <w:r w:rsidR="00B574F7" w:rsidRPr="00242572">
              <w:t>i.e.</w:t>
            </w:r>
            <w:r w:rsidRPr="00242572">
              <w:t xml:space="preserve"> against placebo) was not an appropriate reflection of its likely place in therapy (as an additional option for refractory patients). The Committee considered that a comparison with other treatments currently available for treatment </w:t>
            </w:r>
            <w:r w:rsidR="00AF0E6F" w:rsidRPr="00242572">
              <w:t xml:space="preserve">of </w:t>
            </w:r>
            <w:r w:rsidRPr="00242572">
              <w:t xml:space="preserve">refractory patients would be more appropriate. These treatments would include valproate, lamotrigine, levetiracetam, </w:t>
            </w:r>
            <w:r w:rsidR="00AF0E6F" w:rsidRPr="00242572">
              <w:t>and topiramate</w:t>
            </w:r>
            <w:r w:rsidRPr="00242572">
              <w:t xml:space="preserve"> (</w:t>
            </w:r>
            <w:r w:rsidR="00AF0E6F" w:rsidRPr="00242572">
              <w:t>P</w:t>
            </w:r>
            <w:r w:rsidR="00474A35" w:rsidRPr="00242572">
              <w:t>aragraph</w:t>
            </w:r>
            <w:r w:rsidR="00AF0E6F" w:rsidRPr="00242572">
              <w:t>s</w:t>
            </w:r>
            <w:r w:rsidR="00474A35" w:rsidRPr="00242572">
              <w:t xml:space="preserve"> </w:t>
            </w:r>
            <w:r w:rsidRPr="00242572">
              <w:t xml:space="preserve">7.1 </w:t>
            </w:r>
            <w:r w:rsidR="00AF0E6F" w:rsidRPr="00242572">
              <w:t>and</w:t>
            </w:r>
            <w:r w:rsidRPr="00242572">
              <w:t xml:space="preserve"> 7.3, </w:t>
            </w:r>
            <w:r w:rsidR="00474A35" w:rsidRPr="00242572">
              <w:t xml:space="preserve">Item </w:t>
            </w:r>
            <w:r w:rsidRPr="00242572">
              <w:t>6.05</w:t>
            </w:r>
            <w:r w:rsidR="00AF0E6F" w:rsidRPr="00242572">
              <w:t>,</w:t>
            </w:r>
            <w:r w:rsidRPr="00242572">
              <w:t xml:space="preserve"> </w:t>
            </w:r>
            <w:r w:rsidR="00AF0E6F" w:rsidRPr="00242572">
              <w:t>P</w:t>
            </w:r>
            <w:r w:rsidRPr="00242572">
              <w:t>erampanel PSD, July 2016)</w:t>
            </w:r>
            <w:r w:rsidR="00AF0E6F" w:rsidRPr="00242572">
              <w:t>.</w:t>
            </w:r>
          </w:p>
        </w:tc>
        <w:tc>
          <w:tcPr>
            <w:tcW w:w="2499" w:type="pct"/>
            <w:shd w:val="clear" w:color="auto" w:fill="auto"/>
          </w:tcPr>
          <w:p w:rsidR="001B0F98" w:rsidRPr="00242572" w:rsidRDefault="001B0F98" w:rsidP="001B0F98">
            <w:pPr>
              <w:pStyle w:val="TableText1"/>
              <w:keepNext w:val="0"/>
              <w:widowControl w:val="0"/>
            </w:pPr>
            <w:r w:rsidRPr="00242572">
              <w:t xml:space="preserve">The re-submission proposed two distinct clinical places of therapy </w:t>
            </w:r>
          </w:p>
          <w:p w:rsidR="001B0F98" w:rsidRPr="00242572" w:rsidRDefault="001B0F98" w:rsidP="001B0F98">
            <w:pPr>
              <w:pStyle w:val="TableText1"/>
              <w:keepNext w:val="0"/>
              <w:widowControl w:val="0"/>
              <w:tabs>
                <w:tab w:val="left" w:pos="419"/>
              </w:tabs>
            </w:pPr>
            <w:r w:rsidRPr="00242572">
              <w:t>(1)</w:t>
            </w:r>
            <w:r w:rsidRPr="00242572">
              <w:tab/>
              <w:t>Perampanel (plus standard care) as a last option add-on to the current regimen for patients who are refractory to or have exhausted all currently available treatments (e</w:t>
            </w:r>
            <w:r w:rsidR="00AF0E6F" w:rsidRPr="00242572">
              <w:t>.</w:t>
            </w:r>
            <w:r w:rsidRPr="00242572">
              <w:t>g</w:t>
            </w:r>
            <w:r w:rsidR="00AF0E6F" w:rsidRPr="00242572">
              <w:t>.</w:t>
            </w:r>
            <w:r w:rsidRPr="00242572">
              <w:t xml:space="preserve"> last-line use – the same as the July 2016 submission). Supported by a cost-utility analysis, and</w:t>
            </w:r>
          </w:p>
          <w:p w:rsidR="001B0F98" w:rsidRPr="00242572" w:rsidRDefault="001B0F98" w:rsidP="001B0F98">
            <w:pPr>
              <w:pStyle w:val="TableText1"/>
              <w:keepNext w:val="0"/>
              <w:widowControl w:val="0"/>
              <w:tabs>
                <w:tab w:val="left" w:pos="419"/>
              </w:tabs>
            </w:pPr>
            <w:r w:rsidRPr="00242572">
              <w:t>(2)</w:t>
            </w:r>
            <w:r w:rsidRPr="00242572">
              <w:tab/>
              <w:t xml:space="preserve">Perampanel (plus standard care) as an additional option to those currently available for the treatment of refractory patients. This was supported by indirect comparisons of perampanel with lamotrigine </w:t>
            </w:r>
            <w:r w:rsidR="00474A35" w:rsidRPr="00242572">
              <w:t xml:space="preserve">or </w:t>
            </w:r>
            <w:r w:rsidRPr="00242572">
              <w:t xml:space="preserve">levetiracetam, and a cost-minimisation analysis of perampanel versus levetiracetam, lamotrigine, topiramate and valproate. </w:t>
            </w:r>
          </w:p>
          <w:p w:rsidR="001B0F98" w:rsidRPr="00242572" w:rsidRDefault="001B0F98" w:rsidP="002E4AFC">
            <w:pPr>
              <w:pStyle w:val="TableText1"/>
              <w:keepNext w:val="0"/>
              <w:widowControl w:val="0"/>
            </w:pPr>
            <w:r w:rsidRPr="00242572">
              <w:t xml:space="preserve">The results of these analyses were then used to calculate a weighted ex-manufacturer price of 8mg of perampanel. The proportion of expected use of perampanel as a substituted drug (perampanel </w:t>
            </w:r>
            <w:r w:rsidR="00B574F7" w:rsidRPr="00242572">
              <w:t>vs.</w:t>
            </w:r>
            <w:r w:rsidRPr="00242572">
              <w:t xml:space="preserve"> other AEDs), and as a last-line therapy (perampanel </w:t>
            </w:r>
            <w:r w:rsidR="00B574F7" w:rsidRPr="00242572">
              <w:t>vs.</w:t>
            </w:r>
            <w:r w:rsidRPr="00242572">
              <w:t xml:space="preserve"> placebo) were obtained from a survey of epileptologists conducted by the re-submission, and used to weight the proposed price of perampanel.</w:t>
            </w:r>
          </w:p>
        </w:tc>
      </w:tr>
      <w:tr w:rsidR="001B0F98" w:rsidRPr="00242572" w:rsidTr="00DB2644">
        <w:tc>
          <w:tcPr>
            <w:tcW w:w="2501" w:type="pct"/>
            <w:shd w:val="clear" w:color="auto" w:fill="auto"/>
          </w:tcPr>
          <w:p w:rsidR="001B0F98" w:rsidRPr="00242572" w:rsidRDefault="001B0F98" w:rsidP="009A2FE3">
            <w:pPr>
              <w:pStyle w:val="TableText1"/>
              <w:keepNext w:val="0"/>
              <w:widowControl w:val="0"/>
            </w:pPr>
            <w:r w:rsidRPr="00242572">
              <w:t>The PBAC reflected that the clinical trials provided in the major submission did not match the requested PBS population and that patients in these trials were unlikely to be ‘refractory’. (</w:t>
            </w:r>
            <w:r w:rsidR="00474A35" w:rsidRPr="00242572">
              <w:t>Paragraph</w:t>
            </w:r>
            <w:r w:rsidR="009A2FE3" w:rsidRPr="00242572">
              <w:t xml:space="preserve"> 7.1 &amp;</w:t>
            </w:r>
            <w:r w:rsidR="00F261CD" w:rsidRPr="00242572">
              <w:t xml:space="preserve"> </w:t>
            </w:r>
            <w:r w:rsidRPr="00242572">
              <w:t>7.</w:t>
            </w:r>
            <w:r w:rsidR="00A44944" w:rsidRPr="00242572">
              <w:t>4</w:t>
            </w:r>
            <w:r w:rsidRPr="00242572">
              <w:t xml:space="preserve">, </w:t>
            </w:r>
            <w:r w:rsidR="00474A35" w:rsidRPr="00242572">
              <w:t>Item</w:t>
            </w:r>
            <w:r w:rsidRPr="00242572">
              <w:t xml:space="preserve"> 6.05 perampanel PSD, July 2016 Meeting).</w:t>
            </w:r>
          </w:p>
        </w:tc>
        <w:tc>
          <w:tcPr>
            <w:tcW w:w="2499" w:type="pct"/>
            <w:shd w:val="clear" w:color="auto" w:fill="auto"/>
          </w:tcPr>
          <w:p w:rsidR="001B0F98" w:rsidRPr="00242572" w:rsidRDefault="00AF0E6F" w:rsidP="001B0F98">
            <w:pPr>
              <w:pStyle w:val="TableText1"/>
              <w:keepNext w:val="0"/>
              <w:widowControl w:val="0"/>
            </w:pPr>
            <w:r w:rsidRPr="00242572">
              <w:t>T</w:t>
            </w:r>
            <w:r w:rsidR="001B0F98" w:rsidRPr="00242572">
              <w:t>he listing for the initial treatment phase has been revised to:</w:t>
            </w:r>
          </w:p>
          <w:p w:rsidR="001B0F98" w:rsidRPr="00242572" w:rsidRDefault="001B0F98" w:rsidP="001B0F98">
            <w:pPr>
              <w:pStyle w:val="TableText1"/>
              <w:keepNext w:val="0"/>
              <w:widowControl w:val="0"/>
              <w:numPr>
                <w:ilvl w:val="0"/>
                <w:numId w:val="1"/>
              </w:numPr>
              <w:tabs>
                <w:tab w:val="left" w:pos="419"/>
              </w:tabs>
              <w:ind w:left="419" w:hanging="426"/>
            </w:pPr>
            <w:r w:rsidRPr="00242572">
              <w:t>Reduce the number of AEDs that a patient is required to have failed before being eligible for perampanel from at least three to at least two; and</w:t>
            </w:r>
          </w:p>
          <w:p w:rsidR="001B0F98" w:rsidRPr="00242572" w:rsidRDefault="001B0F98" w:rsidP="001B0F98">
            <w:pPr>
              <w:pStyle w:val="TableText1"/>
              <w:keepNext w:val="0"/>
              <w:widowControl w:val="0"/>
              <w:numPr>
                <w:ilvl w:val="0"/>
                <w:numId w:val="1"/>
              </w:numPr>
              <w:tabs>
                <w:tab w:val="left" w:pos="419"/>
              </w:tabs>
              <w:ind w:left="419" w:hanging="426"/>
            </w:pPr>
            <w:r w:rsidRPr="00242572">
              <w:t>Reduce the minimum number of AEDs that perampanel must be used in combination with from two to one.</w:t>
            </w:r>
          </w:p>
          <w:p w:rsidR="001B0F98" w:rsidRPr="00242572" w:rsidRDefault="00EC7F81" w:rsidP="00EC7F81">
            <w:pPr>
              <w:pStyle w:val="TableText1"/>
              <w:keepNext w:val="0"/>
              <w:widowControl w:val="0"/>
              <w:tabs>
                <w:tab w:val="left" w:pos="419"/>
              </w:tabs>
              <w:ind w:left="-7"/>
            </w:pPr>
            <w:r w:rsidRPr="00242572">
              <w:t>However, t</w:t>
            </w:r>
            <w:r w:rsidR="00A44944" w:rsidRPr="00242572">
              <w:t xml:space="preserve">he re-submission </w:t>
            </w:r>
            <w:r w:rsidRPr="00242572">
              <w:t>maintained</w:t>
            </w:r>
            <w:r w:rsidR="00A44944" w:rsidRPr="00242572">
              <w:t xml:space="preserve"> its request for last line treatment</w:t>
            </w:r>
            <w:r w:rsidR="00DB4C89" w:rsidRPr="00242572">
              <w:t xml:space="preserve"> of </w:t>
            </w:r>
            <w:r w:rsidR="00463A27" w:rsidRPr="00242572">
              <w:t>perampanel</w:t>
            </w:r>
            <w:r w:rsidR="00A44944" w:rsidRPr="00242572">
              <w:t xml:space="preserve">, using the same </w:t>
            </w:r>
            <w:r w:rsidRPr="00242572">
              <w:t>T</w:t>
            </w:r>
            <w:r w:rsidR="00A44944" w:rsidRPr="00242572">
              <w:t>rial 332 as the key clinical evidence</w:t>
            </w:r>
            <w:r w:rsidR="00DB4C89" w:rsidRPr="00242572">
              <w:t xml:space="preserve"> in comparison with placebo</w:t>
            </w:r>
            <w:r w:rsidR="00A44944" w:rsidRPr="00242572">
              <w:t xml:space="preserve">, in addition to requesting perampanel as an earlier line of therapy, again using the same evidence of </w:t>
            </w:r>
            <w:r w:rsidRPr="00242572">
              <w:t>T</w:t>
            </w:r>
            <w:r w:rsidR="00A44944" w:rsidRPr="00242572">
              <w:t>rial 332 in the indirect comparison with other AEDs</w:t>
            </w:r>
            <w:r w:rsidRPr="00242572">
              <w:t>.</w:t>
            </w:r>
          </w:p>
        </w:tc>
      </w:tr>
      <w:tr w:rsidR="001B0F98" w:rsidRPr="00242572" w:rsidTr="00DB2644">
        <w:tc>
          <w:tcPr>
            <w:tcW w:w="2501" w:type="pct"/>
            <w:shd w:val="clear" w:color="auto" w:fill="auto"/>
          </w:tcPr>
          <w:p w:rsidR="001B0F98" w:rsidRPr="00242572" w:rsidRDefault="001B0F98" w:rsidP="00190E75">
            <w:pPr>
              <w:pStyle w:val="TableText1"/>
              <w:keepNext w:val="0"/>
              <w:widowControl w:val="0"/>
            </w:pPr>
            <w:r w:rsidRPr="00242572">
              <w:t>The PBAC considered, although the claim of superior comparative effectiveness was supported in the trial population in terms of number of seizures, it was not adequately supported in the requested PBS population and it was not supported in terms of improvement in quality of life. (</w:t>
            </w:r>
            <w:r w:rsidR="00F261CD" w:rsidRPr="00242572">
              <w:t xml:space="preserve">Paragraph </w:t>
            </w:r>
            <w:r w:rsidRPr="00242572">
              <w:t>7.5,</w:t>
            </w:r>
            <w:r w:rsidR="00F261CD" w:rsidRPr="00242572">
              <w:t xml:space="preserve"> Item</w:t>
            </w:r>
            <w:r w:rsidRPr="00242572">
              <w:t xml:space="preserve"> 6.05</w:t>
            </w:r>
            <w:r w:rsidR="00EC7F81" w:rsidRPr="00242572">
              <w:t>,</w:t>
            </w:r>
            <w:r w:rsidRPr="00242572">
              <w:t xml:space="preserve"> perampanel PSD, July 2016).</w:t>
            </w:r>
          </w:p>
        </w:tc>
        <w:tc>
          <w:tcPr>
            <w:tcW w:w="2499" w:type="pct"/>
            <w:shd w:val="clear" w:color="auto" w:fill="auto"/>
          </w:tcPr>
          <w:p w:rsidR="001B0F98" w:rsidRPr="00242572" w:rsidRDefault="00DB4C89" w:rsidP="00EC7F81">
            <w:pPr>
              <w:pStyle w:val="TableText1"/>
              <w:keepNext w:val="0"/>
              <w:widowControl w:val="0"/>
            </w:pPr>
            <w:r w:rsidRPr="00242572">
              <w:t>Th</w:t>
            </w:r>
            <w:r w:rsidR="00EC7F81" w:rsidRPr="00242572">
              <w:t>is</w:t>
            </w:r>
            <w:r w:rsidRPr="00242572">
              <w:t xml:space="preserve"> issue remain</w:t>
            </w:r>
            <w:r w:rsidR="00EC7F81" w:rsidRPr="00242572">
              <w:t>s</w:t>
            </w:r>
            <w:r w:rsidRPr="00242572">
              <w:t xml:space="preserve"> for the comparison of perampanel with placebo.</w:t>
            </w:r>
          </w:p>
        </w:tc>
      </w:tr>
      <w:tr w:rsidR="001B0F98" w:rsidRPr="00242572" w:rsidTr="00DB2644">
        <w:tc>
          <w:tcPr>
            <w:tcW w:w="2501" w:type="pct"/>
            <w:shd w:val="clear" w:color="auto" w:fill="auto"/>
          </w:tcPr>
          <w:p w:rsidR="001B0F98" w:rsidRPr="00242572" w:rsidRDefault="001B0F98" w:rsidP="001B0F98">
            <w:pPr>
              <w:pStyle w:val="BodyText"/>
              <w:rPr>
                <w:rFonts w:ascii="Arial Narrow" w:hAnsi="Arial Narrow"/>
                <w:sz w:val="20"/>
              </w:rPr>
            </w:pPr>
            <w:r w:rsidRPr="00242572">
              <w:rPr>
                <w:rFonts w:ascii="Arial Narrow" w:hAnsi="Arial Narrow"/>
                <w:sz w:val="20"/>
              </w:rPr>
              <w:t>Notwithstanding the issues with the appropriateness of the presentation of a cost-utility analysis against placebo, the PBAC noted a number of issues raised with the economic analysis presented. These included issues with:</w:t>
            </w:r>
          </w:p>
          <w:p w:rsidR="001B0F98" w:rsidRPr="00242572" w:rsidRDefault="001B0F98" w:rsidP="006441EA">
            <w:pPr>
              <w:pStyle w:val="BodyText"/>
              <w:numPr>
                <w:ilvl w:val="0"/>
                <w:numId w:val="9"/>
              </w:numPr>
              <w:tabs>
                <w:tab w:val="left" w:pos="426"/>
              </w:tabs>
              <w:ind w:left="426"/>
              <w:jc w:val="both"/>
              <w:rPr>
                <w:rFonts w:ascii="Arial Narrow" w:hAnsi="Arial Narrow"/>
                <w:sz w:val="20"/>
              </w:rPr>
            </w:pPr>
            <w:r w:rsidRPr="00242572">
              <w:rPr>
                <w:rFonts w:ascii="Arial Narrow" w:hAnsi="Arial Narrow"/>
                <w:sz w:val="20"/>
              </w:rPr>
              <w:t>The structure of the model</w:t>
            </w:r>
          </w:p>
          <w:p w:rsidR="001B0F98" w:rsidRPr="00242572" w:rsidRDefault="001B0F98" w:rsidP="006441EA">
            <w:pPr>
              <w:pStyle w:val="BodyText"/>
              <w:numPr>
                <w:ilvl w:val="0"/>
                <w:numId w:val="9"/>
              </w:numPr>
              <w:tabs>
                <w:tab w:val="left" w:pos="426"/>
              </w:tabs>
              <w:ind w:left="426"/>
              <w:jc w:val="both"/>
              <w:rPr>
                <w:rFonts w:ascii="Arial Narrow" w:hAnsi="Arial Narrow"/>
                <w:sz w:val="20"/>
              </w:rPr>
            </w:pPr>
            <w:r w:rsidRPr="00242572">
              <w:rPr>
                <w:rFonts w:ascii="Arial Narrow" w:hAnsi="Arial Narrow"/>
                <w:sz w:val="20"/>
              </w:rPr>
              <w:t>The treatment effect of perampanel applied in the model</w:t>
            </w:r>
          </w:p>
          <w:p w:rsidR="001B0F98" w:rsidRPr="00242572" w:rsidRDefault="001B0F98" w:rsidP="006441EA">
            <w:pPr>
              <w:pStyle w:val="BodyText"/>
              <w:numPr>
                <w:ilvl w:val="0"/>
                <w:numId w:val="9"/>
              </w:numPr>
              <w:tabs>
                <w:tab w:val="left" w:pos="426"/>
              </w:tabs>
              <w:ind w:left="426"/>
              <w:jc w:val="both"/>
              <w:rPr>
                <w:rFonts w:ascii="Arial Narrow" w:hAnsi="Arial Narrow"/>
                <w:sz w:val="20"/>
              </w:rPr>
            </w:pPr>
            <w:r w:rsidRPr="00242572">
              <w:rPr>
                <w:rFonts w:ascii="Arial Narrow" w:hAnsi="Arial Narrow"/>
                <w:sz w:val="20"/>
              </w:rPr>
              <w:t>The extrapolation of the treatment effect observed in the study</w:t>
            </w:r>
          </w:p>
          <w:p w:rsidR="001B0F98" w:rsidRPr="00242572" w:rsidRDefault="001B0F98" w:rsidP="006441EA">
            <w:pPr>
              <w:pStyle w:val="BodyText"/>
              <w:numPr>
                <w:ilvl w:val="0"/>
                <w:numId w:val="9"/>
              </w:numPr>
              <w:tabs>
                <w:tab w:val="left" w:pos="426"/>
              </w:tabs>
              <w:ind w:left="426"/>
              <w:jc w:val="both"/>
              <w:rPr>
                <w:rFonts w:ascii="Arial Narrow" w:hAnsi="Arial Narrow"/>
                <w:sz w:val="20"/>
              </w:rPr>
            </w:pPr>
            <w:r w:rsidRPr="00242572">
              <w:rPr>
                <w:rFonts w:ascii="Arial Narrow" w:hAnsi="Arial Narrow"/>
                <w:sz w:val="20"/>
              </w:rPr>
              <w:t>The mortality risk applied in the model</w:t>
            </w:r>
          </w:p>
          <w:p w:rsidR="001B0F98" w:rsidRPr="00242572" w:rsidRDefault="001B0F98" w:rsidP="006441EA">
            <w:pPr>
              <w:pStyle w:val="TableText1"/>
              <w:keepNext w:val="0"/>
              <w:widowControl w:val="0"/>
              <w:numPr>
                <w:ilvl w:val="0"/>
                <w:numId w:val="9"/>
              </w:numPr>
              <w:tabs>
                <w:tab w:val="left" w:pos="426"/>
              </w:tabs>
              <w:ind w:left="426"/>
            </w:pPr>
            <w:r w:rsidRPr="00242572">
              <w:t>The validity of the health state utilities applied in the model</w:t>
            </w:r>
          </w:p>
          <w:p w:rsidR="001B0F98" w:rsidRPr="00242572" w:rsidRDefault="001B0F98" w:rsidP="001B0F98">
            <w:pPr>
              <w:pStyle w:val="TableText1"/>
              <w:keepNext w:val="0"/>
              <w:widowControl w:val="0"/>
            </w:pPr>
            <w:r w:rsidRPr="00242572">
              <w:t>(</w:t>
            </w:r>
            <w:r w:rsidR="00DB4C89" w:rsidRPr="00242572">
              <w:t xml:space="preserve">Paragraph </w:t>
            </w:r>
            <w:r w:rsidRPr="00242572">
              <w:t xml:space="preserve">7.8, </w:t>
            </w:r>
            <w:r w:rsidR="00DB4C89" w:rsidRPr="00242572">
              <w:t xml:space="preserve">Item </w:t>
            </w:r>
            <w:r w:rsidRPr="00242572">
              <w:t>6.05 perampanel PSD, July 2016 Meeting).</w:t>
            </w:r>
          </w:p>
        </w:tc>
        <w:tc>
          <w:tcPr>
            <w:tcW w:w="2499" w:type="pct"/>
            <w:shd w:val="clear" w:color="auto" w:fill="auto"/>
          </w:tcPr>
          <w:p w:rsidR="001B0F98" w:rsidRPr="00242572" w:rsidRDefault="009E1C88" w:rsidP="002E4AFC">
            <w:pPr>
              <w:pStyle w:val="BodyText"/>
              <w:jc w:val="both"/>
            </w:pPr>
            <w:r w:rsidRPr="00242572">
              <w:rPr>
                <w:rFonts w:ascii="Arial Narrow" w:hAnsi="Arial Narrow"/>
                <w:sz w:val="20"/>
              </w:rPr>
              <w:t>Although the re-submission updated a few input variables and corrected the error identifie</w:t>
            </w:r>
            <w:r w:rsidR="00FC7DB9" w:rsidRPr="00242572">
              <w:rPr>
                <w:rFonts w:ascii="Arial Narrow" w:hAnsi="Arial Narrow"/>
                <w:sz w:val="20"/>
              </w:rPr>
              <w:t>d with the previous submission</w:t>
            </w:r>
            <w:r w:rsidR="00394A12" w:rsidRPr="00242572">
              <w:rPr>
                <w:rFonts w:ascii="Arial Narrow" w:hAnsi="Arial Narrow"/>
                <w:sz w:val="20"/>
              </w:rPr>
              <w:t xml:space="preserve">, the key concerns relating to the economic model remain outstanding and have not been addressed in the re-submission. </w:t>
            </w:r>
          </w:p>
        </w:tc>
      </w:tr>
    </w:tbl>
    <w:p w:rsidR="001B0F98" w:rsidRDefault="001B0F98" w:rsidP="001B0F98">
      <w:pPr>
        <w:pStyle w:val="BodyText"/>
        <w:rPr>
          <w:rFonts w:ascii="Arial Narrow" w:hAnsi="Arial Narrow"/>
          <w:sz w:val="18"/>
          <w:szCs w:val="18"/>
        </w:rPr>
      </w:pPr>
      <w:bookmarkStart w:id="8" w:name="_Toc476306884"/>
      <w:r w:rsidRPr="00242572">
        <w:rPr>
          <w:rFonts w:ascii="Arial Narrow" w:hAnsi="Arial Narrow"/>
          <w:sz w:val="18"/>
          <w:szCs w:val="18"/>
        </w:rPr>
        <w:t>AED = anti-epileptic drug; QoL = quality of life; PGTC = primary generalised tonic-clonic</w:t>
      </w:r>
    </w:p>
    <w:p w:rsidR="00824BC8" w:rsidRDefault="00824BC8" w:rsidP="001B0F98">
      <w:pPr>
        <w:pStyle w:val="BodyText"/>
        <w:rPr>
          <w:rFonts w:ascii="Arial Narrow" w:hAnsi="Arial Narrow"/>
          <w:sz w:val="18"/>
          <w:szCs w:val="18"/>
        </w:rPr>
      </w:pPr>
    </w:p>
    <w:p w:rsidR="00824BC8" w:rsidRDefault="00824BC8" w:rsidP="00824BC8">
      <w:pPr>
        <w:pStyle w:val="BodyText"/>
        <w:ind w:firstLine="709"/>
        <w:rPr>
          <w:rFonts w:asciiTheme="minorHAnsi" w:hAnsiTheme="minorHAnsi"/>
          <w:i/>
          <w:sz w:val="24"/>
          <w:szCs w:val="24"/>
        </w:rPr>
      </w:pPr>
      <w:r w:rsidRPr="008323B2">
        <w:rPr>
          <w:rFonts w:asciiTheme="minorHAnsi" w:hAnsiTheme="minorHAnsi"/>
          <w:i/>
          <w:sz w:val="24"/>
          <w:szCs w:val="24"/>
        </w:rPr>
        <w:t>For more detail on PBAC’s view, see section 7 “PBAC outcome.”</w:t>
      </w:r>
    </w:p>
    <w:p w:rsidR="00333A15" w:rsidRDefault="00333A15" w:rsidP="00824BC8">
      <w:pPr>
        <w:pStyle w:val="BodyText"/>
        <w:ind w:firstLine="709"/>
        <w:rPr>
          <w:rFonts w:asciiTheme="minorHAnsi" w:hAnsiTheme="minorHAnsi"/>
          <w:sz w:val="20"/>
        </w:rPr>
      </w:pPr>
    </w:p>
    <w:p w:rsidR="003D041A" w:rsidRPr="003D041A" w:rsidRDefault="003D041A" w:rsidP="00824BC8">
      <w:pPr>
        <w:pStyle w:val="BodyText"/>
        <w:ind w:firstLine="709"/>
        <w:rPr>
          <w:rFonts w:asciiTheme="minorHAnsi" w:hAnsiTheme="minorHAnsi"/>
          <w:sz w:val="20"/>
        </w:rPr>
      </w:pPr>
    </w:p>
    <w:p w:rsidR="001B0F98" w:rsidRDefault="001B0F98" w:rsidP="00BE6EB3">
      <w:pPr>
        <w:pStyle w:val="PBACheading1"/>
      </w:pPr>
      <w:bookmarkStart w:id="9" w:name="_Toc482695851"/>
      <w:bookmarkStart w:id="10" w:name="_Toc413139275"/>
      <w:bookmarkStart w:id="11" w:name="_Toc476306885"/>
      <w:bookmarkEnd w:id="8"/>
      <w:r w:rsidRPr="00242572">
        <w:t>Population and disease</w:t>
      </w:r>
      <w:bookmarkEnd w:id="9"/>
    </w:p>
    <w:p w:rsidR="004738B2" w:rsidRPr="00242572" w:rsidRDefault="004738B2" w:rsidP="00C22C18"/>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lang w:val="en-GB"/>
        </w:rPr>
        <w:t>PGTC seizures are clinically characterised by a sudden onset with an initial tonic phase, in which patients experience generalised muscle contraction and body stiffening, followed by a clonic phase of rhythmic clonic jerking of the face and limbs.</w:t>
      </w:r>
    </w:p>
    <w:p w:rsidR="00B82142" w:rsidRPr="00B82142" w:rsidRDefault="001B0F98" w:rsidP="004738B2">
      <w:pPr>
        <w:pStyle w:val="ListParagraph"/>
        <w:widowControl/>
        <w:numPr>
          <w:ilvl w:val="1"/>
          <w:numId w:val="3"/>
        </w:numPr>
        <w:contextualSpacing w:val="0"/>
        <w:rPr>
          <w:rFonts w:asciiTheme="minorHAnsi" w:hAnsiTheme="minorHAnsi"/>
          <w:sz w:val="24"/>
        </w:rPr>
      </w:pPr>
      <w:r w:rsidRPr="00242572">
        <w:rPr>
          <w:rFonts w:asciiTheme="minorHAnsi" w:hAnsiTheme="minorHAnsi"/>
          <w:sz w:val="24"/>
          <w:lang w:eastAsia="zh-CN"/>
        </w:rPr>
        <w:t xml:space="preserve">Treatment of PGTC seizures is primarily through therapy with AEDs. </w:t>
      </w:r>
      <w:r w:rsidRPr="00242572">
        <w:rPr>
          <w:rFonts w:asciiTheme="minorHAnsi" w:hAnsiTheme="minorHAnsi"/>
          <w:sz w:val="24"/>
        </w:rPr>
        <w:t>The management of epilepsy with multiple AEDs is a complex algorithm, with no clearly demarcated lines of therapy. Following stabilisation on new adjunctive therapy, gradual withdrawal of marginally ineffective drugs from multiple AED regimens may occur over time.</w:t>
      </w:r>
      <w:r w:rsidR="00B82142">
        <w:rPr>
          <w:rFonts w:asciiTheme="minorHAnsi" w:hAnsiTheme="minorHAnsi"/>
          <w:sz w:val="24"/>
        </w:rPr>
        <w:t xml:space="preserve"> </w:t>
      </w:r>
    </w:p>
    <w:p w:rsidR="00824BC8" w:rsidRDefault="00824BC8" w:rsidP="004738B2">
      <w:pPr>
        <w:pStyle w:val="ListParagraph"/>
        <w:widowControl/>
        <w:contextualSpacing w:val="0"/>
        <w:rPr>
          <w:rFonts w:asciiTheme="minorHAnsi" w:hAnsiTheme="minorHAnsi"/>
          <w:sz w:val="24"/>
        </w:rPr>
      </w:pPr>
    </w:p>
    <w:p w:rsidR="00824BC8" w:rsidRDefault="00824BC8" w:rsidP="00824BC8">
      <w:pPr>
        <w:pStyle w:val="ListParagraph"/>
        <w:widowControl/>
        <w:spacing w:after="120"/>
        <w:contextualSpacing w:val="0"/>
        <w:rPr>
          <w:rFonts w:asciiTheme="minorHAnsi" w:hAnsiTheme="minorHAnsi"/>
          <w:i/>
          <w:sz w:val="24"/>
          <w:szCs w:val="24"/>
        </w:rPr>
      </w:pPr>
      <w:r w:rsidRPr="001265AE">
        <w:rPr>
          <w:rFonts w:asciiTheme="minorHAnsi" w:hAnsiTheme="minorHAnsi"/>
          <w:i/>
          <w:sz w:val="24"/>
          <w:szCs w:val="24"/>
        </w:rPr>
        <w:t>For more detail on PBAC’s view, see section 7 “PBAC outcome.”</w:t>
      </w:r>
    </w:p>
    <w:p w:rsidR="003D041A" w:rsidRPr="001265AE" w:rsidRDefault="003D041A" w:rsidP="00824BC8">
      <w:pPr>
        <w:pStyle w:val="ListParagraph"/>
        <w:widowControl/>
        <w:spacing w:after="120"/>
        <w:contextualSpacing w:val="0"/>
        <w:rPr>
          <w:rFonts w:asciiTheme="minorHAnsi" w:hAnsiTheme="minorHAnsi"/>
          <w:i/>
          <w:sz w:val="24"/>
        </w:rPr>
      </w:pPr>
    </w:p>
    <w:p w:rsidR="001B0F98" w:rsidRDefault="001B0F98" w:rsidP="00BE6EB3">
      <w:pPr>
        <w:pStyle w:val="PBACheading1"/>
      </w:pPr>
      <w:bookmarkStart w:id="12" w:name="_Toc482695852"/>
      <w:r w:rsidRPr="00242572">
        <w:t>Comparator</w:t>
      </w:r>
      <w:bookmarkEnd w:id="10"/>
      <w:bookmarkEnd w:id="11"/>
      <w:bookmarkEnd w:id="12"/>
    </w:p>
    <w:p w:rsidR="004738B2" w:rsidRPr="00242572" w:rsidRDefault="004738B2" w:rsidP="00C22C18"/>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Although the re-submission revised its requested restriction to allow perampanel to be used as an early line of therapy, the re-submission proposed two distinct clinical places of therapy, and hence two different comparators, for perampanel:</w:t>
      </w:r>
    </w:p>
    <w:p w:rsidR="001B0F98" w:rsidRPr="00242572" w:rsidRDefault="001B0F98" w:rsidP="006441EA">
      <w:pPr>
        <w:pStyle w:val="ListParagraph"/>
        <w:widowControl/>
        <w:numPr>
          <w:ilvl w:val="0"/>
          <w:numId w:val="12"/>
        </w:numPr>
        <w:spacing w:after="120"/>
        <w:contextualSpacing w:val="0"/>
        <w:rPr>
          <w:rFonts w:asciiTheme="minorHAnsi" w:hAnsiTheme="minorHAnsi"/>
          <w:sz w:val="24"/>
        </w:rPr>
      </w:pPr>
      <w:r w:rsidRPr="00242572">
        <w:rPr>
          <w:rFonts w:asciiTheme="minorHAnsi" w:hAnsiTheme="minorHAnsi"/>
          <w:sz w:val="24"/>
        </w:rPr>
        <w:t>Perampanel (plus standard care</w:t>
      </w:r>
      <w:r w:rsidR="001C7C5C" w:rsidRPr="00242572">
        <w:rPr>
          <w:rFonts w:asciiTheme="minorHAnsi" w:hAnsiTheme="minorHAnsi"/>
          <w:sz w:val="24"/>
        </w:rPr>
        <w:t xml:space="preserve">, i.e. </w:t>
      </w:r>
      <w:r w:rsidR="00125470" w:rsidRPr="00242572">
        <w:rPr>
          <w:rFonts w:asciiTheme="minorHAnsi" w:hAnsiTheme="minorHAnsi"/>
          <w:sz w:val="24"/>
        </w:rPr>
        <w:t xml:space="preserve">including </w:t>
      </w:r>
      <w:r w:rsidR="001C7C5C" w:rsidRPr="00242572">
        <w:rPr>
          <w:rFonts w:asciiTheme="minorHAnsi" w:hAnsiTheme="minorHAnsi"/>
          <w:sz w:val="24"/>
        </w:rPr>
        <w:t>background AEDs</w:t>
      </w:r>
      <w:r w:rsidRPr="00242572">
        <w:rPr>
          <w:rFonts w:asciiTheme="minorHAnsi" w:hAnsiTheme="minorHAnsi"/>
          <w:sz w:val="24"/>
        </w:rPr>
        <w:t>) as a last option add-on to the current regimen for patients who are refractory to or have exhausted all currently available treatments, where the nominated comparator is placebo (plus standard care), and</w:t>
      </w:r>
    </w:p>
    <w:p w:rsidR="001B0F98" w:rsidRPr="00242572" w:rsidRDefault="001B0F98" w:rsidP="006441EA">
      <w:pPr>
        <w:pStyle w:val="ListParagraph"/>
        <w:widowControl/>
        <w:numPr>
          <w:ilvl w:val="0"/>
          <w:numId w:val="12"/>
        </w:numPr>
        <w:spacing w:after="120"/>
        <w:contextualSpacing w:val="0"/>
        <w:rPr>
          <w:rFonts w:asciiTheme="minorHAnsi" w:hAnsiTheme="minorHAnsi"/>
          <w:sz w:val="24"/>
        </w:rPr>
      </w:pPr>
      <w:r w:rsidRPr="00242572">
        <w:rPr>
          <w:rFonts w:asciiTheme="minorHAnsi" w:hAnsiTheme="minorHAnsi"/>
          <w:sz w:val="24"/>
        </w:rPr>
        <w:t>Perampanel (plus standard care) as an additional option to those currently available for the treatment of refractory patients, where the nominated comparator is another adjunctive AED treatment, represented by either lamotrigine (plus standard care) or levetiracetam (plus standard care), that may be substituted by perampanel.</w:t>
      </w:r>
    </w:p>
    <w:p w:rsidR="00BB67B3" w:rsidRPr="00BE6EB3" w:rsidRDefault="004972EA" w:rsidP="001B36A8">
      <w:pPr>
        <w:pStyle w:val="ListParagraph"/>
        <w:widowControl/>
        <w:numPr>
          <w:ilvl w:val="1"/>
          <w:numId w:val="3"/>
        </w:numPr>
        <w:spacing w:before="120" w:after="160"/>
        <w:contextualSpacing w:val="0"/>
        <w:rPr>
          <w:rFonts w:asciiTheme="minorHAnsi" w:hAnsiTheme="minorHAnsi"/>
          <w:sz w:val="24"/>
          <w:lang w:val="en-GB"/>
        </w:rPr>
      </w:pPr>
      <w:r w:rsidRPr="00BE6EB3">
        <w:rPr>
          <w:rFonts w:asciiTheme="minorHAnsi" w:hAnsiTheme="minorHAnsi"/>
          <w:sz w:val="24"/>
          <w:lang w:val="en-GB"/>
        </w:rPr>
        <w:t xml:space="preserve">The ESC noted that in its </w:t>
      </w:r>
      <w:r w:rsidR="001B36A8" w:rsidRPr="00BE6EB3">
        <w:rPr>
          <w:rFonts w:asciiTheme="minorHAnsi" w:hAnsiTheme="minorHAnsi"/>
          <w:sz w:val="24"/>
          <w:lang w:val="en-GB"/>
        </w:rPr>
        <w:t xml:space="preserve">previous </w:t>
      </w:r>
      <w:r w:rsidRPr="00BE6EB3">
        <w:rPr>
          <w:rFonts w:asciiTheme="minorHAnsi" w:hAnsiTheme="minorHAnsi"/>
          <w:sz w:val="24"/>
          <w:lang w:val="en-GB"/>
        </w:rPr>
        <w:t xml:space="preserve">consideration of perampanel </w:t>
      </w:r>
      <w:r w:rsidR="001B36A8" w:rsidRPr="00BE6EB3">
        <w:rPr>
          <w:rFonts w:asciiTheme="minorHAnsi" w:hAnsiTheme="minorHAnsi"/>
          <w:sz w:val="24"/>
          <w:lang w:val="en-GB"/>
        </w:rPr>
        <w:t>(</w:t>
      </w:r>
      <w:r w:rsidR="001B0F98" w:rsidRPr="00BE6EB3">
        <w:rPr>
          <w:rFonts w:asciiTheme="minorHAnsi" w:hAnsiTheme="minorHAnsi"/>
          <w:sz w:val="24"/>
          <w:lang w:val="en-GB"/>
        </w:rPr>
        <w:t>July 2016</w:t>
      </w:r>
      <w:r w:rsidR="001B36A8" w:rsidRPr="00BE6EB3">
        <w:rPr>
          <w:rFonts w:asciiTheme="minorHAnsi" w:hAnsiTheme="minorHAnsi"/>
          <w:sz w:val="24"/>
          <w:lang w:val="en-GB"/>
        </w:rPr>
        <w:t>)</w:t>
      </w:r>
      <w:r w:rsidR="001B0F98" w:rsidRPr="00BE6EB3">
        <w:rPr>
          <w:rFonts w:asciiTheme="minorHAnsi" w:hAnsiTheme="minorHAnsi"/>
          <w:sz w:val="24"/>
          <w:lang w:val="en-GB"/>
        </w:rPr>
        <w:t xml:space="preserve"> the PBAC </w:t>
      </w:r>
      <w:r w:rsidRPr="00BE6EB3">
        <w:rPr>
          <w:rFonts w:asciiTheme="minorHAnsi" w:hAnsiTheme="minorHAnsi"/>
          <w:sz w:val="24"/>
          <w:lang w:val="en-GB"/>
        </w:rPr>
        <w:t xml:space="preserve">stated </w:t>
      </w:r>
      <w:r w:rsidR="001B0F98" w:rsidRPr="00BE6EB3">
        <w:rPr>
          <w:rFonts w:asciiTheme="minorHAnsi" w:hAnsiTheme="minorHAnsi"/>
          <w:sz w:val="24"/>
          <w:lang w:val="en-GB"/>
        </w:rPr>
        <w:t xml:space="preserve">that the submission’s nomination of placebo plus standard care as the comparator was not appropriate. </w:t>
      </w:r>
      <w:r w:rsidR="004B5BD1">
        <w:rPr>
          <w:rFonts w:asciiTheme="minorHAnsi" w:hAnsiTheme="minorHAnsi"/>
          <w:sz w:val="24"/>
          <w:lang w:val="en-GB"/>
        </w:rPr>
        <w:t>At that time, t</w:t>
      </w:r>
      <w:r w:rsidR="001B0F98" w:rsidRPr="00BE6EB3">
        <w:rPr>
          <w:rFonts w:asciiTheme="minorHAnsi" w:hAnsiTheme="minorHAnsi"/>
          <w:sz w:val="24"/>
          <w:lang w:val="en-GB"/>
        </w:rPr>
        <w:t>he PBAC considered that the most appropriate place in clinical therapy for perampanel was as an additional therapeutic option in refractory patients, and that the appropriate comparison was therefore against other therapies currently available for treating this population</w:t>
      </w:r>
      <w:r w:rsidR="00EB3C1E" w:rsidRPr="00BE6EB3">
        <w:rPr>
          <w:rFonts w:asciiTheme="minorHAnsi" w:hAnsiTheme="minorHAnsi"/>
          <w:sz w:val="24"/>
          <w:lang w:val="en-GB"/>
        </w:rPr>
        <w:t>, including</w:t>
      </w:r>
      <w:r w:rsidR="001B0F98" w:rsidRPr="00BE6EB3">
        <w:rPr>
          <w:rFonts w:asciiTheme="minorHAnsi" w:hAnsiTheme="minorHAnsi"/>
          <w:sz w:val="24"/>
          <w:lang w:val="en-GB"/>
        </w:rPr>
        <w:t xml:space="preserve"> valproate, lamotrigine, levetiracetam, and topiramate (</w:t>
      </w:r>
      <w:r w:rsidR="00EB3C1E" w:rsidRPr="00BE6EB3">
        <w:rPr>
          <w:rFonts w:asciiTheme="minorHAnsi" w:hAnsiTheme="minorHAnsi"/>
          <w:sz w:val="24"/>
          <w:lang w:val="en-GB"/>
        </w:rPr>
        <w:t>para</w:t>
      </w:r>
      <w:r w:rsidR="00C35563">
        <w:rPr>
          <w:rFonts w:asciiTheme="minorHAnsi" w:hAnsiTheme="minorHAnsi"/>
          <w:sz w:val="24"/>
          <w:lang w:val="en-GB"/>
        </w:rPr>
        <w:t>graph</w:t>
      </w:r>
      <w:r w:rsidR="00EB3C1E" w:rsidRPr="00BE6EB3">
        <w:rPr>
          <w:rFonts w:asciiTheme="minorHAnsi" w:hAnsiTheme="minorHAnsi"/>
          <w:sz w:val="24"/>
          <w:lang w:val="en-GB"/>
        </w:rPr>
        <w:t xml:space="preserve"> </w:t>
      </w:r>
      <w:r w:rsidR="00485984" w:rsidRPr="00BE6EB3">
        <w:rPr>
          <w:rFonts w:asciiTheme="minorHAnsi" w:hAnsiTheme="minorHAnsi"/>
          <w:sz w:val="24"/>
          <w:lang w:val="en-GB"/>
        </w:rPr>
        <w:t>5.4, Item 6.05</w:t>
      </w:r>
      <w:r w:rsidR="003C5422" w:rsidRPr="00BE6EB3">
        <w:rPr>
          <w:rFonts w:asciiTheme="minorHAnsi" w:hAnsiTheme="minorHAnsi"/>
          <w:sz w:val="24"/>
          <w:lang w:val="en-GB"/>
        </w:rPr>
        <w:t>,</w:t>
      </w:r>
      <w:r w:rsidR="00485984" w:rsidRPr="00BE6EB3">
        <w:rPr>
          <w:rFonts w:asciiTheme="minorHAnsi" w:hAnsiTheme="minorHAnsi"/>
          <w:sz w:val="24"/>
          <w:lang w:val="en-GB"/>
        </w:rPr>
        <w:t xml:space="preserve"> </w:t>
      </w:r>
      <w:r w:rsidR="001B0F98" w:rsidRPr="00BE6EB3">
        <w:rPr>
          <w:rFonts w:asciiTheme="minorHAnsi" w:hAnsiTheme="minorHAnsi"/>
          <w:sz w:val="24"/>
          <w:lang w:val="en-GB"/>
        </w:rPr>
        <w:t>perampanel PSD, July 2016).</w:t>
      </w:r>
      <w:r w:rsidR="001B36A8" w:rsidRPr="00BE6EB3">
        <w:rPr>
          <w:rFonts w:asciiTheme="minorHAnsi" w:hAnsiTheme="minorHAnsi"/>
          <w:sz w:val="24"/>
          <w:lang w:val="en-GB"/>
        </w:rPr>
        <w:t xml:space="preserve"> </w:t>
      </w:r>
    </w:p>
    <w:p w:rsidR="002E4AFC" w:rsidRPr="00824BC8" w:rsidRDefault="0014285E" w:rsidP="006441EA">
      <w:pPr>
        <w:pStyle w:val="ListParagraph"/>
        <w:widowControl/>
        <w:numPr>
          <w:ilvl w:val="1"/>
          <w:numId w:val="3"/>
        </w:numPr>
        <w:spacing w:before="120" w:after="160"/>
        <w:contextualSpacing w:val="0"/>
        <w:rPr>
          <w:rFonts w:asciiTheme="minorHAnsi" w:hAnsiTheme="minorHAnsi"/>
          <w:sz w:val="24"/>
          <w:lang w:val="en-GB"/>
        </w:rPr>
      </w:pPr>
      <w:r w:rsidRPr="00824BC8">
        <w:rPr>
          <w:rFonts w:asciiTheme="minorHAnsi" w:hAnsiTheme="minorHAnsi"/>
          <w:sz w:val="24"/>
          <w:lang w:val="en-GB"/>
        </w:rPr>
        <w:t xml:space="preserve">The ESC </w:t>
      </w:r>
      <w:r w:rsidR="001B36A8" w:rsidRPr="00824BC8">
        <w:rPr>
          <w:rFonts w:asciiTheme="minorHAnsi" w:hAnsiTheme="minorHAnsi"/>
          <w:sz w:val="24"/>
          <w:lang w:val="en-GB"/>
        </w:rPr>
        <w:t xml:space="preserve">considered that </w:t>
      </w:r>
      <w:r w:rsidRPr="00824BC8">
        <w:rPr>
          <w:rFonts w:asciiTheme="minorHAnsi" w:hAnsiTheme="minorHAnsi"/>
          <w:sz w:val="24"/>
          <w:lang w:val="en-GB"/>
        </w:rPr>
        <w:t xml:space="preserve">the </w:t>
      </w:r>
      <w:r w:rsidR="002E4AFC" w:rsidRPr="00824BC8">
        <w:rPr>
          <w:rFonts w:asciiTheme="minorHAnsi" w:hAnsiTheme="minorHAnsi"/>
          <w:sz w:val="24"/>
          <w:lang w:val="en-GB"/>
        </w:rPr>
        <w:t>choice of comparators for the cost-minimisation analysis was not well justified</w:t>
      </w:r>
      <w:r w:rsidR="001B36A8" w:rsidRPr="00824BC8">
        <w:rPr>
          <w:rFonts w:asciiTheme="minorHAnsi" w:hAnsiTheme="minorHAnsi"/>
          <w:sz w:val="24"/>
          <w:lang w:val="en-GB"/>
        </w:rPr>
        <w:t>;</w:t>
      </w:r>
      <w:r w:rsidR="002E4AFC" w:rsidRPr="00824BC8">
        <w:rPr>
          <w:rFonts w:asciiTheme="minorHAnsi" w:hAnsiTheme="minorHAnsi"/>
          <w:sz w:val="24"/>
          <w:lang w:val="en-GB"/>
        </w:rPr>
        <w:t xml:space="preserve"> however</w:t>
      </w:r>
      <w:r w:rsidR="001B36A8" w:rsidRPr="00824BC8">
        <w:rPr>
          <w:rFonts w:asciiTheme="minorHAnsi" w:hAnsiTheme="minorHAnsi"/>
          <w:sz w:val="24"/>
          <w:lang w:val="en-GB"/>
        </w:rPr>
        <w:t>,</w:t>
      </w:r>
      <w:r w:rsidR="002E4AFC" w:rsidRPr="00824BC8">
        <w:rPr>
          <w:rFonts w:asciiTheme="minorHAnsi" w:hAnsiTheme="minorHAnsi"/>
          <w:sz w:val="24"/>
          <w:lang w:val="en-GB"/>
        </w:rPr>
        <w:t xml:space="preserve"> </w:t>
      </w:r>
      <w:r w:rsidR="001B36A8" w:rsidRPr="00824BC8">
        <w:rPr>
          <w:rFonts w:asciiTheme="minorHAnsi" w:hAnsiTheme="minorHAnsi"/>
          <w:sz w:val="24"/>
          <w:lang w:val="en-GB"/>
        </w:rPr>
        <w:t xml:space="preserve">it </w:t>
      </w:r>
      <w:r w:rsidR="002E4AFC" w:rsidRPr="00824BC8">
        <w:rPr>
          <w:rFonts w:asciiTheme="minorHAnsi" w:hAnsiTheme="minorHAnsi"/>
          <w:sz w:val="24"/>
          <w:lang w:val="en-GB"/>
        </w:rPr>
        <w:t xml:space="preserve">noted the July 2016 PBAC advice that valproate, lamotrigine, </w:t>
      </w:r>
      <w:r w:rsidR="004753C2" w:rsidRPr="00824BC8">
        <w:rPr>
          <w:rFonts w:asciiTheme="minorHAnsi" w:hAnsiTheme="minorHAnsi"/>
          <w:sz w:val="24"/>
          <w:lang w:val="en-GB"/>
        </w:rPr>
        <w:t>levetirac</w:t>
      </w:r>
      <w:r w:rsidR="004753C2">
        <w:rPr>
          <w:rFonts w:asciiTheme="minorHAnsi" w:hAnsiTheme="minorHAnsi"/>
          <w:sz w:val="24"/>
          <w:lang w:val="en-GB"/>
        </w:rPr>
        <w:t>e</w:t>
      </w:r>
      <w:r w:rsidR="004753C2" w:rsidRPr="00824BC8">
        <w:rPr>
          <w:rFonts w:asciiTheme="minorHAnsi" w:hAnsiTheme="minorHAnsi"/>
          <w:sz w:val="24"/>
          <w:lang w:val="en-GB"/>
        </w:rPr>
        <w:t>t</w:t>
      </w:r>
      <w:r w:rsidR="004753C2">
        <w:rPr>
          <w:rFonts w:asciiTheme="minorHAnsi" w:hAnsiTheme="minorHAnsi"/>
          <w:sz w:val="24"/>
          <w:lang w:val="en-GB"/>
        </w:rPr>
        <w:t>a</w:t>
      </w:r>
      <w:r w:rsidR="004753C2" w:rsidRPr="00824BC8">
        <w:rPr>
          <w:rFonts w:asciiTheme="minorHAnsi" w:hAnsiTheme="minorHAnsi"/>
          <w:sz w:val="24"/>
          <w:lang w:val="en-GB"/>
        </w:rPr>
        <w:t xml:space="preserve">m </w:t>
      </w:r>
      <w:r w:rsidR="002E4AFC" w:rsidRPr="00824BC8">
        <w:rPr>
          <w:rFonts w:asciiTheme="minorHAnsi" w:hAnsiTheme="minorHAnsi"/>
          <w:sz w:val="24"/>
          <w:lang w:val="en-GB"/>
        </w:rPr>
        <w:t xml:space="preserve">and topiramate may be relevant comparators. </w:t>
      </w:r>
    </w:p>
    <w:p w:rsidR="00D67E28" w:rsidRPr="00511D49" w:rsidRDefault="004730AB" w:rsidP="000C4D3F">
      <w:pPr>
        <w:pStyle w:val="ListParagraph"/>
        <w:widowControl/>
        <w:numPr>
          <w:ilvl w:val="1"/>
          <w:numId w:val="3"/>
        </w:numPr>
        <w:spacing w:before="120" w:after="160"/>
        <w:contextualSpacing w:val="0"/>
        <w:rPr>
          <w:rFonts w:asciiTheme="minorHAnsi" w:hAnsiTheme="minorHAnsi"/>
          <w:sz w:val="24"/>
          <w:lang w:val="en-GB"/>
        </w:rPr>
      </w:pPr>
      <w:r w:rsidRPr="00511D49">
        <w:rPr>
          <w:rFonts w:asciiTheme="minorHAnsi" w:hAnsiTheme="minorHAnsi"/>
          <w:sz w:val="24"/>
          <w:lang w:val="en-GB"/>
        </w:rPr>
        <w:t xml:space="preserve">The </w:t>
      </w:r>
      <w:r w:rsidR="002E4AFC" w:rsidRPr="00511D49">
        <w:rPr>
          <w:rFonts w:asciiTheme="minorHAnsi" w:hAnsiTheme="minorHAnsi"/>
          <w:sz w:val="24"/>
          <w:lang w:val="en-GB"/>
        </w:rPr>
        <w:t xml:space="preserve">ESC </w:t>
      </w:r>
      <w:r w:rsidRPr="00511D49">
        <w:rPr>
          <w:rFonts w:asciiTheme="minorHAnsi" w:hAnsiTheme="minorHAnsi"/>
          <w:sz w:val="24"/>
          <w:lang w:val="en-GB"/>
        </w:rPr>
        <w:t>recommended</w:t>
      </w:r>
      <w:r w:rsidR="001E1FAF" w:rsidRPr="00511D49">
        <w:rPr>
          <w:rFonts w:asciiTheme="minorHAnsi" w:hAnsiTheme="minorHAnsi"/>
          <w:sz w:val="24"/>
          <w:lang w:val="en-GB"/>
        </w:rPr>
        <w:t xml:space="preserve"> </w:t>
      </w:r>
      <w:r w:rsidR="002E4AFC" w:rsidRPr="00511D49">
        <w:rPr>
          <w:rFonts w:asciiTheme="minorHAnsi" w:hAnsiTheme="minorHAnsi"/>
          <w:sz w:val="24"/>
          <w:lang w:val="en-GB"/>
        </w:rPr>
        <w:t xml:space="preserve">the </w:t>
      </w:r>
      <w:r w:rsidR="0014285E" w:rsidRPr="00511D49">
        <w:rPr>
          <w:rFonts w:asciiTheme="minorHAnsi" w:hAnsiTheme="minorHAnsi"/>
          <w:sz w:val="24"/>
          <w:lang w:val="en-GB"/>
        </w:rPr>
        <w:t xml:space="preserve">PBAC should consider whether a </w:t>
      </w:r>
      <w:r w:rsidR="006441EA" w:rsidRPr="00511D49">
        <w:rPr>
          <w:rFonts w:asciiTheme="minorHAnsi" w:hAnsiTheme="minorHAnsi"/>
          <w:sz w:val="24"/>
          <w:lang w:val="en-GB"/>
        </w:rPr>
        <w:t xml:space="preserve">cost-minimisation against a </w:t>
      </w:r>
      <w:r w:rsidR="001E1FAF" w:rsidRPr="00511D49">
        <w:rPr>
          <w:rFonts w:asciiTheme="minorHAnsi" w:hAnsiTheme="minorHAnsi"/>
          <w:sz w:val="24"/>
          <w:lang w:val="en-GB"/>
        </w:rPr>
        <w:t>mixed basket</w:t>
      </w:r>
      <w:r w:rsidR="0014285E" w:rsidRPr="00511D49">
        <w:rPr>
          <w:rFonts w:asciiTheme="minorHAnsi" w:hAnsiTheme="minorHAnsi"/>
          <w:sz w:val="24"/>
          <w:lang w:val="en-GB"/>
        </w:rPr>
        <w:t xml:space="preserve"> of comparators with different PBS prices is a relevant approach. </w:t>
      </w:r>
    </w:p>
    <w:p w:rsidR="00D97B32" w:rsidRPr="00511D49" w:rsidRDefault="00D97B32" w:rsidP="00D97B32">
      <w:pPr>
        <w:pStyle w:val="ListParagraph"/>
        <w:widowControl/>
        <w:numPr>
          <w:ilvl w:val="1"/>
          <w:numId w:val="3"/>
        </w:numPr>
        <w:spacing w:before="120" w:after="160"/>
        <w:contextualSpacing w:val="0"/>
        <w:rPr>
          <w:rFonts w:asciiTheme="minorHAnsi" w:hAnsiTheme="minorHAnsi"/>
          <w:sz w:val="24"/>
          <w:lang w:val="en-GB"/>
        </w:rPr>
      </w:pPr>
      <w:r w:rsidRPr="00511D49">
        <w:rPr>
          <w:rFonts w:asciiTheme="minorHAnsi" w:hAnsiTheme="minorHAnsi"/>
          <w:sz w:val="24"/>
          <w:lang w:val="en-GB"/>
        </w:rPr>
        <w:t>The Pre-Sub-Committee Response (PSCR) stated the sponsor is willing to work with the Department to reach an agreement on an appropriate split between the comparators of placebo and other PBS listed AEDs</w:t>
      </w:r>
    </w:p>
    <w:p w:rsidR="00465185" w:rsidRPr="001265AE" w:rsidRDefault="0007390D" w:rsidP="004738B2">
      <w:pPr>
        <w:pStyle w:val="ListParagraph"/>
        <w:widowControl/>
        <w:numPr>
          <w:ilvl w:val="1"/>
          <w:numId w:val="3"/>
        </w:numPr>
        <w:spacing w:before="120" w:after="160"/>
        <w:contextualSpacing w:val="0"/>
        <w:rPr>
          <w:rFonts w:asciiTheme="minorHAnsi" w:hAnsiTheme="minorHAnsi"/>
          <w:sz w:val="24"/>
          <w:lang w:val="en-GB"/>
        </w:rPr>
      </w:pPr>
      <w:r w:rsidRPr="00511D49">
        <w:rPr>
          <w:rFonts w:asciiTheme="minorHAnsi" w:hAnsiTheme="minorHAnsi"/>
          <w:sz w:val="24"/>
          <w:lang w:val="en-GB"/>
        </w:rPr>
        <w:t>Overall, t</w:t>
      </w:r>
      <w:r w:rsidR="00D67E28" w:rsidRPr="00511D49">
        <w:rPr>
          <w:rFonts w:asciiTheme="minorHAnsi" w:hAnsiTheme="minorHAnsi"/>
          <w:sz w:val="24"/>
          <w:lang w:val="en-GB"/>
        </w:rPr>
        <w:t xml:space="preserve">he PBAC </w:t>
      </w:r>
      <w:r w:rsidRPr="00511D49">
        <w:rPr>
          <w:rFonts w:asciiTheme="minorHAnsi" w:hAnsiTheme="minorHAnsi"/>
          <w:sz w:val="24"/>
          <w:lang w:val="en-GB"/>
        </w:rPr>
        <w:t xml:space="preserve">maintained the </w:t>
      </w:r>
      <w:r w:rsidR="00D67E28" w:rsidRPr="00511D49">
        <w:rPr>
          <w:rFonts w:asciiTheme="minorHAnsi" w:hAnsiTheme="minorHAnsi"/>
          <w:sz w:val="24"/>
          <w:lang w:val="en-GB"/>
        </w:rPr>
        <w:t xml:space="preserve">view </w:t>
      </w:r>
      <w:r w:rsidRPr="00511D49">
        <w:rPr>
          <w:rFonts w:asciiTheme="minorHAnsi" w:hAnsiTheme="minorHAnsi"/>
          <w:sz w:val="24"/>
          <w:lang w:val="en-GB"/>
        </w:rPr>
        <w:t xml:space="preserve">that a comparison </w:t>
      </w:r>
      <w:r w:rsidR="00511D49" w:rsidRPr="00511D49">
        <w:rPr>
          <w:rFonts w:asciiTheme="minorHAnsi" w:hAnsiTheme="minorHAnsi"/>
          <w:sz w:val="24"/>
          <w:lang w:val="en-GB"/>
        </w:rPr>
        <w:t xml:space="preserve">wholly </w:t>
      </w:r>
      <w:r w:rsidRPr="00511D49">
        <w:rPr>
          <w:rFonts w:asciiTheme="minorHAnsi" w:hAnsiTheme="minorHAnsi"/>
          <w:sz w:val="24"/>
          <w:lang w:val="en-GB"/>
        </w:rPr>
        <w:t>against placebo was not appropriate</w:t>
      </w:r>
      <w:r w:rsidR="00465185" w:rsidRPr="00511D49">
        <w:rPr>
          <w:rFonts w:asciiTheme="minorHAnsi" w:hAnsiTheme="minorHAnsi"/>
          <w:sz w:val="24"/>
          <w:lang w:val="en-GB"/>
        </w:rPr>
        <w:t>.</w:t>
      </w:r>
      <w:r w:rsidRPr="00511D49">
        <w:rPr>
          <w:rFonts w:asciiTheme="minorHAnsi" w:hAnsiTheme="minorHAnsi"/>
          <w:sz w:val="24"/>
          <w:lang w:val="en-GB"/>
        </w:rPr>
        <w:t xml:space="preserve"> </w:t>
      </w:r>
      <w:r w:rsidR="00465185" w:rsidRPr="00511D49">
        <w:rPr>
          <w:rFonts w:asciiTheme="minorHAnsi" w:hAnsiTheme="minorHAnsi"/>
          <w:sz w:val="24"/>
          <w:lang w:val="en-GB"/>
        </w:rPr>
        <w:t>H</w:t>
      </w:r>
      <w:r w:rsidRPr="00511D49">
        <w:rPr>
          <w:rFonts w:asciiTheme="minorHAnsi" w:hAnsiTheme="minorHAnsi"/>
          <w:sz w:val="24"/>
          <w:lang w:val="en-GB"/>
        </w:rPr>
        <w:t xml:space="preserve">owever, on balance – noting the clinical need for another therapeutic option in refractory patients – it considered that the approach of </w:t>
      </w:r>
      <w:r w:rsidR="000C4D3F" w:rsidRPr="00511D49">
        <w:rPr>
          <w:rFonts w:asciiTheme="minorHAnsi" w:hAnsiTheme="minorHAnsi"/>
          <w:sz w:val="24"/>
          <w:lang w:val="en-GB"/>
        </w:rPr>
        <w:t>a mixed compar</w:t>
      </w:r>
      <w:r w:rsidR="00D67E28" w:rsidRPr="00511D49">
        <w:rPr>
          <w:rFonts w:asciiTheme="minorHAnsi" w:hAnsiTheme="minorHAnsi"/>
          <w:sz w:val="24"/>
          <w:lang w:val="en-GB"/>
        </w:rPr>
        <w:t xml:space="preserve">ison against placebo </w:t>
      </w:r>
      <w:r w:rsidR="00465185" w:rsidRPr="00511D49">
        <w:rPr>
          <w:rFonts w:asciiTheme="minorHAnsi" w:hAnsiTheme="minorHAnsi"/>
          <w:sz w:val="24"/>
          <w:lang w:val="en-GB"/>
        </w:rPr>
        <w:t>for</w:t>
      </w:r>
      <w:r w:rsidR="00D67E28" w:rsidRPr="00511D49">
        <w:rPr>
          <w:rFonts w:asciiTheme="minorHAnsi" w:hAnsiTheme="minorHAnsi"/>
          <w:sz w:val="24"/>
          <w:lang w:val="en-GB"/>
        </w:rPr>
        <w:t xml:space="preserve"> patient</w:t>
      </w:r>
      <w:r w:rsidRPr="00511D49">
        <w:rPr>
          <w:rFonts w:asciiTheme="minorHAnsi" w:hAnsiTheme="minorHAnsi"/>
          <w:sz w:val="24"/>
          <w:lang w:val="en-GB"/>
        </w:rPr>
        <w:t>s</w:t>
      </w:r>
      <w:r w:rsidR="000C4D3F" w:rsidRPr="00511D49">
        <w:rPr>
          <w:rFonts w:asciiTheme="minorHAnsi" w:hAnsiTheme="minorHAnsi"/>
          <w:sz w:val="24"/>
          <w:lang w:val="en-GB"/>
        </w:rPr>
        <w:t xml:space="preserve"> who have failed to respond adequately to </w:t>
      </w:r>
      <w:r w:rsidRPr="00511D49">
        <w:rPr>
          <w:rFonts w:asciiTheme="minorHAnsi" w:hAnsiTheme="minorHAnsi"/>
          <w:sz w:val="24"/>
          <w:lang w:val="en-GB"/>
        </w:rPr>
        <w:t>existing treatment options</w:t>
      </w:r>
      <w:r w:rsidR="000C4D3F" w:rsidRPr="00511D49">
        <w:rPr>
          <w:rFonts w:asciiTheme="minorHAnsi" w:hAnsiTheme="minorHAnsi"/>
          <w:sz w:val="24"/>
          <w:lang w:val="en-GB"/>
        </w:rPr>
        <w:t xml:space="preserve"> and against other </w:t>
      </w:r>
      <w:r w:rsidRPr="00511D49">
        <w:rPr>
          <w:rFonts w:asciiTheme="minorHAnsi" w:hAnsiTheme="minorHAnsi"/>
          <w:sz w:val="24"/>
          <w:lang w:val="en-GB"/>
        </w:rPr>
        <w:t xml:space="preserve">currently available </w:t>
      </w:r>
      <w:r w:rsidR="009B5B4A" w:rsidRPr="00511D49">
        <w:rPr>
          <w:rFonts w:asciiTheme="minorHAnsi" w:hAnsiTheme="minorHAnsi"/>
          <w:sz w:val="24"/>
          <w:lang w:val="en-GB"/>
        </w:rPr>
        <w:t>AE</w:t>
      </w:r>
      <w:r w:rsidR="000C4D3F" w:rsidRPr="00511D49">
        <w:rPr>
          <w:rFonts w:asciiTheme="minorHAnsi" w:hAnsiTheme="minorHAnsi"/>
          <w:sz w:val="24"/>
          <w:lang w:val="en-GB"/>
        </w:rPr>
        <w:t>D</w:t>
      </w:r>
      <w:r w:rsidRPr="00511D49">
        <w:rPr>
          <w:rFonts w:asciiTheme="minorHAnsi" w:hAnsiTheme="minorHAnsi"/>
          <w:sz w:val="24"/>
          <w:lang w:val="en-GB"/>
        </w:rPr>
        <w:t>s</w:t>
      </w:r>
      <w:r w:rsidR="000C4D3F" w:rsidRPr="00511D49">
        <w:rPr>
          <w:rFonts w:asciiTheme="minorHAnsi" w:hAnsiTheme="minorHAnsi"/>
          <w:sz w:val="24"/>
          <w:lang w:val="en-GB"/>
        </w:rPr>
        <w:t xml:space="preserve"> (</w:t>
      </w:r>
      <w:r w:rsidRPr="00511D49">
        <w:rPr>
          <w:rFonts w:asciiTheme="minorHAnsi" w:hAnsiTheme="minorHAnsi"/>
          <w:sz w:val="24"/>
          <w:lang w:val="en-GB"/>
        </w:rPr>
        <w:t>v</w:t>
      </w:r>
      <w:r w:rsidR="000C4D3F" w:rsidRPr="00511D49">
        <w:rPr>
          <w:rFonts w:asciiTheme="minorHAnsi" w:hAnsiTheme="minorHAnsi"/>
          <w:sz w:val="24"/>
          <w:lang w:val="en-GB"/>
        </w:rPr>
        <w:t xml:space="preserve">alproate, lamotrigine, </w:t>
      </w:r>
      <w:r w:rsidR="004753C2" w:rsidRPr="00511D49">
        <w:rPr>
          <w:rFonts w:asciiTheme="minorHAnsi" w:hAnsiTheme="minorHAnsi"/>
          <w:sz w:val="24"/>
          <w:lang w:val="en-GB"/>
        </w:rPr>
        <w:t>levetirac</w:t>
      </w:r>
      <w:r w:rsidR="004753C2">
        <w:rPr>
          <w:rFonts w:asciiTheme="minorHAnsi" w:hAnsiTheme="minorHAnsi"/>
          <w:sz w:val="24"/>
          <w:lang w:val="en-GB"/>
        </w:rPr>
        <w:t>e</w:t>
      </w:r>
      <w:r w:rsidR="004753C2" w:rsidRPr="00511D49">
        <w:rPr>
          <w:rFonts w:asciiTheme="minorHAnsi" w:hAnsiTheme="minorHAnsi"/>
          <w:sz w:val="24"/>
          <w:lang w:val="en-GB"/>
        </w:rPr>
        <w:t>t</w:t>
      </w:r>
      <w:r w:rsidR="004753C2">
        <w:rPr>
          <w:rFonts w:asciiTheme="minorHAnsi" w:hAnsiTheme="minorHAnsi"/>
          <w:sz w:val="24"/>
          <w:lang w:val="en-GB"/>
        </w:rPr>
        <w:t>a</w:t>
      </w:r>
      <w:r w:rsidR="004753C2" w:rsidRPr="00511D49">
        <w:rPr>
          <w:rFonts w:asciiTheme="minorHAnsi" w:hAnsiTheme="minorHAnsi"/>
          <w:sz w:val="24"/>
          <w:lang w:val="en-GB"/>
        </w:rPr>
        <w:t xml:space="preserve">m </w:t>
      </w:r>
      <w:r w:rsidR="000C4D3F" w:rsidRPr="00511D49">
        <w:rPr>
          <w:rFonts w:asciiTheme="minorHAnsi" w:hAnsiTheme="minorHAnsi"/>
          <w:sz w:val="24"/>
          <w:lang w:val="en-GB"/>
        </w:rPr>
        <w:t xml:space="preserve">and topiramate) </w:t>
      </w:r>
      <w:r w:rsidR="00465185" w:rsidRPr="00511D49">
        <w:rPr>
          <w:rFonts w:asciiTheme="minorHAnsi" w:hAnsiTheme="minorHAnsi"/>
          <w:sz w:val="24"/>
          <w:lang w:val="en-GB"/>
        </w:rPr>
        <w:t>for</w:t>
      </w:r>
      <w:r w:rsidR="000C4D3F" w:rsidRPr="00511D49">
        <w:rPr>
          <w:rFonts w:asciiTheme="minorHAnsi" w:hAnsiTheme="minorHAnsi"/>
          <w:sz w:val="24"/>
          <w:lang w:val="en-GB"/>
        </w:rPr>
        <w:t xml:space="preserve"> patients in whom perampanel will subst</w:t>
      </w:r>
      <w:r w:rsidR="009B5B4A" w:rsidRPr="00511D49">
        <w:rPr>
          <w:rFonts w:asciiTheme="minorHAnsi" w:hAnsiTheme="minorHAnsi"/>
          <w:sz w:val="24"/>
          <w:lang w:val="en-GB"/>
        </w:rPr>
        <w:t>itute for another AE</w:t>
      </w:r>
      <w:r w:rsidR="000C4D3F" w:rsidRPr="00511D49">
        <w:rPr>
          <w:rFonts w:asciiTheme="minorHAnsi" w:hAnsiTheme="minorHAnsi"/>
          <w:sz w:val="24"/>
          <w:lang w:val="en-GB"/>
        </w:rPr>
        <w:t>D</w:t>
      </w:r>
      <w:r w:rsidR="00465185" w:rsidRPr="00511D49">
        <w:rPr>
          <w:rFonts w:asciiTheme="minorHAnsi" w:hAnsiTheme="minorHAnsi"/>
          <w:sz w:val="24"/>
          <w:lang w:val="en-GB"/>
        </w:rPr>
        <w:t xml:space="preserve"> could be acceptable - subject to changes to the proportion of patients in each comparator group presented in the submission</w:t>
      </w:r>
      <w:r w:rsidR="000C4D3F" w:rsidRPr="00511D49">
        <w:rPr>
          <w:rFonts w:asciiTheme="minorHAnsi" w:hAnsiTheme="minorHAnsi"/>
          <w:sz w:val="24"/>
          <w:lang w:val="en-GB"/>
        </w:rPr>
        <w:t>.</w:t>
      </w:r>
      <w:r w:rsidR="00465185" w:rsidRPr="00511D49">
        <w:rPr>
          <w:rFonts w:asciiTheme="minorHAnsi" w:hAnsiTheme="minorHAnsi"/>
          <w:sz w:val="24"/>
          <w:lang w:val="en-GB"/>
        </w:rPr>
        <w:t xml:space="preserve"> </w:t>
      </w:r>
    </w:p>
    <w:p w:rsidR="00824BC8" w:rsidRPr="00BB67B3" w:rsidRDefault="00824BC8" w:rsidP="00824BC8">
      <w:pPr>
        <w:pStyle w:val="ListParagraph"/>
        <w:widowControl/>
        <w:spacing w:before="120" w:after="160"/>
        <w:contextualSpacing w:val="0"/>
        <w:rPr>
          <w:rFonts w:asciiTheme="minorHAnsi" w:hAnsiTheme="minorHAnsi"/>
          <w:i/>
          <w:sz w:val="24"/>
          <w:lang w:val="en-GB"/>
        </w:rPr>
      </w:pPr>
      <w:r w:rsidRPr="00FC3C23">
        <w:rPr>
          <w:rFonts w:asciiTheme="minorHAnsi" w:hAnsiTheme="minorHAnsi"/>
          <w:i/>
          <w:sz w:val="24"/>
          <w:szCs w:val="24"/>
        </w:rPr>
        <w:t>For more detail on PBAC’s view, see section 7 “PBAC outcome.”</w:t>
      </w:r>
    </w:p>
    <w:p w:rsidR="004738B2" w:rsidRDefault="004738B2">
      <w:pPr>
        <w:widowControl/>
        <w:jc w:val="left"/>
        <w:rPr>
          <w:rFonts w:asciiTheme="minorHAnsi" w:hAnsiTheme="minorHAnsi"/>
          <w:b/>
          <w:sz w:val="32"/>
          <w:szCs w:val="22"/>
        </w:rPr>
      </w:pPr>
      <w:bookmarkStart w:id="13" w:name="_Toc413139276"/>
      <w:bookmarkStart w:id="14" w:name="_Toc476306886"/>
      <w:bookmarkStart w:id="15" w:name="_Toc482695853"/>
      <w:r>
        <w:br w:type="page"/>
      </w:r>
    </w:p>
    <w:p w:rsidR="001B0F98" w:rsidRPr="00242572" w:rsidRDefault="001B0F98" w:rsidP="00BE6EB3">
      <w:pPr>
        <w:pStyle w:val="PBACheading1"/>
      </w:pPr>
      <w:r w:rsidRPr="00242572">
        <w:t>Consideration of the evidence</w:t>
      </w:r>
      <w:bookmarkEnd w:id="13"/>
      <w:bookmarkEnd w:id="14"/>
      <w:bookmarkEnd w:id="15"/>
    </w:p>
    <w:p w:rsidR="00824BC8" w:rsidRDefault="00824BC8" w:rsidP="00824BC8">
      <w:pPr>
        <w:pStyle w:val="05-NormalBodyText"/>
      </w:pPr>
      <w:bookmarkStart w:id="16" w:name="_Toc413139277"/>
      <w:bookmarkStart w:id="17" w:name="_Toc476306887"/>
      <w:bookmarkStart w:id="18" w:name="_Toc482695854"/>
    </w:p>
    <w:p w:rsidR="00824BC8" w:rsidRDefault="00824BC8" w:rsidP="00824BC8">
      <w:pPr>
        <w:pStyle w:val="Heading2"/>
        <w:rPr>
          <w:rFonts w:asciiTheme="minorHAnsi" w:hAnsiTheme="minorHAnsi"/>
          <w:i/>
          <w:sz w:val="28"/>
          <w:szCs w:val="28"/>
        </w:rPr>
      </w:pPr>
      <w:r>
        <w:rPr>
          <w:rFonts w:asciiTheme="minorHAnsi" w:hAnsiTheme="minorHAnsi"/>
          <w:i/>
          <w:sz w:val="28"/>
          <w:szCs w:val="28"/>
        </w:rPr>
        <w:t xml:space="preserve">Sponsor hearing </w:t>
      </w:r>
    </w:p>
    <w:p w:rsidR="00824BC8" w:rsidRPr="00824BC8" w:rsidRDefault="00824BC8" w:rsidP="00824BC8"/>
    <w:p w:rsidR="0040378F" w:rsidRPr="0040378F" w:rsidRDefault="0040378F" w:rsidP="00824BC8">
      <w:pPr>
        <w:pStyle w:val="ListParagraph"/>
        <w:widowControl/>
        <w:numPr>
          <w:ilvl w:val="1"/>
          <w:numId w:val="3"/>
        </w:numPr>
        <w:spacing w:after="120"/>
        <w:contextualSpacing w:val="0"/>
        <w:rPr>
          <w:rFonts w:asciiTheme="minorHAnsi" w:hAnsiTheme="minorHAnsi"/>
          <w:sz w:val="24"/>
        </w:rPr>
      </w:pPr>
      <w:r>
        <w:rPr>
          <w:rFonts w:asciiTheme="minorHAnsi" w:hAnsiTheme="minorHAnsi"/>
          <w:sz w:val="24"/>
        </w:rPr>
        <w:t xml:space="preserve">The sponsor requested a hearing for this item. The </w:t>
      </w:r>
      <w:r w:rsidR="0004513E">
        <w:rPr>
          <w:rFonts w:asciiTheme="minorHAnsi" w:hAnsiTheme="minorHAnsi"/>
          <w:sz w:val="24"/>
        </w:rPr>
        <w:t>presenter discussed the clinical need for an additional treatment option for patients with PG</w:t>
      </w:r>
      <w:r w:rsidR="002A351A">
        <w:rPr>
          <w:rFonts w:asciiTheme="minorHAnsi" w:hAnsiTheme="minorHAnsi"/>
          <w:sz w:val="24"/>
        </w:rPr>
        <w:t>T</w:t>
      </w:r>
      <w:r w:rsidR="0004513E">
        <w:rPr>
          <w:rFonts w:asciiTheme="minorHAnsi" w:hAnsiTheme="minorHAnsi"/>
          <w:sz w:val="24"/>
        </w:rPr>
        <w:t xml:space="preserve">C </w:t>
      </w:r>
      <w:r w:rsidR="0004513E" w:rsidRPr="0004513E">
        <w:rPr>
          <w:rFonts w:asciiTheme="minorHAnsi" w:hAnsiTheme="minorHAnsi"/>
          <w:sz w:val="24"/>
          <w:szCs w:val="24"/>
        </w:rPr>
        <w:t>seizures</w:t>
      </w:r>
      <w:r w:rsidR="0004513E">
        <w:rPr>
          <w:rFonts w:asciiTheme="minorHAnsi" w:hAnsiTheme="minorHAnsi"/>
          <w:sz w:val="24"/>
        </w:rPr>
        <w:t xml:space="preserve"> and</w:t>
      </w:r>
      <w:r>
        <w:rPr>
          <w:rFonts w:asciiTheme="minorHAnsi" w:hAnsiTheme="minorHAnsi"/>
          <w:sz w:val="24"/>
        </w:rPr>
        <w:t xml:space="preserve"> how the drug would be used in practi</w:t>
      </w:r>
      <w:r w:rsidR="0026216C">
        <w:rPr>
          <w:rFonts w:asciiTheme="minorHAnsi" w:hAnsiTheme="minorHAnsi"/>
          <w:sz w:val="24"/>
        </w:rPr>
        <w:t>ce</w:t>
      </w:r>
      <w:r w:rsidR="00A22898">
        <w:rPr>
          <w:rFonts w:asciiTheme="minorHAnsi" w:hAnsiTheme="minorHAnsi"/>
          <w:sz w:val="24"/>
        </w:rPr>
        <w:t xml:space="preserve"> – noting that they believed use would be predominantly last line.</w:t>
      </w:r>
      <w:r w:rsidR="0026216C">
        <w:rPr>
          <w:rFonts w:asciiTheme="minorHAnsi" w:hAnsiTheme="minorHAnsi"/>
          <w:sz w:val="24"/>
        </w:rPr>
        <w:t xml:space="preserve"> The </w:t>
      </w:r>
      <w:r w:rsidR="00D97B32">
        <w:rPr>
          <w:rFonts w:asciiTheme="minorHAnsi" w:hAnsiTheme="minorHAnsi"/>
          <w:sz w:val="24"/>
        </w:rPr>
        <w:t xml:space="preserve">presenter </w:t>
      </w:r>
      <w:r w:rsidR="0026216C">
        <w:rPr>
          <w:rFonts w:asciiTheme="minorHAnsi" w:hAnsiTheme="minorHAnsi"/>
          <w:sz w:val="24"/>
        </w:rPr>
        <w:t>acknowledg</w:t>
      </w:r>
      <w:r w:rsidR="0004513E">
        <w:rPr>
          <w:rFonts w:asciiTheme="minorHAnsi" w:hAnsiTheme="minorHAnsi"/>
          <w:sz w:val="24"/>
        </w:rPr>
        <w:t>ed</w:t>
      </w:r>
      <w:r w:rsidR="0026216C">
        <w:rPr>
          <w:rFonts w:asciiTheme="minorHAnsi" w:hAnsiTheme="minorHAnsi"/>
          <w:sz w:val="24"/>
        </w:rPr>
        <w:t xml:space="preserve"> </w:t>
      </w:r>
      <w:r w:rsidR="0004513E">
        <w:rPr>
          <w:rFonts w:asciiTheme="minorHAnsi" w:hAnsiTheme="minorHAnsi"/>
          <w:sz w:val="24"/>
        </w:rPr>
        <w:t>that there is</w:t>
      </w:r>
      <w:r w:rsidR="0026216C">
        <w:rPr>
          <w:rFonts w:asciiTheme="minorHAnsi" w:hAnsiTheme="minorHAnsi"/>
          <w:sz w:val="24"/>
        </w:rPr>
        <w:t xml:space="preserve"> uncertainty in the model</w:t>
      </w:r>
      <w:r w:rsidR="0004513E">
        <w:rPr>
          <w:rFonts w:asciiTheme="minorHAnsi" w:hAnsiTheme="minorHAnsi"/>
          <w:sz w:val="24"/>
        </w:rPr>
        <w:t>; h</w:t>
      </w:r>
      <w:r w:rsidR="0026216C">
        <w:rPr>
          <w:rFonts w:asciiTheme="minorHAnsi" w:hAnsiTheme="minorHAnsi"/>
          <w:sz w:val="24"/>
        </w:rPr>
        <w:t xml:space="preserve">owever, </w:t>
      </w:r>
      <w:r w:rsidR="0004513E">
        <w:rPr>
          <w:rFonts w:asciiTheme="minorHAnsi" w:hAnsiTheme="minorHAnsi"/>
          <w:sz w:val="24"/>
        </w:rPr>
        <w:t xml:space="preserve">they also </w:t>
      </w:r>
      <w:r w:rsidR="000E140D">
        <w:rPr>
          <w:rFonts w:asciiTheme="minorHAnsi" w:hAnsiTheme="minorHAnsi"/>
          <w:sz w:val="24"/>
        </w:rPr>
        <w:t xml:space="preserve">stated </w:t>
      </w:r>
      <w:r w:rsidR="0004513E">
        <w:rPr>
          <w:rFonts w:asciiTheme="minorHAnsi" w:hAnsiTheme="minorHAnsi"/>
          <w:sz w:val="24"/>
        </w:rPr>
        <w:t>that it is</w:t>
      </w:r>
      <w:r w:rsidR="0026216C">
        <w:rPr>
          <w:rFonts w:asciiTheme="minorHAnsi" w:hAnsiTheme="minorHAnsi"/>
          <w:sz w:val="24"/>
        </w:rPr>
        <w:t xml:space="preserve"> challeng</w:t>
      </w:r>
      <w:r w:rsidR="0004513E">
        <w:rPr>
          <w:rFonts w:asciiTheme="minorHAnsi" w:hAnsiTheme="minorHAnsi"/>
          <w:sz w:val="24"/>
        </w:rPr>
        <w:t>ing</w:t>
      </w:r>
      <w:r w:rsidR="0026216C">
        <w:rPr>
          <w:rFonts w:asciiTheme="minorHAnsi" w:hAnsiTheme="minorHAnsi"/>
          <w:sz w:val="24"/>
        </w:rPr>
        <w:t xml:space="preserve"> to model epilepsy and </w:t>
      </w:r>
      <w:r w:rsidR="0004513E">
        <w:rPr>
          <w:rFonts w:asciiTheme="minorHAnsi" w:hAnsiTheme="minorHAnsi"/>
          <w:sz w:val="24"/>
        </w:rPr>
        <w:t xml:space="preserve">that </w:t>
      </w:r>
      <w:r w:rsidR="0026216C">
        <w:rPr>
          <w:rFonts w:asciiTheme="minorHAnsi" w:hAnsiTheme="minorHAnsi"/>
          <w:sz w:val="24"/>
        </w:rPr>
        <w:t>any model</w:t>
      </w:r>
      <w:r w:rsidR="000E140D">
        <w:rPr>
          <w:rFonts w:asciiTheme="minorHAnsi" w:hAnsiTheme="minorHAnsi"/>
          <w:sz w:val="24"/>
        </w:rPr>
        <w:t>, based on currently available data,</w:t>
      </w:r>
      <w:r w:rsidR="0026216C">
        <w:rPr>
          <w:rFonts w:asciiTheme="minorHAnsi" w:hAnsiTheme="minorHAnsi"/>
          <w:sz w:val="24"/>
        </w:rPr>
        <w:t xml:space="preserve"> will contain a level of uncertainty.</w:t>
      </w:r>
      <w:r w:rsidR="0004513E">
        <w:rPr>
          <w:rFonts w:asciiTheme="minorHAnsi" w:hAnsiTheme="minorHAnsi"/>
          <w:sz w:val="24"/>
        </w:rPr>
        <w:t xml:space="preserve"> They further</w:t>
      </w:r>
      <w:r w:rsidR="0026216C">
        <w:rPr>
          <w:rFonts w:asciiTheme="minorHAnsi" w:hAnsiTheme="minorHAnsi"/>
          <w:sz w:val="24"/>
        </w:rPr>
        <w:t xml:space="preserve"> noted that </w:t>
      </w:r>
      <w:r w:rsidR="0004513E">
        <w:rPr>
          <w:rFonts w:asciiTheme="minorHAnsi" w:hAnsiTheme="minorHAnsi"/>
          <w:sz w:val="24"/>
        </w:rPr>
        <w:t xml:space="preserve">any future </w:t>
      </w:r>
      <w:r w:rsidR="0026216C">
        <w:rPr>
          <w:rFonts w:asciiTheme="minorHAnsi" w:hAnsiTheme="minorHAnsi"/>
          <w:sz w:val="24"/>
        </w:rPr>
        <w:t xml:space="preserve">resubmissions to address the model </w:t>
      </w:r>
      <w:r w:rsidR="0004513E">
        <w:rPr>
          <w:rFonts w:asciiTheme="minorHAnsi" w:hAnsiTheme="minorHAnsi"/>
          <w:sz w:val="24"/>
        </w:rPr>
        <w:t>would be</w:t>
      </w:r>
      <w:r w:rsidR="0026216C">
        <w:rPr>
          <w:rFonts w:asciiTheme="minorHAnsi" w:hAnsiTheme="minorHAnsi"/>
          <w:sz w:val="24"/>
        </w:rPr>
        <w:t xml:space="preserve"> unlikely to provide substantially different outcomes. </w:t>
      </w:r>
      <w:r w:rsidR="00A22898">
        <w:rPr>
          <w:rFonts w:asciiTheme="minorHAnsi" w:hAnsiTheme="minorHAnsi"/>
          <w:sz w:val="24"/>
        </w:rPr>
        <w:t xml:space="preserve">In addition to the hearing the sponsor provided a written expert clinician opinion statement to members. The statement noted that currently appropriate treatment options for patients with PGTC seizures in IGE can be quite limited. </w:t>
      </w:r>
      <w:r>
        <w:rPr>
          <w:rFonts w:asciiTheme="minorHAnsi" w:hAnsiTheme="minorHAnsi"/>
          <w:sz w:val="24"/>
        </w:rPr>
        <w:t xml:space="preserve">The PBAC considered that the hearing was informative as it provided a clinical perspective on treating this </w:t>
      </w:r>
      <w:r w:rsidR="003D31B8">
        <w:rPr>
          <w:rFonts w:asciiTheme="minorHAnsi" w:hAnsiTheme="minorHAnsi"/>
          <w:sz w:val="24"/>
        </w:rPr>
        <w:t>disease</w:t>
      </w:r>
      <w:r>
        <w:rPr>
          <w:rFonts w:asciiTheme="minorHAnsi" w:hAnsiTheme="minorHAnsi"/>
          <w:sz w:val="24"/>
        </w:rPr>
        <w:t>.</w:t>
      </w:r>
    </w:p>
    <w:p w:rsidR="00824BC8" w:rsidRPr="00824BC8" w:rsidRDefault="00824BC8" w:rsidP="00824BC8"/>
    <w:p w:rsidR="00824BC8" w:rsidRDefault="00824BC8" w:rsidP="00824BC8">
      <w:pPr>
        <w:pStyle w:val="Heading2"/>
        <w:rPr>
          <w:rFonts w:asciiTheme="minorHAnsi" w:hAnsiTheme="minorHAnsi"/>
          <w:i/>
          <w:sz w:val="28"/>
          <w:szCs w:val="28"/>
        </w:rPr>
      </w:pPr>
      <w:r>
        <w:rPr>
          <w:rFonts w:asciiTheme="minorHAnsi" w:hAnsiTheme="minorHAnsi"/>
          <w:i/>
          <w:sz w:val="28"/>
          <w:szCs w:val="28"/>
        </w:rPr>
        <w:t xml:space="preserve">Consumer comments </w:t>
      </w:r>
    </w:p>
    <w:p w:rsidR="004D0E31" w:rsidRPr="004D0E31" w:rsidRDefault="004D0E31" w:rsidP="004D0E31"/>
    <w:p w:rsidR="00824BC8" w:rsidRPr="00242572" w:rsidRDefault="00824BC8" w:rsidP="001265AE">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w:t>
      </w:r>
      <w:r>
        <w:rPr>
          <w:rFonts w:asciiTheme="minorHAnsi" w:hAnsiTheme="minorHAnsi"/>
          <w:sz w:val="24"/>
        </w:rPr>
        <w:t xml:space="preserve">PBAC noted that no consumer comments were received for this item. </w:t>
      </w:r>
    </w:p>
    <w:p w:rsidR="00824BC8" w:rsidRDefault="00824BC8" w:rsidP="00824BC8">
      <w:pPr>
        <w:pStyle w:val="05-NormalBodyText"/>
      </w:pPr>
    </w:p>
    <w:p w:rsidR="001B0F98" w:rsidRPr="00242572" w:rsidRDefault="00FC59E0" w:rsidP="006D013A">
      <w:pPr>
        <w:pStyle w:val="Heading2"/>
        <w:rPr>
          <w:rFonts w:asciiTheme="minorHAnsi" w:hAnsiTheme="minorHAnsi"/>
          <w:i/>
          <w:sz w:val="28"/>
          <w:szCs w:val="28"/>
        </w:rPr>
      </w:pPr>
      <w:r w:rsidRPr="00242572">
        <w:rPr>
          <w:rFonts w:asciiTheme="minorHAnsi" w:hAnsiTheme="minorHAnsi"/>
          <w:i/>
          <w:sz w:val="28"/>
          <w:szCs w:val="28"/>
        </w:rPr>
        <w:t>Clinical trials</w:t>
      </w:r>
      <w:bookmarkEnd w:id="16"/>
      <w:bookmarkEnd w:id="17"/>
      <w:bookmarkEnd w:id="18"/>
    </w:p>
    <w:p w:rsidR="006D013A" w:rsidRPr="00242572" w:rsidRDefault="006D013A" w:rsidP="006D013A">
      <w:pPr>
        <w:rPr>
          <w:rFonts w:asciiTheme="minorHAnsi" w:hAnsiTheme="minorHAnsi"/>
          <w:sz w:val="24"/>
        </w:rPr>
      </w:pP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re-submission was based on one head-to-head trial (E2007-G000-332, referred to as Trial 332) comparing perampanel plus standard care to placebo plus standard care (n=164).  This trial is the same as that presented in the previous submission and </w:t>
      </w:r>
      <w:r w:rsidR="00485984" w:rsidRPr="00242572">
        <w:rPr>
          <w:rFonts w:asciiTheme="minorHAnsi" w:hAnsiTheme="minorHAnsi"/>
          <w:sz w:val="24"/>
        </w:rPr>
        <w:t>was</w:t>
      </w:r>
      <w:r w:rsidRPr="00242572">
        <w:rPr>
          <w:rFonts w:asciiTheme="minorHAnsi" w:hAnsiTheme="minorHAnsi"/>
          <w:sz w:val="24"/>
        </w:rPr>
        <w:t xml:space="preserve"> considered by the PBAC in July 2016. </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re-submission was also based on indirect comparisons of perampanel versus lamotrigine</w:t>
      </w:r>
      <w:r w:rsidR="007C2B28" w:rsidRPr="00242572">
        <w:rPr>
          <w:rFonts w:asciiTheme="minorHAnsi" w:hAnsiTheme="minorHAnsi"/>
          <w:sz w:val="24"/>
        </w:rPr>
        <w:t xml:space="preserve"> or</w:t>
      </w:r>
      <w:r w:rsidR="003C5422" w:rsidRPr="00242572">
        <w:rPr>
          <w:rFonts w:asciiTheme="minorHAnsi" w:hAnsiTheme="minorHAnsi"/>
          <w:sz w:val="24"/>
        </w:rPr>
        <w:t xml:space="preserve"> </w:t>
      </w:r>
      <w:r w:rsidRPr="00242572">
        <w:rPr>
          <w:rFonts w:asciiTheme="minorHAnsi" w:hAnsiTheme="minorHAnsi"/>
          <w:sz w:val="24"/>
        </w:rPr>
        <w:t>levetiracetam via one perampanel trial (Trial 332), two lamotrigine trials (Biton 2005 and Biton 2010 trials) and one levetiracetam trial (Berkovic 2007 trial) with placebo as the common reference.</w:t>
      </w:r>
    </w:p>
    <w:p w:rsidR="001B0F98" w:rsidRPr="00242572" w:rsidRDefault="001B0F98" w:rsidP="006441EA">
      <w:pPr>
        <w:pStyle w:val="ListParagraph"/>
        <w:widowControl/>
        <w:numPr>
          <w:ilvl w:val="0"/>
          <w:numId w:val="7"/>
        </w:numPr>
        <w:spacing w:after="120"/>
        <w:contextualSpacing w:val="0"/>
        <w:rPr>
          <w:rFonts w:asciiTheme="minorHAnsi" w:hAnsiTheme="minorHAnsi"/>
          <w:sz w:val="24"/>
        </w:rPr>
      </w:pPr>
      <w:r w:rsidRPr="00242572">
        <w:rPr>
          <w:rFonts w:asciiTheme="minorHAnsi" w:hAnsiTheme="minorHAnsi"/>
          <w:sz w:val="24"/>
        </w:rPr>
        <w:t>Biton 2005, a randomized placebo controlled trial evaluating the efficacy and safety of adjunctive lamotrigine immediate-release (IR) in epileptic patients with PGTC seizures (dose of lamotrigine depended on patient age and concomitant AEDs) (n=121); it was not clear whether patients had to have IGE to be included in this trial.</w:t>
      </w:r>
    </w:p>
    <w:p w:rsidR="001B0F98" w:rsidRPr="00242572" w:rsidRDefault="001B0F98" w:rsidP="006441EA">
      <w:pPr>
        <w:pStyle w:val="ListParagraph"/>
        <w:widowControl/>
        <w:numPr>
          <w:ilvl w:val="0"/>
          <w:numId w:val="7"/>
        </w:numPr>
        <w:spacing w:after="120"/>
        <w:contextualSpacing w:val="0"/>
        <w:rPr>
          <w:rFonts w:asciiTheme="minorHAnsi" w:hAnsiTheme="minorHAnsi"/>
          <w:sz w:val="24"/>
        </w:rPr>
      </w:pPr>
      <w:r w:rsidRPr="00242572">
        <w:rPr>
          <w:rFonts w:asciiTheme="minorHAnsi" w:hAnsiTheme="minorHAnsi"/>
          <w:sz w:val="24"/>
        </w:rPr>
        <w:t xml:space="preserve">Biton 2010, a randomized placebo controlled trial evaluating the efficacy and safety of adjunctive lamotrigine extended-release (XR) in epileptic patients with PGTC seizures; extended-release lamotrigine is not listed on the TGA Australian Register of Therapeutic Goods (ARTG) and, therefore, Biton 2010 has been </w:t>
      </w:r>
      <w:r w:rsidRPr="002E4AFC">
        <w:rPr>
          <w:rFonts w:asciiTheme="minorHAnsi" w:hAnsiTheme="minorHAnsi"/>
          <w:sz w:val="24"/>
        </w:rPr>
        <w:t>excluded from evaluation</w:t>
      </w:r>
      <w:r w:rsidR="002E4AFC" w:rsidRPr="002E4AFC">
        <w:rPr>
          <w:rFonts w:asciiTheme="minorHAnsi" w:hAnsiTheme="minorHAnsi"/>
          <w:sz w:val="24"/>
        </w:rPr>
        <w:t>.</w:t>
      </w:r>
    </w:p>
    <w:p w:rsidR="001B0F98" w:rsidRPr="00242572" w:rsidRDefault="001B0F98" w:rsidP="006441EA">
      <w:pPr>
        <w:pStyle w:val="ListParagraph"/>
        <w:widowControl/>
        <w:numPr>
          <w:ilvl w:val="0"/>
          <w:numId w:val="7"/>
        </w:numPr>
        <w:spacing w:after="120"/>
        <w:contextualSpacing w:val="0"/>
        <w:rPr>
          <w:rFonts w:asciiTheme="minorHAnsi" w:hAnsiTheme="minorHAnsi"/>
          <w:sz w:val="24"/>
        </w:rPr>
      </w:pPr>
      <w:r w:rsidRPr="00242572">
        <w:rPr>
          <w:rFonts w:asciiTheme="minorHAnsi" w:hAnsiTheme="minorHAnsi"/>
          <w:sz w:val="24"/>
        </w:rPr>
        <w:t>Berkovic 2007, a randomized placebo controlled trial evaluating the efficacy and safety of adjunctive levetiracetam in patients with generalised tonic-clonic (GTC) seizures associated with IGE (n=164).</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Details of the trials presented in the re-submission ar</w:t>
      </w:r>
      <w:r w:rsidR="00451922" w:rsidRPr="00242572">
        <w:rPr>
          <w:rFonts w:asciiTheme="minorHAnsi" w:hAnsiTheme="minorHAnsi"/>
          <w:sz w:val="24"/>
        </w:rPr>
        <w:t>e provided in the table below.</w:t>
      </w:r>
    </w:p>
    <w:p w:rsidR="00482F0F" w:rsidRDefault="00482F0F" w:rsidP="00482F0F">
      <w:pPr>
        <w:pStyle w:val="Caption"/>
      </w:pPr>
      <w:r>
        <w:t xml:space="preserve">Table </w:t>
      </w:r>
      <w:fldSimple w:instr=" SEQ Table \* ARABIC ">
        <w:r w:rsidR="000B634D">
          <w:rPr>
            <w:noProof/>
          </w:rPr>
          <w:t>3</w:t>
        </w:r>
      </w:fldSimple>
      <w:r w:rsidRPr="001254F3">
        <w:t>: Trials and associated reports presented in the re-submission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4"/>
        <w:gridCol w:w="4121"/>
        <w:gridCol w:w="2820"/>
      </w:tblGrid>
      <w:tr w:rsidR="001B0F98" w:rsidRPr="00242572" w:rsidTr="004738B2">
        <w:trPr>
          <w:trHeight w:val="161"/>
        </w:trPr>
        <w:tc>
          <w:tcPr>
            <w:tcW w:w="1180"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rPr>
                <w:b/>
              </w:rPr>
            </w:pPr>
            <w:r w:rsidRPr="00242572">
              <w:rPr>
                <w:rFonts w:cs="Arial"/>
                <w:b/>
                <w:lang w:eastAsia="en-AU"/>
              </w:rPr>
              <w:t>Trial ID</w:t>
            </w:r>
          </w:p>
        </w:tc>
        <w:tc>
          <w:tcPr>
            <w:tcW w:w="2268"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keepNext/>
              <w:keepLines/>
              <w:contextualSpacing/>
              <w:jc w:val="center"/>
              <w:rPr>
                <w:rFonts w:ascii="Arial Narrow" w:hAnsi="Arial Narrow"/>
                <w:sz w:val="20"/>
              </w:rPr>
            </w:pPr>
            <w:r w:rsidRPr="00242572">
              <w:rPr>
                <w:rFonts w:ascii="Arial Narrow" w:hAnsi="Arial Narrow"/>
                <w:b/>
                <w:sz w:val="20"/>
              </w:rPr>
              <w:t>Protocol title/ Publication title</w:t>
            </w:r>
          </w:p>
        </w:tc>
        <w:tc>
          <w:tcPr>
            <w:tcW w:w="1552"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keepNext/>
              <w:keepLines/>
              <w:contextualSpacing/>
              <w:jc w:val="center"/>
              <w:rPr>
                <w:rFonts w:ascii="Arial Narrow" w:hAnsi="Arial Narrow"/>
                <w:sz w:val="20"/>
              </w:rPr>
            </w:pPr>
            <w:r w:rsidRPr="00242572">
              <w:rPr>
                <w:rFonts w:ascii="Arial Narrow" w:hAnsi="Arial Narrow"/>
                <w:b/>
                <w:sz w:val="20"/>
              </w:rPr>
              <w:t>Publication citation</w:t>
            </w:r>
          </w:p>
        </w:tc>
      </w:tr>
      <w:tr w:rsidR="001B0F98" w:rsidRPr="00242572" w:rsidTr="001B0F98">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0F98" w:rsidRPr="00242572" w:rsidRDefault="001B0F98" w:rsidP="00DB2644">
            <w:pPr>
              <w:keepNext/>
              <w:keepLines/>
              <w:contextualSpacing/>
              <w:rPr>
                <w:rFonts w:ascii="Arial Narrow" w:hAnsi="Arial Narrow"/>
                <w:b/>
                <w:sz w:val="20"/>
              </w:rPr>
            </w:pPr>
            <w:r w:rsidRPr="00242572">
              <w:rPr>
                <w:rFonts w:ascii="Arial Narrow" w:hAnsi="Arial Narrow"/>
                <w:b/>
                <w:sz w:val="20"/>
              </w:rPr>
              <w:t>Direct trial, and used in the indirect comparisons</w:t>
            </w:r>
          </w:p>
        </w:tc>
      </w:tr>
      <w:tr w:rsidR="001B0F98" w:rsidRPr="00242572" w:rsidTr="001B0F98">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0F98" w:rsidRPr="00242572" w:rsidRDefault="007C2B28" w:rsidP="00DB2644">
            <w:pPr>
              <w:keepNext/>
              <w:keepLines/>
              <w:contextualSpacing/>
              <w:rPr>
                <w:rFonts w:ascii="Arial Narrow" w:hAnsi="Arial Narrow"/>
                <w:b/>
                <w:sz w:val="20"/>
              </w:rPr>
            </w:pPr>
            <w:r w:rsidRPr="00242572">
              <w:rPr>
                <w:rFonts w:ascii="Arial Narrow" w:hAnsi="Arial Narrow"/>
                <w:b/>
                <w:sz w:val="20"/>
              </w:rPr>
              <w:t xml:space="preserve">Perampanel </w:t>
            </w:r>
            <w:r w:rsidR="001B0F98" w:rsidRPr="00242572">
              <w:rPr>
                <w:rFonts w:ascii="Arial Narrow" w:hAnsi="Arial Narrow"/>
                <w:b/>
                <w:sz w:val="20"/>
              </w:rPr>
              <w:t>versus placebo</w:t>
            </w:r>
          </w:p>
        </w:tc>
      </w:tr>
      <w:tr w:rsidR="001B0F98" w:rsidRPr="00242572" w:rsidTr="004738B2">
        <w:tc>
          <w:tcPr>
            <w:tcW w:w="1180"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rPr>
                <w:rFonts w:cs="Arial"/>
                <w:lang w:eastAsia="en-AU"/>
              </w:rPr>
            </w:pPr>
            <w:r w:rsidRPr="00242572">
              <w:t>Trial 332</w:t>
            </w:r>
          </w:p>
        </w:tc>
        <w:tc>
          <w:tcPr>
            <w:tcW w:w="2268"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keepNext/>
              <w:keepLines/>
              <w:spacing w:before="100" w:beforeAutospacing="1"/>
              <w:contextualSpacing/>
              <w:rPr>
                <w:rFonts w:ascii="Arial Narrow" w:hAnsi="Arial Narrow"/>
                <w:sz w:val="20"/>
              </w:rPr>
            </w:pPr>
            <w:r w:rsidRPr="00242572">
              <w:rPr>
                <w:rFonts w:ascii="Arial Narrow" w:hAnsi="Arial Narrow"/>
                <w:sz w:val="20"/>
              </w:rPr>
              <w:t xml:space="preserve">Clinical study report.  </w:t>
            </w: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 xml:space="preserve">A Double-Blind, Randomized, Placebo-Controlled, Multicenter, Parallel-Group Study with an Open-Label Extension Phase to Evaluate the Efficacy and Safety of Adjunctive Perampanel in Primary Generalized Tonic-Clonic Seizures. </w:t>
            </w: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 xml:space="preserve">French JA et.  al.  Perampanel for tonic-clonic seizures in idiopathic generalized epilepsy: a randomized trial. </w:t>
            </w: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 xml:space="preserve">French JA et.  al.  Adjunctive perampanel for the treatment of drug-resistant primary generalized tonic-clonic (PGTC) seizures in patients with idiopathic generalized epilepsy (IGE): A double-blind randomized placebo-controlled phase III trial. </w:t>
            </w: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 xml:space="preserve">French JA et al.  Adjunctive perampanel (PER) for treatment of drug-resistant primary generalized tonic-clonic (PGTC) seizures in patients (PTS) with idiopathic generalized epilepsy (IGE): A double-blind, randomized, placebo-controlled phase III trial. </w:t>
            </w: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 xml:space="preserve">French et al. Adjunctive perampanel RCT for PGTC seizures. </w:t>
            </w: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 xml:space="preserve">Steinhoff BJ et al.  Efficacy of adjunctive perampanel in idiopathic generalised epilepsy patients with drug-resistant primary generalised tonic-clonic seizures by age, sex, race: A double-blind PBO-controlled phase 3 trial. </w:t>
            </w:r>
          </w:p>
          <w:p w:rsidR="001B0F98" w:rsidRPr="00242572" w:rsidRDefault="001B0F98" w:rsidP="00DB2644">
            <w:pPr>
              <w:pStyle w:val="TableText0"/>
              <w:keepNext/>
              <w:keepLines/>
              <w:rPr>
                <w:rFonts w:cs="Arial"/>
                <w:lang w:eastAsia="en-AU"/>
              </w:rPr>
            </w:pPr>
            <w:r w:rsidRPr="00242572">
              <w:t xml:space="preserve">Krauss et al. Relationship between perampanel exposure, seizure outcomes and treatment-emergent adverse events (TEAEs) in patients with primary generalized tonic-clonic seizures (PGTCS): A randomised, double-blind (DB) phase III study. </w:t>
            </w:r>
          </w:p>
        </w:tc>
        <w:tc>
          <w:tcPr>
            <w:tcW w:w="1552"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keepNext/>
              <w:keepLines/>
              <w:spacing w:before="100" w:beforeAutospacing="1"/>
              <w:contextualSpacing/>
              <w:rPr>
                <w:rFonts w:ascii="Arial Narrow" w:hAnsi="Arial Narrow"/>
                <w:sz w:val="20"/>
              </w:rPr>
            </w:pPr>
            <w:r w:rsidRPr="00242572">
              <w:rPr>
                <w:rFonts w:ascii="Arial Narrow" w:hAnsi="Arial Narrow"/>
                <w:sz w:val="20"/>
              </w:rPr>
              <w:t>18 July 2014</w:t>
            </w: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spacing w:after="40"/>
              <w:rPr>
                <w:rFonts w:ascii="Arial Narrow" w:hAnsi="Arial Narrow"/>
                <w:sz w:val="20"/>
              </w:rPr>
            </w:pPr>
          </w:p>
          <w:p w:rsidR="001B0F98" w:rsidRPr="00242572" w:rsidRDefault="001B0F98" w:rsidP="00DB2644">
            <w:pPr>
              <w:keepNext/>
              <w:keepLines/>
              <w:spacing w:after="40"/>
              <w:rPr>
                <w:rFonts w:ascii="Arial Narrow" w:hAnsi="Arial Narrow"/>
                <w:sz w:val="20"/>
              </w:rPr>
            </w:pPr>
          </w:p>
          <w:p w:rsidR="001B0F98" w:rsidRPr="00242572" w:rsidRDefault="001B0F98" w:rsidP="00DB2644">
            <w:pPr>
              <w:keepNext/>
              <w:keepLines/>
              <w:contextualSpacing/>
              <w:rPr>
                <w:rFonts w:ascii="Arial Narrow" w:hAnsi="Arial Narrow"/>
                <w:sz w:val="20"/>
              </w:rPr>
            </w:pPr>
            <w:r w:rsidRPr="00242572">
              <w:rPr>
                <w:rFonts w:ascii="Arial Narrow" w:hAnsi="Arial Narrow"/>
                <w:sz w:val="20"/>
              </w:rPr>
              <w:t>Neurology 2015; 85:1-8</w:t>
            </w: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r w:rsidRPr="00242572">
              <w:rPr>
                <w:rFonts w:ascii="Arial Narrow" w:hAnsi="Arial Narrow"/>
                <w:sz w:val="20"/>
              </w:rPr>
              <w:t>Neurology 2015; 84 (14):S31.007</w:t>
            </w: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r w:rsidRPr="00242572">
              <w:rPr>
                <w:rFonts w:ascii="Arial Narrow" w:hAnsi="Arial Narrow"/>
                <w:sz w:val="20"/>
              </w:rPr>
              <w:t>Epilepsy Currents 2015; 85:367</w:t>
            </w: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spacing w:after="40"/>
              <w:rPr>
                <w:rFonts w:ascii="Arial Narrow" w:hAnsi="Arial Narrow"/>
                <w:sz w:val="20"/>
              </w:rPr>
            </w:pPr>
            <w:r w:rsidRPr="00242572">
              <w:rPr>
                <w:rFonts w:ascii="Arial Narrow" w:hAnsi="Arial Narrow"/>
                <w:sz w:val="20"/>
              </w:rPr>
              <w:t>Journal of Neurology, Neurosurgery and Psychiatry 2015; 86 (11)</w:t>
            </w:r>
          </w:p>
          <w:p w:rsidR="001B0F98" w:rsidRPr="00242572" w:rsidRDefault="001B0F98" w:rsidP="00DB2644">
            <w:pPr>
              <w:keepNext/>
              <w:keepLines/>
              <w:contextualSpacing/>
              <w:rPr>
                <w:rFonts w:ascii="Arial Narrow" w:hAnsi="Arial Narrow"/>
                <w:sz w:val="20"/>
              </w:rPr>
            </w:pPr>
            <w:r w:rsidRPr="00242572">
              <w:rPr>
                <w:rFonts w:ascii="Arial Narrow" w:hAnsi="Arial Narrow"/>
                <w:sz w:val="20"/>
              </w:rPr>
              <w:t>European Journal of Neurology 2015; 22:64-65</w:t>
            </w: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p>
          <w:p w:rsidR="001B0F98" w:rsidRPr="00242572" w:rsidRDefault="001B0F98" w:rsidP="00DB2644">
            <w:pPr>
              <w:keepNext/>
              <w:keepLines/>
              <w:spacing w:after="40"/>
              <w:contextualSpacing/>
              <w:rPr>
                <w:rFonts w:ascii="Arial Narrow" w:hAnsi="Arial Narrow"/>
                <w:sz w:val="20"/>
              </w:rPr>
            </w:pPr>
          </w:p>
          <w:p w:rsidR="003C5422" w:rsidRPr="00242572" w:rsidRDefault="003C5422" w:rsidP="00DB2644">
            <w:pPr>
              <w:keepNext/>
              <w:keepLines/>
              <w:spacing w:after="40"/>
              <w:contextualSpacing/>
              <w:rPr>
                <w:rFonts w:ascii="Arial Narrow" w:hAnsi="Arial Narrow"/>
                <w:sz w:val="20"/>
              </w:rPr>
            </w:pPr>
          </w:p>
          <w:p w:rsidR="001B0F98" w:rsidRPr="00242572" w:rsidRDefault="001B0F98" w:rsidP="00DB2644">
            <w:pPr>
              <w:keepNext/>
              <w:keepLines/>
              <w:contextualSpacing/>
              <w:rPr>
                <w:rFonts w:ascii="Arial Narrow" w:hAnsi="Arial Narrow"/>
                <w:sz w:val="20"/>
              </w:rPr>
            </w:pPr>
            <w:r w:rsidRPr="00242572">
              <w:rPr>
                <w:rFonts w:ascii="Arial Narrow" w:hAnsi="Arial Narrow"/>
                <w:sz w:val="20"/>
              </w:rPr>
              <w:t>Neurology 2016; 86(16)</w:t>
            </w:r>
          </w:p>
        </w:tc>
      </w:tr>
      <w:tr w:rsidR="001B0F98" w:rsidRPr="00242572" w:rsidTr="001B0F98">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0F98" w:rsidRPr="00242572" w:rsidRDefault="001B0F98" w:rsidP="00DB2644">
            <w:pPr>
              <w:pStyle w:val="TableText0"/>
              <w:keepNext/>
              <w:keepLines/>
            </w:pPr>
            <w:r w:rsidRPr="00242572">
              <w:rPr>
                <w:b/>
              </w:rPr>
              <w:t>Indirect comparisons</w:t>
            </w:r>
          </w:p>
        </w:tc>
      </w:tr>
      <w:tr w:rsidR="001B0F98" w:rsidRPr="00242572" w:rsidTr="001B0F98">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0F98" w:rsidRPr="00242572" w:rsidRDefault="007C2B28" w:rsidP="00DB2644">
            <w:pPr>
              <w:pStyle w:val="TableText0"/>
              <w:keepNext/>
              <w:keepLines/>
            </w:pPr>
            <w:r w:rsidRPr="00242572">
              <w:rPr>
                <w:b/>
              </w:rPr>
              <w:t xml:space="preserve">Lamotrigine </w:t>
            </w:r>
            <w:r w:rsidR="001B0F98" w:rsidRPr="00242572">
              <w:rPr>
                <w:b/>
              </w:rPr>
              <w:t>versus placebo</w:t>
            </w:r>
          </w:p>
        </w:tc>
      </w:tr>
      <w:tr w:rsidR="001B0F98" w:rsidRPr="00242572" w:rsidTr="004738B2">
        <w:tc>
          <w:tcPr>
            <w:tcW w:w="1180"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rPr>
                <w:rFonts w:cs="Arial"/>
                <w:lang w:eastAsia="en-AU"/>
              </w:rPr>
            </w:pPr>
            <w:r w:rsidRPr="00242572">
              <w:t>Biton 2005</w:t>
            </w:r>
          </w:p>
        </w:tc>
        <w:tc>
          <w:tcPr>
            <w:tcW w:w="2268"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rPr>
                <w:rFonts w:cs="Arial"/>
                <w:lang w:eastAsia="en-AU"/>
              </w:rPr>
            </w:pPr>
            <w:r w:rsidRPr="00242572">
              <w:t xml:space="preserve">Biton, et al. Double-blind, placebo-controlled study of lamotrigine in primary generalized tonic-clonic seizures. </w:t>
            </w:r>
          </w:p>
        </w:tc>
        <w:tc>
          <w:tcPr>
            <w:tcW w:w="1552"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pPr>
            <w:r w:rsidRPr="00242572">
              <w:t>Neurology 2005; 65(11): 1737-1743</w:t>
            </w:r>
          </w:p>
        </w:tc>
      </w:tr>
      <w:tr w:rsidR="001B0F98" w:rsidRPr="00242572" w:rsidTr="004738B2">
        <w:tc>
          <w:tcPr>
            <w:tcW w:w="1180"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pPr>
            <w:r w:rsidRPr="00242572">
              <w:t>Biton 2010</w:t>
            </w:r>
            <w:r w:rsidRPr="00242572">
              <w:rPr>
                <w:vertAlign w:val="superscript"/>
              </w:rPr>
              <w:t>a</w:t>
            </w:r>
          </w:p>
        </w:tc>
        <w:tc>
          <w:tcPr>
            <w:tcW w:w="2268"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pPr>
            <w:r w:rsidRPr="00242572">
              <w:t>Biton et al. Adjunctive lamotrigine XR for primary generalized tonic-clonic seizures in a randomised, placebo-controlled study.</w:t>
            </w:r>
          </w:p>
        </w:tc>
        <w:tc>
          <w:tcPr>
            <w:tcW w:w="1552"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pPr>
            <w:r w:rsidRPr="00242572">
              <w:t>Epilepsy Behav 2010; 19(3): 352-358.</w:t>
            </w:r>
          </w:p>
        </w:tc>
      </w:tr>
      <w:tr w:rsidR="001B0F98" w:rsidRPr="00242572" w:rsidTr="001B0F98">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B0F98" w:rsidRPr="00242572" w:rsidRDefault="007C2B28" w:rsidP="00DB2644">
            <w:pPr>
              <w:pStyle w:val="TableText0"/>
              <w:keepNext/>
              <w:keepLines/>
              <w:rPr>
                <w:rFonts w:cs="Arial"/>
                <w:lang w:eastAsia="en-AU"/>
              </w:rPr>
            </w:pPr>
            <w:r w:rsidRPr="00242572">
              <w:rPr>
                <w:b/>
              </w:rPr>
              <w:t xml:space="preserve">Levetiracetam </w:t>
            </w:r>
            <w:r w:rsidR="001B0F98" w:rsidRPr="00242572">
              <w:rPr>
                <w:b/>
              </w:rPr>
              <w:t>versus placebo</w:t>
            </w:r>
          </w:p>
        </w:tc>
      </w:tr>
      <w:tr w:rsidR="001B0F98" w:rsidRPr="00242572" w:rsidTr="004738B2">
        <w:tc>
          <w:tcPr>
            <w:tcW w:w="1180"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rPr>
                <w:rFonts w:cs="Arial"/>
                <w:lang w:eastAsia="en-AU"/>
              </w:rPr>
            </w:pPr>
            <w:r w:rsidRPr="00242572">
              <w:t>Berkovic 2007</w:t>
            </w:r>
          </w:p>
        </w:tc>
        <w:tc>
          <w:tcPr>
            <w:tcW w:w="2268"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rPr>
                <w:rFonts w:cs="Arial"/>
                <w:lang w:eastAsia="en-AU"/>
              </w:rPr>
            </w:pPr>
            <w:r w:rsidRPr="00242572">
              <w:t xml:space="preserve">Berkovic et al. Placebo-controlled study of levetiracetam in idiopathic generalized epilepsy. </w:t>
            </w:r>
          </w:p>
        </w:tc>
        <w:tc>
          <w:tcPr>
            <w:tcW w:w="1552"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0"/>
              <w:keepNext/>
              <w:keepLines/>
            </w:pPr>
            <w:r w:rsidRPr="00242572">
              <w:t>Neurology 2005; 65(11): 1737-1743</w:t>
            </w:r>
          </w:p>
        </w:tc>
      </w:tr>
    </w:tbl>
    <w:p w:rsidR="001B0F98" w:rsidRPr="00242572" w:rsidRDefault="001B0F98" w:rsidP="00DB2644">
      <w:pPr>
        <w:pStyle w:val="TableFooter"/>
        <w:keepNext/>
        <w:keepLines/>
        <w:rPr>
          <w:szCs w:val="18"/>
        </w:rPr>
      </w:pPr>
      <w:r w:rsidRPr="00242572">
        <w:rPr>
          <w:szCs w:val="18"/>
          <w:vertAlign w:val="superscript"/>
        </w:rPr>
        <w:t>a</w:t>
      </w:r>
      <w:r w:rsidRPr="00242572">
        <w:rPr>
          <w:szCs w:val="18"/>
        </w:rPr>
        <w:t xml:space="preserve"> Biton 2010 is not evaluated in the Commentary (Section B(i).2) because extended-release lamotrigine is not listed on the TGA Australian Register of Therapeutic Goods (ARTG).</w:t>
      </w:r>
    </w:p>
    <w:p w:rsidR="001B0F98" w:rsidRPr="00242572" w:rsidRDefault="001B0F98" w:rsidP="00DB2644">
      <w:pPr>
        <w:pStyle w:val="TableFooter"/>
        <w:keepNext/>
        <w:keepLines/>
      </w:pPr>
      <w:r w:rsidRPr="00242572">
        <w:t>Source: Table B.4.2, pp49-50, of the re-submission</w:t>
      </w:r>
    </w:p>
    <w:p w:rsidR="001B0F98" w:rsidRPr="00242572" w:rsidRDefault="001B0F98" w:rsidP="001B0F98">
      <w:pPr>
        <w:widowControl/>
        <w:spacing w:after="120"/>
      </w:pP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key features of the randomised trials (for the direct comparison with placebo and the indirect comparisons with lamotrigine or levetiracetam) are summarised in the table below.  </w:t>
      </w:r>
    </w:p>
    <w:p w:rsidR="00482F0F" w:rsidRDefault="00482F0F" w:rsidP="00482F0F">
      <w:pPr>
        <w:pStyle w:val="Caption"/>
      </w:pPr>
      <w:r>
        <w:t xml:space="preserve">Table </w:t>
      </w:r>
      <w:fldSimple w:instr=" SEQ Table \* ARABIC ">
        <w:r w:rsidR="000B634D">
          <w:rPr>
            <w:noProof/>
          </w:rPr>
          <w:t>4</w:t>
        </w:r>
      </w:fldSimple>
      <w:r w:rsidRPr="00B21534">
        <w:t>: Key features of the included evidence – direct and indirect comparisons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5"/>
        <w:gridCol w:w="545"/>
        <w:gridCol w:w="1050"/>
        <w:gridCol w:w="1006"/>
        <w:gridCol w:w="1528"/>
        <w:gridCol w:w="2125"/>
        <w:gridCol w:w="1944"/>
      </w:tblGrid>
      <w:tr w:rsidR="001B0F98" w:rsidRPr="00242572" w:rsidTr="001B0F98">
        <w:trPr>
          <w:tblHeader/>
        </w:trPr>
        <w:tc>
          <w:tcPr>
            <w:tcW w:w="487" w:type="pct"/>
            <w:shd w:val="clear" w:color="auto" w:fill="auto"/>
            <w:vAlign w:val="center"/>
          </w:tcPr>
          <w:p w:rsidR="001B0F98" w:rsidRPr="00242572" w:rsidRDefault="001B0F98" w:rsidP="001B0F98">
            <w:pPr>
              <w:pStyle w:val="TableText1"/>
              <w:keepNext w:val="0"/>
              <w:widowControl w:val="0"/>
              <w:rPr>
                <w:b/>
              </w:rPr>
            </w:pPr>
            <w:r w:rsidRPr="00242572">
              <w:rPr>
                <w:b/>
              </w:rPr>
              <w:t>Trial</w:t>
            </w:r>
          </w:p>
        </w:tc>
        <w:tc>
          <w:tcPr>
            <w:tcW w:w="300" w:type="pct"/>
            <w:shd w:val="clear" w:color="auto" w:fill="auto"/>
            <w:vAlign w:val="center"/>
          </w:tcPr>
          <w:p w:rsidR="001B0F98" w:rsidRPr="00242572" w:rsidRDefault="001B0F98" w:rsidP="001B0F98">
            <w:pPr>
              <w:pStyle w:val="TableText1"/>
              <w:keepNext w:val="0"/>
              <w:widowControl w:val="0"/>
              <w:rPr>
                <w:b/>
              </w:rPr>
            </w:pPr>
            <w:r w:rsidRPr="00242572">
              <w:rPr>
                <w:b/>
              </w:rPr>
              <w:t>N</w:t>
            </w:r>
          </w:p>
        </w:tc>
        <w:tc>
          <w:tcPr>
            <w:tcW w:w="578" w:type="pct"/>
            <w:shd w:val="clear" w:color="auto" w:fill="auto"/>
            <w:vAlign w:val="center"/>
          </w:tcPr>
          <w:p w:rsidR="001B0F98" w:rsidRPr="00242572" w:rsidRDefault="001B0F98" w:rsidP="00B16339">
            <w:pPr>
              <w:pStyle w:val="TableText1"/>
              <w:keepNext w:val="0"/>
              <w:widowControl w:val="0"/>
              <w:jc w:val="left"/>
              <w:rPr>
                <w:b/>
              </w:rPr>
            </w:pPr>
            <w:r w:rsidRPr="00242572">
              <w:rPr>
                <w:b/>
              </w:rPr>
              <w:t>Design/ duration of follow-up</w:t>
            </w:r>
          </w:p>
        </w:tc>
        <w:tc>
          <w:tcPr>
            <w:tcW w:w="554" w:type="pct"/>
            <w:shd w:val="clear" w:color="auto" w:fill="auto"/>
            <w:vAlign w:val="center"/>
          </w:tcPr>
          <w:p w:rsidR="001B0F98" w:rsidRPr="00242572" w:rsidRDefault="001B0F98" w:rsidP="001B0F98">
            <w:pPr>
              <w:pStyle w:val="TableText1"/>
              <w:keepNext w:val="0"/>
              <w:widowControl w:val="0"/>
              <w:rPr>
                <w:b/>
              </w:rPr>
            </w:pPr>
            <w:r w:rsidRPr="00242572">
              <w:rPr>
                <w:b/>
              </w:rPr>
              <w:t>Risk of bias</w:t>
            </w:r>
          </w:p>
        </w:tc>
        <w:tc>
          <w:tcPr>
            <w:tcW w:w="841" w:type="pct"/>
            <w:shd w:val="clear" w:color="auto" w:fill="auto"/>
            <w:vAlign w:val="center"/>
          </w:tcPr>
          <w:p w:rsidR="001B0F98" w:rsidRPr="00242572" w:rsidRDefault="001B0F98" w:rsidP="001B0F98">
            <w:pPr>
              <w:pStyle w:val="TableText1"/>
              <w:keepNext w:val="0"/>
              <w:widowControl w:val="0"/>
              <w:rPr>
                <w:b/>
              </w:rPr>
            </w:pPr>
            <w:r w:rsidRPr="00242572">
              <w:rPr>
                <w:b/>
              </w:rPr>
              <w:t>Patient population</w:t>
            </w:r>
          </w:p>
        </w:tc>
        <w:tc>
          <w:tcPr>
            <w:tcW w:w="1170" w:type="pct"/>
            <w:shd w:val="clear" w:color="auto" w:fill="auto"/>
            <w:vAlign w:val="center"/>
          </w:tcPr>
          <w:p w:rsidR="001B0F98" w:rsidRPr="00242572" w:rsidRDefault="001B0F98" w:rsidP="001B0F98">
            <w:pPr>
              <w:pStyle w:val="TableText1"/>
              <w:keepNext w:val="0"/>
              <w:widowControl w:val="0"/>
              <w:rPr>
                <w:b/>
              </w:rPr>
            </w:pPr>
            <w:r w:rsidRPr="00242572">
              <w:rPr>
                <w:b/>
              </w:rPr>
              <w:t>Outcomes</w:t>
            </w:r>
          </w:p>
        </w:tc>
        <w:tc>
          <w:tcPr>
            <w:tcW w:w="1070" w:type="pct"/>
            <w:shd w:val="clear" w:color="auto" w:fill="auto"/>
            <w:vAlign w:val="center"/>
          </w:tcPr>
          <w:p w:rsidR="001B0F98" w:rsidRPr="00242572" w:rsidRDefault="001B0F98" w:rsidP="00B16339">
            <w:pPr>
              <w:pStyle w:val="TableText1"/>
              <w:keepNext w:val="0"/>
              <w:widowControl w:val="0"/>
              <w:jc w:val="left"/>
              <w:rPr>
                <w:b/>
              </w:rPr>
            </w:pPr>
            <w:r w:rsidRPr="00242572">
              <w:rPr>
                <w:b/>
              </w:rPr>
              <w:t>Use in modelled evaluation</w:t>
            </w:r>
          </w:p>
        </w:tc>
      </w:tr>
      <w:tr w:rsidR="001B0F98" w:rsidRPr="00242572" w:rsidTr="001B0F98">
        <w:tc>
          <w:tcPr>
            <w:tcW w:w="5000" w:type="pct"/>
            <w:gridSpan w:val="7"/>
            <w:shd w:val="clear" w:color="auto" w:fill="auto"/>
            <w:vAlign w:val="center"/>
          </w:tcPr>
          <w:p w:rsidR="001B0F98" w:rsidRPr="00242572" w:rsidRDefault="001B0F98" w:rsidP="001B0F98">
            <w:pPr>
              <w:pStyle w:val="TableText1"/>
              <w:keepNext w:val="0"/>
              <w:widowControl w:val="0"/>
            </w:pPr>
            <w:r w:rsidRPr="00242572">
              <w:t>Perampanel plus standard care vs. placebo plus standard care</w:t>
            </w:r>
          </w:p>
        </w:tc>
      </w:tr>
      <w:tr w:rsidR="001B0F98" w:rsidRPr="00242572" w:rsidTr="001B0F98">
        <w:tc>
          <w:tcPr>
            <w:tcW w:w="487" w:type="pct"/>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Trial 332</w:t>
            </w:r>
            <w:r w:rsidRPr="00242572">
              <w:rPr>
                <w:vertAlign w:val="superscript"/>
              </w:rPr>
              <w:t>a</w:t>
            </w:r>
          </w:p>
        </w:tc>
        <w:tc>
          <w:tcPr>
            <w:tcW w:w="300" w:type="pct"/>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164</w:t>
            </w:r>
            <w:r w:rsidRPr="00242572">
              <w:rPr>
                <w:vertAlign w:val="superscript"/>
              </w:rPr>
              <w:t>b</w:t>
            </w:r>
          </w:p>
        </w:tc>
        <w:tc>
          <w:tcPr>
            <w:tcW w:w="578" w:type="pct"/>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R, DB, MC</w:t>
            </w:r>
          </w:p>
          <w:p w:rsidR="001B0F98" w:rsidRPr="00242572" w:rsidRDefault="001B0F98" w:rsidP="001B0F98">
            <w:pPr>
              <w:pStyle w:val="TableText1"/>
              <w:keepNext w:val="0"/>
              <w:widowControl w:val="0"/>
              <w:rPr>
                <w:lang w:val="en-US"/>
              </w:rPr>
            </w:pPr>
            <w:r w:rsidRPr="00242572">
              <w:rPr>
                <w:lang w:val="en-US"/>
              </w:rPr>
              <w:t>Treatment: 17 weeks</w:t>
            </w:r>
            <w:r w:rsidRPr="00242572">
              <w:rPr>
                <w:vertAlign w:val="superscript"/>
                <w:lang w:val="en-US"/>
              </w:rPr>
              <w:t>c</w:t>
            </w:r>
            <w:r w:rsidRPr="00242572">
              <w:rPr>
                <w:lang w:val="en-US"/>
              </w:rPr>
              <w:t xml:space="preserve">; Follow-up: </w:t>
            </w:r>
          </w:p>
          <w:p w:rsidR="001B0F98" w:rsidRPr="00242572" w:rsidRDefault="001B0F98" w:rsidP="001B0F98">
            <w:pPr>
              <w:pStyle w:val="TableText1"/>
              <w:keepNext w:val="0"/>
              <w:widowControl w:val="0"/>
              <w:rPr>
                <w:rFonts w:ascii="Times" w:eastAsia="Times New Roman" w:hAnsi="Times" w:cs="Times New Roman"/>
              </w:rPr>
            </w:pPr>
            <w:r w:rsidRPr="00242572">
              <w:rPr>
                <w:lang w:val="en-US"/>
              </w:rPr>
              <w:t>4 weeks</w:t>
            </w:r>
            <w:r w:rsidRPr="00242572">
              <w:rPr>
                <w:vertAlign w:val="superscript"/>
                <w:lang w:val="en-US"/>
              </w:rPr>
              <w:t>d</w:t>
            </w:r>
          </w:p>
        </w:tc>
        <w:tc>
          <w:tcPr>
            <w:tcW w:w="554" w:type="pct"/>
            <w:shd w:val="clear" w:color="auto" w:fill="auto"/>
            <w:vAlign w:val="center"/>
          </w:tcPr>
          <w:p w:rsidR="001B0F98" w:rsidRPr="00242572" w:rsidRDefault="001B0F98" w:rsidP="000B0FCB">
            <w:pPr>
              <w:pStyle w:val="TableText1"/>
              <w:keepNext w:val="0"/>
              <w:widowControl w:val="0"/>
              <w:rPr>
                <w:rFonts w:ascii="Times" w:eastAsia="Times New Roman" w:hAnsi="Times" w:cs="Times New Roman"/>
              </w:rPr>
            </w:pPr>
            <w:r w:rsidRPr="00242572">
              <w:t>Low</w:t>
            </w:r>
          </w:p>
        </w:tc>
        <w:tc>
          <w:tcPr>
            <w:tcW w:w="841" w:type="pct"/>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IGE patients with refractory PGTC seizures</w:t>
            </w:r>
          </w:p>
        </w:tc>
        <w:tc>
          <w:tcPr>
            <w:tcW w:w="1170" w:type="pct"/>
            <w:shd w:val="clear" w:color="auto" w:fill="auto"/>
            <w:vAlign w:val="center"/>
          </w:tcPr>
          <w:p w:rsidR="001B0F98" w:rsidRPr="00242572" w:rsidRDefault="001B0F98" w:rsidP="006605EE">
            <w:pPr>
              <w:jc w:val="left"/>
              <w:rPr>
                <w:rFonts w:ascii="Arial Narrow" w:hAnsi="Arial Narrow"/>
                <w:sz w:val="20"/>
              </w:rPr>
            </w:pPr>
            <w:r w:rsidRPr="00242572">
              <w:rPr>
                <w:rFonts w:ascii="Arial Narrow" w:hAnsi="Arial Narrow"/>
                <w:sz w:val="20"/>
              </w:rPr>
              <w:t>1) Percent change from baseline in PGTC seizure frequency per 28 days during treatment;</w:t>
            </w:r>
          </w:p>
          <w:p w:rsidR="001B0F98" w:rsidRPr="00242572" w:rsidRDefault="001B0F98" w:rsidP="006605EE">
            <w:pPr>
              <w:pStyle w:val="TableText1"/>
              <w:keepNext w:val="0"/>
              <w:widowControl w:val="0"/>
              <w:jc w:val="left"/>
              <w:rPr>
                <w:rFonts w:ascii="Times" w:eastAsia="Times New Roman" w:hAnsi="Times" w:cs="Times New Roman"/>
              </w:rPr>
            </w:pPr>
            <w:r w:rsidRPr="00242572">
              <w:rPr>
                <w:lang w:val="en-US"/>
              </w:rPr>
              <w:t>2) Percentage of subjects experiencing a 50% or greater reduction in PGTC seizure frequency per 28 days in the Maintenance Period relative to baseline (50% PGTC seizure responder rate)</w:t>
            </w:r>
          </w:p>
        </w:tc>
        <w:tc>
          <w:tcPr>
            <w:tcW w:w="1070" w:type="pct"/>
            <w:shd w:val="clear" w:color="auto" w:fill="auto"/>
            <w:vAlign w:val="center"/>
          </w:tcPr>
          <w:p w:rsidR="001B0F98" w:rsidRPr="00242572" w:rsidRDefault="001B0F98" w:rsidP="006605EE">
            <w:pPr>
              <w:pStyle w:val="TableText1"/>
              <w:keepNext w:val="0"/>
              <w:widowControl w:val="0"/>
              <w:jc w:val="left"/>
              <w:rPr>
                <w:rFonts w:ascii="Times" w:eastAsia="Times New Roman" w:hAnsi="Times" w:cs="Times New Roman"/>
              </w:rPr>
            </w:pPr>
            <w:r w:rsidRPr="00242572">
              <w:rPr>
                <w:lang w:val="en-US"/>
              </w:rPr>
              <w:t>The proportion of patients in each response category (seizure increase, &lt;50% seizure reduction, 50-74% seizure reduction, 75-99% seizure reduction or seizure free) in terms of PGTC seizures was used in the model</w:t>
            </w:r>
          </w:p>
        </w:tc>
      </w:tr>
      <w:tr w:rsidR="001B0F98" w:rsidRPr="00242572" w:rsidTr="001B0F98">
        <w:tc>
          <w:tcPr>
            <w:tcW w:w="5000" w:type="pct"/>
            <w:gridSpan w:val="7"/>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Lamotrigine plus standard care vs. placebo plus standard care</w:t>
            </w:r>
          </w:p>
        </w:tc>
      </w:tr>
      <w:tr w:rsidR="001B0F98" w:rsidRPr="00242572" w:rsidTr="001B0F98">
        <w:tc>
          <w:tcPr>
            <w:tcW w:w="487" w:type="pct"/>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Biton 2005</w:t>
            </w:r>
          </w:p>
        </w:tc>
        <w:tc>
          <w:tcPr>
            <w:tcW w:w="300" w:type="pct"/>
            <w:shd w:val="clear" w:color="auto" w:fill="auto"/>
            <w:vAlign w:val="center"/>
          </w:tcPr>
          <w:p w:rsidR="001B0F98" w:rsidRPr="00242572" w:rsidRDefault="001B0F98" w:rsidP="001B0F98">
            <w:pPr>
              <w:pStyle w:val="TableText1"/>
              <w:keepNext w:val="0"/>
              <w:widowControl w:val="0"/>
            </w:pPr>
            <w:r w:rsidRPr="00242572">
              <w:t>121</w:t>
            </w:r>
            <w:r w:rsidRPr="00242572">
              <w:rPr>
                <w:vertAlign w:val="superscript"/>
              </w:rPr>
              <w:t>e</w:t>
            </w:r>
          </w:p>
        </w:tc>
        <w:tc>
          <w:tcPr>
            <w:tcW w:w="578" w:type="pct"/>
            <w:shd w:val="clear" w:color="auto" w:fill="auto"/>
            <w:vAlign w:val="center"/>
          </w:tcPr>
          <w:p w:rsidR="001B0F98" w:rsidRPr="00242572" w:rsidRDefault="001B0F98" w:rsidP="001B0F98">
            <w:pPr>
              <w:pStyle w:val="TableText1"/>
              <w:keepNext w:val="0"/>
              <w:widowControl w:val="0"/>
            </w:pPr>
            <w:r w:rsidRPr="00242572">
              <w:t>R, DB, MC</w:t>
            </w:r>
          </w:p>
          <w:p w:rsidR="001B0F98" w:rsidRPr="00242572" w:rsidRDefault="001B0F98" w:rsidP="001B0F98">
            <w:pPr>
              <w:pStyle w:val="Tabletextcentred"/>
              <w:adjustRightInd w:val="0"/>
              <w:snapToGrid w:val="0"/>
              <w:spacing w:line="256" w:lineRule="auto"/>
              <w:jc w:val="both"/>
              <w:rPr>
                <w:rFonts w:ascii="Arial Narrow" w:hAnsi="Arial Narrow"/>
                <w:sz w:val="20"/>
              </w:rPr>
            </w:pPr>
            <w:r w:rsidRPr="00242572">
              <w:t xml:space="preserve">Treatment: </w:t>
            </w:r>
            <w:r w:rsidRPr="00242572">
              <w:rPr>
                <w:rFonts w:ascii="Arial Narrow" w:hAnsi="Arial Narrow"/>
                <w:sz w:val="20"/>
              </w:rPr>
              <w:t xml:space="preserve">24 weeks </w:t>
            </w:r>
          </w:p>
          <w:p w:rsidR="001B0F98" w:rsidRPr="00242572" w:rsidRDefault="001B0F98" w:rsidP="001B0F98">
            <w:pPr>
              <w:pStyle w:val="Tabletextcentred"/>
              <w:adjustRightInd w:val="0"/>
              <w:snapToGrid w:val="0"/>
              <w:spacing w:line="256" w:lineRule="auto"/>
              <w:jc w:val="both"/>
              <w:rPr>
                <w:rFonts w:ascii="Arial Narrow" w:hAnsi="Arial Narrow"/>
                <w:sz w:val="20"/>
              </w:rPr>
            </w:pPr>
            <w:r w:rsidRPr="00242572">
              <w:rPr>
                <w:rFonts w:ascii="Arial Narrow" w:hAnsi="Arial Narrow"/>
                <w:sz w:val="20"/>
                <w:lang w:eastAsia="zh-CN"/>
              </w:rPr>
              <w:t>(2–12 years)</w:t>
            </w:r>
          </w:p>
          <w:p w:rsidR="001B0F98" w:rsidRPr="00242572" w:rsidRDefault="001B0F98" w:rsidP="001B0F98">
            <w:pPr>
              <w:pStyle w:val="Tabletextcentred"/>
              <w:adjustRightInd w:val="0"/>
              <w:snapToGrid w:val="0"/>
              <w:spacing w:line="256" w:lineRule="auto"/>
              <w:jc w:val="both"/>
              <w:rPr>
                <w:rFonts w:ascii="Arial Narrow" w:hAnsi="Arial Narrow"/>
                <w:sz w:val="20"/>
                <w:lang w:eastAsia="zh-CN"/>
              </w:rPr>
            </w:pPr>
            <w:r w:rsidRPr="00242572">
              <w:rPr>
                <w:rFonts w:ascii="Arial Narrow" w:hAnsi="Arial Narrow"/>
                <w:sz w:val="20"/>
              </w:rPr>
              <w:t xml:space="preserve">19 weeks </w:t>
            </w:r>
            <w:r w:rsidRPr="00242572">
              <w:rPr>
                <w:rFonts w:ascii="Arial Narrow" w:hAnsi="Arial Narrow"/>
                <w:sz w:val="20"/>
                <w:lang w:eastAsia="zh-CN"/>
              </w:rPr>
              <w:t xml:space="preserve">(≥12 years); </w:t>
            </w:r>
          </w:p>
          <w:p w:rsidR="001B0F98" w:rsidRPr="00242572" w:rsidRDefault="001B0F98" w:rsidP="001B0F98">
            <w:pPr>
              <w:pStyle w:val="Tabletextcentred"/>
              <w:adjustRightInd w:val="0"/>
              <w:snapToGrid w:val="0"/>
              <w:spacing w:line="256" w:lineRule="auto"/>
              <w:jc w:val="both"/>
              <w:rPr>
                <w:rFonts w:ascii="Arial Narrow" w:hAnsi="Arial Narrow"/>
                <w:sz w:val="20"/>
                <w:lang w:eastAsia="zh-CN"/>
              </w:rPr>
            </w:pPr>
            <w:r w:rsidRPr="00242572">
              <w:rPr>
                <w:rFonts w:ascii="Arial Narrow" w:hAnsi="Arial Narrow"/>
                <w:sz w:val="20"/>
                <w:lang w:eastAsia="zh-CN"/>
              </w:rPr>
              <w:t xml:space="preserve">Follow-up: </w:t>
            </w:r>
          </w:p>
          <w:p w:rsidR="001B0F98" w:rsidRPr="00242572" w:rsidRDefault="001B0F98" w:rsidP="001B0F98">
            <w:pPr>
              <w:pStyle w:val="Tabletextcentred"/>
              <w:adjustRightInd w:val="0"/>
              <w:snapToGrid w:val="0"/>
              <w:spacing w:line="256" w:lineRule="auto"/>
              <w:jc w:val="both"/>
              <w:rPr>
                <w:rFonts w:ascii="Arial Narrow" w:hAnsi="Arial Narrow"/>
                <w:sz w:val="20"/>
              </w:rPr>
            </w:pPr>
            <w:r w:rsidRPr="00242572">
              <w:rPr>
                <w:rFonts w:ascii="Arial Narrow" w:hAnsi="Arial Narrow"/>
                <w:sz w:val="20"/>
                <w:lang w:eastAsia="zh-CN"/>
              </w:rPr>
              <w:t>2 weeks</w:t>
            </w:r>
            <w:r w:rsidRPr="00242572">
              <w:rPr>
                <w:rFonts w:ascii="Arial Narrow" w:hAnsi="Arial Narrow"/>
                <w:sz w:val="20"/>
                <w:vertAlign w:val="superscript"/>
                <w:lang w:eastAsia="zh-CN"/>
              </w:rPr>
              <w:t>d</w:t>
            </w:r>
          </w:p>
          <w:p w:rsidR="001B0F98" w:rsidRPr="00242572" w:rsidRDefault="001B0F98" w:rsidP="001B0F98">
            <w:pPr>
              <w:pStyle w:val="TableText1"/>
              <w:keepNext w:val="0"/>
              <w:widowControl w:val="0"/>
            </w:pPr>
          </w:p>
        </w:tc>
        <w:tc>
          <w:tcPr>
            <w:tcW w:w="554" w:type="pct"/>
            <w:shd w:val="clear" w:color="auto" w:fill="auto"/>
            <w:vAlign w:val="center"/>
          </w:tcPr>
          <w:p w:rsidR="001B0F98" w:rsidRPr="00242572" w:rsidRDefault="001B0F98" w:rsidP="001B0F98">
            <w:pPr>
              <w:pStyle w:val="TableText1"/>
              <w:keepNext w:val="0"/>
              <w:widowControl w:val="0"/>
            </w:pPr>
            <w:r w:rsidRPr="00242572">
              <w:t>Low/unclear</w:t>
            </w:r>
            <w:r w:rsidRPr="00242572">
              <w:rPr>
                <w:vertAlign w:val="superscript"/>
              </w:rPr>
              <w:t>h</w:t>
            </w:r>
          </w:p>
        </w:tc>
        <w:tc>
          <w:tcPr>
            <w:tcW w:w="841" w:type="pct"/>
            <w:shd w:val="clear" w:color="auto" w:fill="auto"/>
            <w:vAlign w:val="center"/>
          </w:tcPr>
          <w:p w:rsidR="001B0F98" w:rsidRPr="00242572" w:rsidRDefault="002A6017" w:rsidP="001B0F98">
            <w:pPr>
              <w:pStyle w:val="TableText1"/>
              <w:keepNext w:val="0"/>
              <w:widowControl w:val="0"/>
            </w:pPr>
            <w:r w:rsidRPr="00242572">
              <w:t xml:space="preserve">Epilepsy </w:t>
            </w:r>
            <w:r w:rsidR="001B0F98" w:rsidRPr="00242572">
              <w:t>patients</w:t>
            </w:r>
            <w:r w:rsidR="001B0F98" w:rsidRPr="00242572">
              <w:rPr>
                <w:vertAlign w:val="superscript"/>
              </w:rPr>
              <w:t>f</w:t>
            </w:r>
            <w:r w:rsidR="001B0F98" w:rsidRPr="00242572">
              <w:t xml:space="preserve"> with PGTC seizures</w:t>
            </w:r>
          </w:p>
        </w:tc>
        <w:tc>
          <w:tcPr>
            <w:tcW w:w="1170" w:type="pct"/>
            <w:shd w:val="clear" w:color="auto" w:fill="auto"/>
            <w:vAlign w:val="center"/>
          </w:tcPr>
          <w:p w:rsidR="001B0F98" w:rsidRPr="00242572" w:rsidRDefault="001B0F98" w:rsidP="006605EE">
            <w:pPr>
              <w:pStyle w:val="TableText1"/>
              <w:keepNext w:val="0"/>
              <w:widowControl w:val="0"/>
              <w:jc w:val="left"/>
            </w:pPr>
            <w:r w:rsidRPr="00242572">
              <w:t>Percent change from baseline in PGTC seizure frequency per month (escalation and maintenance phases separately and for the phases combined)</w:t>
            </w:r>
          </w:p>
        </w:tc>
        <w:tc>
          <w:tcPr>
            <w:tcW w:w="1070" w:type="pct"/>
            <w:shd w:val="clear" w:color="auto" w:fill="auto"/>
            <w:vAlign w:val="center"/>
          </w:tcPr>
          <w:p w:rsidR="001B0F98" w:rsidRPr="00242572" w:rsidRDefault="001B0F98" w:rsidP="001B0F98">
            <w:pPr>
              <w:pStyle w:val="TableText1"/>
              <w:keepNext w:val="0"/>
              <w:widowControl w:val="0"/>
            </w:pPr>
            <w:r w:rsidRPr="00242572">
              <w:t>NA</w:t>
            </w:r>
          </w:p>
        </w:tc>
      </w:tr>
      <w:tr w:rsidR="001B0F98" w:rsidRPr="00242572" w:rsidTr="001B0F98">
        <w:tc>
          <w:tcPr>
            <w:tcW w:w="5000" w:type="pct"/>
            <w:gridSpan w:val="7"/>
            <w:shd w:val="clear" w:color="auto" w:fill="auto"/>
            <w:vAlign w:val="center"/>
          </w:tcPr>
          <w:p w:rsidR="001B0F98" w:rsidRPr="00242572" w:rsidRDefault="001B0F98" w:rsidP="001B0F98">
            <w:pPr>
              <w:pStyle w:val="TableText1"/>
              <w:keepNext w:val="0"/>
              <w:widowControl w:val="0"/>
            </w:pPr>
            <w:r w:rsidRPr="00242572">
              <w:t>Levetiracetam plus standard care vs placebo plus standard care</w:t>
            </w:r>
          </w:p>
        </w:tc>
      </w:tr>
      <w:tr w:rsidR="001B0F98" w:rsidRPr="00242572" w:rsidTr="001B0F98">
        <w:tc>
          <w:tcPr>
            <w:tcW w:w="487" w:type="pct"/>
            <w:shd w:val="clear" w:color="auto" w:fill="auto"/>
            <w:vAlign w:val="center"/>
          </w:tcPr>
          <w:p w:rsidR="001B0F98" w:rsidRPr="00242572" w:rsidRDefault="001B0F98" w:rsidP="001B0F98">
            <w:pPr>
              <w:pStyle w:val="TableText1"/>
              <w:keepNext w:val="0"/>
              <w:widowControl w:val="0"/>
              <w:rPr>
                <w:rFonts w:ascii="Times" w:eastAsia="Times New Roman" w:hAnsi="Times" w:cs="Times New Roman"/>
              </w:rPr>
            </w:pPr>
            <w:r w:rsidRPr="00242572">
              <w:t>Berkovic 2007</w:t>
            </w:r>
          </w:p>
        </w:tc>
        <w:tc>
          <w:tcPr>
            <w:tcW w:w="300" w:type="pct"/>
            <w:shd w:val="clear" w:color="auto" w:fill="auto"/>
            <w:vAlign w:val="center"/>
          </w:tcPr>
          <w:p w:rsidR="001B0F98" w:rsidRPr="00242572" w:rsidRDefault="001B0F98" w:rsidP="001B0F98">
            <w:pPr>
              <w:pStyle w:val="TableText1"/>
              <w:keepNext w:val="0"/>
              <w:widowControl w:val="0"/>
            </w:pPr>
            <w:r w:rsidRPr="00242572">
              <w:t>165</w:t>
            </w:r>
            <w:r w:rsidRPr="00242572">
              <w:rPr>
                <w:vertAlign w:val="superscript"/>
              </w:rPr>
              <w:t>g</w:t>
            </w:r>
          </w:p>
        </w:tc>
        <w:tc>
          <w:tcPr>
            <w:tcW w:w="578" w:type="pct"/>
            <w:shd w:val="clear" w:color="auto" w:fill="auto"/>
            <w:vAlign w:val="center"/>
          </w:tcPr>
          <w:p w:rsidR="001B0F98" w:rsidRPr="00242572" w:rsidRDefault="001B0F98" w:rsidP="001B0F98">
            <w:pPr>
              <w:pStyle w:val="TableText1"/>
              <w:keepNext w:val="0"/>
              <w:widowControl w:val="0"/>
            </w:pPr>
            <w:r w:rsidRPr="00242572">
              <w:t>R, DB, MC</w:t>
            </w:r>
          </w:p>
          <w:p w:rsidR="001B0F98" w:rsidRPr="00242572" w:rsidRDefault="001B0F98" w:rsidP="001B0F98">
            <w:pPr>
              <w:pStyle w:val="TableText1"/>
              <w:keepNext w:val="0"/>
              <w:widowControl w:val="0"/>
            </w:pPr>
            <w:r w:rsidRPr="00242572">
              <w:t>Treatment:</w:t>
            </w:r>
          </w:p>
          <w:p w:rsidR="001B0F98" w:rsidRPr="00242572" w:rsidRDefault="001B0F98" w:rsidP="001B0F98">
            <w:pPr>
              <w:pStyle w:val="TableText1"/>
              <w:keepNext w:val="0"/>
              <w:widowControl w:val="0"/>
            </w:pPr>
            <w:r w:rsidRPr="00242572">
              <w:t>24 weeks;</w:t>
            </w:r>
          </w:p>
          <w:p w:rsidR="001B0F98" w:rsidRPr="00242572" w:rsidRDefault="001B0F98" w:rsidP="001B0F98">
            <w:pPr>
              <w:pStyle w:val="TableText1"/>
              <w:keepNext w:val="0"/>
              <w:widowControl w:val="0"/>
            </w:pPr>
            <w:r w:rsidRPr="00242572">
              <w:t xml:space="preserve">Follow-up: </w:t>
            </w:r>
          </w:p>
          <w:p w:rsidR="001B0F98" w:rsidRPr="00242572" w:rsidRDefault="001B0F98" w:rsidP="001B0F98">
            <w:pPr>
              <w:pStyle w:val="TableText1"/>
              <w:keepNext w:val="0"/>
              <w:widowControl w:val="0"/>
            </w:pPr>
            <w:r w:rsidRPr="00242572">
              <w:t>6 weeks</w:t>
            </w:r>
            <w:r w:rsidRPr="00242572">
              <w:rPr>
                <w:vertAlign w:val="superscript"/>
              </w:rPr>
              <w:t>d</w:t>
            </w:r>
          </w:p>
        </w:tc>
        <w:tc>
          <w:tcPr>
            <w:tcW w:w="554" w:type="pct"/>
            <w:shd w:val="clear" w:color="auto" w:fill="auto"/>
            <w:vAlign w:val="center"/>
          </w:tcPr>
          <w:p w:rsidR="001B0F98" w:rsidRPr="00242572" w:rsidRDefault="001B0F98" w:rsidP="001B0F98">
            <w:pPr>
              <w:pStyle w:val="TableText1"/>
              <w:keepNext w:val="0"/>
              <w:widowControl w:val="0"/>
            </w:pPr>
            <w:r w:rsidRPr="00242572">
              <w:t>Low/unclear</w:t>
            </w:r>
            <w:r w:rsidRPr="00242572">
              <w:rPr>
                <w:vertAlign w:val="superscript"/>
              </w:rPr>
              <w:t>h</w:t>
            </w:r>
          </w:p>
        </w:tc>
        <w:tc>
          <w:tcPr>
            <w:tcW w:w="841" w:type="pct"/>
            <w:shd w:val="clear" w:color="auto" w:fill="auto"/>
            <w:vAlign w:val="center"/>
          </w:tcPr>
          <w:p w:rsidR="001B0F98" w:rsidRPr="00242572" w:rsidRDefault="001B0F98" w:rsidP="001B0F98">
            <w:pPr>
              <w:pStyle w:val="TableText1"/>
              <w:keepNext w:val="0"/>
              <w:widowControl w:val="0"/>
            </w:pPr>
            <w:r w:rsidRPr="00242572">
              <w:t>IGE patients with GTC seizures</w:t>
            </w:r>
          </w:p>
        </w:tc>
        <w:tc>
          <w:tcPr>
            <w:tcW w:w="1170" w:type="pct"/>
            <w:shd w:val="clear" w:color="auto" w:fill="auto"/>
            <w:vAlign w:val="center"/>
          </w:tcPr>
          <w:p w:rsidR="001B0F98" w:rsidRPr="00242572" w:rsidRDefault="001B0F98" w:rsidP="006605EE">
            <w:pPr>
              <w:ind w:right="136"/>
              <w:contextualSpacing/>
              <w:jc w:val="left"/>
            </w:pPr>
            <w:r w:rsidRPr="00242572">
              <w:rPr>
                <w:rFonts w:ascii="Arial Narrow" w:hAnsi="Arial Narrow"/>
                <w:sz w:val="20"/>
              </w:rPr>
              <w:t>Percent change from baseline in GTC seizure frequency per week over the 24 week treatment period</w:t>
            </w:r>
          </w:p>
        </w:tc>
        <w:tc>
          <w:tcPr>
            <w:tcW w:w="1070" w:type="pct"/>
            <w:shd w:val="clear" w:color="auto" w:fill="auto"/>
            <w:vAlign w:val="center"/>
          </w:tcPr>
          <w:p w:rsidR="001B0F98" w:rsidRPr="00242572" w:rsidRDefault="001B0F98" w:rsidP="001B0F98">
            <w:pPr>
              <w:pStyle w:val="TableText1"/>
              <w:keepNext w:val="0"/>
              <w:widowControl w:val="0"/>
            </w:pPr>
            <w:r w:rsidRPr="00242572">
              <w:t>NA</w:t>
            </w:r>
          </w:p>
        </w:tc>
      </w:tr>
    </w:tbl>
    <w:p w:rsidR="001B0F98" w:rsidRPr="00242572" w:rsidRDefault="001B0F98" w:rsidP="001B0F98">
      <w:pPr>
        <w:pStyle w:val="TableFooter"/>
      </w:pPr>
      <w:bookmarkStart w:id="19" w:name="_Toc413139278"/>
      <w:bookmarkStart w:id="20" w:name="_Toc476306888"/>
      <w:r w:rsidRPr="00242572">
        <w:rPr>
          <w:vertAlign w:val="superscript"/>
        </w:rPr>
        <w:t>a</w:t>
      </w:r>
      <w:r w:rsidRPr="00242572">
        <w:t xml:space="preserve"> For missing data, the last observation carried forward (LOCF) method was used to impute data. </w:t>
      </w:r>
    </w:p>
    <w:p w:rsidR="001B0F98" w:rsidRPr="00242572" w:rsidRDefault="001B0F98" w:rsidP="001B0F98">
      <w:pPr>
        <w:pStyle w:val="TableFooter"/>
      </w:pPr>
      <w:r w:rsidRPr="00242572">
        <w:rPr>
          <w:vertAlign w:val="superscript"/>
        </w:rPr>
        <w:t>b</w:t>
      </w:r>
      <w:r w:rsidRPr="00242572">
        <w:t xml:space="preserve"> A total of 164 patients were randomised. Two randomised patients were subsequently excluded from the Full Analysis Set: one patient in the perampanel arm did not receive treatment and one patient in the placebo arm did not have any post-baseline seizure data.</w:t>
      </w:r>
    </w:p>
    <w:p w:rsidR="001B0F98" w:rsidRPr="00242572" w:rsidRDefault="001B0F98" w:rsidP="001B0F98">
      <w:pPr>
        <w:pStyle w:val="TableFooter"/>
      </w:pPr>
      <w:r w:rsidRPr="00242572">
        <w:rPr>
          <w:vertAlign w:val="superscript"/>
        </w:rPr>
        <w:t>c</w:t>
      </w:r>
      <w:r w:rsidRPr="00242572">
        <w:t xml:space="preserve"> Comparative effectiveness data presented in the submission was collected during the 17-week treatment period. The CSR stated that the safety outcomes were collected up to 30 days after the last dose of treatment.</w:t>
      </w:r>
    </w:p>
    <w:p w:rsidR="001B0F98" w:rsidRPr="00242572" w:rsidRDefault="001B0F98" w:rsidP="001B0F98">
      <w:pPr>
        <w:pStyle w:val="TableFooter"/>
      </w:pPr>
      <w:r w:rsidRPr="00242572">
        <w:rPr>
          <w:vertAlign w:val="superscript"/>
        </w:rPr>
        <w:t xml:space="preserve">d </w:t>
      </w:r>
      <w:r w:rsidRPr="00242572">
        <w:rPr>
          <w:szCs w:val="18"/>
        </w:rPr>
        <w:t xml:space="preserve">Duration of follow-up for subjects not entering into an optional extension study. </w:t>
      </w:r>
    </w:p>
    <w:p w:rsidR="001B0F98" w:rsidRPr="00242572" w:rsidRDefault="001B0F98" w:rsidP="001B0F98">
      <w:pPr>
        <w:pStyle w:val="TableFooter"/>
      </w:pPr>
      <w:r w:rsidRPr="00242572">
        <w:rPr>
          <w:vertAlign w:val="superscript"/>
        </w:rPr>
        <w:t>e</w:t>
      </w:r>
      <w:r w:rsidRPr="00242572">
        <w:t xml:space="preserve"> Four patients were randomised but not treated.</w:t>
      </w:r>
    </w:p>
    <w:p w:rsidR="001B0F98" w:rsidRPr="00242572" w:rsidRDefault="001B0F98" w:rsidP="001B0F98">
      <w:pPr>
        <w:pStyle w:val="TableFooter"/>
      </w:pPr>
      <w:r w:rsidRPr="00242572">
        <w:rPr>
          <w:vertAlign w:val="superscript"/>
        </w:rPr>
        <w:t>f</w:t>
      </w:r>
      <w:r w:rsidRPr="00242572">
        <w:t xml:space="preserve"> It was not clear whether </w:t>
      </w:r>
      <w:r w:rsidR="001C7C5C" w:rsidRPr="00242572">
        <w:t xml:space="preserve">all </w:t>
      </w:r>
      <w:r w:rsidRPr="00242572">
        <w:t xml:space="preserve">patients had </w:t>
      </w:r>
      <w:r w:rsidR="001C7C5C" w:rsidRPr="00242572">
        <w:t xml:space="preserve">IGE </w:t>
      </w:r>
      <w:r w:rsidRPr="00242572">
        <w:t xml:space="preserve">in the Biton 2005 trial; </w:t>
      </w:r>
    </w:p>
    <w:p w:rsidR="001B0F98" w:rsidRPr="00242572" w:rsidRDefault="001B0F98" w:rsidP="001B0F98">
      <w:pPr>
        <w:pStyle w:val="TableFooter"/>
      </w:pPr>
      <w:r w:rsidRPr="00242572">
        <w:rPr>
          <w:vertAlign w:val="superscript"/>
        </w:rPr>
        <w:t>g</w:t>
      </w:r>
      <w:r w:rsidRPr="00242572">
        <w:t xml:space="preserve"> One patient in the levetiracetam arm was randomised but not treated.</w:t>
      </w:r>
    </w:p>
    <w:p w:rsidR="001728AB" w:rsidRPr="00242572" w:rsidRDefault="001B0F98" w:rsidP="001B0F98">
      <w:pPr>
        <w:pStyle w:val="TableFooter"/>
        <w:rPr>
          <w:szCs w:val="18"/>
        </w:rPr>
      </w:pPr>
      <w:r w:rsidRPr="00242572">
        <w:rPr>
          <w:szCs w:val="18"/>
          <w:vertAlign w:val="superscript"/>
        </w:rPr>
        <w:t>h</w:t>
      </w:r>
      <w:r w:rsidRPr="00242572">
        <w:rPr>
          <w:szCs w:val="18"/>
        </w:rPr>
        <w:t xml:space="preserve"> </w:t>
      </w:r>
      <w:r w:rsidR="001728AB" w:rsidRPr="00242572">
        <w:rPr>
          <w:szCs w:val="18"/>
        </w:rPr>
        <w:t>U</w:t>
      </w:r>
      <w:r w:rsidRPr="00242572">
        <w:rPr>
          <w:szCs w:val="18"/>
        </w:rPr>
        <w:t>nclear risk of bias</w:t>
      </w:r>
      <w:r w:rsidR="001728AB" w:rsidRPr="00242572">
        <w:rPr>
          <w:szCs w:val="18"/>
        </w:rPr>
        <w:t xml:space="preserve">: Biton 2005 and Berkovic 2007: </w:t>
      </w:r>
      <w:r w:rsidR="00607D16" w:rsidRPr="00242572">
        <w:rPr>
          <w:szCs w:val="18"/>
        </w:rPr>
        <w:t>insufficient information to permit judgement</w:t>
      </w:r>
      <w:r w:rsidR="001728AB" w:rsidRPr="00242572">
        <w:rPr>
          <w:szCs w:val="18"/>
        </w:rPr>
        <w:t xml:space="preserve"> </w:t>
      </w:r>
    </w:p>
    <w:p w:rsidR="001B0F98" w:rsidRPr="00242572" w:rsidRDefault="001B0F98" w:rsidP="001B0F98">
      <w:pPr>
        <w:pStyle w:val="TableFooter"/>
      </w:pPr>
      <w:r w:rsidRPr="00242572">
        <w:t>DB=double blind; MC=multi-centre; R=randomised; IGE = idiopathic generalised epilepsy; PGTC = primary generalised tonic-clonic; GTC = generalised tonic clonic, NA = not applicable.</w:t>
      </w:r>
    </w:p>
    <w:p w:rsidR="001B0F98" w:rsidRPr="00242572" w:rsidRDefault="001B0F98" w:rsidP="001B0F98">
      <w:pPr>
        <w:pStyle w:val="TableFooter"/>
      </w:pPr>
      <w:r w:rsidRPr="00242572">
        <w:t>Source: compiled during the evaluation</w:t>
      </w:r>
    </w:p>
    <w:p w:rsidR="00BC7774" w:rsidRPr="00242572" w:rsidRDefault="00BC7774" w:rsidP="001B0F98">
      <w:pPr>
        <w:pStyle w:val="TableFooter"/>
      </w:pPr>
    </w:p>
    <w:p w:rsidR="00BC7774" w:rsidRPr="00242572" w:rsidRDefault="00BC7774"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assessment of bias in the individual trials does not adequately recognise important limitations associated with the indirect comparison analyses presented in the re-submission. Trial 332 and the Biton 2005 and Berkovic 2007 trials were not exchangeable. There were differences across the trials in the clinical diagnosis of epilepsy, patients’ ages, and standard care including the number and type of AEDs taken at baseline, which may have impacted upon the results of the indirect comparisons. Overall, there is a high risk of bias associated with the findings from the indirect comparisons in the re-submission.</w:t>
      </w:r>
    </w:p>
    <w:p w:rsidR="00BC7774" w:rsidRPr="00242572" w:rsidRDefault="00BC7774"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Patients in Trial 332 and the Berkovic 2007 trial were diagnosed with IGE. It is unclear whether patients enrolled in Biton 2005 had IGE, although the publication of Biton 2005 appeared to indicate that the patients did have IGE. In addition, it is likely that the definition of IGE and diagnostic criteria for epilepsy have changed over time, and therefore may have differed between the older lamotrigine (Biton 2005) and levetiracetam (Berkovic 2007) trials and the newer perampanel trial (Trial 332)</w:t>
      </w:r>
      <w:r w:rsidR="00B54462" w:rsidRPr="00242572">
        <w:rPr>
          <w:rStyle w:val="FootnoteReference"/>
          <w:rFonts w:asciiTheme="minorHAnsi" w:hAnsiTheme="minorHAnsi"/>
          <w:sz w:val="24"/>
        </w:rPr>
        <w:footnoteReference w:id="2"/>
      </w:r>
      <w:r w:rsidR="00B54462" w:rsidRPr="00242572">
        <w:rPr>
          <w:rFonts w:asciiTheme="minorHAnsi" w:hAnsiTheme="minorHAnsi"/>
          <w:sz w:val="24"/>
          <w:vertAlign w:val="superscript"/>
        </w:rPr>
        <w:t>,</w:t>
      </w:r>
      <w:r w:rsidR="00B54462" w:rsidRPr="00242572">
        <w:rPr>
          <w:rStyle w:val="FootnoteReference"/>
          <w:rFonts w:asciiTheme="minorHAnsi" w:hAnsiTheme="minorHAnsi"/>
          <w:sz w:val="24"/>
        </w:rPr>
        <w:footnoteReference w:id="3"/>
      </w:r>
      <w:r w:rsidRPr="00242572">
        <w:rPr>
          <w:rFonts w:asciiTheme="minorHAnsi" w:hAnsiTheme="minorHAnsi"/>
          <w:sz w:val="24"/>
        </w:rPr>
        <w:t>.</w:t>
      </w:r>
    </w:p>
    <w:p w:rsidR="001B3FE8" w:rsidRPr="00242572" w:rsidRDefault="00BC7774"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s</w:t>
      </w:r>
      <w:r w:rsidR="009E1D05" w:rsidRPr="00242572">
        <w:rPr>
          <w:rFonts w:asciiTheme="minorHAnsi" w:hAnsiTheme="minorHAnsi"/>
          <w:sz w:val="24"/>
        </w:rPr>
        <w:t xml:space="preserve">tandard care </w:t>
      </w:r>
      <w:r w:rsidRPr="00242572">
        <w:rPr>
          <w:rFonts w:asciiTheme="minorHAnsi" w:hAnsiTheme="minorHAnsi"/>
          <w:sz w:val="24"/>
        </w:rPr>
        <w:t xml:space="preserve">(i.e. background AEDs) included in the trials </w:t>
      </w:r>
      <w:r w:rsidR="009E1D05" w:rsidRPr="00242572">
        <w:rPr>
          <w:rFonts w:asciiTheme="minorHAnsi" w:hAnsiTheme="minorHAnsi"/>
          <w:sz w:val="24"/>
        </w:rPr>
        <w:t xml:space="preserve">is likely to have changed over time and be different across the trials, which </w:t>
      </w:r>
      <w:r w:rsidR="001B3FE8" w:rsidRPr="00242572">
        <w:rPr>
          <w:rFonts w:asciiTheme="minorHAnsi" w:hAnsiTheme="minorHAnsi"/>
          <w:sz w:val="24"/>
        </w:rPr>
        <w:t>will</w:t>
      </w:r>
      <w:r w:rsidR="009E1D05" w:rsidRPr="00242572">
        <w:rPr>
          <w:rFonts w:asciiTheme="minorHAnsi" w:hAnsiTheme="minorHAnsi"/>
          <w:sz w:val="24"/>
        </w:rPr>
        <w:t xml:space="preserve"> confound the indirect comparison</w:t>
      </w:r>
      <w:r w:rsidR="00324AF6" w:rsidRPr="00242572">
        <w:rPr>
          <w:rFonts w:asciiTheme="minorHAnsi" w:hAnsiTheme="minorHAnsi"/>
          <w:sz w:val="24"/>
        </w:rPr>
        <w:t>s</w:t>
      </w:r>
      <w:r w:rsidR="009E1D05" w:rsidRPr="00242572">
        <w:rPr>
          <w:rFonts w:asciiTheme="minorHAnsi" w:hAnsiTheme="minorHAnsi"/>
          <w:sz w:val="24"/>
        </w:rPr>
        <w:t xml:space="preserve">. </w:t>
      </w:r>
    </w:p>
    <w:p w:rsidR="001B3FE8" w:rsidRPr="00242572" w:rsidRDefault="001B3FE8" w:rsidP="006441EA">
      <w:pPr>
        <w:pStyle w:val="ListParagraph"/>
        <w:widowControl/>
        <w:numPr>
          <w:ilvl w:val="0"/>
          <w:numId w:val="8"/>
        </w:numPr>
        <w:spacing w:after="120"/>
        <w:contextualSpacing w:val="0"/>
        <w:rPr>
          <w:rFonts w:asciiTheme="minorHAnsi" w:hAnsiTheme="minorHAnsi"/>
          <w:sz w:val="24"/>
        </w:rPr>
      </w:pPr>
      <w:r w:rsidRPr="00242572">
        <w:rPr>
          <w:rFonts w:asciiTheme="minorHAnsi" w:hAnsiTheme="minorHAnsi"/>
          <w:sz w:val="24"/>
        </w:rPr>
        <w:t xml:space="preserve">There was a higher proportion of patients on inducer AEDs (enzyme-inducing) in the placebo arm compared to the perampanel arm (22% </w:t>
      </w:r>
      <w:r w:rsidR="00B574F7" w:rsidRPr="00242572">
        <w:rPr>
          <w:rFonts w:asciiTheme="minorHAnsi" w:hAnsiTheme="minorHAnsi"/>
          <w:sz w:val="24"/>
        </w:rPr>
        <w:t>vs.</w:t>
      </w:r>
      <w:r w:rsidRPr="00242572">
        <w:rPr>
          <w:rFonts w:asciiTheme="minorHAnsi" w:hAnsiTheme="minorHAnsi"/>
          <w:sz w:val="24"/>
        </w:rPr>
        <w:t xml:space="preserve"> 11%) in Trial 332. There was also more frequent use of topiramate and levetiracetam in the perampanel arm and zonisamide in the placebo arm. The impact of any potential confounding remains unclear without logistic regression analyses of responder rates adjusting for these imbalances.</w:t>
      </w:r>
    </w:p>
    <w:p w:rsidR="001B3FE8" w:rsidRDefault="001B3FE8" w:rsidP="006441EA">
      <w:pPr>
        <w:pStyle w:val="ListParagraph"/>
        <w:widowControl/>
        <w:numPr>
          <w:ilvl w:val="0"/>
          <w:numId w:val="8"/>
        </w:numPr>
        <w:spacing w:after="120"/>
        <w:contextualSpacing w:val="0"/>
        <w:rPr>
          <w:rFonts w:asciiTheme="minorHAnsi" w:hAnsiTheme="minorHAnsi"/>
          <w:sz w:val="24"/>
        </w:rPr>
      </w:pPr>
      <w:r w:rsidRPr="00242572">
        <w:rPr>
          <w:rFonts w:asciiTheme="minorHAnsi" w:hAnsiTheme="minorHAnsi"/>
          <w:sz w:val="24"/>
        </w:rPr>
        <w:t>Insufficient information was reported to enable a comparison of treatment arms within the Biton 2005 and Berkovic 2007 trials.</w:t>
      </w:r>
    </w:p>
    <w:p w:rsidR="00A46F81" w:rsidRPr="00242572" w:rsidRDefault="00A46F81" w:rsidP="00A46F81">
      <w:pPr>
        <w:widowControl/>
        <w:spacing w:after="120"/>
        <w:rPr>
          <w:rFonts w:asciiTheme="minorHAnsi" w:hAnsiTheme="minorHAnsi"/>
          <w:sz w:val="24"/>
        </w:rPr>
      </w:pPr>
    </w:p>
    <w:p w:rsidR="001B0F98" w:rsidRPr="00242572" w:rsidRDefault="001B0F98" w:rsidP="001B0F98">
      <w:pPr>
        <w:pStyle w:val="Heading2"/>
        <w:rPr>
          <w:rFonts w:asciiTheme="minorHAnsi" w:hAnsiTheme="minorHAnsi"/>
          <w:i/>
          <w:sz w:val="28"/>
        </w:rPr>
      </w:pPr>
      <w:bookmarkStart w:id="21" w:name="_Toc482695855"/>
      <w:r w:rsidRPr="00242572">
        <w:rPr>
          <w:rFonts w:asciiTheme="minorHAnsi" w:hAnsiTheme="minorHAnsi"/>
          <w:i/>
          <w:sz w:val="28"/>
        </w:rPr>
        <w:t>Comparative effectiveness</w:t>
      </w:r>
      <w:bookmarkEnd w:id="19"/>
      <w:bookmarkEnd w:id="20"/>
      <w:bookmarkEnd w:id="21"/>
      <w:r w:rsidRPr="00242572">
        <w:rPr>
          <w:rFonts w:asciiTheme="minorHAnsi" w:hAnsiTheme="minorHAnsi"/>
          <w:i/>
          <w:sz w:val="28"/>
        </w:rPr>
        <w:t xml:space="preserve"> </w:t>
      </w:r>
    </w:p>
    <w:p w:rsidR="001B0F98" w:rsidRPr="00242572" w:rsidRDefault="001B0F98" w:rsidP="001B0F98">
      <w:pPr>
        <w:rPr>
          <w:rFonts w:asciiTheme="minorHAnsi" w:hAnsiTheme="minorHAnsi"/>
          <w:sz w:val="24"/>
        </w:rPr>
      </w:pP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re-submission presented the results of Trial 332 for the direct comparison of perampanel plus standard care with placebo plus standard care. This is unchanged from the previous submission. </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For the individual trials included in the indirect comparisons, the re-submission presented the </w:t>
      </w:r>
      <w:r w:rsidRPr="00242572">
        <w:rPr>
          <w:rFonts w:asciiTheme="minorHAnsi" w:hAnsiTheme="minorHAnsi"/>
          <w:bCs/>
          <w:sz w:val="24"/>
          <w:lang w:eastAsia="zh-CN"/>
        </w:rPr>
        <w:t xml:space="preserve">percent change from baseline in the PGTC (or GTC in Berkovic 2007) seizure frequency in each treatment arm of each trial, during treatment (titration and maintenance) (Table 5). </w:t>
      </w:r>
    </w:p>
    <w:p w:rsidR="006F6C1F" w:rsidRDefault="006F6C1F" w:rsidP="001B0F98">
      <w:pPr>
        <w:pStyle w:val="TableHeading"/>
        <w:rPr>
          <w:lang w:eastAsia="zh-CN"/>
        </w:rPr>
      </w:pPr>
      <w:r>
        <w:rPr>
          <w:lang w:eastAsia="zh-CN"/>
        </w:rPr>
        <w:br w:type="page"/>
      </w:r>
    </w:p>
    <w:p w:rsidR="00482F0F" w:rsidRDefault="00482F0F" w:rsidP="00482F0F">
      <w:pPr>
        <w:pStyle w:val="Caption"/>
      </w:pPr>
      <w:r>
        <w:t xml:space="preserve">Table </w:t>
      </w:r>
      <w:fldSimple w:instr=" SEQ Table \* ARABIC ">
        <w:r w:rsidR="000B634D">
          <w:rPr>
            <w:noProof/>
          </w:rPr>
          <w:t>5</w:t>
        </w:r>
      </w:fldSimple>
      <w:r w:rsidRPr="00CD0FFA">
        <w:t>: PGTC or GTC seizure frequency, percent change from baseline, and differences between treatment arms in percent change during treatment (titration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37"/>
        <w:gridCol w:w="690"/>
        <w:gridCol w:w="1076"/>
        <w:gridCol w:w="841"/>
        <w:gridCol w:w="810"/>
        <w:gridCol w:w="719"/>
        <w:gridCol w:w="1104"/>
        <w:gridCol w:w="1573"/>
        <w:gridCol w:w="834"/>
      </w:tblGrid>
      <w:tr w:rsidR="001B0F98" w:rsidRPr="00242572" w:rsidTr="002F35CC">
        <w:trPr>
          <w:cantSplit/>
          <w:tblHeader/>
        </w:trPr>
        <w:tc>
          <w:tcPr>
            <w:tcW w:w="1819" w:type="pct"/>
            <w:gridSpan w:val="4"/>
            <w:tcBorders>
              <w:top w:val="single" w:sz="4" w:space="0" w:color="auto"/>
              <w:left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Active drug (perampanel, lamotrigine, or levetiracetam)</w:t>
            </w:r>
          </w:p>
        </w:tc>
        <w:tc>
          <w:tcPr>
            <w:tcW w:w="1879" w:type="pct"/>
            <w:gridSpan w:val="4"/>
            <w:tcBorders>
              <w:top w:val="single" w:sz="4" w:space="0" w:color="auto"/>
              <w:left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Placebo</w:t>
            </w:r>
          </w:p>
        </w:tc>
        <w:tc>
          <w:tcPr>
            <w:tcW w:w="851" w:type="pct"/>
            <w:vMerge w:val="restar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Median treatment difference</w:t>
            </w:r>
            <w:r w:rsidR="002F35CC" w:rsidRPr="00242572">
              <w:rPr>
                <w:rFonts w:ascii="Arial Narrow" w:hAnsi="Arial Narrow"/>
                <w:b/>
                <w:sz w:val="20"/>
                <w:vertAlign w:val="superscript"/>
              </w:rPr>
              <w:t>f</w:t>
            </w:r>
            <w:r w:rsidRPr="00242572">
              <w:rPr>
                <w:rFonts w:ascii="Arial Narrow" w:hAnsi="Arial Narrow"/>
                <w:b/>
                <w:sz w:val="20"/>
              </w:rPr>
              <w:br/>
              <w:t>(95% CI)</w:t>
            </w:r>
          </w:p>
        </w:tc>
        <w:tc>
          <w:tcPr>
            <w:tcW w:w="451" w:type="pct"/>
            <w:vMerge w:val="restar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sz w:val="20"/>
              </w:rPr>
            </w:pPr>
            <w:r w:rsidRPr="00242572">
              <w:rPr>
                <w:rFonts w:ascii="Arial Narrow" w:hAnsi="Arial Narrow"/>
                <w:b/>
                <w:sz w:val="20"/>
              </w:rPr>
              <w:t>P value</w:t>
            </w:r>
            <w:r w:rsidR="002F35CC" w:rsidRPr="00242572">
              <w:rPr>
                <w:rFonts w:ascii="Arial Narrow" w:hAnsi="Arial Narrow"/>
                <w:b/>
                <w:sz w:val="20"/>
                <w:vertAlign w:val="superscript"/>
              </w:rPr>
              <w:t>g</w:t>
            </w:r>
          </w:p>
        </w:tc>
      </w:tr>
      <w:tr w:rsidR="001B0F98" w:rsidRPr="00242572" w:rsidTr="000B4E62">
        <w:trPr>
          <w:cantSplit/>
          <w:tblHeader/>
        </w:trPr>
        <w:tc>
          <w:tcPr>
            <w:tcW w:w="465" w:type="pct"/>
            <w:tcBorders>
              <w:left w:val="single" w:sz="4" w:space="0" w:color="auto"/>
              <w:bottom w:val="single" w:sz="4" w:space="0" w:color="auto"/>
              <w:right w:val="single" w:sz="4" w:space="0" w:color="auto"/>
            </w:tcBorders>
            <w:hideMark/>
          </w:tcPr>
          <w:p w:rsidR="001B0F98" w:rsidRPr="00242572" w:rsidRDefault="001B0F98" w:rsidP="001B0F98">
            <w:pPr>
              <w:rPr>
                <w:rFonts w:ascii="Arial Narrow" w:hAnsi="Arial Narrow"/>
                <w:b/>
                <w:sz w:val="20"/>
              </w:rPr>
            </w:pPr>
            <w:r w:rsidRPr="00242572">
              <w:rPr>
                <w:rFonts w:ascii="Arial Narrow" w:hAnsi="Arial Narrow"/>
                <w:b/>
                <w:sz w:val="20"/>
              </w:rPr>
              <w:t>n/N</w:t>
            </w:r>
            <w:r w:rsidR="00FC7DB9" w:rsidRPr="00242572">
              <w:rPr>
                <w:rFonts w:ascii="Arial Narrow" w:hAnsi="Arial Narrow"/>
                <w:b/>
                <w:sz w:val="20"/>
                <w:vertAlign w:val="superscript"/>
              </w:rPr>
              <w:t>b</w:t>
            </w:r>
            <w:r w:rsidRPr="00242572">
              <w:rPr>
                <w:rFonts w:ascii="Arial Narrow" w:hAnsi="Arial Narrow"/>
                <w:b/>
                <w:sz w:val="20"/>
              </w:rPr>
              <w:t xml:space="preserve"> </w:t>
            </w:r>
          </w:p>
          <w:p w:rsidR="001B0F98" w:rsidRPr="00242572" w:rsidRDefault="001B0F98" w:rsidP="001B0F98">
            <w:pPr>
              <w:rPr>
                <w:rFonts w:ascii="Arial Narrow" w:hAnsi="Arial Narrow"/>
                <w:b/>
                <w:sz w:val="20"/>
              </w:rPr>
            </w:pPr>
            <w:r w:rsidRPr="00242572">
              <w:rPr>
                <w:rFonts w:ascii="Arial Narrow" w:hAnsi="Arial Narrow"/>
                <w:b/>
                <w:sz w:val="20"/>
              </w:rPr>
              <w:t>(%)</w:t>
            </w:r>
          </w:p>
        </w:tc>
        <w:tc>
          <w:tcPr>
            <w:tcW w:w="399"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Base-line</w:t>
            </w:r>
            <w:r w:rsidR="00FC7DB9" w:rsidRPr="00242572">
              <w:rPr>
                <w:rFonts w:ascii="Arial Narrow" w:hAnsi="Arial Narrow"/>
                <w:b/>
                <w:sz w:val="20"/>
                <w:vertAlign w:val="superscript"/>
              </w:rPr>
              <w:t>c</w:t>
            </w:r>
          </w:p>
        </w:tc>
        <w:tc>
          <w:tcPr>
            <w:tcW w:w="373"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Final</w:t>
            </w:r>
            <w:r w:rsidR="002F35CC" w:rsidRPr="00242572">
              <w:rPr>
                <w:rFonts w:ascii="Arial Narrow" w:hAnsi="Arial Narrow"/>
                <w:b/>
                <w:sz w:val="20"/>
                <w:vertAlign w:val="superscript"/>
              </w:rPr>
              <w:t>d</w:t>
            </w:r>
          </w:p>
        </w:tc>
        <w:tc>
          <w:tcPr>
            <w:tcW w:w="582"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 change from baseline</w:t>
            </w:r>
            <w:r w:rsidR="002F35CC" w:rsidRPr="00242572">
              <w:rPr>
                <w:rFonts w:ascii="Arial Narrow" w:hAnsi="Arial Narrow"/>
                <w:b/>
                <w:sz w:val="20"/>
                <w:vertAlign w:val="superscript"/>
              </w:rPr>
              <w:t>e</w:t>
            </w:r>
            <w:r w:rsidRPr="00242572">
              <w:rPr>
                <w:rFonts w:ascii="Arial Narrow" w:hAnsi="Arial Narrow"/>
                <w:b/>
                <w:sz w:val="20"/>
              </w:rPr>
              <w:t xml:space="preserve"> </w:t>
            </w:r>
          </w:p>
        </w:tc>
        <w:tc>
          <w:tcPr>
            <w:tcW w:w="455" w:type="pct"/>
            <w:tcBorders>
              <w:left w:val="single" w:sz="4" w:space="0" w:color="auto"/>
              <w:bottom w:val="single" w:sz="4" w:space="0" w:color="auto"/>
              <w:right w:val="single" w:sz="4" w:space="0" w:color="auto"/>
            </w:tcBorders>
            <w:vAlign w:val="center"/>
            <w:hideMark/>
          </w:tcPr>
          <w:p w:rsidR="001B0F98" w:rsidRPr="00242572" w:rsidRDefault="001B0F98" w:rsidP="001B0F98">
            <w:pPr>
              <w:rPr>
                <w:rFonts w:ascii="Arial Narrow" w:hAnsi="Arial Narrow"/>
                <w:b/>
                <w:sz w:val="20"/>
              </w:rPr>
            </w:pPr>
            <w:r w:rsidRPr="00242572">
              <w:rPr>
                <w:rFonts w:ascii="Arial Narrow" w:hAnsi="Arial Narrow"/>
                <w:b/>
                <w:sz w:val="20"/>
              </w:rPr>
              <w:t>n/N</w:t>
            </w:r>
            <w:r w:rsidR="00FC7DB9" w:rsidRPr="00242572">
              <w:rPr>
                <w:rFonts w:ascii="Arial Narrow" w:hAnsi="Arial Narrow"/>
                <w:b/>
                <w:sz w:val="20"/>
                <w:vertAlign w:val="superscript"/>
              </w:rPr>
              <w:t>b</w:t>
            </w:r>
            <w:r w:rsidRPr="00242572">
              <w:rPr>
                <w:rFonts w:ascii="Arial Narrow" w:hAnsi="Arial Narrow"/>
                <w:b/>
                <w:sz w:val="20"/>
                <w:vertAlign w:val="superscript"/>
              </w:rPr>
              <w:t xml:space="preserve"> </w:t>
            </w:r>
          </w:p>
          <w:p w:rsidR="001B0F98" w:rsidRPr="00242572" w:rsidRDefault="001B0F98" w:rsidP="001B0F98">
            <w:pPr>
              <w:rPr>
                <w:rFonts w:ascii="Arial Narrow" w:hAnsi="Arial Narrow"/>
                <w:b/>
                <w:sz w:val="20"/>
              </w:rPr>
            </w:pPr>
            <w:r w:rsidRPr="00242572">
              <w:rPr>
                <w:rFonts w:ascii="Arial Narrow" w:hAnsi="Arial Narrow"/>
                <w:b/>
                <w:sz w:val="20"/>
              </w:rPr>
              <w:t>(%)</w:t>
            </w:r>
          </w:p>
        </w:tc>
        <w:tc>
          <w:tcPr>
            <w:tcW w:w="438"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Base-line</w:t>
            </w:r>
            <w:r w:rsidR="00FC7DB9" w:rsidRPr="00242572">
              <w:rPr>
                <w:rFonts w:ascii="Arial Narrow" w:hAnsi="Arial Narrow"/>
                <w:b/>
                <w:sz w:val="20"/>
                <w:vertAlign w:val="superscript"/>
              </w:rPr>
              <w:t>c</w:t>
            </w:r>
          </w:p>
        </w:tc>
        <w:tc>
          <w:tcPr>
            <w:tcW w:w="389"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Final</w:t>
            </w:r>
            <w:r w:rsidR="002F35CC" w:rsidRPr="00242572">
              <w:rPr>
                <w:rFonts w:ascii="Arial Narrow" w:hAnsi="Arial Narrow"/>
                <w:b/>
                <w:sz w:val="20"/>
                <w:vertAlign w:val="superscript"/>
              </w:rPr>
              <w:t>d</w:t>
            </w:r>
          </w:p>
        </w:tc>
        <w:tc>
          <w:tcPr>
            <w:tcW w:w="597"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 change from baseline</w:t>
            </w:r>
            <w:r w:rsidR="002F35CC" w:rsidRPr="00242572">
              <w:rPr>
                <w:rFonts w:ascii="Arial Narrow" w:hAnsi="Arial Narrow"/>
                <w:b/>
                <w:sz w:val="20"/>
                <w:vertAlign w:val="superscript"/>
              </w:rPr>
              <w:t>e</w:t>
            </w:r>
          </w:p>
        </w:tc>
        <w:tc>
          <w:tcPr>
            <w:tcW w:w="851" w:type="pct"/>
            <w:vMerge/>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rPr>
                <w:rFonts w:ascii="Arial Narrow" w:hAnsi="Arial Narrow"/>
                <w:sz w:val="2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rPr>
                <w:rFonts w:ascii="Arial Narrow" w:hAnsi="Arial Narrow"/>
                <w:sz w:val="20"/>
              </w:rPr>
            </w:pPr>
          </w:p>
        </w:tc>
      </w:tr>
      <w:tr w:rsidR="001B0F98" w:rsidRPr="00242572" w:rsidTr="001B0F98">
        <w:trPr>
          <w:cantSplit/>
          <w:tblHeader/>
        </w:trPr>
        <w:tc>
          <w:tcPr>
            <w:tcW w:w="5000" w:type="pct"/>
            <w:gridSpan w:val="10"/>
            <w:tcBorders>
              <w:left w:val="single" w:sz="4" w:space="0" w:color="auto"/>
              <w:bottom w:val="single" w:sz="4" w:space="0" w:color="auto"/>
              <w:right w:val="single" w:sz="4" w:space="0" w:color="auto"/>
            </w:tcBorders>
          </w:tcPr>
          <w:p w:rsidR="001B0F98" w:rsidRPr="00242572" w:rsidRDefault="001B0F98" w:rsidP="001B0F98">
            <w:pPr>
              <w:rPr>
                <w:rFonts w:ascii="Arial Narrow" w:hAnsi="Arial Narrow"/>
                <w:b/>
                <w:sz w:val="20"/>
              </w:rPr>
            </w:pPr>
            <w:r w:rsidRPr="00242572">
              <w:rPr>
                <w:rFonts w:ascii="Arial Narrow" w:hAnsi="Arial Narrow"/>
                <w:b/>
                <w:sz w:val="20"/>
              </w:rPr>
              <w:t>Trial 332: perampanel versus placebo</w:t>
            </w:r>
          </w:p>
        </w:tc>
      </w:tr>
      <w:tr w:rsidR="00FC7DB9" w:rsidRPr="00242572" w:rsidTr="00FC7DB9">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C7DB9" w:rsidRPr="00242572" w:rsidRDefault="00FC7DB9" w:rsidP="001B0F98">
            <w:pPr>
              <w:rPr>
                <w:rFonts w:ascii="Arial Narrow" w:hAnsi="Arial Narrow"/>
                <w:sz w:val="20"/>
              </w:rPr>
            </w:pPr>
            <w:r w:rsidRPr="00242572">
              <w:rPr>
                <w:rFonts w:ascii="Arial Narrow" w:hAnsi="Arial Narrow"/>
                <w:b/>
                <w:sz w:val="20"/>
              </w:rPr>
              <w:t>Median</w:t>
            </w:r>
            <w:r w:rsidRPr="00242572">
              <w:rPr>
                <w:rFonts w:ascii="Arial Narrow" w:hAnsi="Arial Narrow"/>
                <w:b/>
                <w:sz w:val="20"/>
                <w:vertAlign w:val="superscript"/>
              </w:rPr>
              <w:t>a</w:t>
            </w:r>
            <w:r w:rsidRPr="00242572">
              <w:rPr>
                <w:rFonts w:ascii="Arial Narrow" w:hAnsi="Arial Narrow"/>
                <w:b/>
                <w:sz w:val="20"/>
              </w:rPr>
              <w:t xml:space="preserve"> </w:t>
            </w:r>
          </w:p>
        </w:tc>
      </w:tr>
      <w:tr w:rsidR="001B0F98" w:rsidRPr="00242572" w:rsidTr="000B4E62">
        <w:trPr>
          <w:cantSplit/>
        </w:trPr>
        <w:tc>
          <w:tcPr>
            <w:tcW w:w="465"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81/81</w:t>
            </w:r>
          </w:p>
          <w:p w:rsidR="001B0F98" w:rsidRPr="00242572" w:rsidRDefault="001B0F98" w:rsidP="001B0F98">
            <w:pPr>
              <w:ind w:left="29"/>
              <w:jc w:val="center"/>
              <w:rPr>
                <w:rFonts w:ascii="Arial Narrow" w:hAnsi="Arial Narrow"/>
                <w:sz w:val="20"/>
              </w:rPr>
            </w:pPr>
            <w:r w:rsidRPr="00242572">
              <w:rPr>
                <w:rFonts w:ascii="Arial Narrow" w:hAnsi="Arial Narrow"/>
                <w:sz w:val="20"/>
              </w:rPr>
              <w:t>(100%)</w:t>
            </w:r>
          </w:p>
        </w:tc>
        <w:tc>
          <w:tcPr>
            <w:tcW w:w="399"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2.55</w:t>
            </w:r>
          </w:p>
        </w:tc>
        <w:tc>
          <w:tcPr>
            <w:tcW w:w="373"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0.71</w:t>
            </w:r>
          </w:p>
        </w:tc>
        <w:tc>
          <w:tcPr>
            <w:tcW w:w="582"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-76.5%</w:t>
            </w:r>
          </w:p>
        </w:tc>
        <w:tc>
          <w:tcPr>
            <w:tcW w:w="455"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81/81 (100%)</w:t>
            </w:r>
          </w:p>
        </w:tc>
        <w:tc>
          <w:tcPr>
            <w:tcW w:w="438"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2.50</w:t>
            </w:r>
          </w:p>
        </w:tc>
        <w:tc>
          <w:tcPr>
            <w:tcW w:w="389"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1.57</w:t>
            </w:r>
          </w:p>
        </w:tc>
        <w:tc>
          <w:tcPr>
            <w:tcW w:w="597"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-38.4%</w:t>
            </w:r>
          </w:p>
        </w:tc>
        <w:tc>
          <w:tcPr>
            <w:tcW w:w="851"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-30.8%</w:t>
            </w:r>
          </w:p>
          <w:p w:rsidR="001B0F98" w:rsidRPr="00242572" w:rsidRDefault="001B0F98" w:rsidP="001B0F98">
            <w:pPr>
              <w:jc w:val="center"/>
              <w:rPr>
                <w:rFonts w:ascii="Arial Narrow" w:hAnsi="Arial Narrow"/>
                <w:sz w:val="20"/>
              </w:rPr>
            </w:pPr>
            <w:r w:rsidRPr="00242572">
              <w:rPr>
                <w:rFonts w:ascii="Arial Narrow" w:hAnsi="Arial Narrow"/>
                <w:sz w:val="20"/>
              </w:rPr>
              <w:t>(-45.5%, -15.2%)</w:t>
            </w:r>
          </w:p>
        </w:tc>
        <w:tc>
          <w:tcPr>
            <w:tcW w:w="451"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&lt;0.0001</w:t>
            </w:r>
          </w:p>
        </w:tc>
      </w:tr>
      <w:tr w:rsidR="001B0F98" w:rsidRPr="00242572" w:rsidTr="001B0F98">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rPr>
                <w:rFonts w:ascii="Arial Narrow" w:hAnsi="Arial Narrow"/>
                <w:sz w:val="20"/>
              </w:rPr>
            </w:pPr>
            <w:r w:rsidRPr="00242572">
              <w:rPr>
                <w:rFonts w:ascii="Arial Narrow" w:hAnsi="Arial Narrow"/>
                <w:b/>
                <w:sz w:val="20"/>
              </w:rPr>
              <w:t>Mean (SD)</w:t>
            </w:r>
            <w:r w:rsidR="00FC7DB9" w:rsidRPr="00242572">
              <w:rPr>
                <w:rFonts w:ascii="Arial Narrow" w:hAnsi="Arial Narrow"/>
                <w:b/>
                <w:sz w:val="20"/>
                <w:vertAlign w:val="superscript"/>
              </w:rPr>
              <w:t>a</w:t>
            </w:r>
          </w:p>
        </w:tc>
      </w:tr>
      <w:tr w:rsidR="001B0F98" w:rsidRPr="00242572" w:rsidTr="000B4E62">
        <w:trPr>
          <w:cantSplit/>
        </w:trPr>
        <w:tc>
          <w:tcPr>
            <w:tcW w:w="465"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81/81 (100%)</w:t>
            </w:r>
          </w:p>
        </w:tc>
        <w:tc>
          <w:tcPr>
            <w:tcW w:w="399"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3.50 (2.62)</w:t>
            </w:r>
          </w:p>
        </w:tc>
        <w:tc>
          <w:tcPr>
            <w:tcW w:w="373"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1.90 (3.30)</w:t>
            </w:r>
          </w:p>
        </w:tc>
        <w:tc>
          <w:tcPr>
            <w:tcW w:w="582"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-56.9% (50.8%)</w:t>
            </w:r>
          </w:p>
        </w:tc>
        <w:tc>
          <w:tcPr>
            <w:tcW w:w="455"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81/81 (100%)</w:t>
            </w:r>
          </w:p>
        </w:tc>
        <w:tc>
          <w:tcPr>
            <w:tcW w:w="438"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3.17 (2.00)</w:t>
            </w:r>
          </w:p>
        </w:tc>
        <w:tc>
          <w:tcPr>
            <w:tcW w:w="389"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2.87 (4.74)</w:t>
            </w:r>
          </w:p>
        </w:tc>
        <w:tc>
          <w:tcPr>
            <w:tcW w:w="597"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-5.9% (184.6%)</w:t>
            </w:r>
          </w:p>
        </w:tc>
        <w:tc>
          <w:tcPr>
            <w:tcW w:w="851"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451" w:type="pct"/>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r w:rsidR="001B0F98" w:rsidRPr="00242572" w:rsidTr="001B0F98">
        <w:trPr>
          <w:cantSplit/>
          <w:tblHeader/>
        </w:trPr>
        <w:tc>
          <w:tcPr>
            <w:tcW w:w="5000" w:type="pct"/>
            <w:gridSpan w:val="10"/>
            <w:tcBorders>
              <w:left w:val="single" w:sz="4" w:space="0" w:color="auto"/>
              <w:bottom w:val="single" w:sz="4" w:space="0" w:color="auto"/>
              <w:right w:val="single" w:sz="4" w:space="0" w:color="auto"/>
            </w:tcBorders>
          </w:tcPr>
          <w:p w:rsidR="001B0F98" w:rsidRPr="00242572" w:rsidRDefault="001B0F98" w:rsidP="001B0F98">
            <w:pPr>
              <w:rPr>
                <w:rFonts w:ascii="Arial Narrow" w:hAnsi="Arial Narrow"/>
                <w:b/>
                <w:sz w:val="20"/>
              </w:rPr>
            </w:pPr>
            <w:r w:rsidRPr="00242572">
              <w:rPr>
                <w:rFonts w:ascii="Arial Narrow" w:hAnsi="Arial Narrow"/>
                <w:b/>
                <w:sz w:val="20"/>
              </w:rPr>
              <w:t>Biton 2005: lamotrigine versus placebo</w:t>
            </w:r>
          </w:p>
        </w:tc>
      </w:tr>
      <w:tr w:rsidR="00FC7DB9" w:rsidRPr="00242572" w:rsidTr="00FC7DB9">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C7DB9" w:rsidRPr="00242572" w:rsidRDefault="00FC7DB9" w:rsidP="001B0F98">
            <w:pPr>
              <w:rPr>
                <w:rFonts w:ascii="Arial Narrow" w:hAnsi="Arial Narrow"/>
                <w:sz w:val="20"/>
              </w:rPr>
            </w:pPr>
            <w:r w:rsidRPr="00242572">
              <w:rPr>
                <w:rFonts w:ascii="Arial Narrow" w:hAnsi="Arial Narrow"/>
                <w:b/>
                <w:sz w:val="20"/>
              </w:rPr>
              <w:t>Median</w:t>
            </w:r>
            <w:r w:rsidRPr="00242572">
              <w:rPr>
                <w:rFonts w:ascii="Arial Narrow" w:hAnsi="Arial Narrow"/>
                <w:b/>
                <w:sz w:val="20"/>
                <w:vertAlign w:val="superscript"/>
              </w:rPr>
              <w:t xml:space="preserve"> a</w:t>
            </w:r>
            <w:r w:rsidRPr="00242572">
              <w:rPr>
                <w:rFonts w:ascii="Arial Narrow" w:hAnsi="Arial Narrow"/>
                <w:b/>
                <w:sz w:val="20"/>
              </w:rPr>
              <w:t xml:space="preserve"> </w:t>
            </w:r>
          </w:p>
        </w:tc>
      </w:tr>
      <w:tr w:rsidR="001B0F98" w:rsidRPr="00242572" w:rsidTr="000B4E62">
        <w:trPr>
          <w:cantSplit/>
        </w:trPr>
        <w:tc>
          <w:tcPr>
            <w:tcW w:w="46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ind w:left="29"/>
              <w:jc w:val="center"/>
              <w:rPr>
                <w:rFonts w:ascii="Arial Narrow" w:hAnsi="Arial Narrow"/>
                <w:sz w:val="20"/>
              </w:rPr>
            </w:pPr>
            <w:r w:rsidRPr="00242572">
              <w:rPr>
                <w:rFonts w:ascii="Arial Narrow" w:hAnsi="Arial Narrow"/>
                <w:sz w:val="20"/>
              </w:rPr>
              <w:t>NR</w:t>
            </w:r>
          </w:p>
        </w:tc>
        <w:tc>
          <w:tcPr>
            <w:tcW w:w="39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2.4</w:t>
            </w:r>
          </w:p>
        </w:tc>
        <w:tc>
          <w:tcPr>
            <w:tcW w:w="37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0.8</w:t>
            </w:r>
          </w:p>
        </w:tc>
        <w:tc>
          <w:tcPr>
            <w:tcW w:w="582"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-66.5</w:t>
            </w:r>
          </w:p>
        </w:tc>
        <w:tc>
          <w:tcPr>
            <w:tcW w:w="45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438"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2.9</w:t>
            </w:r>
          </w:p>
        </w:tc>
        <w:tc>
          <w:tcPr>
            <w:tcW w:w="38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2.0</w:t>
            </w:r>
          </w:p>
        </w:tc>
        <w:tc>
          <w:tcPr>
            <w:tcW w:w="597"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-34.2</w:t>
            </w:r>
          </w:p>
        </w:tc>
        <w:tc>
          <w:tcPr>
            <w:tcW w:w="8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4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0.006</w:t>
            </w:r>
          </w:p>
        </w:tc>
      </w:tr>
      <w:tr w:rsidR="001B0F98" w:rsidRPr="00242572" w:rsidTr="001B0F98">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rPr>
                <w:rFonts w:ascii="Arial Narrow" w:hAnsi="Arial Narrow"/>
                <w:sz w:val="20"/>
              </w:rPr>
            </w:pPr>
            <w:r w:rsidRPr="00242572">
              <w:rPr>
                <w:rFonts w:ascii="Arial Narrow" w:hAnsi="Arial Narrow"/>
                <w:b/>
                <w:sz w:val="20"/>
              </w:rPr>
              <w:t>Mean (SD)</w:t>
            </w:r>
            <w:r w:rsidR="00FC7DB9" w:rsidRPr="00242572">
              <w:rPr>
                <w:rFonts w:ascii="Arial Narrow" w:hAnsi="Arial Narrow"/>
                <w:b/>
                <w:sz w:val="20"/>
                <w:vertAlign w:val="superscript"/>
              </w:rPr>
              <w:t xml:space="preserve"> a</w:t>
            </w:r>
          </w:p>
        </w:tc>
      </w:tr>
      <w:tr w:rsidR="00FC7DB9" w:rsidRPr="00242572" w:rsidTr="000B4E62">
        <w:trPr>
          <w:cantSplit/>
        </w:trPr>
        <w:tc>
          <w:tcPr>
            <w:tcW w:w="46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39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37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582"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45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438"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38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597"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4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r w:rsidR="001B0F98" w:rsidRPr="00242572" w:rsidTr="001B0F98">
        <w:trPr>
          <w:cantSplit/>
          <w:tblHeader/>
        </w:trPr>
        <w:tc>
          <w:tcPr>
            <w:tcW w:w="5000" w:type="pct"/>
            <w:gridSpan w:val="10"/>
            <w:tcBorders>
              <w:left w:val="single" w:sz="4" w:space="0" w:color="auto"/>
              <w:bottom w:val="single" w:sz="4" w:space="0" w:color="auto"/>
              <w:right w:val="single" w:sz="4" w:space="0" w:color="auto"/>
            </w:tcBorders>
          </w:tcPr>
          <w:p w:rsidR="001B0F98" w:rsidRPr="00242572" w:rsidRDefault="001B0F98" w:rsidP="001B0F98">
            <w:pPr>
              <w:rPr>
                <w:rFonts w:ascii="Arial Narrow" w:hAnsi="Arial Narrow"/>
                <w:b/>
                <w:sz w:val="20"/>
              </w:rPr>
            </w:pPr>
            <w:r w:rsidRPr="00242572">
              <w:rPr>
                <w:rFonts w:ascii="Arial Narrow" w:hAnsi="Arial Narrow"/>
                <w:b/>
                <w:sz w:val="20"/>
              </w:rPr>
              <w:t>Berkovic 2007: levetiracetam versus placebo</w:t>
            </w:r>
          </w:p>
        </w:tc>
      </w:tr>
      <w:tr w:rsidR="00FC7DB9" w:rsidRPr="00242572" w:rsidTr="00FC7DB9">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C7DB9" w:rsidRPr="00242572" w:rsidRDefault="00FC7DB9" w:rsidP="001B0F98">
            <w:pPr>
              <w:rPr>
                <w:rFonts w:ascii="Arial Narrow" w:hAnsi="Arial Narrow"/>
                <w:sz w:val="20"/>
              </w:rPr>
            </w:pPr>
            <w:r w:rsidRPr="00242572">
              <w:rPr>
                <w:rFonts w:ascii="Arial Narrow" w:hAnsi="Arial Narrow"/>
                <w:b/>
                <w:sz w:val="20"/>
              </w:rPr>
              <w:t>Median</w:t>
            </w:r>
            <w:r w:rsidRPr="00242572">
              <w:rPr>
                <w:rFonts w:ascii="Arial Narrow" w:hAnsi="Arial Narrow"/>
                <w:b/>
                <w:sz w:val="20"/>
                <w:vertAlign w:val="superscript"/>
              </w:rPr>
              <w:t>a</w:t>
            </w:r>
          </w:p>
        </w:tc>
      </w:tr>
      <w:tr w:rsidR="00FC7DB9" w:rsidRPr="00242572" w:rsidTr="000B4E62">
        <w:trPr>
          <w:cantSplit/>
        </w:trPr>
        <w:tc>
          <w:tcPr>
            <w:tcW w:w="46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ind w:left="29"/>
              <w:jc w:val="center"/>
              <w:rPr>
                <w:rFonts w:ascii="Arial Narrow" w:hAnsi="Arial Narrow"/>
                <w:sz w:val="20"/>
              </w:rPr>
            </w:pPr>
            <w:r w:rsidRPr="00242572">
              <w:rPr>
                <w:rFonts w:ascii="Arial Narrow" w:hAnsi="Arial Narrow"/>
                <w:sz w:val="20"/>
              </w:rPr>
              <w:t>78/79 (99%)</w:t>
            </w:r>
          </w:p>
        </w:tc>
        <w:tc>
          <w:tcPr>
            <w:tcW w:w="39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0.62</w:t>
            </w:r>
          </w:p>
        </w:tc>
        <w:tc>
          <w:tcPr>
            <w:tcW w:w="37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0.14</w:t>
            </w:r>
          </w:p>
        </w:tc>
        <w:tc>
          <w:tcPr>
            <w:tcW w:w="582"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-77.6</w:t>
            </w:r>
          </w:p>
        </w:tc>
        <w:tc>
          <w:tcPr>
            <w:tcW w:w="45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84/84 (100%)</w:t>
            </w:r>
          </w:p>
        </w:tc>
        <w:tc>
          <w:tcPr>
            <w:tcW w:w="438"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0.62</w:t>
            </w:r>
          </w:p>
        </w:tc>
        <w:tc>
          <w:tcPr>
            <w:tcW w:w="38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0.34</w:t>
            </w:r>
          </w:p>
        </w:tc>
        <w:tc>
          <w:tcPr>
            <w:tcW w:w="597"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-44.6</w:t>
            </w:r>
          </w:p>
        </w:tc>
        <w:tc>
          <w:tcPr>
            <w:tcW w:w="8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-28.0</w:t>
            </w:r>
          </w:p>
        </w:tc>
        <w:tc>
          <w:tcPr>
            <w:tcW w:w="4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&lt;0.001</w:t>
            </w:r>
          </w:p>
        </w:tc>
      </w:tr>
      <w:tr w:rsidR="001B0F98" w:rsidRPr="00242572" w:rsidTr="001B0F98">
        <w:trPr>
          <w:cantSplit/>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1B0F98" w:rsidRPr="00242572" w:rsidRDefault="001B0F98" w:rsidP="001B0F98">
            <w:pPr>
              <w:rPr>
                <w:rFonts w:ascii="Arial Narrow" w:hAnsi="Arial Narrow"/>
                <w:sz w:val="20"/>
              </w:rPr>
            </w:pPr>
            <w:r w:rsidRPr="00242572">
              <w:rPr>
                <w:rFonts w:ascii="Arial Narrow" w:hAnsi="Arial Narrow"/>
                <w:b/>
                <w:sz w:val="20"/>
              </w:rPr>
              <w:t>Mean (SD)</w:t>
            </w:r>
            <w:r w:rsidR="00FC7DB9" w:rsidRPr="00242572">
              <w:rPr>
                <w:rFonts w:ascii="Arial Narrow" w:hAnsi="Arial Narrow"/>
                <w:b/>
                <w:sz w:val="20"/>
                <w:vertAlign w:val="superscript"/>
              </w:rPr>
              <w:t xml:space="preserve"> a</w:t>
            </w:r>
          </w:p>
        </w:tc>
      </w:tr>
      <w:tr w:rsidR="00FC7DB9" w:rsidRPr="00242572" w:rsidTr="000B4E62">
        <w:trPr>
          <w:cantSplit/>
        </w:trPr>
        <w:tc>
          <w:tcPr>
            <w:tcW w:w="46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78/79 (99%)</w:t>
            </w:r>
          </w:p>
        </w:tc>
        <w:tc>
          <w:tcPr>
            <w:tcW w:w="39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1.27 (2.46)</w:t>
            </w:r>
          </w:p>
        </w:tc>
        <w:tc>
          <w:tcPr>
            <w:tcW w:w="37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0.55</w:t>
            </w:r>
          </w:p>
        </w:tc>
        <w:tc>
          <w:tcPr>
            <w:tcW w:w="582"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-56.5</w:t>
            </w:r>
          </w:p>
        </w:tc>
        <w:tc>
          <w:tcPr>
            <w:tcW w:w="455"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84/84 (100%)</w:t>
            </w:r>
          </w:p>
        </w:tc>
        <w:tc>
          <w:tcPr>
            <w:tcW w:w="438"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1.20 (1.90)</w:t>
            </w:r>
          </w:p>
        </w:tc>
        <w:tc>
          <w:tcPr>
            <w:tcW w:w="389"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0.86</w:t>
            </w:r>
          </w:p>
        </w:tc>
        <w:tc>
          <w:tcPr>
            <w:tcW w:w="597"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-28.2</w:t>
            </w:r>
          </w:p>
        </w:tc>
        <w:tc>
          <w:tcPr>
            <w:tcW w:w="8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 xml:space="preserve">-28.3 </w:t>
            </w:r>
            <w:r w:rsidR="009A637D" w:rsidRPr="00242572">
              <w:rPr>
                <w:rFonts w:ascii="Arial Narrow" w:hAnsi="Arial Narrow"/>
                <w:sz w:val="20"/>
              </w:rPr>
              <w:br/>
            </w:r>
            <w:r w:rsidRPr="00242572">
              <w:rPr>
                <w:rFonts w:ascii="Arial Narrow" w:hAnsi="Arial Narrow"/>
                <w:sz w:val="20"/>
              </w:rPr>
              <w:t>(-8.97, -47.64)</w:t>
            </w:r>
          </w:p>
        </w:tc>
        <w:tc>
          <w:tcPr>
            <w:tcW w:w="451"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1B0F98">
            <w:pPr>
              <w:jc w:val="center"/>
              <w:rPr>
                <w:rFonts w:ascii="Arial Narrow" w:hAnsi="Arial Narrow"/>
                <w:sz w:val="20"/>
              </w:rPr>
            </w:pPr>
            <w:r w:rsidRPr="00242572">
              <w:rPr>
                <w:rFonts w:ascii="Arial Narrow" w:hAnsi="Arial Narrow"/>
                <w:sz w:val="20"/>
              </w:rPr>
              <w:t>0.004</w:t>
            </w:r>
          </w:p>
        </w:tc>
      </w:tr>
    </w:tbl>
    <w:p w:rsidR="00904515" w:rsidRPr="00242572" w:rsidRDefault="002F35CC" w:rsidP="00904515">
      <w:pPr>
        <w:pStyle w:val="TableFooter"/>
        <w:rPr>
          <w:lang w:eastAsia="zh-CN"/>
        </w:rPr>
      </w:pPr>
      <w:r w:rsidRPr="00242572">
        <w:rPr>
          <w:vertAlign w:val="superscript"/>
          <w:lang w:eastAsia="zh-CN"/>
        </w:rPr>
        <w:t xml:space="preserve">a </w:t>
      </w:r>
      <w:r w:rsidRPr="00242572">
        <w:rPr>
          <w:lang w:eastAsia="zh-CN"/>
        </w:rPr>
        <w:t>PGTC seizure frequency reported as 28 days in Trial 332; per month in Biton 2005; GTC seizure frequency reported as per week in Berkovic 2007</w:t>
      </w:r>
      <w:r w:rsidR="00904515" w:rsidRPr="00242572">
        <w:rPr>
          <w:lang w:eastAsia="zh-CN"/>
        </w:rPr>
        <w:t xml:space="preserve">. </w:t>
      </w:r>
      <w:r w:rsidR="00904515" w:rsidRPr="00242572">
        <w:t xml:space="preserve">The outcome measure, percentage change from baseline and responder rate, are relative effects and therefore do not differ according to measurement period. </w:t>
      </w:r>
    </w:p>
    <w:p w:rsidR="001B0F98" w:rsidRPr="00242572" w:rsidRDefault="00FC7DB9" w:rsidP="001B0F98">
      <w:pPr>
        <w:contextualSpacing/>
        <w:rPr>
          <w:rFonts w:ascii="Arial Narrow" w:hAnsi="Arial Narrow"/>
          <w:sz w:val="18"/>
          <w:szCs w:val="18"/>
          <w:vertAlign w:val="superscript"/>
          <w:lang w:eastAsia="zh-CN"/>
        </w:rPr>
      </w:pPr>
      <w:r w:rsidRPr="00242572">
        <w:rPr>
          <w:rFonts w:ascii="Arial Narrow" w:hAnsi="Arial Narrow"/>
          <w:sz w:val="18"/>
          <w:szCs w:val="18"/>
          <w:vertAlign w:val="superscript"/>
          <w:lang w:eastAsia="zh-CN"/>
        </w:rPr>
        <w:t>b</w:t>
      </w:r>
      <w:r w:rsidR="001B0F98" w:rsidRPr="00242572">
        <w:rPr>
          <w:rFonts w:ascii="Arial Narrow" w:hAnsi="Arial Narrow"/>
          <w:sz w:val="18"/>
          <w:szCs w:val="18"/>
          <w:vertAlign w:val="superscript"/>
          <w:lang w:eastAsia="zh-CN"/>
        </w:rPr>
        <w:t xml:space="preserve"> </w:t>
      </w:r>
      <w:r w:rsidR="001B0F98" w:rsidRPr="00242572">
        <w:rPr>
          <w:rFonts w:ascii="Arial Narrow" w:hAnsi="Arial Narrow"/>
          <w:sz w:val="18"/>
          <w:szCs w:val="18"/>
          <w:lang w:eastAsia="zh-CN"/>
        </w:rPr>
        <w:t>n reporting data/N</w:t>
      </w:r>
    </w:p>
    <w:p w:rsidR="001B0F98" w:rsidRPr="00242572" w:rsidRDefault="00FC7DB9" w:rsidP="001B0F98">
      <w:pPr>
        <w:contextualSpacing/>
        <w:rPr>
          <w:rFonts w:ascii="Arial Narrow" w:hAnsi="Arial Narrow"/>
          <w:sz w:val="18"/>
          <w:szCs w:val="18"/>
          <w:lang w:eastAsia="zh-CN"/>
        </w:rPr>
      </w:pPr>
      <w:r w:rsidRPr="00242572">
        <w:rPr>
          <w:rFonts w:ascii="Arial Narrow" w:hAnsi="Arial Narrow"/>
          <w:sz w:val="18"/>
          <w:szCs w:val="18"/>
          <w:vertAlign w:val="superscript"/>
          <w:lang w:eastAsia="zh-CN"/>
        </w:rPr>
        <w:t>c</w:t>
      </w:r>
      <w:r w:rsidR="001B0F98" w:rsidRPr="00242572">
        <w:rPr>
          <w:rFonts w:ascii="Arial Narrow" w:hAnsi="Arial Narrow"/>
          <w:sz w:val="18"/>
          <w:szCs w:val="18"/>
          <w:lang w:eastAsia="zh-CN"/>
        </w:rPr>
        <w:t xml:space="preserve"> The median or mean number of PGTC or GTC seizures at pre-randomisation</w:t>
      </w:r>
    </w:p>
    <w:p w:rsidR="001B0F98" w:rsidRPr="00242572" w:rsidRDefault="00FC7DB9" w:rsidP="001B0F98">
      <w:pPr>
        <w:rPr>
          <w:rFonts w:ascii="Arial Narrow" w:hAnsi="Arial Narrow"/>
          <w:sz w:val="18"/>
          <w:szCs w:val="18"/>
        </w:rPr>
      </w:pPr>
      <w:r w:rsidRPr="00242572">
        <w:rPr>
          <w:rFonts w:ascii="Arial Narrow" w:hAnsi="Arial Narrow"/>
          <w:sz w:val="18"/>
          <w:szCs w:val="18"/>
          <w:vertAlign w:val="superscript"/>
        </w:rPr>
        <w:t>d</w:t>
      </w:r>
      <w:r w:rsidR="001B0F98" w:rsidRPr="00242572">
        <w:rPr>
          <w:rFonts w:ascii="Arial Narrow" w:hAnsi="Arial Narrow"/>
          <w:sz w:val="18"/>
          <w:szCs w:val="18"/>
        </w:rPr>
        <w:t xml:space="preserve"> The median or mean number of PGTC or GTC seizures during the Titration and Maintenance Periods (combined)</w:t>
      </w:r>
    </w:p>
    <w:p w:rsidR="001B0F98" w:rsidRPr="00242572" w:rsidRDefault="00FC7DB9" w:rsidP="001B0F98">
      <w:pPr>
        <w:rPr>
          <w:rFonts w:ascii="Arial Narrow" w:hAnsi="Arial Narrow"/>
          <w:sz w:val="18"/>
          <w:szCs w:val="18"/>
          <w:u w:val="single"/>
        </w:rPr>
      </w:pPr>
      <w:r w:rsidRPr="00242572">
        <w:rPr>
          <w:rFonts w:ascii="Arial Narrow" w:hAnsi="Arial Narrow"/>
          <w:sz w:val="18"/>
          <w:szCs w:val="18"/>
          <w:vertAlign w:val="superscript"/>
        </w:rPr>
        <w:t>e</w:t>
      </w:r>
      <w:r w:rsidR="001B0F98" w:rsidRPr="00242572">
        <w:rPr>
          <w:rFonts w:ascii="Arial Narrow" w:hAnsi="Arial Narrow"/>
          <w:sz w:val="18"/>
          <w:szCs w:val="18"/>
        </w:rPr>
        <w:t xml:space="preserve"> For the percent change in seizure frequency for PGTC or GTC seizures and all seizures the evaluation could not verify the median or mean percentage change in each treatment arm from the summary level data presented. </w:t>
      </w:r>
    </w:p>
    <w:p w:rsidR="001B0F98" w:rsidRPr="00242572" w:rsidRDefault="002F35CC" w:rsidP="001B0F98">
      <w:pPr>
        <w:rPr>
          <w:rFonts w:ascii="Arial Narrow" w:hAnsi="Arial Narrow"/>
          <w:sz w:val="18"/>
          <w:szCs w:val="18"/>
        </w:rPr>
      </w:pPr>
      <w:r w:rsidRPr="00242572">
        <w:rPr>
          <w:rFonts w:ascii="Arial Narrow" w:hAnsi="Arial Narrow"/>
          <w:sz w:val="18"/>
          <w:szCs w:val="18"/>
          <w:vertAlign w:val="superscript"/>
        </w:rPr>
        <w:t>f</w:t>
      </w:r>
      <w:r w:rsidR="001B0F98" w:rsidRPr="00242572">
        <w:rPr>
          <w:rFonts w:ascii="Arial Narrow" w:hAnsi="Arial Narrow"/>
          <w:sz w:val="18"/>
          <w:szCs w:val="18"/>
          <w:vertAlign w:val="superscript"/>
        </w:rPr>
        <w:t xml:space="preserve"> </w:t>
      </w:r>
      <w:r w:rsidR="001B0F98" w:rsidRPr="00242572">
        <w:rPr>
          <w:rFonts w:ascii="Arial Narrow" w:hAnsi="Arial Narrow"/>
          <w:sz w:val="18"/>
          <w:szCs w:val="18"/>
        </w:rPr>
        <w:t>The median treatment difference to placebo and the 95% confidence interval are based on the Hodges-Lehmann method</w:t>
      </w:r>
    </w:p>
    <w:p w:rsidR="001B0F98" w:rsidRPr="00242572" w:rsidRDefault="002F35CC" w:rsidP="001B0F98">
      <w:pPr>
        <w:ind w:left="142" w:hanging="142"/>
        <w:rPr>
          <w:rFonts w:ascii="Arial Narrow" w:hAnsi="Arial Narrow"/>
          <w:sz w:val="18"/>
          <w:szCs w:val="18"/>
        </w:rPr>
      </w:pPr>
      <w:r w:rsidRPr="00242572">
        <w:rPr>
          <w:rFonts w:ascii="Arial Narrow" w:hAnsi="Arial Narrow"/>
          <w:sz w:val="18"/>
          <w:szCs w:val="18"/>
          <w:vertAlign w:val="superscript"/>
        </w:rPr>
        <w:t>g</w:t>
      </w:r>
      <w:r w:rsidR="001B0F98" w:rsidRPr="00242572">
        <w:rPr>
          <w:rFonts w:ascii="Arial Narrow" w:hAnsi="Arial Narrow"/>
          <w:sz w:val="18"/>
          <w:szCs w:val="18"/>
          <w:vertAlign w:val="superscript"/>
        </w:rPr>
        <w:t xml:space="preserve"> </w:t>
      </w:r>
      <w:r w:rsidR="001B0F98" w:rsidRPr="00242572">
        <w:rPr>
          <w:rFonts w:ascii="Arial Narrow" w:hAnsi="Arial Narrow"/>
          <w:sz w:val="18"/>
          <w:szCs w:val="18"/>
        </w:rPr>
        <w:t>Active drug versus placebo. The P value is based on a rank analysis of covariance with treatment and pooled country as factors, and prerandomisation seizure frequency as a covariate.</w:t>
      </w:r>
    </w:p>
    <w:p w:rsidR="001B0F98" w:rsidRPr="00242572" w:rsidRDefault="001B0F98" w:rsidP="001B0F98">
      <w:pPr>
        <w:contextualSpacing/>
        <w:rPr>
          <w:rFonts w:ascii="Arial Narrow" w:hAnsi="Arial Narrow"/>
          <w:sz w:val="18"/>
          <w:szCs w:val="18"/>
          <w:lang w:eastAsia="zh-CN"/>
        </w:rPr>
      </w:pPr>
      <w:r w:rsidRPr="00242572">
        <w:rPr>
          <w:rFonts w:ascii="Arial Narrow" w:hAnsi="Arial Narrow"/>
          <w:sz w:val="18"/>
          <w:szCs w:val="18"/>
          <w:lang w:eastAsia="zh-CN"/>
        </w:rPr>
        <w:t>CI = confidence interval; GTC = generalised tonic clonic; NR = not reported; PGTC = primary generalised tonic clonic; SD = standard deviation</w:t>
      </w:r>
    </w:p>
    <w:p w:rsidR="001B0F98" w:rsidRPr="00242572" w:rsidRDefault="001B0F98" w:rsidP="001B0F98">
      <w:pPr>
        <w:contextualSpacing/>
        <w:rPr>
          <w:rFonts w:ascii="Arial Narrow" w:hAnsi="Arial Narrow"/>
          <w:sz w:val="18"/>
          <w:szCs w:val="18"/>
          <w:lang w:eastAsia="zh-CN"/>
        </w:rPr>
      </w:pPr>
      <w:r w:rsidRPr="00242572">
        <w:rPr>
          <w:rFonts w:ascii="Arial Narrow" w:hAnsi="Arial Narrow"/>
          <w:sz w:val="18"/>
          <w:szCs w:val="18"/>
        </w:rPr>
        <w:t>Source: Table B.6.1, p103, of the re-submission</w:t>
      </w:r>
    </w:p>
    <w:p w:rsidR="001B0F98" w:rsidRPr="00242572" w:rsidRDefault="001B0F98" w:rsidP="001B0F98">
      <w:pPr>
        <w:contextualSpacing/>
        <w:rPr>
          <w:rFonts w:ascii="Arial Narrow" w:hAnsi="Arial Narrow"/>
          <w:sz w:val="18"/>
          <w:szCs w:val="18"/>
          <w:lang w:eastAsia="zh-CN"/>
        </w:rPr>
      </w:pP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For the indirect comparisons, the re-submission presented the 50% PGTC </w:t>
      </w:r>
      <w:r w:rsidR="000B0FCB" w:rsidRPr="00242572">
        <w:rPr>
          <w:rFonts w:asciiTheme="minorHAnsi" w:hAnsiTheme="minorHAnsi"/>
          <w:sz w:val="24"/>
        </w:rPr>
        <w:t xml:space="preserve">or GTC </w:t>
      </w:r>
      <w:r w:rsidRPr="00242572">
        <w:rPr>
          <w:rFonts w:asciiTheme="minorHAnsi" w:hAnsiTheme="minorHAnsi"/>
          <w:sz w:val="24"/>
        </w:rPr>
        <w:t>seizure responder rate during the maintenance phase (Table 6)</w:t>
      </w:r>
      <w:r w:rsidR="00190E75">
        <w:rPr>
          <w:rFonts w:asciiTheme="minorHAnsi" w:hAnsiTheme="minorHAnsi"/>
          <w:sz w:val="24"/>
        </w:rPr>
        <w:t>.</w:t>
      </w:r>
    </w:p>
    <w:p w:rsidR="00482F0F" w:rsidRDefault="00482F0F" w:rsidP="00482F0F">
      <w:pPr>
        <w:pStyle w:val="Caption"/>
      </w:pPr>
      <w:r>
        <w:t xml:space="preserve">Table </w:t>
      </w:r>
      <w:fldSimple w:instr=" SEQ Table \* ARABIC ">
        <w:r w:rsidR="000B634D">
          <w:rPr>
            <w:noProof/>
          </w:rPr>
          <w:t>6</w:t>
        </w:r>
      </w:fldSimple>
      <w:r w:rsidRPr="003320C1">
        <w:t>:  Indirect comparisons: 50% PGTC or GTC seizure responder rate during the maintenance phase</w:t>
      </w:r>
      <w:r w:rsidRPr="00482F0F">
        <w:rPr>
          <w:vertAlign w:val="superscript"/>
        </w:rPr>
        <w:t>a</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3"/>
        <w:gridCol w:w="1536"/>
        <w:gridCol w:w="1536"/>
        <w:gridCol w:w="1536"/>
        <w:gridCol w:w="1536"/>
        <w:gridCol w:w="1534"/>
      </w:tblGrid>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rPr>
                <w:b/>
              </w:rPr>
            </w:pPr>
            <w:r w:rsidRPr="00242572">
              <w:rPr>
                <w:b/>
              </w:rPr>
              <w:t>Trial type or estimate</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rPr>
                <w:b/>
                <w:color w:val="000000"/>
              </w:rPr>
            </w:pPr>
            <w:r w:rsidRPr="00242572">
              <w:rPr>
                <w:b/>
                <w:color w:val="000000"/>
              </w:rPr>
              <w:t>Trial ID</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rPr>
                <w:b/>
              </w:rPr>
            </w:pPr>
            <w:r w:rsidRPr="00242572">
              <w:rPr>
                <w:b/>
              </w:rPr>
              <w:t>n with event/N (%)</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rPr>
                <w:b/>
              </w:rPr>
            </w:pPr>
            <w:r w:rsidRPr="00242572">
              <w:rPr>
                <w:b/>
              </w:rPr>
              <w:t>Common reference n with event/N (%)</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rPr>
                <w:b/>
              </w:rPr>
            </w:pPr>
            <w:r w:rsidRPr="00242572">
              <w:rPr>
                <w:b/>
              </w:rPr>
              <w:t>Treatment effect OR (95% CI)</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rPr>
                <w:b/>
              </w:rPr>
            </w:pPr>
            <w:r w:rsidRPr="00242572">
              <w:rPr>
                <w:b/>
              </w:rPr>
              <w:t>Treatment effect RR (95% CI)</w:t>
            </w:r>
          </w:p>
        </w:tc>
      </w:tr>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jc w:val="left"/>
            </w:pPr>
            <w:r w:rsidRPr="00242572">
              <w:t>Perampanel vs placebo</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rPr>
                <w:color w:val="000000"/>
              </w:rPr>
            </w:pPr>
            <w:r w:rsidRPr="00242572">
              <w:rPr>
                <w:color w:val="000000"/>
              </w:rPr>
              <w:t>Trial 332</w:t>
            </w:r>
            <w:r w:rsidRPr="00242572">
              <w:rPr>
                <w:color w:val="000000"/>
                <w:vertAlign w:val="superscript"/>
              </w:rPr>
              <w:t>b</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52/81 (64.2%)</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32/81 (39.5%)</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2.75 (1.45, 5.19)</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1.63 (1.19, 2.23)</w:t>
            </w:r>
          </w:p>
        </w:tc>
      </w:tr>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jc w:val="left"/>
            </w:pPr>
            <w:r w:rsidRPr="00242572">
              <w:t xml:space="preserve">Lamotrigine </w:t>
            </w:r>
            <w:r w:rsidR="00B574F7" w:rsidRPr="00242572">
              <w:t>vs.</w:t>
            </w:r>
            <w:r w:rsidRPr="00242572">
              <w:t xml:space="preserve"> placebo</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rPr>
                <w:color w:val="000000"/>
              </w:rPr>
            </w:pPr>
            <w:r w:rsidRPr="00242572">
              <w:rPr>
                <w:color w:val="000000"/>
              </w:rPr>
              <w:t>Biton 2005</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42/58 (72.4%)</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29/59 (49.2%)</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2.72 (1.26, 5.86)</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1.47 (1.09, 2.00)</w:t>
            </w:r>
          </w:p>
        </w:tc>
      </w:tr>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jc w:val="left"/>
            </w:pPr>
            <w:r w:rsidRPr="00242572">
              <w:t>Indirect comparison</w:t>
            </w:r>
            <w:r w:rsidRPr="00242572">
              <w:rPr>
                <w:vertAlign w:val="superscript"/>
              </w:rPr>
              <w:t>c</w:t>
            </w:r>
            <w:r w:rsidRPr="00242572">
              <w:t>:</w:t>
            </w:r>
          </w:p>
          <w:p w:rsidR="001B0F98" w:rsidRPr="00242572" w:rsidRDefault="001B0F98" w:rsidP="00DB2644">
            <w:pPr>
              <w:pStyle w:val="TableText1"/>
              <w:keepLines/>
              <w:widowControl w:val="0"/>
              <w:spacing w:before="0" w:after="0"/>
              <w:jc w:val="left"/>
            </w:pPr>
            <w:r w:rsidRPr="00242572">
              <w:rPr>
                <w:b/>
              </w:rPr>
              <w:t>Perampanel vs. lamotrigine</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rPr>
                <w:color w:val="000000"/>
              </w:rPr>
            </w:pPr>
            <w:r w:rsidRPr="00242572">
              <w:rPr>
                <w:color w:val="000000"/>
              </w:rPr>
              <w:t>–</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pPr>
            <w:r w:rsidRPr="00242572">
              <w:rPr>
                <w:color w:val="000000"/>
              </w:rPr>
              <w:t>–</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pPr>
            <w:r w:rsidRPr="00242572">
              <w:rPr>
                <w:color w:val="000000"/>
              </w:rPr>
              <w:t>–</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pPr>
            <w:r w:rsidRPr="00242572">
              <w:t>1.01 (0.37, 2.74)</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pPr>
            <w:r w:rsidRPr="00242572">
              <w:t>1.10 (0.71, 1.71)</w:t>
            </w:r>
          </w:p>
        </w:tc>
      </w:tr>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jc w:val="left"/>
            </w:pPr>
            <w:r w:rsidRPr="00242572">
              <w:t xml:space="preserve">Perampanel </w:t>
            </w:r>
            <w:r w:rsidR="00B574F7" w:rsidRPr="00242572">
              <w:t>vs.</w:t>
            </w:r>
            <w:r w:rsidRPr="00242572">
              <w:t xml:space="preserve"> placebo</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rPr>
                <w:color w:val="000000"/>
              </w:rPr>
            </w:pPr>
            <w:r w:rsidRPr="00242572">
              <w:rPr>
                <w:color w:val="000000"/>
              </w:rPr>
              <w:t>Trial 332</w:t>
            </w:r>
            <w:r w:rsidRPr="00242572">
              <w:rPr>
                <w:color w:val="000000"/>
                <w:vertAlign w:val="superscript"/>
              </w:rPr>
              <w:t>b</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52/81 (64.2%)</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32/81 (39.5%)</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2.75 (1.45, 5.19)</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1.63 (1.19, 2.23)</w:t>
            </w:r>
          </w:p>
        </w:tc>
      </w:tr>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jc w:val="left"/>
            </w:pPr>
            <w:r w:rsidRPr="00242572">
              <w:t xml:space="preserve">Levetiracetam </w:t>
            </w:r>
            <w:r w:rsidR="00B574F7" w:rsidRPr="00242572">
              <w:t>vs.</w:t>
            </w:r>
            <w:r w:rsidRPr="00242572">
              <w:t xml:space="preserve"> placebo</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rPr>
                <w:color w:val="000000"/>
              </w:rPr>
            </w:pPr>
            <w:r w:rsidRPr="00242572">
              <w:rPr>
                <w:color w:val="000000"/>
              </w:rPr>
              <w:t>Berkovic 2007</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54/79 (68.4%)</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37/84 (44.0%)</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2.74 (1.45, 5.21)</w:t>
            </w:r>
          </w:p>
        </w:tc>
        <w:tc>
          <w:tcPr>
            <w:tcW w:w="833" w:type="pct"/>
            <w:tcBorders>
              <w:top w:val="single" w:sz="4" w:space="0" w:color="auto"/>
              <w:left w:val="single" w:sz="4" w:space="0" w:color="auto"/>
              <w:bottom w:val="single" w:sz="4" w:space="0" w:color="auto"/>
              <w:right w:val="single" w:sz="4" w:space="0" w:color="auto"/>
            </w:tcBorders>
          </w:tcPr>
          <w:p w:rsidR="001B0F98" w:rsidRPr="00242572" w:rsidRDefault="001B0F98" w:rsidP="00DB2644">
            <w:pPr>
              <w:pStyle w:val="TableText1"/>
              <w:keepLines/>
              <w:widowControl w:val="0"/>
              <w:spacing w:before="0" w:after="0"/>
              <w:ind w:left="-57" w:right="-57"/>
              <w:jc w:val="center"/>
            </w:pPr>
            <w:r w:rsidRPr="00242572">
              <w:t>1.55 (1.17, 2.06)</w:t>
            </w:r>
          </w:p>
        </w:tc>
      </w:tr>
      <w:tr w:rsidR="001B0F98" w:rsidRPr="00242572" w:rsidTr="00482F0F">
        <w:tc>
          <w:tcPr>
            <w:tcW w:w="836" w:type="pct"/>
            <w:tcBorders>
              <w:top w:val="single" w:sz="4" w:space="0" w:color="auto"/>
              <w:left w:val="single" w:sz="4" w:space="0" w:color="auto"/>
              <w:bottom w:val="single" w:sz="4" w:space="0" w:color="auto"/>
              <w:right w:val="single" w:sz="4" w:space="0" w:color="auto"/>
            </w:tcBorders>
            <w:tcMar>
              <w:right w:w="28" w:type="dxa"/>
            </w:tcMar>
          </w:tcPr>
          <w:p w:rsidR="001B0F98" w:rsidRPr="00242572" w:rsidRDefault="001B0F98" w:rsidP="00DB2644">
            <w:pPr>
              <w:pStyle w:val="TableText1"/>
              <w:keepLines/>
              <w:widowControl w:val="0"/>
              <w:spacing w:before="0" w:after="0"/>
              <w:jc w:val="left"/>
            </w:pPr>
            <w:r w:rsidRPr="00242572">
              <w:t>Indirect comparison</w:t>
            </w:r>
            <w:r w:rsidRPr="00242572">
              <w:rPr>
                <w:vertAlign w:val="superscript"/>
              </w:rPr>
              <w:t>c</w:t>
            </w:r>
            <w:r w:rsidRPr="00242572">
              <w:t>:</w:t>
            </w:r>
          </w:p>
          <w:p w:rsidR="001B0F98" w:rsidRPr="00242572" w:rsidRDefault="001B0F98" w:rsidP="00DB2644">
            <w:pPr>
              <w:pStyle w:val="TableText1"/>
              <w:keepLines/>
              <w:widowControl w:val="0"/>
              <w:spacing w:before="0" w:after="0"/>
              <w:jc w:val="left"/>
              <w:rPr>
                <w:b/>
              </w:rPr>
            </w:pPr>
            <w:r w:rsidRPr="00242572">
              <w:rPr>
                <w:b/>
              </w:rPr>
              <w:t xml:space="preserve">Perampanel vs. </w:t>
            </w:r>
          </w:p>
          <w:p w:rsidR="001B0F98" w:rsidRPr="00242572" w:rsidRDefault="001B0F98" w:rsidP="00DB2644">
            <w:pPr>
              <w:pStyle w:val="TableText1"/>
              <w:keepLines/>
              <w:widowControl w:val="0"/>
              <w:spacing w:before="0" w:after="0"/>
              <w:jc w:val="left"/>
            </w:pPr>
            <w:r w:rsidRPr="00242572">
              <w:rPr>
                <w:b/>
              </w:rPr>
              <w:t>levetiracetam</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rPr>
                <w:color w:val="000000"/>
              </w:rPr>
            </w:pPr>
            <w:r w:rsidRPr="00242572">
              <w:rPr>
                <w:color w:val="000000"/>
              </w:rPr>
              <w:t>–</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rPr>
                <w:color w:val="000000"/>
              </w:rPr>
            </w:pPr>
            <w:r w:rsidRPr="00242572">
              <w:rPr>
                <w:color w:val="000000"/>
              </w:rPr>
              <w:t>–</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rPr>
                <w:color w:val="000000"/>
              </w:rPr>
            </w:pPr>
            <w:r w:rsidRPr="00242572">
              <w:rPr>
                <w:color w:val="000000"/>
              </w:rPr>
              <w:t xml:space="preserve">– </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pPr>
            <w:r w:rsidRPr="00242572">
              <w:t>1.00 (0.41, 2.47)</w:t>
            </w:r>
          </w:p>
        </w:tc>
        <w:tc>
          <w:tcPr>
            <w:tcW w:w="833" w:type="pct"/>
            <w:tcBorders>
              <w:top w:val="single" w:sz="4" w:space="0" w:color="auto"/>
              <w:left w:val="single" w:sz="4" w:space="0" w:color="auto"/>
              <w:bottom w:val="single" w:sz="4" w:space="0" w:color="auto"/>
              <w:right w:val="single" w:sz="4" w:space="0" w:color="auto"/>
            </w:tcBorders>
            <w:vAlign w:val="center"/>
          </w:tcPr>
          <w:p w:rsidR="001B0F98" w:rsidRPr="00242572" w:rsidRDefault="001B0F98" w:rsidP="00DB2644">
            <w:pPr>
              <w:pStyle w:val="TableText1"/>
              <w:keepLines/>
              <w:widowControl w:val="0"/>
              <w:spacing w:before="0" w:after="0"/>
              <w:ind w:left="-57" w:right="-57"/>
              <w:jc w:val="center"/>
            </w:pPr>
            <w:r w:rsidRPr="00242572">
              <w:t>1.05 (0.69, 1.60)</w:t>
            </w:r>
          </w:p>
        </w:tc>
      </w:tr>
    </w:tbl>
    <w:p w:rsidR="001B0F98" w:rsidRPr="00242572" w:rsidRDefault="001B0F98" w:rsidP="00DB2644">
      <w:pPr>
        <w:pStyle w:val="V50Tablenote"/>
        <w:keepNext/>
        <w:keepLines/>
        <w:rPr>
          <w:rFonts w:ascii="Arial Narrow" w:hAnsi="Arial Narrow"/>
        </w:rPr>
      </w:pPr>
      <w:r w:rsidRPr="00242572">
        <w:rPr>
          <w:rFonts w:ascii="Arial Narrow" w:hAnsi="Arial Narrow"/>
          <w:vertAlign w:val="superscript"/>
        </w:rPr>
        <w:t>a</w:t>
      </w:r>
      <w:r w:rsidRPr="00242572">
        <w:rPr>
          <w:rFonts w:ascii="Arial Narrow" w:hAnsi="Arial Narrow"/>
        </w:rPr>
        <w:t xml:space="preserve"> </w:t>
      </w:r>
      <w:r w:rsidRPr="00242572">
        <w:rPr>
          <w:rFonts w:ascii="Arial Narrow" w:hAnsi="Arial Narrow"/>
          <w:b/>
        </w:rPr>
        <w:t>Trial 332:</w:t>
      </w:r>
      <w:r w:rsidRPr="00242572">
        <w:rPr>
          <w:rFonts w:ascii="Arial Narrow" w:hAnsi="Arial Narrow"/>
        </w:rPr>
        <w:t xml:space="preserve"> </w:t>
      </w:r>
      <w:r w:rsidRPr="00242572">
        <w:rPr>
          <w:rFonts w:ascii="Arial Narrow" w:hAnsi="Arial Narrow"/>
          <w:lang w:eastAsia="zh-CN"/>
        </w:rPr>
        <w:t xml:space="preserve">50% responder rate was defined as the percentage of subjects experiencing a 50% or greater reduction in PGTC seizure frequency per 28 days in the Maintenance Period relative to baseline; </w:t>
      </w:r>
      <w:r w:rsidRPr="00242572">
        <w:rPr>
          <w:rFonts w:ascii="Arial Narrow" w:hAnsi="Arial Narrow"/>
          <w:b/>
        </w:rPr>
        <w:t>Biton 2005:</w:t>
      </w:r>
      <w:r w:rsidRPr="00242572">
        <w:rPr>
          <w:rFonts w:ascii="Arial Narrow" w:hAnsi="Arial Narrow"/>
        </w:rPr>
        <w:t xml:space="preserve"> 50% responder rate was defined as the percentage of patients with a reduction of ≥50% in the frequency of PGTC seizures per month during the Maintenance Phases relative to the Baseline Phase; </w:t>
      </w:r>
      <w:r w:rsidRPr="00242572">
        <w:rPr>
          <w:rFonts w:ascii="Arial Narrow" w:hAnsi="Arial Narrow"/>
          <w:b/>
        </w:rPr>
        <w:t>Berkovic 2007:</w:t>
      </w:r>
      <w:r w:rsidRPr="00242572">
        <w:rPr>
          <w:rFonts w:ascii="Arial Narrow" w:hAnsi="Arial Narrow"/>
        </w:rPr>
        <w:t xml:space="preserve"> </w:t>
      </w:r>
      <w:r w:rsidRPr="00242572">
        <w:rPr>
          <w:rFonts w:ascii="Arial Narrow" w:hAnsi="Arial Narrow"/>
          <w:lang w:eastAsia="zh-CN"/>
        </w:rPr>
        <w:t xml:space="preserve">50% responder rate was defined as </w:t>
      </w:r>
      <w:r w:rsidRPr="00242572">
        <w:rPr>
          <w:rFonts w:ascii="Arial Narrow" w:hAnsi="Arial Narrow"/>
        </w:rPr>
        <w:t>≥50% reductions in the frequency of GTC seizures per week from the baseline period to the treatment period (evaluation)</w:t>
      </w:r>
    </w:p>
    <w:p w:rsidR="001B0F98" w:rsidRPr="00242572" w:rsidRDefault="001B0F98" w:rsidP="00DB2644">
      <w:pPr>
        <w:pStyle w:val="V50Tablenote"/>
        <w:keepNext/>
        <w:keepLines/>
        <w:rPr>
          <w:rFonts w:ascii="Arial Narrow" w:hAnsi="Arial Narrow"/>
        </w:rPr>
      </w:pPr>
      <w:r w:rsidRPr="00242572">
        <w:rPr>
          <w:rFonts w:ascii="Arial Narrow" w:hAnsi="Arial Narrow"/>
          <w:vertAlign w:val="superscript"/>
        </w:rPr>
        <w:t xml:space="preserve">b </w:t>
      </w:r>
      <w:r w:rsidRPr="00242572">
        <w:rPr>
          <w:rFonts w:ascii="Arial Narrow" w:hAnsi="Arial Narrow"/>
        </w:rPr>
        <w:t>Full Analysis (FA) Set</w:t>
      </w:r>
    </w:p>
    <w:p w:rsidR="001B0F98" w:rsidRPr="00242572" w:rsidRDefault="001B0F98" w:rsidP="00DB2644">
      <w:pPr>
        <w:pStyle w:val="V50Tablenote"/>
        <w:keepNext/>
        <w:keepLines/>
        <w:rPr>
          <w:rFonts w:ascii="Arial Narrow" w:hAnsi="Arial Narrow"/>
        </w:rPr>
      </w:pPr>
      <w:r w:rsidRPr="00242572">
        <w:rPr>
          <w:rFonts w:ascii="Arial Narrow" w:hAnsi="Arial Narrow"/>
          <w:vertAlign w:val="superscript"/>
        </w:rPr>
        <w:t>c</w:t>
      </w:r>
      <w:r w:rsidRPr="00242572">
        <w:rPr>
          <w:rFonts w:ascii="Arial Narrow" w:hAnsi="Arial Narrow"/>
        </w:rPr>
        <w:t xml:space="preserve"> Indirect estimate of effect adjusted for the common reference.</w:t>
      </w:r>
    </w:p>
    <w:p w:rsidR="001B0F98" w:rsidRPr="00242572" w:rsidRDefault="001B0F98" w:rsidP="00DB2644">
      <w:pPr>
        <w:pStyle w:val="V50Tablenote"/>
        <w:keepNext/>
        <w:keepLines/>
        <w:rPr>
          <w:rFonts w:ascii="Arial Narrow" w:hAnsi="Arial Narrow"/>
        </w:rPr>
      </w:pPr>
      <w:r w:rsidRPr="00242572">
        <w:rPr>
          <w:rFonts w:ascii="Arial Narrow" w:hAnsi="Arial Narrow"/>
        </w:rPr>
        <w:t>– = not required; CI = confidence interval; n = number of participants with event; N = total number of participants in group; OR = odds ratio; RR = relative risk</w:t>
      </w:r>
    </w:p>
    <w:p w:rsidR="001B0F98" w:rsidRPr="00242572" w:rsidRDefault="001B0F98" w:rsidP="00DB2644">
      <w:pPr>
        <w:pStyle w:val="V50Tablenote"/>
        <w:keepNext/>
        <w:keepLines/>
        <w:rPr>
          <w:rFonts w:ascii="Arial Narrow" w:hAnsi="Arial Narrow"/>
        </w:rPr>
      </w:pPr>
      <w:r w:rsidRPr="00242572">
        <w:rPr>
          <w:rFonts w:ascii="Arial Narrow" w:hAnsi="Arial Narrow"/>
        </w:rPr>
        <w:t>Source: modified from Table B.6.4, p108, of the re-submission</w:t>
      </w:r>
    </w:p>
    <w:p w:rsidR="000B0FCB" w:rsidRPr="00242572" w:rsidRDefault="003B2ACE" w:rsidP="006441EA">
      <w:pPr>
        <w:pStyle w:val="ListParagraph"/>
        <w:widowControl/>
        <w:numPr>
          <w:ilvl w:val="1"/>
          <w:numId w:val="3"/>
        </w:numPr>
        <w:spacing w:after="120"/>
        <w:contextualSpacing w:val="0"/>
        <w:rPr>
          <w:rFonts w:asciiTheme="minorHAnsi" w:hAnsiTheme="minorHAnsi"/>
          <w:sz w:val="24"/>
        </w:rPr>
      </w:pPr>
      <w:r>
        <w:rPr>
          <w:rFonts w:asciiTheme="minorHAnsi" w:hAnsiTheme="minorHAnsi"/>
          <w:sz w:val="24"/>
        </w:rPr>
        <w:t>The evaluation considered i</w:t>
      </w:r>
      <w:r w:rsidR="001265AE">
        <w:rPr>
          <w:rFonts w:asciiTheme="minorHAnsi" w:hAnsiTheme="minorHAnsi"/>
          <w:sz w:val="24"/>
        </w:rPr>
        <w:t>t</w:t>
      </w:r>
      <w:r w:rsidR="000B0FCB" w:rsidRPr="00242572">
        <w:rPr>
          <w:rFonts w:asciiTheme="minorHAnsi" w:hAnsiTheme="minorHAnsi"/>
          <w:sz w:val="24"/>
        </w:rPr>
        <w:t xml:space="preserve"> difficult to draw any conclusion regarding the treatment effect of perampanel compared with either lamotrigine or levetiracetam, in terms of percent change in PGTC seizure frequency and 50% PGTC or GTC seizure responder rate, given the exchangeability issues as mentioned above.</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re-submission also presented indirect comparisons for the proportion of patients achieving seizure free status (PGTC seizures and all seizures) during the maintenance phase. As only very small numbers of patients achieved seizure free status, the 95% confidence intervals for the relative treatment effect were too wide to draw any reliable conclusions. </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w:t>
      </w:r>
      <w:r w:rsidR="003B2ACE">
        <w:rPr>
          <w:rFonts w:asciiTheme="minorHAnsi" w:hAnsiTheme="minorHAnsi"/>
          <w:sz w:val="24"/>
        </w:rPr>
        <w:t xml:space="preserve">evaluation noted that the </w:t>
      </w:r>
      <w:r w:rsidRPr="00242572">
        <w:rPr>
          <w:rFonts w:asciiTheme="minorHAnsi" w:hAnsiTheme="minorHAnsi"/>
          <w:sz w:val="24"/>
        </w:rPr>
        <w:t xml:space="preserve">re-submission did not provide non-inferiority margins for any of the outcomes in the indirect comparisons presented, and therefore the claim of </w:t>
      </w:r>
      <w:r w:rsidR="00FC59E0" w:rsidRPr="00242572">
        <w:rPr>
          <w:rFonts w:asciiTheme="minorHAnsi" w:hAnsiTheme="minorHAnsi"/>
          <w:sz w:val="24"/>
        </w:rPr>
        <w:t>non-inferiority</w:t>
      </w:r>
      <w:r w:rsidRPr="00242572">
        <w:rPr>
          <w:rFonts w:asciiTheme="minorHAnsi" w:hAnsiTheme="minorHAnsi"/>
          <w:sz w:val="24"/>
        </w:rPr>
        <w:t xml:space="preserve"> cannot be assessed.</w:t>
      </w:r>
    </w:p>
    <w:p w:rsidR="00FC59E0" w:rsidRPr="00242572" w:rsidRDefault="00FC59E0" w:rsidP="00FC59E0">
      <w:pPr>
        <w:widowControl/>
        <w:spacing w:after="120"/>
        <w:rPr>
          <w:rFonts w:asciiTheme="minorHAnsi" w:hAnsiTheme="minorHAnsi"/>
          <w:i/>
          <w:sz w:val="24"/>
        </w:rPr>
      </w:pPr>
    </w:p>
    <w:p w:rsidR="001B0F98" w:rsidRPr="00242572" w:rsidRDefault="001B0F98" w:rsidP="001B0F98">
      <w:pPr>
        <w:pStyle w:val="Heading2"/>
        <w:rPr>
          <w:rFonts w:asciiTheme="minorHAnsi" w:hAnsiTheme="minorHAnsi"/>
          <w:i/>
          <w:sz w:val="28"/>
        </w:rPr>
      </w:pPr>
      <w:bookmarkStart w:id="22" w:name="_Toc413139279"/>
      <w:bookmarkStart w:id="23" w:name="_Toc476306889"/>
      <w:bookmarkStart w:id="24" w:name="_Toc482695856"/>
      <w:r w:rsidRPr="00242572">
        <w:rPr>
          <w:rFonts w:asciiTheme="minorHAnsi" w:hAnsiTheme="minorHAnsi"/>
          <w:i/>
          <w:sz w:val="28"/>
        </w:rPr>
        <w:t>Comparative harms</w:t>
      </w:r>
      <w:bookmarkEnd w:id="22"/>
      <w:bookmarkEnd w:id="23"/>
      <w:bookmarkEnd w:id="24"/>
    </w:p>
    <w:p w:rsidR="001B0F98" w:rsidRPr="00242572" w:rsidRDefault="001B0F98" w:rsidP="001B0F98">
      <w:pPr>
        <w:rPr>
          <w:rFonts w:asciiTheme="minorHAnsi" w:hAnsiTheme="minorHAnsi"/>
          <w:sz w:val="24"/>
        </w:rPr>
      </w:pP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safety data from Trial 332 presented in the re-submission is unchanged from the previous submission. It is noted that patients at high risk of suicide were excluded from Trial 332. </w:t>
      </w:r>
      <w:r w:rsidRPr="00242572">
        <w:rPr>
          <w:rFonts w:asciiTheme="minorHAnsi" w:hAnsiTheme="minorHAnsi"/>
          <w:sz w:val="24"/>
          <w:lang w:eastAsia="zh-CN"/>
        </w:rPr>
        <w:t>The US Food and Drug Administration (FDA) has stated</w:t>
      </w:r>
      <w:r w:rsidRPr="00242572">
        <w:rPr>
          <w:rStyle w:val="FootnoteReference"/>
          <w:rFonts w:asciiTheme="minorHAnsi" w:hAnsiTheme="minorHAnsi"/>
          <w:sz w:val="24"/>
          <w:lang w:eastAsia="zh-CN"/>
        </w:rPr>
        <w:footnoteReference w:id="4"/>
      </w:r>
      <w:r w:rsidRPr="00242572">
        <w:rPr>
          <w:rFonts w:asciiTheme="minorHAnsi" w:hAnsiTheme="minorHAnsi"/>
          <w:sz w:val="24"/>
          <w:lang w:eastAsia="zh-CN"/>
        </w:rPr>
        <w:t xml:space="preserve"> that perampanel causes significant psychiatric/behavioural symptoms (including anger, aggression, and hostility) in a small number of patients, and that other AEDs (such as levetiracetam) can cause similar reactions.  </w:t>
      </w:r>
      <w:r w:rsidRPr="00242572">
        <w:rPr>
          <w:rFonts w:asciiTheme="minorHAnsi" w:hAnsiTheme="minorHAnsi"/>
          <w:sz w:val="24"/>
          <w:lang w:eastAsia="en-AU"/>
        </w:rPr>
        <w:t>Therefore, longer-term safety data (beyond the duration of Trial 332) is warranted.</w:t>
      </w: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A summary of overall adverse events in Trial 332 and the Biton 2005 and Berkovic 2007 trials is presented in Table </w:t>
      </w:r>
      <w:r w:rsidR="00544B2E" w:rsidRPr="00242572">
        <w:rPr>
          <w:rFonts w:asciiTheme="minorHAnsi" w:hAnsiTheme="minorHAnsi"/>
          <w:sz w:val="24"/>
        </w:rPr>
        <w:t>7</w:t>
      </w:r>
      <w:r w:rsidRPr="00242572">
        <w:rPr>
          <w:rFonts w:asciiTheme="minorHAnsi" w:hAnsiTheme="minorHAnsi"/>
          <w:sz w:val="24"/>
        </w:rPr>
        <w:t>.</w:t>
      </w:r>
    </w:p>
    <w:p w:rsidR="00482F0F" w:rsidRDefault="00482F0F" w:rsidP="00482F0F">
      <w:pPr>
        <w:pStyle w:val="Caption"/>
      </w:pPr>
      <w:r>
        <w:t xml:space="preserve">Table </w:t>
      </w:r>
      <w:fldSimple w:instr=" SEQ Table \* ARABIC ">
        <w:r w:rsidR="000B634D">
          <w:rPr>
            <w:noProof/>
          </w:rPr>
          <w:t>7</w:t>
        </w:r>
      </w:fldSimple>
      <w:r w:rsidRPr="007F37FC">
        <w:t>:  Summary of overall adverse events in Trial 332 and the Biton 2005 and Berkovic 2007 trials</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13"/>
        <w:gridCol w:w="1160"/>
        <w:gridCol w:w="1305"/>
        <w:gridCol w:w="1162"/>
        <w:gridCol w:w="1547"/>
        <w:gridCol w:w="1160"/>
      </w:tblGrid>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rPr>
                <w:rFonts w:ascii="Arial Narrow" w:hAnsi="Arial Narrow"/>
                <w:b/>
                <w:sz w:val="20"/>
              </w:rPr>
            </w:pPr>
            <w:r w:rsidRPr="00242572">
              <w:rPr>
                <w:rFonts w:ascii="Arial Narrow" w:hAnsi="Arial Narrow"/>
                <w:b/>
                <w:sz w:val="20"/>
              </w:rPr>
              <w:t>Category</w:t>
            </w:r>
          </w:p>
        </w:tc>
        <w:tc>
          <w:tcPr>
            <w:tcW w:w="646"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Perampanel</w:t>
            </w:r>
          </w:p>
          <w:p w:rsidR="001B0F98" w:rsidRPr="00242572" w:rsidRDefault="001B0F98" w:rsidP="001B0F98">
            <w:pPr>
              <w:jc w:val="center"/>
              <w:rPr>
                <w:rFonts w:ascii="Arial Narrow" w:hAnsi="Arial Narrow"/>
                <w:b/>
                <w:sz w:val="20"/>
              </w:rPr>
            </w:pPr>
            <w:r w:rsidRPr="00242572">
              <w:rPr>
                <w:rFonts w:ascii="Arial Narrow" w:hAnsi="Arial Narrow"/>
                <w:b/>
                <w:sz w:val="20"/>
              </w:rPr>
              <w:t>(N=81)</w:t>
            </w:r>
          </w:p>
          <w:p w:rsidR="001B0F98" w:rsidRPr="00242572" w:rsidRDefault="001B0F98" w:rsidP="001B0F98">
            <w:pPr>
              <w:jc w:val="center"/>
              <w:rPr>
                <w:rFonts w:ascii="Arial Narrow" w:hAnsi="Arial Narrow"/>
                <w:b/>
                <w:sz w:val="20"/>
              </w:rPr>
            </w:pPr>
            <w:r w:rsidRPr="00242572">
              <w:rPr>
                <w:rFonts w:ascii="Arial Narrow" w:hAnsi="Arial Narrow"/>
                <w:b/>
                <w:sz w:val="20"/>
              </w:rPr>
              <w:t>n (%)</w:t>
            </w:r>
          </w:p>
        </w:tc>
        <w:tc>
          <w:tcPr>
            <w:tcW w:w="618" w:type="pct"/>
            <w:tcBorders>
              <w:top w:val="single" w:sz="4" w:space="0" w:color="auto"/>
              <w:left w:val="single" w:sz="4" w:space="0" w:color="auto"/>
              <w:bottom w:val="single" w:sz="4" w:space="0" w:color="auto"/>
              <w:right w:val="single" w:sz="4" w:space="0" w:color="auto"/>
            </w:tcBorders>
            <w:hideMark/>
          </w:tcPr>
          <w:p w:rsidR="001B0F98" w:rsidRPr="00242572" w:rsidRDefault="001B0F98" w:rsidP="001B0F98">
            <w:pPr>
              <w:jc w:val="center"/>
              <w:rPr>
                <w:rFonts w:ascii="Arial Narrow" w:hAnsi="Arial Narrow"/>
                <w:b/>
                <w:sz w:val="20"/>
              </w:rPr>
            </w:pPr>
            <w:r w:rsidRPr="00242572">
              <w:rPr>
                <w:rFonts w:ascii="Arial Narrow" w:hAnsi="Arial Narrow"/>
                <w:b/>
                <w:sz w:val="20"/>
              </w:rPr>
              <w:t>Placebo</w:t>
            </w:r>
          </w:p>
          <w:p w:rsidR="001B0F98" w:rsidRPr="00242572" w:rsidRDefault="001B0F98" w:rsidP="001B0F98">
            <w:pPr>
              <w:jc w:val="center"/>
              <w:rPr>
                <w:rFonts w:ascii="Arial Narrow" w:hAnsi="Arial Narrow"/>
                <w:b/>
                <w:sz w:val="20"/>
              </w:rPr>
            </w:pPr>
            <w:r w:rsidRPr="00242572">
              <w:rPr>
                <w:rFonts w:ascii="Arial Narrow" w:hAnsi="Arial Narrow"/>
                <w:b/>
                <w:sz w:val="20"/>
              </w:rPr>
              <w:t>(N=82)</w:t>
            </w:r>
          </w:p>
          <w:p w:rsidR="001B0F98" w:rsidRPr="00242572" w:rsidRDefault="001B0F98" w:rsidP="001B0F98">
            <w:pPr>
              <w:jc w:val="center"/>
              <w:rPr>
                <w:rFonts w:ascii="Arial Narrow" w:hAnsi="Arial Narrow"/>
                <w:b/>
                <w:sz w:val="20"/>
              </w:rPr>
            </w:pPr>
            <w:r w:rsidRPr="00242572">
              <w:rPr>
                <w:rFonts w:ascii="Arial Narrow" w:hAnsi="Arial Narrow"/>
                <w:b/>
                <w:sz w:val="20"/>
              </w:rPr>
              <w:t>n (%)</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b/>
                <w:sz w:val="20"/>
              </w:rPr>
            </w:pPr>
            <w:r w:rsidRPr="00242572">
              <w:rPr>
                <w:rFonts w:ascii="Arial Narrow" w:hAnsi="Arial Narrow"/>
                <w:b/>
                <w:sz w:val="20"/>
              </w:rPr>
              <w:t>Lamotrigine</w:t>
            </w:r>
          </w:p>
          <w:p w:rsidR="001B0F98" w:rsidRPr="00242572" w:rsidRDefault="001B0F98" w:rsidP="001B0F98">
            <w:pPr>
              <w:jc w:val="center"/>
              <w:rPr>
                <w:rFonts w:ascii="Arial Narrow" w:hAnsi="Arial Narrow"/>
                <w:b/>
                <w:sz w:val="20"/>
              </w:rPr>
            </w:pPr>
            <w:r w:rsidRPr="00242572">
              <w:rPr>
                <w:rFonts w:ascii="Arial Narrow" w:hAnsi="Arial Narrow"/>
                <w:b/>
                <w:sz w:val="20"/>
              </w:rPr>
              <w:t>(N=58)</w:t>
            </w:r>
          </w:p>
          <w:p w:rsidR="001B0F98" w:rsidRPr="00242572" w:rsidRDefault="001B0F98" w:rsidP="001B0F98">
            <w:pPr>
              <w:jc w:val="center"/>
              <w:rPr>
                <w:rFonts w:ascii="Arial Narrow" w:hAnsi="Arial Narrow"/>
                <w:b/>
                <w:sz w:val="20"/>
              </w:rPr>
            </w:pPr>
            <w:r w:rsidRPr="00242572">
              <w:rPr>
                <w:rFonts w:ascii="Arial Narrow" w:hAnsi="Arial Narrow"/>
                <w:b/>
                <w:sz w:val="20"/>
              </w:rPr>
              <w:t>n (%)</w:t>
            </w:r>
          </w:p>
        </w:tc>
        <w:tc>
          <w:tcPr>
            <w:tcW w:w="619"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b/>
                <w:sz w:val="20"/>
              </w:rPr>
            </w:pPr>
            <w:r w:rsidRPr="00242572">
              <w:rPr>
                <w:rFonts w:ascii="Arial Narrow" w:hAnsi="Arial Narrow"/>
                <w:b/>
                <w:sz w:val="20"/>
              </w:rPr>
              <w:t>Placebo</w:t>
            </w:r>
          </w:p>
          <w:p w:rsidR="001B0F98" w:rsidRPr="00242572" w:rsidRDefault="001B0F98" w:rsidP="001B0F98">
            <w:pPr>
              <w:jc w:val="center"/>
              <w:rPr>
                <w:rFonts w:ascii="Arial Narrow" w:hAnsi="Arial Narrow"/>
                <w:b/>
                <w:sz w:val="20"/>
              </w:rPr>
            </w:pPr>
            <w:r w:rsidRPr="00242572">
              <w:rPr>
                <w:rFonts w:ascii="Arial Narrow" w:hAnsi="Arial Narrow"/>
                <w:b/>
                <w:sz w:val="20"/>
              </w:rPr>
              <w:t>(N=59)</w:t>
            </w:r>
          </w:p>
          <w:p w:rsidR="001B0F98" w:rsidRPr="00242572" w:rsidRDefault="001B0F98" w:rsidP="001B0F98">
            <w:pPr>
              <w:jc w:val="center"/>
              <w:rPr>
                <w:rFonts w:ascii="Arial Narrow" w:hAnsi="Arial Narrow"/>
                <w:b/>
                <w:sz w:val="20"/>
              </w:rPr>
            </w:pPr>
            <w:r w:rsidRPr="00242572">
              <w:rPr>
                <w:rFonts w:ascii="Arial Narrow" w:hAnsi="Arial Narrow"/>
                <w:b/>
                <w:sz w:val="20"/>
              </w:rPr>
              <w:t>n (%)</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b/>
                <w:sz w:val="20"/>
              </w:rPr>
            </w:pPr>
            <w:r w:rsidRPr="00242572">
              <w:rPr>
                <w:rFonts w:ascii="Arial Narrow" w:hAnsi="Arial Narrow"/>
                <w:b/>
                <w:sz w:val="20"/>
              </w:rPr>
              <w:t>Levetiracetam</w:t>
            </w:r>
          </w:p>
          <w:p w:rsidR="001B0F98" w:rsidRPr="00242572" w:rsidRDefault="001B0F98" w:rsidP="001B0F98">
            <w:pPr>
              <w:jc w:val="center"/>
              <w:rPr>
                <w:rFonts w:ascii="Arial Narrow" w:hAnsi="Arial Narrow"/>
                <w:b/>
                <w:sz w:val="20"/>
              </w:rPr>
            </w:pPr>
            <w:r w:rsidRPr="00242572">
              <w:rPr>
                <w:rFonts w:ascii="Arial Narrow" w:hAnsi="Arial Narrow"/>
                <w:b/>
                <w:sz w:val="20"/>
              </w:rPr>
              <w:t>(N=79)</w:t>
            </w:r>
          </w:p>
          <w:p w:rsidR="001B0F98" w:rsidRPr="00242572" w:rsidRDefault="001B0F98" w:rsidP="001B0F98">
            <w:pPr>
              <w:jc w:val="center"/>
              <w:rPr>
                <w:rFonts w:ascii="Arial Narrow" w:hAnsi="Arial Narrow"/>
                <w:b/>
                <w:sz w:val="20"/>
              </w:rPr>
            </w:pPr>
            <w:r w:rsidRPr="00242572">
              <w:rPr>
                <w:rFonts w:ascii="Arial Narrow" w:hAnsi="Arial Narrow"/>
                <w:b/>
                <w:sz w:val="20"/>
              </w:rPr>
              <w:t>n (%)</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b/>
                <w:sz w:val="20"/>
              </w:rPr>
            </w:pPr>
            <w:r w:rsidRPr="00242572">
              <w:rPr>
                <w:rFonts w:ascii="Arial Narrow" w:hAnsi="Arial Narrow"/>
                <w:b/>
                <w:sz w:val="20"/>
              </w:rPr>
              <w:t>Placebo</w:t>
            </w:r>
          </w:p>
          <w:p w:rsidR="001B0F98" w:rsidRPr="00242572" w:rsidRDefault="001B0F98" w:rsidP="001B0F98">
            <w:pPr>
              <w:jc w:val="center"/>
              <w:rPr>
                <w:rFonts w:ascii="Arial Narrow" w:hAnsi="Arial Narrow"/>
                <w:b/>
                <w:sz w:val="20"/>
              </w:rPr>
            </w:pPr>
            <w:r w:rsidRPr="00242572">
              <w:rPr>
                <w:rFonts w:ascii="Arial Narrow" w:hAnsi="Arial Narrow"/>
                <w:b/>
                <w:sz w:val="20"/>
              </w:rPr>
              <w:t>(N=84)</w:t>
            </w:r>
          </w:p>
          <w:p w:rsidR="001B0F98" w:rsidRPr="00242572" w:rsidRDefault="001B0F98" w:rsidP="001B0F98">
            <w:pPr>
              <w:jc w:val="center"/>
              <w:rPr>
                <w:rFonts w:ascii="Arial Narrow" w:hAnsi="Arial Narrow"/>
                <w:b/>
                <w:sz w:val="20"/>
              </w:rPr>
            </w:pPr>
            <w:r w:rsidRPr="00242572">
              <w:rPr>
                <w:rFonts w:ascii="Arial Narrow" w:hAnsi="Arial Narrow"/>
                <w:b/>
                <w:sz w:val="20"/>
              </w:rPr>
              <w:t>n (%)</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rPr>
                <w:rFonts w:ascii="Arial Narrow" w:hAnsi="Arial Narrow"/>
                <w:iCs/>
                <w:sz w:val="20"/>
              </w:rPr>
            </w:pPr>
            <w:r w:rsidRPr="00242572">
              <w:rPr>
                <w:rFonts w:ascii="Arial Narrow" w:hAnsi="Arial Narrow"/>
                <w:sz w:val="20"/>
              </w:rPr>
              <w:t>At least one TEAE</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67 (82.7%)</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59 (72.0%)</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57 (72.2%)</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57 (67.9%)</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rPr>
                <w:rFonts w:ascii="Arial Narrow" w:hAnsi="Arial Narrow"/>
                <w:iCs/>
                <w:sz w:val="20"/>
              </w:rPr>
            </w:pPr>
            <w:r w:rsidRPr="00242572">
              <w:rPr>
                <w:rFonts w:ascii="Arial Narrow" w:hAnsi="Arial Narrow"/>
                <w:sz w:val="20"/>
              </w:rPr>
              <w:t>Treatment-related TEAEs</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56 (69.1%)</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37 (45.1%)</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13 (22%)</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6 (10%)</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31 (39.2%)</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25 (29.8%)</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rPr>
                <w:rFonts w:ascii="Arial Narrow" w:hAnsi="Arial Narrow"/>
                <w:iCs/>
                <w:sz w:val="20"/>
              </w:rPr>
            </w:pPr>
            <w:r w:rsidRPr="00242572">
              <w:rPr>
                <w:rFonts w:ascii="Arial Narrow" w:hAnsi="Arial Narrow"/>
                <w:sz w:val="20"/>
              </w:rPr>
              <w:t>Serious TEAEs</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6 (7.4%)</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7 (8.5%)</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 xml:space="preserve"> 3 (3.8%)</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8 (9.5%)</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rPr>
                <w:rFonts w:ascii="Arial Narrow" w:hAnsi="Arial Narrow"/>
                <w:sz w:val="20"/>
              </w:rPr>
            </w:pPr>
            <w:r w:rsidRPr="00242572">
              <w:rPr>
                <w:rFonts w:ascii="Arial Narrow" w:hAnsi="Arial Narrow"/>
                <w:sz w:val="20"/>
              </w:rPr>
              <w:t>Deaths</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1 (1.2%)</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1 (1.2%)</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rPr>
                <w:rFonts w:ascii="Arial Narrow" w:hAnsi="Arial Narrow"/>
                <w:sz w:val="20"/>
              </w:rPr>
            </w:pPr>
            <w:r w:rsidRPr="00242572">
              <w:rPr>
                <w:rFonts w:ascii="Arial Narrow" w:hAnsi="Arial Narrow"/>
                <w:sz w:val="20"/>
              </w:rPr>
              <w:t>Other SAEs</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5 (6.2%)</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6 (7.3%)</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6605EE">
            <w:pPr>
              <w:jc w:val="left"/>
              <w:rPr>
                <w:rFonts w:ascii="Arial Narrow" w:hAnsi="Arial Narrow"/>
                <w:sz w:val="20"/>
              </w:rPr>
            </w:pPr>
            <w:r w:rsidRPr="00242572">
              <w:rPr>
                <w:rFonts w:ascii="Arial Narrow" w:hAnsi="Arial Narrow"/>
                <w:sz w:val="20"/>
              </w:rPr>
              <w:t>TEAEs leading to study drug dose adjustment</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16 (19.8%)</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10 (12.2%)</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6605EE">
            <w:pPr>
              <w:ind w:left="171"/>
              <w:jc w:val="left"/>
              <w:rPr>
                <w:rFonts w:ascii="Arial Narrow" w:hAnsi="Arial Narrow"/>
                <w:sz w:val="20"/>
              </w:rPr>
            </w:pPr>
            <w:r w:rsidRPr="00242572">
              <w:rPr>
                <w:rFonts w:ascii="Arial Narrow" w:hAnsi="Arial Narrow"/>
                <w:sz w:val="20"/>
              </w:rPr>
              <w:t>TEAEs leading to study drug withdrawal</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9 (11.1%)</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5 (6.1%)</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5 (8.6%)</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2 (3.4%)</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1 (1.3%)</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4 (4.8%)</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6605EE">
            <w:pPr>
              <w:ind w:left="171"/>
              <w:jc w:val="left"/>
              <w:rPr>
                <w:rFonts w:ascii="Arial Narrow" w:hAnsi="Arial Narrow"/>
                <w:sz w:val="20"/>
              </w:rPr>
            </w:pPr>
            <w:r w:rsidRPr="00242572">
              <w:rPr>
                <w:rFonts w:ascii="Arial Narrow" w:hAnsi="Arial Narrow"/>
                <w:sz w:val="20"/>
              </w:rPr>
              <w:t>TEAEs leading to study drug dose reduction</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8 (9.9%)</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6 (7.3%)</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r w:rsidR="001B0F98" w:rsidRPr="00242572" w:rsidTr="000B4E62">
        <w:trPr>
          <w:cantSplit/>
        </w:trPr>
        <w:tc>
          <w:tcPr>
            <w:tcW w:w="979"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6605EE">
            <w:pPr>
              <w:ind w:left="171"/>
              <w:jc w:val="left"/>
              <w:rPr>
                <w:rFonts w:ascii="Arial Narrow" w:hAnsi="Arial Narrow"/>
                <w:sz w:val="20"/>
              </w:rPr>
            </w:pPr>
            <w:r w:rsidRPr="00242572">
              <w:rPr>
                <w:rFonts w:ascii="Arial Narrow" w:hAnsi="Arial Narrow"/>
                <w:sz w:val="20"/>
              </w:rPr>
              <w:t>TEAEs leading to study drug dose interruption</w:t>
            </w:r>
          </w:p>
        </w:tc>
        <w:tc>
          <w:tcPr>
            <w:tcW w:w="646"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1 (1.2%)</w:t>
            </w:r>
          </w:p>
        </w:tc>
        <w:tc>
          <w:tcPr>
            <w:tcW w:w="618" w:type="pct"/>
            <w:tcBorders>
              <w:top w:val="single" w:sz="4" w:space="0" w:color="auto"/>
              <w:left w:val="single" w:sz="4" w:space="0" w:color="auto"/>
              <w:bottom w:val="single" w:sz="4" w:space="0" w:color="auto"/>
              <w:right w:val="single" w:sz="4" w:space="0" w:color="auto"/>
            </w:tcBorders>
            <w:noWrap/>
            <w:hideMark/>
          </w:tcPr>
          <w:p w:rsidR="001B0F98" w:rsidRPr="00242572" w:rsidRDefault="001B0F98" w:rsidP="001B0F98">
            <w:pPr>
              <w:jc w:val="center"/>
              <w:rPr>
                <w:rFonts w:ascii="Arial Narrow" w:hAnsi="Arial Narrow"/>
                <w:sz w:val="20"/>
              </w:rPr>
            </w:pPr>
            <w:r w:rsidRPr="00242572">
              <w:rPr>
                <w:rFonts w:ascii="Arial Narrow" w:hAnsi="Arial Narrow"/>
                <w:sz w:val="20"/>
              </w:rPr>
              <w:t>0</w:t>
            </w:r>
          </w:p>
        </w:tc>
        <w:tc>
          <w:tcPr>
            <w:tcW w:w="695"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9" w:type="pct"/>
            <w:tcBorders>
              <w:top w:val="single" w:sz="4" w:space="0" w:color="auto"/>
              <w:left w:val="single" w:sz="4" w:space="0" w:color="auto"/>
              <w:bottom w:val="single" w:sz="4" w:space="0" w:color="auto"/>
              <w:right w:val="single" w:sz="4" w:space="0" w:color="auto"/>
            </w:tcBorders>
            <w:noWrap/>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824"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c>
          <w:tcPr>
            <w:tcW w:w="618" w:type="pct"/>
            <w:tcBorders>
              <w:top w:val="single" w:sz="4" w:space="0" w:color="auto"/>
              <w:left w:val="single" w:sz="4" w:space="0" w:color="auto"/>
              <w:bottom w:val="single" w:sz="4" w:space="0" w:color="auto"/>
              <w:right w:val="single" w:sz="4" w:space="0" w:color="auto"/>
            </w:tcBorders>
          </w:tcPr>
          <w:p w:rsidR="001B0F98" w:rsidRPr="00242572" w:rsidRDefault="001B0F98" w:rsidP="001B0F98">
            <w:pPr>
              <w:jc w:val="center"/>
              <w:rPr>
                <w:rFonts w:ascii="Arial Narrow" w:hAnsi="Arial Narrow"/>
                <w:sz w:val="20"/>
              </w:rPr>
            </w:pPr>
            <w:r w:rsidRPr="00242572">
              <w:rPr>
                <w:rFonts w:ascii="Arial Narrow" w:hAnsi="Arial Narrow"/>
                <w:sz w:val="20"/>
              </w:rPr>
              <w:t>NR</w:t>
            </w:r>
          </w:p>
        </w:tc>
      </w:tr>
    </w:tbl>
    <w:p w:rsidR="001B0F98" w:rsidRPr="00242572" w:rsidRDefault="001B0F98" w:rsidP="001B0F98">
      <w:pPr>
        <w:contextualSpacing/>
        <w:rPr>
          <w:rFonts w:ascii="Arial Narrow" w:hAnsi="Arial Narrow"/>
          <w:sz w:val="18"/>
          <w:szCs w:val="18"/>
          <w:lang w:eastAsia="zh-CN"/>
        </w:rPr>
      </w:pPr>
      <w:r w:rsidRPr="00242572">
        <w:rPr>
          <w:rFonts w:ascii="Arial Narrow" w:hAnsi="Arial Narrow"/>
          <w:sz w:val="18"/>
          <w:szCs w:val="18"/>
          <w:lang w:eastAsia="zh-CN"/>
        </w:rPr>
        <w:t>NR = not reported; SAE = serious adverse event; TEAE = treatment emergent adverse event</w:t>
      </w:r>
    </w:p>
    <w:p w:rsidR="001B0F98" w:rsidRPr="00242572" w:rsidRDefault="001B0F98" w:rsidP="001B0F98">
      <w:pPr>
        <w:contextualSpacing/>
        <w:rPr>
          <w:rFonts w:ascii="Arial Narrow" w:hAnsi="Arial Narrow"/>
          <w:sz w:val="18"/>
          <w:szCs w:val="18"/>
          <w:lang w:eastAsia="zh-CN"/>
        </w:rPr>
      </w:pPr>
      <w:r w:rsidRPr="00242572">
        <w:rPr>
          <w:rFonts w:ascii="Arial Narrow" w:hAnsi="Arial Narrow"/>
          <w:sz w:val="18"/>
          <w:szCs w:val="18"/>
          <w:lang w:eastAsia="zh-CN"/>
        </w:rPr>
        <w:t>Source: Table B.6.20, p129, of the re-submission</w:t>
      </w:r>
    </w:p>
    <w:p w:rsidR="001B0F98" w:rsidRPr="00242572" w:rsidRDefault="001B0F98" w:rsidP="001B0F98">
      <w:pPr>
        <w:contextualSpacing/>
        <w:rPr>
          <w:rFonts w:asciiTheme="minorHAnsi" w:hAnsiTheme="minorHAnsi"/>
          <w:sz w:val="20"/>
          <w:szCs w:val="18"/>
          <w:lang w:eastAsia="zh-CN"/>
        </w:rPr>
      </w:pPr>
    </w:p>
    <w:p w:rsidR="001B0F98"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re-submission presented indirect comparisons for the outcomes of at least one AE, at least one serious AE and an AE leading to study drug withdrawal. For the majority of these AEs, these analyses lacked adequate statistical power.</w:t>
      </w:r>
    </w:p>
    <w:p w:rsidR="004738B2" w:rsidRDefault="004738B2" w:rsidP="00C22C18">
      <w:bookmarkStart w:id="25" w:name="_Toc476306890"/>
      <w:bookmarkStart w:id="26" w:name="_Toc482695857"/>
      <w:bookmarkStart w:id="27" w:name="_Toc413139281"/>
    </w:p>
    <w:p w:rsidR="001B0F98" w:rsidRPr="00242572" w:rsidRDefault="001B0F98" w:rsidP="001B0F98">
      <w:pPr>
        <w:pStyle w:val="Heading2"/>
        <w:rPr>
          <w:rFonts w:asciiTheme="minorHAnsi" w:hAnsiTheme="minorHAnsi"/>
          <w:i/>
          <w:sz w:val="28"/>
        </w:rPr>
      </w:pPr>
      <w:r w:rsidRPr="00242572">
        <w:rPr>
          <w:rFonts w:asciiTheme="minorHAnsi" w:hAnsiTheme="minorHAnsi"/>
          <w:i/>
          <w:sz w:val="28"/>
        </w:rPr>
        <w:t>Benefits and harms</w:t>
      </w:r>
      <w:bookmarkEnd w:id="25"/>
      <w:bookmarkEnd w:id="26"/>
    </w:p>
    <w:p w:rsidR="001B0F98" w:rsidRPr="00242572" w:rsidRDefault="001B0F98" w:rsidP="001B0F98">
      <w:pPr>
        <w:rPr>
          <w:rFonts w:asciiTheme="minorHAnsi" w:hAnsiTheme="minorHAnsi"/>
          <w:sz w:val="24"/>
        </w:rPr>
      </w:pPr>
    </w:p>
    <w:p w:rsidR="001B0F98" w:rsidRPr="00242572" w:rsidRDefault="001B0F98"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comparative benefits and harms for perampanel plus standard care versus </w:t>
      </w:r>
      <w:r w:rsidR="00EB5911" w:rsidRPr="00242572">
        <w:rPr>
          <w:rFonts w:asciiTheme="minorHAnsi" w:hAnsiTheme="minorHAnsi"/>
          <w:sz w:val="24"/>
        </w:rPr>
        <w:t xml:space="preserve">placebo plus </w:t>
      </w:r>
      <w:r w:rsidRPr="00242572">
        <w:rPr>
          <w:rFonts w:asciiTheme="minorHAnsi" w:hAnsiTheme="minorHAnsi"/>
          <w:sz w:val="24"/>
        </w:rPr>
        <w:t xml:space="preserve">standard care were unchanged from the evaluation of the original submission, and the results can be found in Table </w:t>
      </w:r>
      <w:r w:rsidR="001E73B2" w:rsidRPr="00242572">
        <w:rPr>
          <w:rFonts w:asciiTheme="minorHAnsi" w:hAnsiTheme="minorHAnsi"/>
          <w:sz w:val="24"/>
        </w:rPr>
        <w:t>8.</w:t>
      </w:r>
    </w:p>
    <w:p w:rsidR="00482F0F" w:rsidRDefault="00482F0F" w:rsidP="00482F0F">
      <w:pPr>
        <w:pStyle w:val="Caption"/>
      </w:pPr>
      <w:r>
        <w:t xml:space="preserve">Table </w:t>
      </w:r>
      <w:fldSimple w:instr=" SEQ Table \* ARABIC ">
        <w:r w:rsidR="000B634D">
          <w:rPr>
            <w:noProof/>
          </w:rPr>
          <w:t>8</w:t>
        </w:r>
      </w:fldSimple>
      <w:r w:rsidRPr="00C85412">
        <w:t>:</w:t>
      </w:r>
      <w:r w:rsidRPr="00C85412">
        <w:tab/>
        <w:t xml:space="preserve"> Summary of comparative benefits and harms for perampanel (plus background AEDs) and PBO (plus background AEDs)</w:t>
      </w:r>
    </w:p>
    <w:tbl>
      <w:tblPr>
        <w:tblStyle w:val="TableGrid1"/>
        <w:tblW w:w="5000" w:type="pct"/>
        <w:tblInd w:w="84" w:type="dxa"/>
        <w:tblLayout w:type="fixed"/>
        <w:tblCellMar>
          <w:left w:w="28" w:type="dxa"/>
          <w:right w:w="28" w:type="dxa"/>
        </w:tblCellMar>
        <w:tblLook w:val="04A0" w:firstRow="1" w:lastRow="0" w:firstColumn="1" w:lastColumn="0" w:noHBand="0" w:noVBand="1"/>
        <w:tblCaption w:val="Summary of comparative benefits and harms for perampanel (plus background AEDs) and PBO (plus background AEDs)"/>
      </w:tblPr>
      <w:tblGrid>
        <w:gridCol w:w="1799"/>
        <w:gridCol w:w="1109"/>
        <w:gridCol w:w="13"/>
        <w:gridCol w:w="1275"/>
        <w:gridCol w:w="1555"/>
        <w:gridCol w:w="1075"/>
        <w:gridCol w:w="56"/>
        <w:gridCol w:w="1015"/>
        <w:gridCol w:w="62"/>
        <w:gridCol w:w="1124"/>
      </w:tblGrid>
      <w:tr w:rsidR="001E73B2" w:rsidRPr="00242572" w:rsidTr="00482F0F">
        <w:trPr>
          <w:tblHeader/>
        </w:trPr>
        <w:tc>
          <w:tcPr>
            <w:tcW w:w="990" w:type="pct"/>
            <w:vMerge w:val="restart"/>
            <w:shd w:val="clear" w:color="auto" w:fill="auto"/>
            <w:vAlign w:val="center"/>
          </w:tcPr>
          <w:p w:rsidR="001E73B2" w:rsidRPr="00242572" w:rsidRDefault="001E73B2" w:rsidP="00DB2644">
            <w:pPr>
              <w:keepNext/>
              <w:keepLines/>
              <w:rPr>
                <w:rFonts w:ascii="Arial Narrow" w:hAnsi="Arial Narrow"/>
                <w:b/>
                <w:sz w:val="20"/>
                <w:szCs w:val="18"/>
              </w:rPr>
            </w:pPr>
          </w:p>
        </w:tc>
        <w:tc>
          <w:tcPr>
            <w:tcW w:w="610" w:type="pct"/>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Perampanel</w:t>
            </w:r>
          </w:p>
        </w:tc>
        <w:tc>
          <w:tcPr>
            <w:tcW w:w="708" w:type="pct"/>
            <w:gridSpan w:val="2"/>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PBO</w:t>
            </w:r>
          </w:p>
        </w:tc>
        <w:tc>
          <w:tcPr>
            <w:tcW w:w="856" w:type="pct"/>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RR</w:t>
            </w:r>
          </w:p>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(95% CI)</w:t>
            </w:r>
          </w:p>
        </w:tc>
        <w:tc>
          <w:tcPr>
            <w:tcW w:w="1181" w:type="pct"/>
            <w:gridSpan w:val="3"/>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 xml:space="preserve">Event rate/100 patients* </w:t>
            </w:r>
          </w:p>
        </w:tc>
        <w:tc>
          <w:tcPr>
            <w:tcW w:w="654" w:type="pct"/>
            <w:gridSpan w:val="2"/>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RD</w:t>
            </w:r>
          </w:p>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(95% CI)</w:t>
            </w:r>
          </w:p>
        </w:tc>
      </w:tr>
      <w:tr w:rsidR="001E73B2" w:rsidRPr="00242572" w:rsidTr="00482F0F">
        <w:trPr>
          <w:tblHeader/>
        </w:trPr>
        <w:tc>
          <w:tcPr>
            <w:tcW w:w="990" w:type="pct"/>
            <w:vMerge/>
            <w:shd w:val="clear" w:color="auto" w:fill="auto"/>
            <w:vAlign w:val="center"/>
          </w:tcPr>
          <w:p w:rsidR="001E73B2" w:rsidRPr="00242572" w:rsidRDefault="001E73B2" w:rsidP="00DB2644">
            <w:pPr>
              <w:keepNext/>
              <w:keepLines/>
              <w:rPr>
                <w:rFonts w:ascii="Arial Narrow" w:hAnsi="Arial Narrow"/>
                <w:b/>
                <w:sz w:val="20"/>
                <w:szCs w:val="18"/>
              </w:rPr>
            </w:pPr>
          </w:p>
        </w:tc>
        <w:tc>
          <w:tcPr>
            <w:tcW w:w="610" w:type="pct"/>
            <w:vMerge/>
            <w:vAlign w:val="center"/>
          </w:tcPr>
          <w:p w:rsidR="001E73B2" w:rsidRPr="00242572" w:rsidRDefault="001E73B2" w:rsidP="00DB2644">
            <w:pPr>
              <w:keepNext/>
              <w:keepLines/>
              <w:jc w:val="center"/>
              <w:rPr>
                <w:rFonts w:ascii="Arial Narrow" w:hAnsi="Arial Narrow"/>
                <w:b/>
                <w:sz w:val="20"/>
                <w:szCs w:val="18"/>
              </w:rPr>
            </w:pPr>
          </w:p>
        </w:tc>
        <w:tc>
          <w:tcPr>
            <w:tcW w:w="708" w:type="pct"/>
            <w:gridSpan w:val="2"/>
            <w:vMerge/>
            <w:vAlign w:val="center"/>
          </w:tcPr>
          <w:p w:rsidR="001E73B2" w:rsidRPr="00242572" w:rsidRDefault="001E73B2" w:rsidP="00DB2644">
            <w:pPr>
              <w:keepNext/>
              <w:keepLines/>
              <w:jc w:val="center"/>
              <w:rPr>
                <w:rFonts w:ascii="Arial Narrow" w:hAnsi="Arial Narrow"/>
                <w:b/>
                <w:sz w:val="20"/>
                <w:szCs w:val="18"/>
              </w:rPr>
            </w:pPr>
          </w:p>
        </w:tc>
        <w:tc>
          <w:tcPr>
            <w:tcW w:w="856" w:type="pct"/>
            <w:vMerge/>
            <w:vAlign w:val="center"/>
          </w:tcPr>
          <w:p w:rsidR="001E73B2" w:rsidRPr="00242572" w:rsidRDefault="001E73B2" w:rsidP="00DB2644">
            <w:pPr>
              <w:keepNext/>
              <w:keepLines/>
              <w:jc w:val="center"/>
              <w:rPr>
                <w:rFonts w:ascii="Arial Narrow" w:hAnsi="Arial Narrow"/>
                <w:b/>
                <w:sz w:val="20"/>
                <w:szCs w:val="18"/>
              </w:rPr>
            </w:pPr>
          </w:p>
        </w:tc>
        <w:tc>
          <w:tcPr>
            <w:tcW w:w="592" w:type="pct"/>
            <w:vAlign w:val="center"/>
          </w:tcPr>
          <w:p w:rsidR="001E73B2" w:rsidRPr="00242572" w:rsidRDefault="001E73B2" w:rsidP="00DB2644">
            <w:pPr>
              <w:keepNext/>
              <w:keepLines/>
              <w:rPr>
                <w:rFonts w:ascii="Arial Narrow" w:hAnsi="Arial Narrow"/>
                <w:b/>
                <w:sz w:val="20"/>
                <w:szCs w:val="18"/>
              </w:rPr>
            </w:pPr>
            <w:r w:rsidRPr="00242572">
              <w:rPr>
                <w:rFonts w:ascii="Arial Narrow" w:hAnsi="Arial Narrow"/>
                <w:b/>
                <w:sz w:val="20"/>
                <w:szCs w:val="18"/>
              </w:rPr>
              <w:t>Perampanel</w:t>
            </w:r>
          </w:p>
        </w:tc>
        <w:tc>
          <w:tcPr>
            <w:tcW w:w="590" w:type="pct"/>
            <w:gridSpan w:val="2"/>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PBO</w:t>
            </w:r>
          </w:p>
        </w:tc>
        <w:tc>
          <w:tcPr>
            <w:tcW w:w="654" w:type="pct"/>
            <w:gridSpan w:val="2"/>
            <w:vMerge/>
            <w:vAlign w:val="center"/>
          </w:tcPr>
          <w:p w:rsidR="001E73B2" w:rsidRPr="00242572" w:rsidRDefault="001E73B2" w:rsidP="00DB2644">
            <w:pPr>
              <w:keepNext/>
              <w:keepLines/>
              <w:jc w:val="center"/>
              <w:rPr>
                <w:rFonts w:ascii="Arial Narrow" w:hAnsi="Arial Narrow"/>
                <w:b/>
                <w:sz w:val="20"/>
                <w:szCs w:val="18"/>
              </w:rPr>
            </w:pPr>
          </w:p>
        </w:tc>
      </w:tr>
      <w:tr w:rsidR="001E73B2" w:rsidRPr="00242572" w:rsidTr="00FA6EFC">
        <w:tc>
          <w:tcPr>
            <w:tcW w:w="5000" w:type="pct"/>
            <w:gridSpan w:val="10"/>
            <w:shd w:val="clear" w:color="auto" w:fill="auto"/>
            <w:vAlign w:val="center"/>
          </w:tcPr>
          <w:p w:rsidR="001E73B2" w:rsidRPr="00242572" w:rsidRDefault="001E73B2" w:rsidP="00DB2644">
            <w:pPr>
              <w:keepNext/>
              <w:keepLines/>
              <w:rPr>
                <w:rFonts w:ascii="Arial Narrow" w:hAnsi="Arial Narrow"/>
                <w:b/>
                <w:sz w:val="20"/>
                <w:szCs w:val="18"/>
              </w:rPr>
            </w:pPr>
            <w:r w:rsidRPr="00242572">
              <w:rPr>
                <w:rFonts w:ascii="Arial Narrow" w:hAnsi="Arial Narrow"/>
                <w:b/>
                <w:sz w:val="20"/>
                <w:szCs w:val="18"/>
              </w:rPr>
              <w:t>Benefits</w:t>
            </w:r>
          </w:p>
        </w:tc>
      </w:tr>
      <w:tr w:rsidR="001E73B2" w:rsidRPr="00242572" w:rsidTr="00FA6EFC">
        <w:tc>
          <w:tcPr>
            <w:tcW w:w="5000" w:type="pct"/>
            <w:gridSpan w:val="10"/>
            <w:shd w:val="clear" w:color="auto" w:fill="auto"/>
            <w:vAlign w:val="center"/>
          </w:tcPr>
          <w:p w:rsidR="001E73B2" w:rsidRPr="00242572" w:rsidRDefault="001E73B2" w:rsidP="00DB2644">
            <w:pPr>
              <w:keepNext/>
              <w:keepLines/>
              <w:rPr>
                <w:rFonts w:ascii="Arial Narrow" w:hAnsi="Arial Narrow"/>
                <w:b/>
                <w:sz w:val="20"/>
                <w:szCs w:val="18"/>
              </w:rPr>
            </w:pPr>
            <w:r w:rsidRPr="00242572">
              <w:rPr>
                <w:rFonts w:ascii="Arial Narrow" w:hAnsi="Arial Narrow"/>
                <w:b/>
                <w:sz w:val="20"/>
                <w:szCs w:val="18"/>
              </w:rPr>
              <w:t>50% PGTC seizure responder rate</w:t>
            </w:r>
          </w:p>
        </w:tc>
      </w:tr>
      <w:tr w:rsidR="001E73B2" w:rsidRPr="00242572" w:rsidTr="00482F0F">
        <w:tc>
          <w:tcPr>
            <w:tcW w:w="990" w:type="pct"/>
            <w:shd w:val="clear" w:color="auto" w:fill="auto"/>
            <w:vAlign w:val="center"/>
          </w:tcPr>
          <w:p w:rsidR="001E73B2" w:rsidRPr="00242572" w:rsidRDefault="001E73B2" w:rsidP="00DB2644">
            <w:pPr>
              <w:keepNext/>
              <w:keepLines/>
              <w:rPr>
                <w:rFonts w:ascii="Arial Narrow" w:hAnsi="Arial Narrow"/>
                <w:sz w:val="20"/>
                <w:szCs w:val="18"/>
              </w:rPr>
            </w:pPr>
            <w:r w:rsidRPr="00242572">
              <w:rPr>
                <w:rFonts w:ascii="Arial Narrow" w:hAnsi="Arial Narrow"/>
                <w:sz w:val="20"/>
                <w:szCs w:val="18"/>
              </w:rPr>
              <w:t>Trial 332</w:t>
            </w:r>
          </w:p>
        </w:tc>
        <w:tc>
          <w:tcPr>
            <w:tcW w:w="610"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52/81</w:t>
            </w:r>
          </w:p>
        </w:tc>
        <w:tc>
          <w:tcPr>
            <w:tcW w:w="708"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32/81</w:t>
            </w:r>
          </w:p>
        </w:tc>
        <w:tc>
          <w:tcPr>
            <w:tcW w:w="856"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1.6</w:t>
            </w:r>
          </w:p>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(1.2, 2.2)</w:t>
            </w:r>
          </w:p>
        </w:tc>
        <w:tc>
          <w:tcPr>
            <w:tcW w:w="592"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64.2</w:t>
            </w:r>
          </w:p>
        </w:tc>
        <w:tc>
          <w:tcPr>
            <w:tcW w:w="590"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39.5</w:t>
            </w:r>
          </w:p>
        </w:tc>
        <w:tc>
          <w:tcPr>
            <w:tcW w:w="654"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25%</w:t>
            </w:r>
          </w:p>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(10%, 40%)</w:t>
            </w:r>
          </w:p>
        </w:tc>
      </w:tr>
      <w:tr w:rsidR="001E73B2" w:rsidRPr="00242572" w:rsidTr="00FA6EFC">
        <w:tc>
          <w:tcPr>
            <w:tcW w:w="5000" w:type="pct"/>
            <w:gridSpan w:val="10"/>
            <w:tcBorders>
              <w:top w:val="double" w:sz="4" w:space="0" w:color="auto"/>
            </w:tcBorders>
            <w:shd w:val="clear" w:color="auto" w:fill="auto"/>
            <w:vAlign w:val="center"/>
          </w:tcPr>
          <w:p w:rsidR="001E73B2" w:rsidRPr="00242572" w:rsidRDefault="001E73B2" w:rsidP="00DB2644">
            <w:pPr>
              <w:keepNext/>
              <w:keepLines/>
              <w:rPr>
                <w:rFonts w:ascii="Arial Narrow" w:hAnsi="Arial Narrow"/>
                <w:b/>
                <w:sz w:val="20"/>
                <w:szCs w:val="18"/>
              </w:rPr>
            </w:pPr>
            <w:r w:rsidRPr="00242572">
              <w:rPr>
                <w:rFonts w:ascii="Arial Narrow" w:hAnsi="Arial Narrow"/>
                <w:b/>
                <w:sz w:val="20"/>
                <w:szCs w:val="18"/>
              </w:rPr>
              <w:t xml:space="preserve">Harms </w:t>
            </w:r>
          </w:p>
        </w:tc>
      </w:tr>
      <w:tr w:rsidR="001E73B2" w:rsidRPr="00242572" w:rsidTr="00482F0F">
        <w:tc>
          <w:tcPr>
            <w:tcW w:w="990" w:type="pct"/>
            <w:vMerge w:val="restart"/>
            <w:shd w:val="clear" w:color="auto" w:fill="auto"/>
            <w:vAlign w:val="center"/>
          </w:tcPr>
          <w:p w:rsidR="001E73B2" w:rsidRPr="00242572" w:rsidRDefault="001E73B2" w:rsidP="00DB2644">
            <w:pPr>
              <w:keepNext/>
              <w:keepLines/>
              <w:rPr>
                <w:rFonts w:ascii="Arial Narrow" w:hAnsi="Arial Narrow"/>
                <w:b/>
                <w:sz w:val="20"/>
                <w:szCs w:val="18"/>
              </w:rPr>
            </w:pPr>
            <w:r w:rsidRPr="00242572">
              <w:rPr>
                <w:rFonts w:ascii="Arial Narrow" w:hAnsi="Arial Narrow"/>
                <w:b/>
                <w:sz w:val="20"/>
                <w:szCs w:val="18"/>
              </w:rPr>
              <w:t>AEs</w:t>
            </w:r>
          </w:p>
        </w:tc>
        <w:tc>
          <w:tcPr>
            <w:tcW w:w="610" w:type="pct"/>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Perampanel</w:t>
            </w:r>
          </w:p>
        </w:tc>
        <w:tc>
          <w:tcPr>
            <w:tcW w:w="708" w:type="pct"/>
            <w:gridSpan w:val="2"/>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PBO</w:t>
            </w:r>
          </w:p>
        </w:tc>
        <w:tc>
          <w:tcPr>
            <w:tcW w:w="856" w:type="pct"/>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RR</w:t>
            </w:r>
          </w:p>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(95% CI)</w:t>
            </w:r>
          </w:p>
        </w:tc>
        <w:tc>
          <w:tcPr>
            <w:tcW w:w="1215" w:type="pct"/>
            <w:gridSpan w:val="4"/>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 xml:space="preserve">Event rate/100 patients* </w:t>
            </w:r>
          </w:p>
        </w:tc>
        <w:tc>
          <w:tcPr>
            <w:tcW w:w="620" w:type="pct"/>
            <w:vMerge w:val="restart"/>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RD</w:t>
            </w:r>
          </w:p>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(95% CI)</w:t>
            </w:r>
          </w:p>
        </w:tc>
      </w:tr>
      <w:tr w:rsidR="001E73B2" w:rsidRPr="00242572" w:rsidTr="00482F0F">
        <w:tc>
          <w:tcPr>
            <w:tcW w:w="990" w:type="pct"/>
            <w:vMerge/>
            <w:shd w:val="clear" w:color="auto" w:fill="auto"/>
            <w:vAlign w:val="center"/>
          </w:tcPr>
          <w:p w:rsidR="001E73B2" w:rsidRPr="00242572" w:rsidRDefault="001E73B2" w:rsidP="00DB2644">
            <w:pPr>
              <w:keepNext/>
              <w:keepLines/>
              <w:rPr>
                <w:rFonts w:ascii="Arial Narrow" w:hAnsi="Arial Narrow"/>
                <w:b/>
                <w:sz w:val="20"/>
                <w:szCs w:val="18"/>
              </w:rPr>
            </w:pPr>
          </w:p>
        </w:tc>
        <w:tc>
          <w:tcPr>
            <w:tcW w:w="610" w:type="pct"/>
            <w:vMerge/>
            <w:vAlign w:val="center"/>
          </w:tcPr>
          <w:p w:rsidR="001E73B2" w:rsidRPr="00242572" w:rsidRDefault="001E73B2" w:rsidP="00DB2644">
            <w:pPr>
              <w:keepNext/>
              <w:keepLines/>
              <w:jc w:val="center"/>
              <w:rPr>
                <w:rFonts w:ascii="Arial Narrow" w:hAnsi="Arial Narrow"/>
                <w:b/>
                <w:sz w:val="20"/>
                <w:szCs w:val="18"/>
              </w:rPr>
            </w:pPr>
          </w:p>
        </w:tc>
        <w:tc>
          <w:tcPr>
            <w:tcW w:w="708" w:type="pct"/>
            <w:gridSpan w:val="2"/>
            <w:vMerge/>
            <w:vAlign w:val="center"/>
          </w:tcPr>
          <w:p w:rsidR="001E73B2" w:rsidRPr="00242572" w:rsidRDefault="001E73B2" w:rsidP="00DB2644">
            <w:pPr>
              <w:keepNext/>
              <w:keepLines/>
              <w:jc w:val="center"/>
              <w:rPr>
                <w:rFonts w:ascii="Arial Narrow" w:hAnsi="Arial Narrow"/>
                <w:b/>
                <w:sz w:val="20"/>
                <w:szCs w:val="18"/>
              </w:rPr>
            </w:pPr>
          </w:p>
        </w:tc>
        <w:tc>
          <w:tcPr>
            <w:tcW w:w="856" w:type="pct"/>
            <w:vMerge/>
            <w:vAlign w:val="center"/>
          </w:tcPr>
          <w:p w:rsidR="001E73B2" w:rsidRPr="00242572" w:rsidRDefault="001E73B2" w:rsidP="00DB2644">
            <w:pPr>
              <w:keepNext/>
              <w:keepLines/>
              <w:jc w:val="center"/>
              <w:rPr>
                <w:rFonts w:ascii="Arial Narrow" w:hAnsi="Arial Narrow"/>
                <w:b/>
                <w:sz w:val="20"/>
                <w:szCs w:val="18"/>
              </w:rPr>
            </w:pPr>
          </w:p>
        </w:tc>
        <w:tc>
          <w:tcPr>
            <w:tcW w:w="623" w:type="pct"/>
            <w:gridSpan w:val="2"/>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Perampanel</w:t>
            </w:r>
          </w:p>
        </w:tc>
        <w:tc>
          <w:tcPr>
            <w:tcW w:w="593" w:type="pct"/>
            <w:gridSpan w:val="2"/>
            <w:vAlign w:val="center"/>
          </w:tcPr>
          <w:p w:rsidR="001E73B2" w:rsidRPr="00242572" w:rsidRDefault="001E73B2" w:rsidP="00DB2644">
            <w:pPr>
              <w:keepNext/>
              <w:keepLines/>
              <w:jc w:val="center"/>
              <w:rPr>
                <w:rFonts w:ascii="Arial Narrow" w:hAnsi="Arial Narrow"/>
                <w:b/>
                <w:sz w:val="20"/>
                <w:szCs w:val="18"/>
              </w:rPr>
            </w:pPr>
            <w:r w:rsidRPr="00242572">
              <w:rPr>
                <w:rFonts w:ascii="Arial Narrow" w:hAnsi="Arial Narrow"/>
                <w:b/>
                <w:sz w:val="20"/>
                <w:szCs w:val="18"/>
              </w:rPr>
              <w:t>PBO</w:t>
            </w:r>
          </w:p>
        </w:tc>
        <w:tc>
          <w:tcPr>
            <w:tcW w:w="620" w:type="pct"/>
            <w:vMerge/>
            <w:vAlign w:val="center"/>
          </w:tcPr>
          <w:p w:rsidR="001E73B2" w:rsidRPr="00242572" w:rsidRDefault="001E73B2" w:rsidP="00DB2644">
            <w:pPr>
              <w:keepNext/>
              <w:keepLines/>
              <w:jc w:val="center"/>
              <w:rPr>
                <w:rFonts w:ascii="Arial Narrow" w:hAnsi="Arial Narrow"/>
                <w:b/>
                <w:sz w:val="20"/>
                <w:szCs w:val="18"/>
              </w:rPr>
            </w:pPr>
          </w:p>
        </w:tc>
      </w:tr>
      <w:tr w:rsidR="001E73B2" w:rsidRPr="00242572" w:rsidTr="00482F0F">
        <w:tc>
          <w:tcPr>
            <w:tcW w:w="990" w:type="pct"/>
            <w:shd w:val="clear" w:color="auto" w:fill="auto"/>
            <w:vAlign w:val="center"/>
          </w:tcPr>
          <w:p w:rsidR="001E73B2" w:rsidRPr="00242572" w:rsidRDefault="001E73B2" w:rsidP="00DB2644">
            <w:pPr>
              <w:keepNext/>
              <w:keepLines/>
              <w:rPr>
                <w:rFonts w:ascii="Arial Narrow" w:hAnsi="Arial Narrow"/>
                <w:sz w:val="20"/>
                <w:szCs w:val="18"/>
              </w:rPr>
            </w:pPr>
            <w:r w:rsidRPr="00242572">
              <w:rPr>
                <w:rFonts w:ascii="Arial Narrow" w:hAnsi="Arial Narrow"/>
                <w:sz w:val="20"/>
                <w:szCs w:val="18"/>
              </w:rPr>
              <w:t>Treatment related TEAEs</w:t>
            </w:r>
          </w:p>
        </w:tc>
        <w:tc>
          <w:tcPr>
            <w:tcW w:w="617"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56/81</w:t>
            </w:r>
          </w:p>
        </w:tc>
        <w:tc>
          <w:tcPr>
            <w:tcW w:w="702"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37/82</w:t>
            </w:r>
          </w:p>
        </w:tc>
        <w:tc>
          <w:tcPr>
            <w:tcW w:w="856"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1.53</w:t>
            </w:r>
          </w:p>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(1.16, 2.03)</w:t>
            </w:r>
          </w:p>
        </w:tc>
        <w:tc>
          <w:tcPr>
            <w:tcW w:w="623"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69.1</w:t>
            </w:r>
          </w:p>
        </w:tc>
        <w:tc>
          <w:tcPr>
            <w:tcW w:w="593"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45.1</w:t>
            </w:r>
          </w:p>
        </w:tc>
        <w:tc>
          <w:tcPr>
            <w:tcW w:w="620"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24%</w:t>
            </w:r>
          </w:p>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(9%, 39%)</w:t>
            </w:r>
          </w:p>
        </w:tc>
      </w:tr>
      <w:tr w:rsidR="001E73B2" w:rsidRPr="00242572" w:rsidTr="00482F0F">
        <w:tc>
          <w:tcPr>
            <w:tcW w:w="990" w:type="pct"/>
            <w:shd w:val="clear" w:color="auto" w:fill="auto"/>
            <w:vAlign w:val="center"/>
          </w:tcPr>
          <w:p w:rsidR="001E73B2" w:rsidRPr="00242572" w:rsidRDefault="001E73B2" w:rsidP="00DB2644">
            <w:pPr>
              <w:keepNext/>
              <w:keepLines/>
              <w:rPr>
                <w:rFonts w:ascii="Arial Narrow" w:hAnsi="Arial Narrow"/>
                <w:sz w:val="20"/>
                <w:szCs w:val="18"/>
              </w:rPr>
            </w:pPr>
            <w:r w:rsidRPr="00242572">
              <w:rPr>
                <w:rFonts w:ascii="Arial Narrow" w:hAnsi="Arial Narrow"/>
                <w:sz w:val="20"/>
                <w:szCs w:val="18"/>
              </w:rPr>
              <w:t>TEAEs leading to study drug withdrawal</w:t>
            </w:r>
          </w:p>
        </w:tc>
        <w:tc>
          <w:tcPr>
            <w:tcW w:w="617"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9/81</w:t>
            </w:r>
          </w:p>
        </w:tc>
        <w:tc>
          <w:tcPr>
            <w:tcW w:w="702"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5/82</w:t>
            </w:r>
          </w:p>
        </w:tc>
        <w:tc>
          <w:tcPr>
            <w:tcW w:w="856"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1.82</w:t>
            </w:r>
          </w:p>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(0.64, 5.20)</w:t>
            </w:r>
          </w:p>
        </w:tc>
        <w:tc>
          <w:tcPr>
            <w:tcW w:w="623"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11.1</w:t>
            </w:r>
          </w:p>
        </w:tc>
        <w:tc>
          <w:tcPr>
            <w:tcW w:w="593" w:type="pct"/>
            <w:gridSpan w:val="2"/>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6.1</w:t>
            </w:r>
          </w:p>
        </w:tc>
        <w:tc>
          <w:tcPr>
            <w:tcW w:w="620" w:type="pct"/>
            <w:vAlign w:val="center"/>
          </w:tcPr>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5%</w:t>
            </w:r>
          </w:p>
          <w:p w:rsidR="001E73B2" w:rsidRPr="00242572" w:rsidRDefault="001E73B2" w:rsidP="00DB2644">
            <w:pPr>
              <w:keepNext/>
              <w:keepLines/>
              <w:jc w:val="center"/>
              <w:rPr>
                <w:rFonts w:ascii="Arial Narrow" w:hAnsi="Arial Narrow"/>
                <w:sz w:val="20"/>
                <w:szCs w:val="18"/>
              </w:rPr>
            </w:pPr>
            <w:r w:rsidRPr="00242572">
              <w:rPr>
                <w:rFonts w:ascii="Arial Narrow" w:hAnsi="Arial Narrow"/>
                <w:sz w:val="20"/>
                <w:szCs w:val="18"/>
              </w:rPr>
              <w:t>(-4%, 14%)</w:t>
            </w:r>
          </w:p>
        </w:tc>
      </w:tr>
    </w:tbl>
    <w:p w:rsidR="001E73B2" w:rsidRPr="00242572" w:rsidRDefault="001E73B2" w:rsidP="00DB2644">
      <w:pPr>
        <w:pStyle w:val="V50Tablenote"/>
        <w:keepNext/>
        <w:keepLines/>
        <w:rPr>
          <w:rFonts w:ascii="Arial Narrow" w:hAnsi="Arial Narrow"/>
          <w:snapToGrid w:val="0"/>
        </w:rPr>
      </w:pPr>
      <w:r w:rsidRPr="00242572">
        <w:rPr>
          <w:rFonts w:ascii="Arial Narrow" w:hAnsi="Arial Narrow"/>
          <w:snapToGrid w:val="0"/>
        </w:rPr>
        <w:t>* The duration of treatment is 17 weeks</w:t>
      </w:r>
    </w:p>
    <w:p w:rsidR="001E73B2" w:rsidRPr="00242572" w:rsidRDefault="001E73B2" w:rsidP="00DB2644">
      <w:pPr>
        <w:pStyle w:val="V50Tablenote"/>
        <w:keepNext/>
        <w:keepLines/>
        <w:rPr>
          <w:rFonts w:ascii="Arial Narrow" w:hAnsi="Arial Narrow"/>
          <w:snapToGrid w:val="0"/>
        </w:rPr>
      </w:pPr>
      <w:r w:rsidRPr="00242572">
        <w:rPr>
          <w:rFonts w:ascii="Arial Narrow" w:hAnsi="Arial Narrow"/>
          <w:snapToGrid w:val="0"/>
        </w:rPr>
        <w:t>** The median difference to placebo and the 95% confidence interval are based on the Hodges-Lehmann method</w:t>
      </w:r>
    </w:p>
    <w:p w:rsidR="001E73B2" w:rsidRPr="00242572" w:rsidRDefault="001E73B2" w:rsidP="00DB2644">
      <w:pPr>
        <w:pStyle w:val="V50Tablenote"/>
        <w:keepNext/>
        <w:keepLines/>
        <w:rPr>
          <w:rFonts w:ascii="Arial Narrow" w:hAnsi="Arial Narrow"/>
          <w:snapToGrid w:val="0"/>
        </w:rPr>
      </w:pPr>
      <w:r w:rsidRPr="00242572">
        <w:rPr>
          <w:rFonts w:ascii="Arial Narrow" w:hAnsi="Arial Narrow"/>
          <w:snapToGrid w:val="0"/>
        </w:rPr>
        <w:t>AE = adverse event; CI = confidence interval; PBO = placebo; RD = risk difference; RR = risk ratio; TEAE = treatment emergent adverse event</w:t>
      </w:r>
    </w:p>
    <w:p w:rsidR="001E73B2" w:rsidRPr="00242572" w:rsidRDefault="001E73B2" w:rsidP="00DB2644">
      <w:pPr>
        <w:pStyle w:val="V50Tablenote"/>
        <w:keepNext/>
        <w:keepLines/>
        <w:rPr>
          <w:rFonts w:ascii="Arial Narrow" w:hAnsi="Arial Narrow"/>
        </w:rPr>
      </w:pPr>
      <w:r w:rsidRPr="00242572">
        <w:rPr>
          <w:rFonts w:ascii="Arial Narrow" w:hAnsi="Arial Narrow"/>
          <w:snapToGrid w:val="0"/>
        </w:rPr>
        <w:t>Source: Compiled during the evaluation</w:t>
      </w:r>
    </w:p>
    <w:p w:rsidR="001E73B2" w:rsidRPr="00242572" w:rsidRDefault="001E73B2" w:rsidP="006441EA">
      <w:pPr>
        <w:pStyle w:val="ListParagraph"/>
        <w:widowControl/>
        <w:numPr>
          <w:ilvl w:val="1"/>
          <w:numId w:val="3"/>
        </w:numPr>
        <w:spacing w:after="120"/>
        <w:contextualSpacing w:val="0"/>
        <w:rPr>
          <w:rFonts w:asciiTheme="minorHAnsi" w:hAnsiTheme="minorHAnsi"/>
          <w:sz w:val="24"/>
          <w:szCs w:val="24"/>
        </w:rPr>
      </w:pPr>
      <w:r w:rsidRPr="00242572">
        <w:rPr>
          <w:rFonts w:asciiTheme="minorHAnsi" w:hAnsiTheme="minorHAnsi"/>
          <w:sz w:val="24"/>
          <w:szCs w:val="24"/>
        </w:rPr>
        <w:t>On the basis of direct evidence presented by the submission, for every 100 patients treated with perampanel in comparison to placebo;</w:t>
      </w:r>
    </w:p>
    <w:p w:rsidR="001E73B2" w:rsidRPr="00242572" w:rsidRDefault="001E73B2" w:rsidP="006441EA">
      <w:pPr>
        <w:numPr>
          <w:ilvl w:val="0"/>
          <w:numId w:val="2"/>
        </w:numPr>
        <w:spacing w:after="120"/>
        <w:ind w:left="993" w:hanging="284"/>
        <w:rPr>
          <w:rFonts w:asciiTheme="minorHAnsi" w:hAnsiTheme="minorHAnsi"/>
          <w:sz w:val="24"/>
          <w:szCs w:val="24"/>
        </w:rPr>
      </w:pPr>
      <w:r w:rsidRPr="00242572">
        <w:rPr>
          <w:rFonts w:asciiTheme="minorHAnsi" w:hAnsiTheme="minorHAnsi"/>
          <w:sz w:val="24"/>
          <w:szCs w:val="24"/>
        </w:rPr>
        <w:t>Approximately 25 additional patients would have ≥ 50% reduction in PGTC seizure frequency from baseline over a 17-week treatment period</w:t>
      </w:r>
      <w:r w:rsidR="00190E75">
        <w:rPr>
          <w:rFonts w:asciiTheme="minorHAnsi" w:hAnsiTheme="minorHAnsi"/>
          <w:sz w:val="24"/>
          <w:szCs w:val="24"/>
        </w:rPr>
        <w:t>.</w:t>
      </w:r>
    </w:p>
    <w:p w:rsidR="001E73B2" w:rsidRPr="00242572" w:rsidRDefault="001E73B2" w:rsidP="006441EA">
      <w:pPr>
        <w:numPr>
          <w:ilvl w:val="0"/>
          <w:numId w:val="2"/>
        </w:numPr>
        <w:spacing w:after="120"/>
        <w:ind w:left="993" w:hanging="284"/>
        <w:rPr>
          <w:rFonts w:asciiTheme="minorHAnsi" w:hAnsiTheme="minorHAnsi"/>
          <w:sz w:val="24"/>
          <w:szCs w:val="24"/>
        </w:rPr>
      </w:pPr>
      <w:r w:rsidRPr="00242572">
        <w:rPr>
          <w:rFonts w:asciiTheme="minorHAnsi" w:hAnsiTheme="minorHAnsi"/>
          <w:sz w:val="24"/>
          <w:szCs w:val="24"/>
        </w:rPr>
        <w:t>Approximately 24 additional patients would have experienced any treatment related TEAEs over a 17-week treatment period.</w:t>
      </w:r>
    </w:p>
    <w:p w:rsidR="001E73B2" w:rsidRPr="00242572" w:rsidRDefault="001E73B2" w:rsidP="006441EA">
      <w:pPr>
        <w:numPr>
          <w:ilvl w:val="0"/>
          <w:numId w:val="2"/>
        </w:numPr>
        <w:spacing w:after="120"/>
        <w:ind w:left="993" w:hanging="284"/>
      </w:pPr>
      <w:r w:rsidRPr="00242572">
        <w:rPr>
          <w:rFonts w:asciiTheme="minorHAnsi" w:hAnsiTheme="minorHAnsi"/>
          <w:sz w:val="24"/>
          <w:szCs w:val="24"/>
        </w:rPr>
        <w:t>Approximately 5 additional patients would have discontinued treatment due to TEAEs over a 17-week treatment period.</w:t>
      </w:r>
    </w:p>
    <w:p w:rsidR="001E73B2" w:rsidRPr="00242572" w:rsidRDefault="001E73B2" w:rsidP="001E73B2">
      <w:pPr>
        <w:contextualSpacing/>
        <w:rPr>
          <w:rFonts w:asciiTheme="minorHAnsi" w:hAnsiTheme="minorHAnsi"/>
          <w:sz w:val="24"/>
          <w:szCs w:val="24"/>
        </w:rPr>
      </w:pPr>
    </w:p>
    <w:p w:rsidR="001B0F98" w:rsidRPr="00242572" w:rsidRDefault="001B0F98" w:rsidP="001B0F98">
      <w:pPr>
        <w:pStyle w:val="Heading2"/>
        <w:rPr>
          <w:rFonts w:asciiTheme="minorHAnsi" w:hAnsiTheme="minorHAnsi"/>
          <w:i/>
          <w:sz w:val="28"/>
        </w:rPr>
      </w:pPr>
      <w:bookmarkStart w:id="28" w:name="_Toc476306891"/>
      <w:bookmarkStart w:id="29" w:name="_Toc482695858"/>
      <w:r w:rsidRPr="00242572">
        <w:rPr>
          <w:rFonts w:asciiTheme="minorHAnsi" w:hAnsiTheme="minorHAnsi"/>
          <w:i/>
          <w:sz w:val="28"/>
        </w:rPr>
        <w:t>Clinical claim</w:t>
      </w:r>
      <w:bookmarkEnd w:id="27"/>
      <w:bookmarkEnd w:id="28"/>
      <w:bookmarkEnd w:id="29"/>
    </w:p>
    <w:p w:rsidR="001B0F98" w:rsidRPr="00242572" w:rsidRDefault="001B0F98" w:rsidP="001B0F98">
      <w:pPr>
        <w:rPr>
          <w:rFonts w:asciiTheme="minorHAnsi" w:hAnsiTheme="minorHAnsi"/>
          <w:sz w:val="24"/>
        </w:rPr>
      </w:pPr>
    </w:p>
    <w:p w:rsidR="001B0F98" w:rsidRPr="004738B2" w:rsidRDefault="001B0F98" w:rsidP="006441EA">
      <w:pPr>
        <w:pStyle w:val="ListParagraph"/>
        <w:widowControl/>
        <w:numPr>
          <w:ilvl w:val="1"/>
          <w:numId w:val="3"/>
        </w:numPr>
        <w:spacing w:after="120"/>
        <w:contextualSpacing w:val="0"/>
        <w:rPr>
          <w:rFonts w:asciiTheme="minorHAnsi" w:hAnsiTheme="minorHAnsi"/>
          <w:sz w:val="24"/>
        </w:rPr>
      </w:pPr>
      <w:r w:rsidRPr="004738B2">
        <w:rPr>
          <w:rFonts w:asciiTheme="minorHAnsi" w:hAnsiTheme="minorHAnsi"/>
          <w:sz w:val="24"/>
        </w:rPr>
        <w:t xml:space="preserve">The re-submission described perampanel as superior in terms of comparative effectiveness and inferior in terms of comparative safety to placebo.  This is unchanged from the previous submission.  </w:t>
      </w:r>
    </w:p>
    <w:p w:rsidR="004216B6" w:rsidRPr="004738B2" w:rsidRDefault="001B0F98" w:rsidP="00511D49">
      <w:pPr>
        <w:pStyle w:val="ListParagraph"/>
        <w:widowControl/>
        <w:numPr>
          <w:ilvl w:val="1"/>
          <w:numId w:val="3"/>
        </w:numPr>
        <w:spacing w:after="120"/>
        <w:contextualSpacing w:val="0"/>
        <w:rPr>
          <w:rFonts w:asciiTheme="minorHAnsi" w:hAnsiTheme="minorHAnsi"/>
          <w:sz w:val="24"/>
        </w:rPr>
      </w:pPr>
      <w:r w:rsidRPr="004738B2">
        <w:rPr>
          <w:rFonts w:asciiTheme="minorHAnsi" w:hAnsiTheme="minorHAnsi"/>
          <w:sz w:val="24"/>
        </w:rPr>
        <w:t xml:space="preserve">The re-submission described perampanel as non-inferior in terms of comparative effectiveness and non-inferior in terms of comparative safety, </w:t>
      </w:r>
      <w:r w:rsidR="00EB5911" w:rsidRPr="004738B2">
        <w:rPr>
          <w:rFonts w:asciiTheme="minorHAnsi" w:hAnsiTheme="minorHAnsi"/>
          <w:sz w:val="24"/>
        </w:rPr>
        <w:t>to</w:t>
      </w:r>
      <w:r w:rsidRPr="004738B2">
        <w:rPr>
          <w:rFonts w:asciiTheme="minorHAnsi" w:hAnsiTheme="minorHAnsi"/>
          <w:sz w:val="24"/>
        </w:rPr>
        <w:t xml:space="preserve"> either lamotrigine or levetiracetam. </w:t>
      </w:r>
      <w:bookmarkStart w:id="30" w:name="_Toc482695859"/>
    </w:p>
    <w:p w:rsidR="00BE6EB3" w:rsidRPr="00511D49" w:rsidRDefault="00BE6EB3" w:rsidP="000E140D">
      <w:pPr>
        <w:pStyle w:val="ListParagraph"/>
        <w:widowControl/>
        <w:numPr>
          <w:ilvl w:val="1"/>
          <w:numId w:val="3"/>
        </w:numPr>
        <w:spacing w:after="120"/>
        <w:contextualSpacing w:val="0"/>
        <w:rPr>
          <w:rFonts w:asciiTheme="minorHAnsi" w:hAnsiTheme="minorHAnsi"/>
          <w:sz w:val="24"/>
          <w:szCs w:val="24"/>
        </w:rPr>
      </w:pPr>
      <w:r w:rsidRPr="00511D49">
        <w:rPr>
          <w:rFonts w:asciiTheme="minorHAnsi" w:hAnsiTheme="minorHAnsi"/>
          <w:sz w:val="24"/>
          <w:szCs w:val="24"/>
        </w:rPr>
        <w:t xml:space="preserve">The PBAC considered that the claim of superior comparative effectiveness </w:t>
      </w:r>
      <w:r w:rsidR="00B13A20" w:rsidRPr="00511D49">
        <w:rPr>
          <w:rFonts w:asciiTheme="minorHAnsi" w:hAnsiTheme="minorHAnsi"/>
          <w:sz w:val="24"/>
          <w:szCs w:val="24"/>
        </w:rPr>
        <w:t xml:space="preserve">over placebo </w:t>
      </w:r>
      <w:r w:rsidRPr="00511D49">
        <w:rPr>
          <w:rFonts w:asciiTheme="minorHAnsi" w:hAnsiTheme="minorHAnsi"/>
          <w:sz w:val="24"/>
          <w:szCs w:val="24"/>
        </w:rPr>
        <w:t>was reasonable</w:t>
      </w:r>
      <w:r w:rsidR="001843C2" w:rsidRPr="00511D49">
        <w:rPr>
          <w:rFonts w:asciiTheme="minorHAnsi" w:hAnsiTheme="minorHAnsi"/>
          <w:sz w:val="24"/>
          <w:szCs w:val="24"/>
        </w:rPr>
        <w:t>; however, concerns remained about the appropriateness of this comparison and the number of patients who would use perampanel as a last line therapy.</w:t>
      </w:r>
    </w:p>
    <w:p w:rsidR="00BE6EB3" w:rsidRPr="00511D49" w:rsidRDefault="00BE6EB3" w:rsidP="000E140D">
      <w:pPr>
        <w:pStyle w:val="ListParagraph"/>
        <w:widowControl/>
        <w:numPr>
          <w:ilvl w:val="1"/>
          <w:numId w:val="3"/>
        </w:numPr>
        <w:spacing w:after="120"/>
        <w:contextualSpacing w:val="0"/>
        <w:rPr>
          <w:rFonts w:asciiTheme="minorHAnsi" w:hAnsiTheme="minorHAnsi"/>
          <w:sz w:val="24"/>
          <w:szCs w:val="24"/>
        </w:rPr>
      </w:pPr>
      <w:r w:rsidRPr="00511D49">
        <w:rPr>
          <w:rFonts w:asciiTheme="minorHAnsi" w:hAnsiTheme="minorHAnsi"/>
          <w:sz w:val="24"/>
          <w:szCs w:val="24"/>
        </w:rPr>
        <w:t>The PBAC considered that the claim of inferior safety</w:t>
      </w:r>
      <w:r w:rsidR="00511D49" w:rsidRPr="00511D49">
        <w:rPr>
          <w:rFonts w:asciiTheme="minorHAnsi" w:hAnsiTheme="minorHAnsi"/>
          <w:sz w:val="24"/>
          <w:szCs w:val="24"/>
        </w:rPr>
        <w:t xml:space="preserve"> over placebo</w:t>
      </w:r>
      <w:r w:rsidRPr="00511D49">
        <w:rPr>
          <w:rFonts w:asciiTheme="minorHAnsi" w:hAnsiTheme="minorHAnsi"/>
          <w:sz w:val="24"/>
          <w:szCs w:val="24"/>
        </w:rPr>
        <w:t xml:space="preserve"> was reasonable.</w:t>
      </w:r>
    </w:p>
    <w:p w:rsidR="001843C2" w:rsidRPr="00511D49" w:rsidRDefault="001843C2" w:rsidP="00BE6EB3">
      <w:pPr>
        <w:pStyle w:val="ListParagraph"/>
        <w:widowControl/>
        <w:numPr>
          <w:ilvl w:val="1"/>
          <w:numId w:val="3"/>
        </w:numPr>
        <w:spacing w:after="120"/>
        <w:ind w:left="810" w:hanging="810"/>
        <w:contextualSpacing w:val="0"/>
        <w:rPr>
          <w:rFonts w:asciiTheme="minorHAnsi" w:hAnsiTheme="minorHAnsi"/>
          <w:sz w:val="24"/>
          <w:szCs w:val="24"/>
        </w:rPr>
      </w:pPr>
      <w:r w:rsidRPr="00511D49">
        <w:rPr>
          <w:rFonts w:asciiTheme="minorHAnsi" w:hAnsiTheme="minorHAnsi"/>
          <w:sz w:val="24"/>
          <w:szCs w:val="24"/>
        </w:rPr>
        <w:t>The PBAC considered that</w:t>
      </w:r>
      <w:r w:rsidR="00677EDB" w:rsidRPr="00511D49">
        <w:rPr>
          <w:rFonts w:asciiTheme="minorHAnsi" w:hAnsiTheme="minorHAnsi"/>
          <w:sz w:val="24"/>
          <w:szCs w:val="24"/>
        </w:rPr>
        <w:t xml:space="preserve"> on balance,</w:t>
      </w:r>
      <w:r w:rsidRPr="00511D49">
        <w:rPr>
          <w:rFonts w:asciiTheme="minorHAnsi" w:hAnsiTheme="minorHAnsi"/>
          <w:sz w:val="24"/>
          <w:szCs w:val="24"/>
        </w:rPr>
        <w:t xml:space="preserve"> the claim of non-inferior comparative effectiveness compared to </w:t>
      </w:r>
      <w:r w:rsidRPr="00511D49">
        <w:rPr>
          <w:rFonts w:asciiTheme="minorHAnsi" w:hAnsiTheme="minorHAnsi"/>
          <w:sz w:val="24"/>
        </w:rPr>
        <w:t>either lamotrigine or levetiracetam</w:t>
      </w:r>
      <w:r w:rsidRPr="00511D49">
        <w:rPr>
          <w:rFonts w:asciiTheme="minorHAnsi" w:hAnsiTheme="minorHAnsi"/>
          <w:sz w:val="24"/>
          <w:szCs w:val="24"/>
        </w:rPr>
        <w:t xml:space="preserve"> may be reasonable</w:t>
      </w:r>
      <w:r w:rsidR="00925029" w:rsidRPr="00511D49">
        <w:rPr>
          <w:rFonts w:asciiTheme="minorHAnsi" w:hAnsiTheme="minorHAnsi"/>
          <w:sz w:val="24"/>
          <w:szCs w:val="24"/>
        </w:rPr>
        <w:t>. The PBAC noted</w:t>
      </w:r>
      <w:r w:rsidRPr="00511D49">
        <w:rPr>
          <w:rFonts w:asciiTheme="minorHAnsi" w:hAnsiTheme="minorHAnsi"/>
          <w:sz w:val="24"/>
          <w:szCs w:val="24"/>
        </w:rPr>
        <w:t xml:space="preserve"> that exchangability issues between the trials made it difficult to draw accurate conclusions</w:t>
      </w:r>
      <w:r w:rsidR="000E140D" w:rsidRPr="00511D49">
        <w:rPr>
          <w:rFonts w:asciiTheme="minorHAnsi" w:hAnsiTheme="minorHAnsi"/>
          <w:sz w:val="24"/>
          <w:szCs w:val="24"/>
        </w:rPr>
        <w:t>;</w:t>
      </w:r>
      <w:r w:rsidR="00925029" w:rsidRPr="00511D49">
        <w:rPr>
          <w:rFonts w:asciiTheme="minorHAnsi" w:hAnsiTheme="minorHAnsi"/>
          <w:sz w:val="24"/>
          <w:szCs w:val="24"/>
        </w:rPr>
        <w:t xml:space="preserve"> however, it </w:t>
      </w:r>
      <w:r w:rsidRPr="00511D49">
        <w:rPr>
          <w:rFonts w:asciiTheme="minorHAnsi" w:hAnsiTheme="minorHAnsi"/>
          <w:sz w:val="24"/>
          <w:szCs w:val="24"/>
        </w:rPr>
        <w:t xml:space="preserve">also noted that the </w:t>
      </w:r>
      <w:r w:rsidR="00255E1B">
        <w:rPr>
          <w:rFonts w:asciiTheme="minorHAnsi" w:hAnsiTheme="minorHAnsi"/>
          <w:sz w:val="24"/>
          <w:szCs w:val="24"/>
        </w:rPr>
        <w:t>co-administration</w:t>
      </w:r>
      <w:r w:rsidR="00255E1B" w:rsidRPr="00511D49">
        <w:rPr>
          <w:rFonts w:asciiTheme="minorHAnsi" w:hAnsiTheme="minorHAnsi"/>
          <w:sz w:val="24"/>
          <w:szCs w:val="24"/>
        </w:rPr>
        <w:t xml:space="preserve"> </w:t>
      </w:r>
      <w:r w:rsidRPr="00511D49">
        <w:rPr>
          <w:rFonts w:asciiTheme="minorHAnsi" w:hAnsiTheme="minorHAnsi"/>
          <w:sz w:val="24"/>
          <w:szCs w:val="24"/>
        </w:rPr>
        <w:t>of newer drugs in the</w:t>
      </w:r>
      <w:r w:rsidR="00255E1B">
        <w:rPr>
          <w:rFonts w:asciiTheme="minorHAnsi" w:hAnsiTheme="minorHAnsi"/>
          <w:sz w:val="24"/>
          <w:szCs w:val="24"/>
        </w:rPr>
        <w:t xml:space="preserve"> perampanel trail compared to the</w:t>
      </w:r>
      <w:r w:rsidRPr="00511D49">
        <w:rPr>
          <w:rFonts w:asciiTheme="minorHAnsi" w:hAnsiTheme="minorHAnsi"/>
          <w:sz w:val="24"/>
          <w:szCs w:val="24"/>
        </w:rPr>
        <w:t xml:space="preserve"> </w:t>
      </w:r>
      <w:r w:rsidRPr="00511D49">
        <w:rPr>
          <w:rFonts w:asciiTheme="minorHAnsi" w:hAnsiTheme="minorHAnsi"/>
          <w:sz w:val="24"/>
        </w:rPr>
        <w:t>lamotrigine or levetiracetam trials may bias agaianst perampanel.</w:t>
      </w:r>
      <w:r w:rsidRPr="00511D49">
        <w:rPr>
          <w:rFonts w:asciiTheme="minorHAnsi" w:hAnsiTheme="minorHAnsi"/>
          <w:sz w:val="24"/>
          <w:szCs w:val="24"/>
        </w:rPr>
        <w:t xml:space="preserve">  </w:t>
      </w:r>
    </w:p>
    <w:p w:rsidR="00925029" w:rsidRPr="00511D49" w:rsidRDefault="00925029" w:rsidP="00BE6EB3">
      <w:pPr>
        <w:pStyle w:val="ListParagraph"/>
        <w:widowControl/>
        <w:numPr>
          <w:ilvl w:val="1"/>
          <w:numId w:val="3"/>
        </w:numPr>
        <w:spacing w:after="120"/>
        <w:ind w:left="810" w:hanging="810"/>
        <w:contextualSpacing w:val="0"/>
        <w:rPr>
          <w:rFonts w:asciiTheme="minorHAnsi" w:hAnsiTheme="minorHAnsi"/>
          <w:sz w:val="24"/>
          <w:szCs w:val="24"/>
        </w:rPr>
      </w:pPr>
      <w:r w:rsidRPr="00511D49">
        <w:rPr>
          <w:rFonts w:asciiTheme="minorHAnsi" w:hAnsiTheme="minorHAnsi"/>
          <w:sz w:val="24"/>
          <w:szCs w:val="24"/>
        </w:rPr>
        <w:t xml:space="preserve">The PBAC considered that the claim of non-inferior safety compared to </w:t>
      </w:r>
      <w:r w:rsidRPr="00511D49">
        <w:rPr>
          <w:rFonts w:asciiTheme="minorHAnsi" w:hAnsiTheme="minorHAnsi"/>
          <w:sz w:val="24"/>
        </w:rPr>
        <w:t>either lamotrigine or levetiracetam</w:t>
      </w:r>
      <w:r w:rsidRPr="00511D49">
        <w:rPr>
          <w:rFonts w:asciiTheme="minorHAnsi" w:hAnsiTheme="minorHAnsi"/>
          <w:sz w:val="24"/>
          <w:szCs w:val="24"/>
        </w:rPr>
        <w:t xml:space="preserve"> was reasonable, but noted that the studies were not adequately powered to assess safety and that there is a need for longer term safety data.  </w:t>
      </w:r>
    </w:p>
    <w:p w:rsidR="00BE6EB3" w:rsidRPr="00925029" w:rsidRDefault="00BE6EB3" w:rsidP="00925029">
      <w:pPr>
        <w:widowControl/>
        <w:spacing w:after="120"/>
        <w:rPr>
          <w:rFonts w:asciiTheme="minorHAnsi" w:hAnsiTheme="minorHAnsi"/>
          <w:sz w:val="24"/>
        </w:rPr>
      </w:pPr>
    </w:p>
    <w:p w:rsidR="00B54462" w:rsidRPr="00276C60" w:rsidRDefault="00B54462" w:rsidP="00B54462">
      <w:pPr>
        <w:pStyle w:val="Heading2"/>
        <w:rPr>
          <w:rFonts w:asciiTheme="minorHAnsi" w:hAnsiTheme="minorHAnsi"/>
          <w:i/>
          <w:sz w:val="28"/>
        </w:rPr>
      </w:pPr>
      <w:r w:rsidRPr="00276C60">
        <w:rPr>
          <w:rFonts w:asciiTheme="minorHAnsi" w:hAnsiTheme="minorHAnsi"/>
          <w:i/>
          <w:sz w:val="28"/>
        </w:rPr>
        <w:t>Economic analysis</w:t>
      </w:r>
      <w:bookmarkEnd w:id="30"/>
    </w:p>
    <w:p w:rsidR="00B54462" w:rsidRPr="00242572" w:rsidRDefault="00B54462" w:rsidP="00B54462">
      <w:pPr>
        <w:rPr>
          <w:rFonts w:asciiTheme="minorHAnsi" w:hAnsiTheme="minorHAnsi"/>
          <w:sz w:val="24"/>
        </w:rPr>
      </w:pP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re-submission presented two economic evaluations:</w:t>
      </w:r>
    </w:p>
    <w:p w:rsidR="00B54462" w:rsidRPr="00242572" w:rsidRDefault="00B54462" w:rsidP="006441EA">
      <w:pPr>
        <w:numPr>
          <w:ilvl w:val="0"/>
          <w:numId w:val="2"/>
        </w:numPr>
        <w:ind w:left="993" w:hanging="284"/>
        <w:contextualSpacing/>
        <w:rPr>
          <w:rFonts w:asciiTheme="minorHAnsi" w:hAnsiTheme="minorHAnsi"/>
          <w:sz w:val="24"/>
          <w:szCs w:val="24"/>
        </w:rPr>
      </w:pPr>
      <w:r w:rsidRPr="00242572">
        <w:rPr>
          <w:rFonts w:asciiTheme="minorHAnsi" w:hAnsiTheme="minorHAnsi"/>
          <w:sz w:val="24"/>
          <w:szCs w:val="24"/>
        </w:rPr>
        <w:t xml:space="preserve">A cost-utility analysis of perampanel </w:t>
      </w:r>
      <w:r w:rsidRPr="00242572">
        <w:rPr>
          <w:rFonts w:asciiTheme="minorHAnsi" w:hAnsiTheme="minorHAnsi"/>
          <w:sz w:val="24"/>
        </w:rPr>
        <w:t xml:space="preserve">(plus standard care) </w:t>
      </w:r>
      <w:r w:rsidR="00B574F7" w:rsidRPr="00242572">
        <w:rPr>
          <w:rFonts w:asciiTheme="minorHAnsi" w:hAnsiTheme="minorHAnsi"/>
          <w:sz w:val="24"/>
          <w:szCs w:val="24"/>
        </w:rPr>
        <w:t>vs.</w:t>
      </w:r>
      <w:r w:rsidRPr="00242572">
        <w:rPr>
          <w:rFonts w:asciiTheme="minorHAnsi" w:hAnsiTheme="minorHAnsi"/>
          <w:sz w:val="24"/>
          <w:szCs w:val="24"/>
        </w:rPr>
        <w:t xml:space="preserve"> placebo </w:t>
      </w:r>
      <w:r w:rsidRPr="00242572">
        <w:rPr>
          <w:rFonts w:asciiTheme="minorHAnsi" w:hAnsiTheme="minorHAnsi"/>
          <w:sz w:val="24"/>
        </w:rPr>
        <w:t>(plus standard care)</w:t>
      </w:r>
      <w:r w:rsidRPr="00242572">
        <w:rPr>
          <w:rFonts w:asciiTheme="minorHAnsi" w:hAnsiTheme="minorHAnsi"/>
          <w:sz w:val="24"/>
          <w:szCs w:val="24"/>
        </w:rPr>
        <w:t>. This approach was consistent with the clinical claim of superiority of perampanel compared with placebo; and</w:t>
      </w:r>
    </w:p>
    <w:p w:rsidR="00B54462" w:rsidRPr="00242572" w:rsidRDefault="00B54462" w:rsidP="006441EA">
      <w:pPr>
        <w:numPr>
          <w:ilvl w:val="0"/>
          <w:numId w:val="2"/>
        </w:numPr>
        <w:ind w:left="993" w:hanging="284"/>
        <w:contextualSpacing/>
        <w:rPr>
          <w:rFonts w:asciiTheme="minorHAnsi" w:hAnsiTheme="minorHAnsi"/>
          <w:sz w:val="24"/>
          <w:szCs w:val="24"/>
        </w:rPr>
      </w:pPr>
      <w:r w:rsidRPr="00242572">
        <w:rPr>
          <w:rFonts w:asciiTheme="minorHAnsi" w:hAnsiTheme="minorHAnsi"/>
          <w:sz w:val="24"/>
          <w:szCs w:val="24"/>
        </w:rPr>
        <w:t xml:space="preserve">A cost-minimisation analysis of perampanel </w:t>
      </w:r>
      <w:r w:rsidRPr="00242572">
        <w:rPr>
          <w:rFonts w:asciiTheme="minorHAnsi" w:hAnsiTheme="minorHAnsi"/>
          <w:sz w:val="24"/>
        </w:rPr>
        <w:t xml:space="preserve">(plus standard care) </w:t>
      </w:r>
      <w:r w:rsidR="00B574F7" w:rsidRPr="00242572">
        <w:rPr>
          <w:rFonts w:asciiTheme="minorHAnsi" w:hAnsiTheme="minorHAnsi"/>
          <w:sz w:val="24"/>
          <w:szCs w:val="24"/>
        </w:rPr>
        <w:t>vs.</w:t>
      </w:r>
      <w:r w:rsidRPr="00242572">
        <w:rPr>
          <w:rFonts w:asciiTheme="minorHAnsi" w:hAnsiTheme="minorHAnsi"/>
          <w:sz w:val="24"/>
          <w:szCs w:val="24"/>
        </w:rPr>
        <w:t xml:space="preserve"> other AEDs </w:t>
      </w:r>
      <w:r w:rsidRPr="00242572">
        <w:rPr>
          <w:rFonts w:asciiTheme="minorHAnsi" w:hAnsiTheme="minorHAnsi"/>
          <w:sz w:val="24"/>
        </w:rPr>
        <w:t>(plus standard care)</w:t>
      </w:r>
      <w:r w:rsidRPr="00242572">
        <w:rPr>
          <w:rFonts w:asciiTheme="minorHAnsi" w:hAnsiTheme="minorHAnsi"/>
          <w:sz w:val="24"/>
          <w:szCs w:val="24"/>
        </w:rPr>
        <w:t>. This approach was consistent with the clinical claim of non-inferiority of perampanel compared with other AEDs.</w:t>
      </w:r>
    </w:p>
    <w:p w:rsidR="00B54462" w:rsidRPr="00242572" w:rsidRDefault="00B54462" w:rsidP="00B54462">
      <w:pPr>
        <w:spacing w:after="120"/>
        <w:rPr>
          <w:rFonts w:asciiTheme="minorHAnsi" w:hAnsiTheme="minorHAnsi"/>
          <w:sz w:val="24"/>
          <w:u w:val="single"/>
        </w:rPr>
      </w:pPr>
    </w:p>
    <w:p w:rsidR="00B54462" w:rsidRPr="00242572" w:rsidRDefault="00B54462" w:rsidP="00B54462">
      <w:pPr>
        <w:spacing w:after="120"/>
        <w:rPr>
          <w:rFonts w:asciiTheme="minorHAnsi" w:hAnsiTheme="minorHAnsi"/>
          <w:sz w:val="24"/>
          <w:u w:val="single"/>
        </w:rPr>
      </w:pPr>
      <w:r w:rsidRPr="00242572">
        <w:rPr>
          <w:rFonts w:asciiTheme="minorHAnsi" w:hAnsiTheme="minorHAnsi"/>
          <w:sz w:val="24"/>
          <w:u w:val="single"/>
        </w:rPr>
        <w:t>Cost-utility analysis of perampanel versus placebo</w:t>
      </w: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re-submission presented a modelled economic evaluation for perampanel compared with placebo. The model was the same as the one presented in the previous submission, except that the re-submission used an alternative source for health state utilities, and updated cost and mortality components to the most current estimates. A small change was also made to the transition probabilities from the ‘≤50% response’ transition state.</w:t>
      </w:r>
    </w:p>
    <w:p w:rsidR="00595C9E" w:rsidRPr="00595C9E" w:rsidRDefault="00B54462" w:rsidP="00FA6EFC">
      <w:pPr>
        <w:pStyle w:val="ListParagraph"/>
        <w:widowControl/>
        <w:numPr>
          <w:ilvl w:val="1"/>
          <w:numId w:val="3"/>
        </w:numPr>
        <w:spacing w:after="120"/>
        <w:contextualSpacing w:val="0"/>
        <w:rPr>
          <w:lang w:eastAsia="zh-CN"/>
        </w:rPr>
      </w:pPr>
      <w:r w:rsidRPr="00D93CD5">
        <w:rPr>
          <w:rFonts w:asciiTheme="minorHAnsi" w:hAnsiTheme="minorHAnsi"/>
          <w:sz w:val="24"/>
        </w:rPr>
        <w:t>The model structure and key drivers of the model were unchanged from the previous submission</w:t>
      </w:r>
      <w:r w:rsidR="004423C8" w:rsidRPr="00D93CD5">
        <w:rPr>
          <w:rFonts w:asciiTheme="minorHAnsi" w:hAnsiTheme="minorHAnsi"/>
          <w:sz w:val="24"/>
        </w:rPr>
        <w:t xml:space="preserve">. </w:t>
      </w:r>
    </w:p>
    <w:p w:rsidR="009D3979" w:rsidRDefault="009D3979" w:rsidP="00595C9E">
      <w:pPr>
        <w:pStyle w:val="TableHeading"/>
      </w:pPr>
      <w:r>
        <w:br w:type="page"/>
      </w:r>
    </w:p>
    <w:p w:rsidR="00482F0F" w:rsidRDefault="00482F0F" w:rsidP="00482F0F">
      <w:pPr>
        <w:pStyle w:val="Caption"/>
      </w:pPr>
      <w:r>
        <w:t xml:space="preserve">Table </w:t>
      </w:r>
      <w:fldSimple w:instr=" SEQ Table \* ARABIC ">
        <w:r w:rsidR="000B634D">
          <w:rPr>
            <w:noProof/>
          </w:rPr>
          <w:t>9</w:t>
        </w:r>
      </w:fldSimple>
      <w:r w:rsidRPr="00B657FC">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7350"/>
      </w:tblGrid>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Time horizon</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50 years in the model, compared to 17 weeks in the trial</w:t>
            </w:r>
          </w:p>
        </w:tc>
      </w:tr>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Outcomes</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QALYs, LYG and seizures avoided</w:t>
            </w:r>
          </w:p>
        </w:tc>
      </w:tr>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Methods used to generate results</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Cohort expected value analysis</w:t>
            </w:r>
          </w:p>
        </w:tc>
      </w:tr>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Cycle length</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4 months</w:t>
            </w:r>
          </w:p>
        </w:tc>
      </w:tr>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Transition probabilities</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 xml:space="preserve">The transition probabilities between categories of treatment response (initiation of treatment, maintenance therapy, seizure increase, &lt;50% reduction in seizure frequency, 50-74% reduction, 75%-99% reduction or seizure free) were estimated. For the first cycle, the proportion of patients in each treatment response category was estimated from Trial 332, while from second cycle onward until the end of the model, transition probabilities were estimated from Neligan et al 2012 (except the transition probability from ‘&lt;50%’ to ‘increase in seizures’ that were based on Trial 332, in the absence of such data in Neligan et al 2012).  Relative risk of mortality based on number of seizures per year was also based on the literature (Nilsson et al 1999). </w:t>
            </w:r>
          </w:p>
        </w:tc>
      </w:tr>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Discount rate</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5% for costs and outcomes</w:t>
            </w:r>
          </w:p>
        </w:tc>
      </w:tr>
      <w:tr w:rsidR="00FA6EFC" w:rsidRPr="00242572" w:rsidTr="00FA6EFC">
        <w:tc>
          <w:tcPr>
            <w:tcW w:w="954"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Software package</w:t>
            </w:r>
          </w:p>
        </w:tc>
        <w:tc>
          <w:tcPr>
            <w:tcW w:w="4046" w:type="pct"/>
            <w:shd w:val="clear" w:color="auto" w:fill="auto"/>
          </w:tcPr>
          <w:p w:rsidR="00FA6EFC" w:rsidRPr="00242572" w:rsidRDefault="00FA6EFC" w:rsidP="00FA6EFC">
            <w:pPr>
              <w:rPr>
                <w:rFonts w:ascii="Arial Narrow" w:hAnsi="Arial Narrow"/>
                <w:sz w:val="20"/>
              </w:rPr>
            </w:pPr>
            <w:r w:rsidRPr="00242572">
              <w:rPr>
                <w:rFonts w:ascii="Arial Narrow" w:hAnsi="Arial Narrow"/>
                <w:sz w:val="20"/>
              </w:rPr>
              <w:t>Excel 2010</w:t>
            </w:r>
          </w:p>
        </w:tc>
      </w:tr>
    </w:tbl>
    <w:p w:rsidR="00FA6EFC" w:rsidRPr="00242572" w:rsidRDefault="00FA6EFC" w:rsidP="00FA6EFC">
      <w:pPr>
        <w:pStyle w:val="TableFooter"/>
      </w:pPr>
      <w:r w:rsidRPr="00242572">
        <w:t>Source: Compiled during the evaluation</w:t>
      </w:r>
    </w:p>
    <w:p w:rsidR="00FA6EFC" w:rsidRPr="00242572" w:rsidRDefault="00FA6EFC" w:rsidP="00FA6EFC">
      <w:pPr>
        <w:pStyle w:val="TableFooter"/>
      </w:pPr>
    </w:p>
    <w:p w:rsidR="00482F0F" w:rsidRDefault="00482F0F" w:rsidP="00482F0F">
      <w:pPr>
        <w:pStyle w:val="Caption"/>
      </w:pPr>
      <w:r>
        <w:t xml:space="preserve">Table </w:t>
      </w:r>
      <w:fldSimple w:instr=" SEQ Table \* ARABIC ">
        <w:r w:rsidR="000B634D">
          <w:rPr>
            <w:noProof/>
          </w:rPr>
          <w:t>10</w:t>
        </w:r>
      </w:fldSimple>
      <w:r w:rsidRPr="00C65251">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7"/>
        <w:gridCol w:w="3857"/>
        <w:gridCol w:w="2449"/>
      </w:tblGrid>
      <w:tr w:rsidR="00FA6EFC" w:rsidRPr="00242572" w:rsidTr="00FA6EFC">
        <w:trPr>
          <w:tblHeader/>
        </w:trPr>
        <w:tc>
          <w:tcPr>
            <w:tcW w:w="1529" w:type="pct"/>
            <w:shd w:val="clear" w:color="auto" w:fill="auto"/>
            <w:vAlign w:val="center"/>
          </w:tcPr>
          <w:p w:rsidR="00FA6EFC" w:rsidRPr="00242572" w:rsidRDefault="00FA6EFC" w:rsidP="00FA6EFC">
            <w:pPr>
              <w:jc w:val="left"/>
              <w:rPr>
                <w:rFonts w:ascii="Arial Narrow" w:hAnsi="Arial Narrow"/>
                <w:b/>
                <w:sz w:val="20"/>
                <w:lang w:val="en-US"/>
              </w:rPr>
            </w:pPr>
            <w:r w:rsidRPr="00242572">
              <w:rPr>
                <w:rFonts w:ascii="Arial Narrow" w:hAnsi="Arial Narrow"/>
                <w:b/>
                <w:sz w:val="20"/>
                <w:lang w:val="en-US"/>
              </w:rPr>
              <w:t>Description</w:t>
            </w:r>
          </w:p>
        </w:tc>
        <w:tc>
          <w:tcPr>
            <w:tcW w:w="2123" w:type="pct"/>
            <w:shd w:val="clear" w:color="auto" w:fill="auto"/>
            <w:vAlign w:val="center"/>
          </w:tcPr>
          <w:p w:rsidR="00FA6EFC" w:rsidRPr="00242572" w:rsidRDefault="00FA6EFC" w:rsidP="00FA6EFC">
            <w:pPr>
              <w:jc w:val="center"/>
              <w:rPr>
                <w:rFonts w:ascii="Arial Narrow" w:hAnsi="Arial Narrow"/>
                <w:b/>
                <w:sz w:val="20"/>
                <w:lang w:val="en-US"/>
              </w:rPr>
            </w:pPr>
            <w:r w:rsidRPr="00242572">
              <w:rPr>
                <w:rFonts w:ascii="Arial Narrow" w:hAnsi="Arial Narrow"/>
                <w:b/>
                <w:sz w:val="20"/>
                <w:lang w:val="en-US"/>
              </w:rPr>
              <w:t>Method/Value</w:t>
            </w:r>
          </w:p>
        </w:tc>
        <w:tc>
          <w:tcPr>
            <w:tcW w:w="1348" w:type="pct"/>
            <w:shd w:val="clear" w:color="auto" w:fill="auto"/>
            <w:vAlign w:val="center"/>
          </w:tcPr>
          <w:p w:rsidR="00FA6EFC" w:rsidRPr="00242572" w:rsidRDefault="00FA6EFC" w:rsidP="00FA6EFC">
            <w:pPr>
              <w:jc w:val="center"/>
              <w:rPr>
                <w:rFonts w:ascii="Arial Narrow" w:hAnsi="Arial Narrow"/>
                <w:b/>
                <w:sz w:val="20"/>
                <w:lang w:val="en-US"/>
              </w:rPr>
            </w:pPr>
            <w:r w:rsidRPr="00242572">
              <w:rPr>
                <w:rFonts w:ascii="Arial Narrow" w:hAnsi="Arial Narrow"/>
                <w:b/>
                <w:sz w:val="20"/>
                <w:lang w:val="en-US"/>
              </w:rPr>
              <w:t>Impact</w:t>
            </w:r>
          </w:p>
        </w:tc>
      </w:tr>
      <w:tr w:rsidR="00FA6EFC" w:rsidRPr="00242572" w:rsidTr="00FA6EFC">
        <w:tc>
          <w:tcPr>
            <w:tcW w:w="1529" w:type="pct"/>
            <w:shd w:val="clear" w:color="auto" w:fill="auto"/>
            <w:vAlign w:val="center"/>
          </w:tcPr>
          <w:p w:rsidR="00FA6EFC" w:rsidRPr="00242572" w:rsidRDefault="00FA6EFC" w:rsidP="00FA6EFC">
            <w:pPr>
              <w:jc w:val="left"/>
              <w:rPr>
                <w:rFonts w:ascii="Arial Narrow" w:hAnsi="Arial Narrow"/>
                <w:sz w:val="20"/>
                <w:lang w:val="en-US"/>
              </w:rPr>
            </w:pPr>
            <w:r w:rsidRPr="00242572">
              <w:rPr>
                <w:rFonts w:ascii="Arial Narrow" w:hAnsi="Arial Narrow"/>
                <w:sz w:val="20"/>
                <w:lang w:val="en-US"/>
              </w:rPr>
              <w:t>Model structure</w:t>
            </w:r>
          </w:p>
        </w:tc>
        <w:tc>
          <w:tcPr>
            <w:tcW w:w="2123" w:type="pct"/>
            <w:shd w:val="clear" w:color="auto" w:fill="auto"/>
            <w:vAlign w:val="center"/>
          </w:tcPr>
          <w:p w:rsidR="00FA6EFC" w:rsidRPr="00242572" w:rsidRDefault="00FA6EFC" w:rsidP="00FA6EFC">
            <w:pPr>
              <w:jc w:val="left"/>
              <w:rPr>
                <w:rFonts w:ascii="Arial Narrow" w:hAnsi="Arial Narrow"/>
                <w:sz w:val="20"/>
                <w:lang w:val="en-US"/>
              </w:rPr>
            </w:pPr>
            <w:r w:rsidRPr="00242572">
              <w:rPr>
                <w:rFonts w:ascii="Arial Narrow" w:hAnsi="Arial Narrow"/>
                <w:sz w:val="20"/>
                <w:lang w:val="en-US"/>
              </w:rPr>
              <w:t>States represent mix of seizure types, wide and arbitrary ranges, and requires manipulation of percentage reductions in seizure frequencies to apply treatment effects</w:t>
            </w:r>
          </w:p>
        </w:tc>
        <w:tc>
          <w:tcPr>
            <w:tcW w:w="1348" w:type="pct"/>
            <w:shd w:val="clear" w:color="auto" w:fill="auto"/>
            <w:vAlign w:val="center"/>
          </w:tcPr>
          <w:p w:rsidR="00FA6EFC" w:rsidRPr="00242572" w:rsidRDefault="00FA6EFC" w:rsidP="00FA6EFC">
            <w:pPr>
              <w:jc w:val="center"/>
              <w:rPr>
                <w:rFonts w:ascii="Arial Narrow" w:hAnsi="Arial Narrow"/>
                <w:sz w:val="20"/>
                <w:lang w:val="en-US"/>
              </w:rPr>
            </w:pPr>
            <w:r w:rsidRPr="00242572">
              <w:rPr>
                <w:rFonts w:ascii="Arial Narrow" w:hAnsi="Arial Narrow"/>
                <w:sz w:val="20"/>
                <w:lang w:val="en-US"/>
              </w:rPr>
              <w:t>Unknown</w:t>
            </w:r>
          </w:p>
        </w:tc>
      </w:tr>
      <w:tr w:rsidR="00FA6EFC" w:rsidRPr="00242572" w:rsidTr="00FA6EFC">
        <w:tc>
          <w:tcPr>
            <w:tcW w:w="1529" w:type="pct"/>
            <w:shd w:val="clear" w:color="auto" w:fill="auto"/>
            <w:vAlign w:val="center"/>
          </w:tcPr>
          <w:p w:rsidR="00FA6EFC" w:rsidRPr="00242572" w:rsidRDefault="00FA6EFC" w:rsidP="00FA6EFC">
            <w:pPr>
              <w:jc w:val="left"/>
              <w:rPr>
                <w:rFonts w:ascii="Arial Narrow" w:hAnsi="Arial Narrow"/>
                <w:sz w:val="20"/>
                <w:lang w:val="en-US"/>
              </w:rPr>
            </w:pPr>
            <w:r w:rsidRPr="00242572">
              <w:rPr>
                <w:rFonts w:ascii="Arial Narrow" w:hAnsi="Arial Narrow"/>
                <w:sz w:val="20"/>
                <w:lang w:val="en-US"/>
              </w:rPr>
              <w:t xml:space="preserve">Transition probabilities beyond 4 months </w:t>
            </w:r>
          </w:p>
        </w:tc>
        <w:tc>
          <w:tcPr>
            <w:tcW w:w="2123" w:type="pct"/>
            <w:shd w:val="clear" w:color="auto" w:fill="auto"/>
            <w:vAlign w:val="center"/>
          </w:tcPr>
          <w:p w:rsidR="00FA6EFC" w:rsidRPr="00242572" w:rsidRDefault="00FA6EFC" w:rsidP="00FA6EFC">
            <w:pPr>
              <w:jc w:val="left"/>
              <w:rPr>
                <w:rFonts w:ascii="Arial Narrow" w:hAnsi="Arial Narrow"/>
                <w:sz w:val="20"/>
                <w:lang w:val="en-US"/>
              </w:rPr>
            </w:pPr>
            <w:r w:rsidRPr="00242572">
              <w:rPr>
                <w:rFonts w:ascii="Arial Narrow" w:hAnsi="Arial Narrow"/>
                <w:sz w:val="20"/>
                <w:lang w:val="en-US"/>
              </w:rPr>
              <w:t>Data source of limited relevance and analyses of those data favourable to perampanel</w:t>
            </w:r>
          </w:p>
        </w:tc>
        <w:tc>
          <w:tcPr>
            <w:tcW w:w="1348" w:type="pct"/>
            <w:shd w:val="clear" w:color="auto" w:fill="auto"/>
            <w:vAlign w:val="center"/>
          </w:tcPr>
          <w:p w:rsidR="00FA6EFC" w:rsidRPr="00242572" w:rsidRDefault="00FA6EFC" w:rsidP="00FA6EFC">
            <w:pPr>
              <w:jc w:val="center"/>
              <w:rPr>
                <w:rFonts w:ascii="Arial Narrow" w:hAnsi="Arial Narrow"/>
                <w:sz w:val="20"/>
                <w:lang w:val="en-US"/>
              </w:rPr>
            </w:pPr>
            <w:r w:rsidRPr="00242572">
              <w:rPr>
                <w:rFonts w:ascii="Arial Narrow" w:hAnsi="Arial Narrow"/>
                <w:sz w:val="20"/>
                <w:lang w:val="en-US"/>
              </w:rPr>
              <w:t>High, ongoing use of the rate favours perampanel</w:t>
            </w:r>
          </w:p>
        </w:tc>
      </w:tr>
      <w:tr w:rsidR="00FA6EFC" w:rsidRPr="00242572" w:rsidTr="00FA6EFC">
        <w:tc>
          <w:tcPr>
            <w:tcW w:w="1529" w:type="pct"/>
            <w:shd w:val="clear" w:color="auto" w:fill="auto"/>
            <w:vAlign w:val="center"/>
          </w:tcPr>
          <w:p w:rsidR="00FA6EFC" w:rsidRPr="00242572" w:rsidRDefault="00FA6EFC" w:rsidP="00FA6EFC">
            <w:pPr>
              <w:jc w:val="left"/>
              <w:rPr>
                <w:rFonts w:ascii="Arial Narrow" w:hAnsi="Arial Narrow"/>
                <w:sz w:val="20"/>
                <w:lang w:val="en-US"/>
              </w:rPr>
            </w:pPr>
            <w:r w:rsidRPr="00242572">
              <w:rPr>
                <w:rFonts w:ascii="Arial Narrow" w:hAnsi="Arial Narrow"/>
                <w:sz w:val="20"/>
                <w:lang w:val="en-US"/>
              </w:rPr>
              <w:t>Relative risk of mortality</w:t>
            </w:r>
          </w:p>
        </w:tc>
        <w:tc>
          <w:tcPr>
            <w:tcW w:w="2123" w:type="pct"/>
            <w:shd w:val="clear" w:color="auto" w:fill="auto"/>
            <w:vAlign w:val="center"/>
          </w:tcPr>
          <w:p w:rsidR="00FA6EFC" w:rsidRPr="00242572" w:rsidRDefault="00FA6EFC" w:rsidP="00FA6EFC">
            <w:pPr>
              <w:rPr>
                <w:rFonts w:ascii="Arial Narrow" w:hAnsi="Arial Narrow"/>
                <w:sz w:val="20"/>
                <w:lang w:val="en-US"/>
              </w:rPr>
            </w:pPr>
            <w:r w:rsidRPr="00242572">
              <w:rPr>
                <w:rFonts w:ascii="Arial Narrow" w:hAnsi="Arial Narrow"/>
                <w:sz w:val="20"/>
                <w:lang w:val="en-US"/>
              </w:rPr>
              <w:t>1-12 annual seizures: 7.21 per year</w:t>
            </w:r>
          </w:p>
          <w:p w:rsidR="00FA6EFC" w:rsidRPr="00242572" w:rsidRDefault="00FA6EFC" w:rsidP="00FA6EFC">
            <w:pPr>
              <w:rPr>
                <w:rFonts w:ascii="Arial Narrow" w:hAnsi="Arial Narrow"/>
                <w:sz w:val="20"/>
                <w:lang w:val="en-US"/>
              </w:rPr>
            </w:pPr>
            <w:r w:rsidRPr="00242572">
              <w:rPr>
                <w:rFonts w:ascii="Arial Narrow" w:hAnsi="Arial Narrow"/>
                <w:sz w:val="20"/>
                <w:lang w:val="en-US"/>
              </w:rPr>
              <w:t>13-52 annual seizures: 8.64 per year</w:t>
            </w:r>
          </w:p>
          <w:p w:rsidR="00FA6EFC" w:rsidRPr="00242572" w:rsidRDefault="00FA6EFC" w:rsidP="00FA6EFC">
            <w:pPr>
              <w:rPr>
                <w:rFonts w:ascii="Arial Narrow" w:hAnsi="Arial Narrow"/>
                <w:sz w:val="20"/>
                <w:lang w:val="en-US"/>
              </w:rPr>
            </w:pPr>
            <w:r w:rsidRPr="00242572">
              <w:rPr>
                <w:rFonts w:ascii="Arial Narrow" w:hAnsi="Arial Narrow"/>
                <w:sz w:val="20"/>
                <w:lang w:val="en-US"/>
              </w:rPr>
              <w:t>53+ annual seizures: 10.16 per year</w:t>
            </w:r>
          </w:p>
        </w:tc>
        <w:tc>
          <w:tcPr>
            <w:tcW w:w="1348" w:type="pct"/>
            <w:shd w:val="clear" w:color="auto" w:fill="auto"/>
            <w:vAlign w:val="center"/>
          </w:tcPr>
          <w:p w:rsidR="00FA6EFC" w:rsidRPr="00242572" w:rsidRDefault="00FA6EFC" w:rsidP="00FA6EFC">
            <w:pPr>
              <w:jc w:val="center"/>
              <w:rPr>
                <w:rFonts w:ascii="Arial Narrow" w:hAnsi="Arial Narrow"/>
                <w:sz w:val="20"/>
                <w:lang w:val="en-US"/>
              </w:rPr>
            </w:pPr>
            <w:r w:rsidRPr="00242572">
              <w:rPr>
                <w:rFonts w:ascii="Arial Narrow" w:hAnsi="Arial Narrow"/>
                <w:sz w:val="20"/>
                <w:lang w:val="en-US"/>
              </w:rPr>
              <w:t>Moderate, increasing mortality risk associated with seizures favours perampanel</w:t>
            </w:r>
          </w:p>
        </w:tc>
      </w:tr>
      <w:tr w:rsidR="003348B6" w:rsidRPr="00944EBD" w:rsidTr="00FA6EFC">
        <w:tc>
          <w:tcPr>
            <w:tcW w:w="1529" w:type="pct"/>
            <w:shd w:val="clear" w:color="auto" w:fill="auto"/>
            <w:vAlign w:val="center"/>
          </w:tcPr>
          <w:p w:rsidR="003348B6" w:rsidRPr="00944EBD" w:rsidRDefault="003348B6" w:rsidP="00FA6EFC">
            <w:pPr>
              <w:jc w:val="left"/>
              <w:rPr>
                <w:rFonts w:ascii="Arial Narrow" w:hAnsi="Arial Narrow"/>
                <w:i/>
                <w:sz w:val="20"/>
                <w:lang w:val="en-US"/>
              </w:rPr>
            </w:pPr>
            <w:r w:rsidRPr="00944EBD">
              <w:rPr>
                <w:rFonts w:ascii="Arial Narrow" w:hAnsi="Arial Narrow"/>
                <w:i/>
                <w:sz w:val="20"/>
                <w:lang w:val="en-US"/>
              </w:rPr>
              <w:t>Time Horizon</w:t>
            </w:r>
          </w:p>
        </w:tc>
        <w:tc>
          <w:tcPr>
            <w:tcW w:w="2123" w:type="pct"/>
            <w:shd w:val="clear" w:color="auto" w:fill="auto"/>
            <w:vAlign w:val="center"/>
          </w:tcPr>
          <w:p w:rsidR="003348B6" w:rsidRPr="00944EBD" w:rsidRDefault="003348B6" w:rsidP="00FA6EFC">
            <w:pPr>
              <w:rPr>
                <w:rFonts w:ascii="Arial Narrow" w:hAnsi="Arial Narrow"/>
                <w:i/>
                <w:sz w:val="20"/>
                <w:lang w:val="en-US"/>
              </w:rPr>
            </w:pPr>
            <w:r w:rsidRPr="00944EBD">
              <w:rPr>
                <w:rFonts w:ascii="Arial Narrow" w:hAnsi="Arial Narrow"/>
                <w:i/>
                <w:sz w:val="20"/>
                <w:lang w:val="en-US"/>
              </w:rPr>
              <w:t xml:space="preserve">Longer time horizons associated with extrapolated data (the longest data source of clinical impact was 5 years) </w:t>
            </w:r>
          </w:p>
        </w:tc>
        <w:tc>
          <w:tcPr>
            <w:tcW w:w="1348" w:type="pct"/>
            <w:shd w:val="clear" w:color="auto" w:fill="auto"/>
            <w:vAlign w:val="center"/>
          </w:tcPr>
          <w:p w:rsidR="003348B6" w:rsidRPr="00944EBD" w:rsidRDefault="003348B6" w:rsidP="00F66242">
            <w:pPr>
              <w:jc w:val="center"/>
              <w:rPr>
                <w:rFonts w:ascii="Arial Narrow" w:hAnsi="Arial Narrow"/>
                <w:i/>
                <w:sz w:val="20"/>
                <w:lang w:val="en-US"/>
              </w:rPr>
            </w:pPr>
            <w:r w:rsidRPr="00944EBD">
              <w:rPr>
                <w:rFonts w:ascii="Arial Narrow" w:hAnsi="Arial Narrow"/>
                <w:i/>
                <w:sz w:val="20"/>
                <w:lang w:val="en-US"/>
              </w:rPr>
              <w:t>High favours pera</w:t>
            </w:r>
            <w:r w:rsidR="00F66242">
              <w:rPr>
                <w:rFonts w:ascii="Arial Narrow" w:hAnsi="Arial Narrow"/>
                <w:i/>
                <w:sz w:val="20"/>
                <w:lang w:val="en-US"/>
              </w:rPr>
              <w:t>m</w:t>
            </w:r>
            <w:r w:rsidRPr="00944EBD">
              <w:rPr>
                <w:rFonts w:ascii="Arial Narrow" w:hAnsi="Arial Narrow"/>
                <w:i/>
                <w:sz w:val="20"/>
                <w:lang w:val="en-US"/>
              </w:rPr>
              <w:t>panel</w:t>
            </w:r>
          </w:p>
        </w:tc>
      </w:tr>
    </w:tbl>
    <w:p w:rsidR="00FA6EFC" w:rsidRPr="00242572" w:rsidRDefault="00FA6EFC" w:rsidP="00FA6EFC">
      <w:pPr>
        <w:pStyle w:val="TableFooter"/>
        <w:widowControl/>
      </w:pPr>
      <w:r w:rsidRPr="00242572">
        <w:t>Source: compiled during the evaluation</w:t>
      </w:r>
    </w:p>
    <w:p w:rsidR="00FA6EFC" w:rsidRPr="00242572" w:rsidRDefault="00FA6EFC" w:rsidP="00E03284">
      <w:pPr>
        <w:widowControl/>
        <w:spacing w:after="120"/>
        <w:rPr>
          <w:rFonts w:asciiTheme="minorHAnsi" w:hAnsiTheme="minorHAnsi"/>
          <w:sz w:val="24"/>
        </w:rPr>
      </w:pPr>
    </w:p>
    <w:p w:rsidR="00FA6EFC" w:rsidRPr="00242572" w:rsidRDefault="00E03284" w:rsidP="008F627C">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w:t>
      </w:r>
      <w:r w:rsidR="00FA6EFC" w:rsidRPr="00242572">
        <w:rPr>
          <w:rFonts w:asciiTheme="minorHAnsi" w:hAnsiTheme="minorHAnsi"/>
          <w:sz w:val="24"/>
        </w:rPr>
        <w:t xml:space="preserve">he model was very sensitive to the transition probability from ‘&lt;50% response’ to ‘increase in seizures’ response categories. The assumption that a constant proportion of patients would continue to fail treatment (i.e. experience an increase in seizures </w:t>
      </w:r>
      <w:r w:rsidR="00927298" w:rsidRPr="00242572">
        <w:rPr>
          <w:rFonts w:asciiTheme="minorHAnsi" w:hAnsiTheme="minorHAnsi"/>
          <w:sz w:val="24"/>
        </w:rPr>
        <w:t>after</w:t>
      </w:r>
      <w:r w:rsidR="00FA6EFC" w:rsidRPr="00242572">
        <w:rPr>
          <w:rFonts w:asciiTheme="minorHAnsi" w:hAnsiTheme="minorHAnsi"/>
          <w:sz w:val="24"/>
        </w:rPr>
        <w:t xml:space="preserve"> previously achieving a &lt;50% response) in each subsequent cycle, coupled with the assumption that patients who experience an increase in seizures will be assumed to move to ‘maintenance therapy’ category where their seizure frequency will be unchanged until death, benefited the perampanel arm. By year 6 (cycle 18), approximately 40% of the patients in the perampanel arm had failed treatment and had discontinued perampanel</w:t>
      </w:r>
      <w:r w:rsidR="00927298" w:rsidRPr="00242572">
        <w:rPr>
          <w:rFonts w:asciiTheme="minorHAnsi" w:hAnsiTheme="minorHAnsi"/>
          <w:sz w:val="24"/>
        </w:rPr>
        <w:t xml:space="preserve"> (reducing the average cost per cycle from $</w:t>
      </w:r>
      <w:r w:rsidR="00247FD4">
        <w:rPr>
          <w:rFonts w:asciiTheme="minorHAnsi" w:hAnsiTheme="minorHAnsi"/>
          <w:noProof/>
          <w:color w:val="000000"/>
          <w:sz w:val="24"/>
          <w:highlight w:val="black"/>
        </w:rPr>
        <w:t>''''''''''''</w:t>
      </w:r>
      <w:r w:rsidR="000E7777" w:rsidRPr="00242572">
        <w:rPr>
          <w:rFonts w:asciiTheme="minorHAnsi" w:hAnsiTheme="minorHAnsi"/>
          <w:sz w:val="24"/>
        </w:rPr>
        <w:t xml:space="preserve"> to $</w:t>
      </w:r>
      <w:r w:rsidR="00247FD4">
        <w:rPr>
          <w:rFonts w:asciiTheme="minorHAnsi" w:hAnsiTheme="minorHAnsi"/>
          <w:noProof/>
          <w:color w:val="000000"/>
          <w:sz w:val="24"/>
          <w:highlight w:val="black"/>
        </w:rPr>
        <w:t>'''''''''''</w:t>
      </w:r>
      <w:r w:rsidR="00927298" w:rsidRPr="00242572">
        <w:rPr>
          <w:rFonts w:asciiTheme="minorHAnsi" w:hAnsiTheme="minorHAnsi"/>
          <w:sz w:val="24"/>
        </w:rPr>
        <w:t>)</w:t>
      </w:r>
      <w:r w:rsidR="00FA6EFC" w:rsidRPr="00242572">
        <w:rPr>
          <w:rFonts w:asciiTheme="minorHAnsi" w:hAnsiTheme="minorHAnsi"/>
          <w:sz w:val="24"/>
        </w:rPr>
        <w:t>. Although not explicitly stated in Neligan et al, it was likely that the ‘&lt;50% reduction’ category also included those who had experienced an increase in seizures compared to baseline. Removing the transition probability from the ‘&lt;50% reduction’ to ‘seizure increase’ response categories subsequent to the first cycle increase</w:t>
      </w:r>
      <w:r w:rsidR="000819C3" w:rsidRPr="00242572">
        <w:rPr>
          <w:rFonts w:asciiTheme="minorHAnsi" w:hAnsiTheme="minorHAnsi"/>
          <w:sz w:val="24"/>
        </w:rPr>
        <w:t>d the ICER to</w:t>
      </w:r>
      <w:r w:rsidR="008F627C">
        <w:rPr>
          <w:rFonts w:asciiTheme="minorHAnsi" w:hAnsiTheme="minorHAnsi"/>
          <w:sz w:val="24"/>
        </w:rPr>
        <w:t xml:space="preserve"> </w:t>
      </w:r>
      <w:r w:rsidR="008F627C" w:rsidRPr="008F627C">
        <w:rPr>
          <w:rFonts w:asciiTheme="minorHAnsi" w:hAnsiTheme="minorHAnsi"/>
          <w:sz w:val="24"/>
        </w:rPr>
        <w:t>$75,000/QALY – $105,000/QALY</w:t>
      </w:r>
      <w:r w:rsidR="00FA6EFC" w:rsidRPr="00242572">
        <w:rPr>
          <w:rFonts w:asciiTheme="minorHAnsi" w:hAnsiTheme="minorHAnsi"/>
          <w:sz w:val="24"/>
        </w:rPr>
        <w:t>.</w:t>
      </w:r>
    </w:p>
    <w:p w:rsidR="00FA6EFC" w:rsidRPr="00162110" w:rsidRDefault="00B54462" w:rsidP="00162110">
      <w:pPr>
        <w:pStyle w:val="ListParagraph"/>
        <w:widowControl/>
        <w:numPr>
          <w:ilvl w:val="1"/>
          <w:numId w:val="3"/>
        </w:numPr>
        <w:spacing w:before="120" w:after="160"/>
        <w:contextualSpacing w:val="0"/>
      </w:pPr>
      <w:r w:rsidRPr="00242572">
        <w:rPr>
          <w:rFonts w:asciiTheme="minorHAnsi" w:hAnsiTheme="minorHAnsi"/>
          <w:sz w:val="24"/>
        </w:rPr>
        <w:t>A number of</w:t>
      </w:r>
      <w:r w:rsidR="00FD4B3D">
        <w:rPr>
          <w:rFonts w:asciiTheme="minorHAnsi" w:hAnsiTheme="minorHAnsi"/>
          <w:sz w:val="24"/>
        </w:rPr>
        <w:t xml:space="preserve"> previous</w:t>
      </w:r>
      <w:r w:rsidRPr="00242572">
        <w:rPr>
          <w:rFonts w:asciiTheme="minorHAnsi" w:hAnsiTheme="minorHAnsi"/>
          <w:sz w:val="24"/>
        </w:rPr>
        <w:t xml:space="preserve"> PBAC concerns relating to the</w:t>
      </w:r>
      <w:r w:rsidR="00D71667" w:rsidRPr="00242572">
        <w:rPr>
          <w:rFonts w:asciiTheme="minorHAnsi" w:hAnsiTheme="minorHAnsi"/>
          <w:sz w:val="24"/>
        </w:rPr>
        <w:t xml:space="preserve"> structure, application and extrapolation of treatment effect in the</w:t>
      </w:r>
      <w:r w:rsidRPr="00242572">
        <w:rPr>
          <w:rFonts w:asciiTheme="minorHAnsi" w:hAnsiTheme="minorHAnsi"/>
          <w:sz w:val="24"/>
        </w:rPr>
        <w:t xml:space="preserve"> economic model remained outstanding and were not adequately addressed in the re-submission. </w:t>
      </w: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results of the modelled evaluation are summarised below. These results must be interpreted with caution given the major structural issues identified with the model, and concerns relating to the application and extrapolation of treatment effect.</w:t>
      </w:r>
    </w:p>
    <w:p w:rsidR="000B634D" w:rsidRDefault="000B634D" w:rsidP="000B634D">
      <w:pPr>
        <w:pStyle w:val="Caption"/>
      </w:pPr>
      <w:r>
        <w:t xml:space="preserve">Table </w:t>
      </w:r>
      <w:fldSimple w:instr=" SEQ Table \* ARABIC ">
        <w:r>
          <w:rPr>
            <w:noProof/>
          </w:rPr>
          <w:t>11</w:t>
        </w:r>
      </w:fldSimple>
      <w:r w:rsidRPr="00ED48FC">
        <w:t>: Results of the modelled economic evaluation of perampanel vs. placebo, as presented by the submissions</w:t>
      </w:r>
    </w:p>
    <w:tbl>
      <w:tblPr>
        <w:tblStyle w:val="TableGrid11"/>
        <w:tblW w:w="5000" w:type="pct"/>
        <w:tblLook w:val="04A0" w:firstRow="1" w:lastRow="0" w:firstColumn="1" w:lastColumn="0" w:noHBand="0" w:noVBand="1"/>
        <w:tblCaption w:val="Results of the modelled economic evaluation of perampanel vs. placebo, as presented by the submissions"/>
      </w:tblPr>
      <w:tblGrid>
        <w:gridCol w:w="2422"/>
        <w:gridCol w:w="2754"/>
        <w:gridCol w:w="1900"/>
        <w:gridCol w:w="2167"/>
      </w:tblGrid>
      <w:tr w:rsidR="00B54462" w:rsidRPr="00242572" w:rsidTr="00985386">
        <w:trPr>
          <w:tblHeader/>
        </w:trPr>
        <w:tc>
          <w:tcPr>
            <w:tcW w:w="1310" w:type="pct"/>
            <w:noWrap/>
            <w:vAlign w:val="bottom"/>
          </w:tcPr>
          <w:p w:rsidR="00B54462" w:rsidRPr="00242572" w:rsidRDefault="00B54462" w:rsidP="00D20C0D">
            <w:pPr>
              <w:jc w:val="center"/>
              <w:rPr>
                <w:rFonts w:ascii="Arial Narrow" w:hAnsi="Arial Narrow"/>
                <w:sz w:val="20"/>
              </w:rPr>
            </w:pPr>
          </w:p>
        </w:tc>
        <w:tc>
          <w:tcPr>
            <w:tcW w:w="1490" w:type="pct"/>
            <w:vAlign w:val="bottom"/>
          </w:tcPr>
          <w:p w:rsidR="00B54462" w:rsidRPr="00242572" w:rsidRDefault="00B54462" w:rsidP="00D20C0D">
            <w:pPr>
              <w:jc w:val="center"/>
              <w:rPr>
                <w:rFonts w:ascii="Arial Narrow" w:hAnsi="Arial Narrow"/>
                <w:b/>
                <w:bCs/>
                <w:sz w:val="20"/>
              </w:rPr>
            </w:pPr>
            <w:r w:rsidRPr="00242572">
              <w:rPr>
                <w:rFonts w:ascii="Arial Narrow" w:hAnsi="Arial Narrow"/>
                <w:b/>
                <w:bCs/>
                <w:sz w:val="20"/>
              </w:rPr>
              <w:t>Perampanel plus standard care</w:t>
            </w:r>
          </w:p>
        </w:tc>
        <w:tc>
          <w:tcPr>
            <w:tcW w:w="1028" w:type="pct"/>
            <w:vAlign w:val="bottom"/>
          </w:tcPr>
          <w:p w:rsidR="00B54462" w:rsidRPr="00242572" w:rsidRDefault="00B54462" w:rsidP="00D20C0D">
            <w:pPr>
              <w:jc w:val="center"/>
              <w:rPr>
                <w:rFonts w:ascii="Arial Narrow" w:hAnsi="Arial Narrow"/>
                <w:b/>
                <w:bCs/>
                <w:sz w:val="20"/>
              </w:rPr>
            </w:pPr>
            <w:r w:rsidRPr="00242572">
              <w:rPr>
                <w:rFonts w:ascii="Arial Narrow" w:hAnsi="Arial Narrow"/>
                <w:b/>
                <w:bCs/>
                <w:sz w:val="20"/>
              </w:rPr>
              <w:t>Standard care</w:t>
            </w:r>
          </w:p>
        </w:tc>
        <w:tc>
          <w:tcPr>
            <w:tcW w:w="1172" w:type="pct"/>
            <w:vAlign w:val="bottom"/>
          </w:tcPr>
          <w:p w:rsidR="00B54462" w:rsidRPr="00242572" w:rsidRDefault="00B54462" w:rsidP="00D20C0D">
            <w:pPr>
              <w:jc w:val="center"/>
              <w:rPr>
                <w:rFonts w:ascii="Arial Narrow" w:hAnsi="Arial Narrow"/>
                <w:b/>
                <w:bCs/>
                <w:sz w:val="20"/>
              </w:rPr>
            </w:pPr>
            <w:r w:rsidRPr="00242572">
              <w:rPr>
                <w:rFonts w:ascii="Arial Narrow" w:hAnsi="Arial Narrow"/>
                <w:b/>
                <w:bCs/>
                <w:sz w:val="20"/>
              </w:rPr>
              <w:t>Increment</w:t>
            </w:r>
          </w:p>
        </w:tc>
      </w:tr>
      <w:tr w:rsidR="00B54462" w:rsidRPr="00242572" w:rsidTr="00D20C0D">
        <w:tc>
          <w:tcPr>
            <w:tcW w:w="5000" w:type="pct"/>
            <w:gridSpan w:val="4"/>
            <w:noWrap/>
          </w:tcPr>
          <w:p w:rsidR="00B54462" w:rsidRPr="00242572" w:rsidRDefault="00B54462" w:rsidP="00D20C0D">
            <w:pPr>
              <w:jc w:val="left"/>
              <w:rPr>
                <w:rFonts w:ascii="Arial Narrow" w:hAnsi="Arial Narrow"/>
                <w:b/>
                <w:sz w:val="20"/>
              </w:rPr>
            </w:pPr>
            <w:r w:rsidRPr="00242572">
              <w:rPr>
                <w:rFonts w:ascii="Arial Narrow" w:hAnsi="Arial Narrow"/>
                <w:b/>
                <w:sz w:val="20"/>
              </w:rPr>
              <w:t>Modelled economic evaluation results – re-submission</w:t>
            </w:r>
          </w:p>
        </w:tc>
      </w:tr>
      <w:tr w:rsidR="00B54462" w:rsidRPr="00242572" w:rsidTr="00D20C0D">
        <w:tc>
          <w:tcPr>
            <w:tcW w:w="1310" w:type="pct"/>
            <w:noWrap/>
          </w:tcPr>
          <w:p w:rsidR="00B54462" w:rsidRPr="00242572" w:rsidRDefault="00B54462" w:rsidP="00D20C0D">
            <w:pPr>
              <w:rPr>
                <w:rFonts w:ascii="Arial Narrow" w:hAnsi="Arial Narrow"/>
                <w:sz w:val="20"/>
              </w:rPr>
            </w:pPr>
            <w:r w:rsidRPr="00242572">
              <w:rPr>
                <w:rFonts w:ascii="Arial Narrow" w:hAnsi="Arial Narrow"/>
                <w:sz w:val="20"/>
              </w:rPr>
              <w:t xml:space="preserve">Cost </w:t>
            </w:r>
          </w:p>
        </w:tc>
        <w:tc>
          <w:tcPr>
            <w:tcW w:w="1490"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1028"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1172"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1310" w:type="pct"/>
            <w:noWrap/>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Number of seizures</w:t>
            </w:r>
          </w:p>
        </w:tc>
        <w:tc>
          <w:tcPr>
            <w:tcW w:w="1490"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954</w:t>
            </w:r>
          </w:p>
        </w:tc>
        <w:tc>
          <w:tcPr>
            <w:tcW w:w="1028"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1,244</w:t>
            </w:r>
          </w:p>
        </w:tc>
        <w:tc>
          <w:tcPr>
            <w:tcW w:w="1172" w:type="pct"/>
            <w:noWrap/>
            <w:vAlign w:val="center"/>
          </w:tcPr>
          <w:p w:rsidR="00B54462" w:rsidRPr="00242572" w:rsidRDefault="00B54462" w:rsidP="00D20C0D">
            <w:pPr>
              <w:jc w:val="center"/>
              <w:rPr>
                <w:rFonts w:ascii="Arial Narrow" w:hAnsi="Arial Narrow"/>
                <w:sz w:val="20"/>
              </w:rPr>
            </w:pPr>
            <w:r w:rsidRPr="00242572">
              <w:rPr>
                <w:rFonts w:ascii="Arial Narrow" w:hAnsi="Arial Narrow"/>
                <w:color w:val="000000"/>
                <w:sz w:val="20"/>
              </w:rPr>
              <w:t>291</w:t>
            </w:r>
          </w:p>
        </w:tc>
      </w:tr>
      <w:tr w:rsidR="00B54462" w:rsidRPr="00242572" w:rsidTr="00D20C0D">
        <w:tc>
          <w:tcPr>
            <w:tcW w:w="1310" w:type="pct"/>
            <w:noWrap/>
          </w:tcPr>
          <w:p w:rsidR="00B54462" w:rsidRPr="00242572" w:rsidRDefault="00B54462" w:rsidP="00D20C0D">
            <w:pPr>
              <w:rPr>
                <w:rFonts w:ascii="Arial Narrow" w:hAnsi="Arial Narrow"/>
                <w:sz w:val="20"/>
              </w:rPr>
            </w:pPr>
            <w:r w:rsidRPr="00242572">
              <w:rPr>
                <w:rFonts w:ascii="Arial Narrow" w:hAnsi="Arial Narrow"/>
                <w:sz w:val="20"/>
              </w:rPr>
              <w:t>LYG</w:t>
            </w:r>
          </w:p>
        </w:tc>
        <w:tc>
          <w:tcPr>
            <w:tcW w:w="1490"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12.29</w:t>
            </w:r>
          </w:p>
        </w:tc>
        <w:tc>
          <w:tcPr>
            <w:tcW w:w="1028"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11.87</w:t>
            </w:r>
          </w:p>
        </w:tc>
        <w:tc>
          <w:tcPr>
            <w:tcW w:w="1172"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0.43</w:t>
            </w:r>
          </w:p>
        </w:tc>
      </w:tr>
      <w:tr w:rsidR="00B54462" w:rsidRPr="00242572" w:rsidTr="00D20C0D">
        <w:tc>
          <w:tcPr>
            <w:tcW w:w="1310" w:type="pct"/>
            <w:noWrap/>
          </w:tcPr>
          <w:p w:rsidR="00B54462" w:rsidRPr="00242572" w:rsidRDefault="00B54462" w:rsidP="00D20C0D">
            <w:pPr>
              <w:rPr>
                <w:rFonts w:ascii="Arial Narrow" w:hAnsi="Arial Narrow"/>
                <w:sz w:val="20"/>
              </w:rPr>
            </w:pPr>
            <w:r w:rsidRPr="00242572">
              <w:rPr>
                <w:rFonts w:ascii="Arial Narrow" w:hAnsi="Arial Narrow"/>
                <w:sz w:val="20"/>
              </w:rPr>
              <w:t>QALY</w:t>
            </w:r>
          </w:p>
        </w:tc>
        <w:tc>
          <w:tcPr>
            <w:tcW w:w="1490"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7.8</w:t>
            </w:r>
          </w:p>
        </w:tc>
        <w:tc>
          <w:tcPr>
            <w:tcW w:w="1028"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7.36</w:t>
            </w:r>
          </w:p>
        </w:tc>
        <w:tc>
          <w:tcPr>
            <w:tcW w:w="1172" w:type="pct"/>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0.43</w:t>
            </w:r>
          </w:p>
        </w:tc>
      </w:tr>
      <w:tr w:rsidR="00B54462" w:rsidRPr="00242572" w:rsidTr="00D20C0D">
        <w:tc>
          <w:tcPr>
            <w:tcW w:w="1310" w:type="pct"/>
            <w:noWrap/>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ICER per Seizure Avoided</w:t>
            </w:r>
          </w:p>
        </w:tc>
        <w:tc>
          <w:tcPr>
            <w:tcW w:w="3690" w:type="pct"/>
            <w:gridSpan w:val="3"/>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1310" w:type="pct"/>
            <w:noWrap/>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ICER per LY</w:t>
            </w:r>
          </w:p>
        </w:tc>
        <w:tc>
          <w:tcPr>
            <w:tcW w:w="3690" w:type="pct"/>
            <w:gridSpan w:val="3"/>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1310" w:type="pct"/>
            <w:noWrap/>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ICER per QALY</w:t>
            </w:r>
          </w:p>
        </w:tc>
        <w:tc>
          <w:tcPr>
            <w:tcW w:w="3690" w:type="pct"/>
            <w:gridSpan w:val="3"/>
            <w:noWrap/>
            <w:vAlign w:val="center"/>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5000" w:type="pct"/>
            <w:gridSpan w:val="4"/>
            <w:noWrap/>
          </w:tcPr>
          <w:p w:rsidR="00B54462" w:rsidRPr="00242572" w:rsidRDefault="00B54462" w:rsidP="00D20C0D">
            <w:pPr>
              <w:rPr>
                <w:rFonts w:ascii="Arial Narrow" w:hAnsi="Arial Narrow"/>
                <w:sz w:val="20"/>
              </w:rPr>
            </w:pPr>
            <w:r w:rsidRPr="00242572">
              <w:rPr>
                <w:rFonts w:ascii="Arial Narrow" w:hAnsi="Arial Narrow"/>
                <w:b/>
                <w:sz w:val="20"/>
              </w:rPr>
              <w:t>Modelled economic evaluation results- July 2016 submission</w:t>
            </w:r>
          </w:p>
        </w:tc>
      </w:tr>
      <w:tr w:rsidR="00B54462" w:rsidRPr="00242572" w:rsidTr="00D20C0D">
        <w:tc>
          <w:tcPr>
            <w:tcW w:w="1310" w:type="pct"/>
            <w:noWrap/>
            <w:vAlign w:val="center"/>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 xml:space="preserve">Cost </w:t>
            </w:r>
          </w:p>
        </w:tc>
        <w:tc>
          <w:tcPr>
            <w:tcW w:w="1490" w:type="pct"/>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w:t>
            </w:r>
            <w:r w:rsidR="00247FD4">
              <w:rPr>
                <w:rFonts w:ascii="Arial Narrow" w:hAnsi="Arial Narrow"/>
                <w:noProof/>
                <w:color w:val="000000"/>
                <w:sz w:val="20"/>
                <w:highlight w:val="black"/>
              </w:rPr>
              <w:t>''''''''''''''''''</w:t>
            </w:r>
          </w:p>
        </w:tc>
        <w:tc>
          <w:tcPr>
            <w:tcW w:w="1028"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w:t>
            </w:r>
            <w:r w:rsidR="00247FD4">
              <w:rPr>
                <w:rFonts w:ascii="Arial Narrow" w:hAnsi="Arial Narrow"/>
                <w:noProof/>
                <w:color w:val="000000"/>
                <w:sz w:val="20"/>
                <w:highlight w:val="black"/>
              </w:rPr>
              <w:t>'''''''''''''''''</w:t>
            </w:r>
          </w:p>
        </w:tc>
        <w:tc>
          <w:tcPr>
            <w:tcW w:w="1172"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w:t>
            </w:r>
            <w:r w:rsidR="00247FD4">
              <w:rPr>
                <w:rFonts w:ascii="Arial Narrow" w:hAnsi="Arial Narrow"/>
                <w:noProof/>
                <w:color w:val="000000"/>
                <w:sz w:val="20"/>
                <w:highlight w:val="black"/>
              </w:rPr>
              <w:t>''''''''''''''''</w:t>
            </w:r>
          </w:p>
        </w:tc>
      </w:tr>
      <w:tr w:rsidR="00B54462" w:rsidRPr="00242572" w:rsidTr="00D20C0D">
        <w:tc>
          <w:tcPr>
            <w:tcW w:w="1310" w:type="pct"/>
            <w:noWrap/>
            <w:vAlign w:val="bottom"/>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Number of seizures</w:t>
            </w:r>
          </w:p>
        </w:tc>
        <w:tc>
          <w:tcPr>
            <w:tcW w:w="1490" w:type="pct"/>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1,003</w:t>
            </w:r>
          </w:p>
        </w:tc>
        <w:tc>
          <w:tcPr>
            <w:tcW w:w="1028"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1,270</w:t>
            </w:r>
          </w:p>
        </w:tc>
        <w:tc>
          <w:tcPr>
            <w:tcW w:w="1172"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267</w:t>
            </w:r>
          </w:p>
        </w:tc>
      </w:tr>
      <w:tr w:rsidR="00B54462" w:rsidRPr="00242572" w:rsidTr="00D20C0D">
        <w:tc>
          <w:tcPr>
            <w:tcW w:w="1310" w:type="pct"/>
            <w:noWrap/>
            <w:vAlign w:val="bottom"/>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LYG</w:t>
            </w:r>
          </w:p>
        </w:tc>
        <w:tc>
          <w:tcPr>
            <w:tcW w:w="1490" w:type="pct"/>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12.22</w:t>
            </w:r>
          </w:p>
        </w:tc>
        <w:tc>
          <w:tcPr>
            <w:tcW w:w="1028"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11.85</w:t>
            </w:r>
          </w:p>
        </w:tc>
        <w:tc>
          <w:tcPr>
            <w:tcW w:w="1172"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0.37</w:t>
            </w:r>
          </w:p>
        </w:tc>
      </w:tr>
      <w:tr w:rsidR="00B54462" w:rsidRPr="00242572" w:rsidTr="00D20C0D">
        <w:tc>
          <w:tcPr>
            <w:tcW w:w="1310" w:type="pct"/>
            <w:noWrap/>
            <w:vAlign w:val="bottom"/>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QALY</w:t>
            </w:r>
          </w:p>
        </w:tc>
        <w:tc>
          <w:tcPr>
            <w:tcW w:w="1490" w:type="pct"/>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8.46</w:t>
            </w:r>
          </w:p>
        </w:tc>
        <w:tc>
          <w:tcPr>
            <w:tcW w:w="1028"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8.02</w:t>
            </w:r>
          </w:p>
        </w:tc>
        <w:tc>
          <w:tcPr>
            <w:tcW w:w="1172" w:type="pct"/>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0.44</w:t>
            </w:r>
          </w:p>
        </w:tc>
      </w:tr>
      <w:tr w:rsidR="00B54462" w:rsidRPr="00242572" w:rsidTr="00D20C0D">
        <w:tc>
          <w:tcPr>
            <w:tcW w:w="1310" w:type="pct"/>
            <w:noWrap/>
            <w:vAlign w:val="bottom"/>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ICER per Seizure Avoided</w:t>
            </w:r>
          </w:p>
        </w:tc>
        <w:tc>
          <w:tcPr>
            <w:tcW w:w="3690" w:type="pct"/>
            <w:gridSpan w:val="3"/>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w:t>
            </w:r>
            <w:r w:rsidR="00247FD4">
              <w:rPr>
                <w:rFonts w:ascii="Arial Narrow" w:hAnsi="Arial Narrow"/>
                <w:noProof/>
                <w:color w:val="000000"/>
                <w:sz w:val="20"/>
                <w:highlight w:val="black"/>
              </w:rPr>
              <w:t>''''''</w:t>
            </w:r>
          </w:p>
        </w:tc>
      </w:tr>
      <w:tr w:rsidR="00B54462" w:rsidRPr="00242572" w:rsidTr="00D20C0D">
        <w:tc>
          <w:tcPr>
            <w:tcW w:w="1310" w:type="pct"/>
            <w:noWrap/>
            <w:vAlign w:val="bottom"/>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ICER per LYG</w:t>
            </w:r>
          </w:p>
        </w:tc>
        <w:tc>
          <w:tcPr>
            <w:tcW w:w="3690" w:type="pct"/>
            <w:gridSpan w:val="3"/>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w:t>
            </w:r>
            <w:r w:rsidR="00247FD4">
              <w:rPr>
                <w:rFonts w:ascii="Arial Narrow" w:hAnsi="Arial Narrow"/>
                <w:noProof/>
                <w:color w:val="000000"/>
                <w:sz w:val="20"/>
                <w:highlight w:val="black"/>
              </w:rPr>
              <w:t>'''''''''''''''</w:t>
            </w:r>
          </w:p>
        </w:tc>
      </w:tr>
      <w:tr w:rsidR="00B54462" w:rsidRPr="00242572" w:rsidTr="00D20C0D">
        <w:tc>
          <w:tcPr>
            <w:tcW w:w="1310" w:type="pct"/>
            <w:noWrap/>
            <w:vAlign w:val="bottom"/>
          </w:tcPr>
          <w:p w:rsidR="00B54462" w:rsidRPr="00242572" w:rsidRDefault="00B54462" w:rsidP="00D20C0D">
            <w:pPr>
              <w:rPr>
                <w:rFonts w:ascii="Arial Narrow" w:hAnsi="Arial Narrow"/>
                <w:color w:val="000000"/>
                <w:sz w:val="20"/>
              </w:rPr>
            </w:pPr>
            <w:r w:rsidRPr="00242572">
              <w:rPr>
                <w:rFonts w:ascii="Arial Narrow" w:hAnsi="Arial Narrow"/>
                <w:color w:val="000000"/>
                <w:sz w:val="20"/>
              </w:rPr>
              <w:t>ICER per QALY gained</w:t>
            </w:r>
          </w:p>
        </w:tc>
        <w:tc>
          <w:tcPr>
            <w:tcW w:w="3690" w:type="pct"/>
            <w:gridSpan w:val="3"/>
            <w:noWrap/>
            <w:vAlign w:val="center"/>
          </w:tcPr>
          <w:p w:rsidR="00B54462" w:rsidRPr="00242572" w:rsidRDefault="00B54462" w:rsidP="00D20C0D">
            <w:pPr>
              <w:jc w:val="center"/>
              <w:rPr>
                <w:rFonts w:ascii="Arial Narrow" w:hAnsi="Arial Narrow"/>
                <w:color w:val="000000"/>
                <w:sz w:val="20"/>
              </w:rPr>
            </w:pPr>
            <w:r w:rsidRPr="00242572">
              <w:rPr>
                <w:rFonts w:ascii="Arial Narrow" w:hAnsi="Arial Narrow"/>
                <w:color w:val="000000"/>
                <w:sz w:val="20"/>
              </w:rPr>
              <w:t>$</w:t>
            </w:r>
            <w:r w:rsidR="00247FD4">
              <w:rPr>
                <w:rFonts w:ascii="Arial Narrow" w:hAnsi="Arial Narrow"/>
                <w:noProof/>
                <w:color w:val="000000"/>
                <w:sz w:val="20"/>
                <w:highlight w:val="black"/>
              </w:rPr>
              <w:t>'''''''''''''''''</w:t>
            </w:r>
          </w:p>
        </w:tc>
      </w:tr>
    </w:tbl>
    <w:p w:rsidR="00B54462" w:rsidRPr="00242572" w:rsidRDefault="00B54462" w:rsidP="00B54462">
      <w:pPr>
        <w:pStyle w:val="TableFooter"/>
      </w:pPr>
      <w:r w:rsidRPr="00242572">
        <w:t>AED = Anti-epileptic drug; ICER = incremental cost effectiveness ratio; LYG = life years gained; QALY = quality-adjusted life years.</w:t>
      </w:r>
    </w:p>
    <w:p w:rsidR="00B54462" w:rsidRPr="00242572" w:rsidRDefault="00B54462" w:rsidP="00B54462">
      <w:pPr>
        <w:pStyle w:val="TableFooter"/>
      </w:pPr>
      <w:r w:rsidRPr="00242572">
        <w:t xml:space="preserve">Source: </w:t>
      </w:r>
      <w:r w:rsidRPr="00242572">
        <w:rPr>
          <w:lang w:val="en-GB"/>
        </w:rPr>
        <w:t xml:space="preserve">Table D.2.22, p211 of the re-submission and </w:t>
      </w:r>
      <w:r w:rsidRPr="00242572">
        <w:t>Table D.5.4, p125 Section D of the submission</w:t>
      </w:r>
    </w:p>
    <w:p w:rsidR="00B54462" w:rsidRDefault="00B54462" w:rsidP="00B54462">
      <w:pPr>
        <w:spacing w:after="120"/>
      </w:pPr>
    </w:p>
    <w:p w:rsidR="00C53DE1" w:rsidRPr="00247FD4" w:rsidRDefault="00C53DE1" w:rsidP="00247FD4">
      <w:pPr>
        <w:pStyle w:val="ListParagraph"/>
        <w:widowControl/>
        <w:numPr>
          <w:ilvl w:val="1"/>
          <w:numId w:val="3"/>
        </w:numPr>
        <w:spacing w:after="120"/>
        <w:contextualSpacing w:val="0"/>
        <w:rPr>
          <w:rFonts w:asciiTheme="minorHAnsi" w:hAnsiTheme="minorHAnsi"/>
          <w:sz w:val="24"/>
        </w:rPr>
      </w:pPr>
      <w:r w:rsidRPr="00247FD4">
        <w:rPr>
          <w:rFonts w:asciiTheme="minorHAnsi" w:hAnsiTheme="minorHAnsi"/>
          <w:sz w:val="24"/>
        </w:rPr>
        <w:t xml:space="preserve">The redacted table shows ICERs in the range of </w:t>
      </w:r>
      <w:r w:rsidR="009F0614" w:rsidRPr="00247FD4">
        <w:rPr>
          <w:rFonts w:asciiTheme="minorHAnsi" w:hAnsiTheme="minorHAnsi"/>
          <w:sz w:val="24"/>
        </w:rPr>
        <w:t xml:space="preserve">$45,000/QALY – $75,000/QALY. </w:t>
      </w:r>
    </w:p>
    <w:p w:rsidR="009F0614" w:rsidRDefault="009F0614" w:rsidP="00B54462">
      <w:pPr>
        <w:spacing w:after="120"/>
      </w:pPr>
    </w:p>
    <w:p w:rsidR="00371189" w:rsidRPr="00824BC8" w:rsidRDefault="00371189"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The PSCR (p3-4) argued the outstanding concerns have been addressed</w:t>
      </w:r>
      <w:r w:rsidR="00C765A0" w:rsidRPr="00824BC8">
        <w:rPr>
          <w:rFonts w:asciiTheme="minorHAnsi" w:hAnsiTheme="minorHAnsi"/>
          <w:sz w:val="24"/>
        </w:rPr>
        <w:t>, stating</w:t>
      </w:r>
      <w:r w:rsidRPr="00824BC8">
        <w:rPr>
          <w:rFonts w:asciiTheme="minorHAnsi" w:hAnsiTheme="minorHAnsi"/>
          <w:sz w:val="24"/>
        </w:rPr>
        <w:t>:</w:t>
      </w:r>
    </w:p>
    <w:p w:rsidR="00371189" w:rsidRPr="00824BC8" w:rsidRDefault="00371189" w:rsidP="006441EA">
      <w:pPr>
        <w:numPr>
          <w:ilvl w:val="0"/>
          <w:numId w:val="2"/>
        </w:numPr>
        <w:ind w:left="993" w:hanging="284"/>
        <w:contextualSpacing/>
        <w:rPr>
          <w:rFonts w:asciiTheme="minorHAnsi" w:hAnsiTheme="minorHAnsi"/>
          <w:sz w:val="24"/>
          <w:szCs w:val="24"/>
        </w:rPr>
      </w:pPr>
      <w:r w:rsidRPr="00824BC8">
        <w:rPr>
          <w:rFonts w:asciiTheme="minorHAnsi" w:hAnsiTheme="minorHAnsi"/>
          <w:sz w:val="24"/>
          <w:szCs w:val="24"/>
        </w:rPr>
        <w:t>Health states were defined to fit the trial information and published data</w:t>
      </w:r>
      <w:r w:rsidR="00C765A0" w:rsidRPr="00824BC8">
        <w:rPr>
          <w:rFonts w:asciiTheme="minorHAnsi" w:hAnsiTheme="minorHAnsi"/>
          <w:sz w:val="24"/>
          <w:szCs w:val="24"/>
        </w:rPr>
        <w:t>;</w:t>
      </w:r>
    </w:p>
    <w:p w:rsidR="00371189" w:rsidRPr="00824BC8" w:rsidRDefault="00371189" w:rsidP="006441EA">
      <w:pPr>
        <w:numPr>
          <w:ilvl w:val="0"/>
          <w:numId w:val="2"/>
        </w:numPr>
        <w:ind w:left="993" w:hanging="284"/>
        <w:contextualSpacing/>
        <w:rPr>
          <w:rFonts w:asciiTheme="minorHAnsi" w:hAnsiTheme="minorHAnsi"/>
          <w:sz w:val="24"/>
          <w:szCs w:val="24"/>
        </w:rPr>
      </w:pPr>
      <w:r w:rsidRPr="00824BC8">
        <w:rPr>
          <w:rFonts w:asciiTheme="minorHAnsi" w:hAnsiTheme="minorHAnsi"/>
          <w:sz w:val="24"/>
          <w:szCs w:val="24"/>
        </w:rPr>
        <w:t>The baseline seizure frequency and response rate data were derived directly from Trial 332</w:t>
      </w:r>
      <w:r w:rsidR="00C765A0" w:rsidRPr="00824BC8">
        <w:rPr>
          <w:rFonts w:asciiTheme="minorHAnsi" w:hAnsiTheme="minorHAnsi"/>
          <w:sz w:val="24"/>
          <w:szCs w:val="24"/>
        </w:rPr>
        <w:t>;</w:t>
      </w:r>
    </w:p>
    <w:p w:rsidR="00371189" w:rsidRPr="00824BC8" w:rsidRDefault="00371189" w:rsidP="006441EA">
      <w:pPr>
        <w:numPr>
          <w:ilvl w:val="0"/>
          <w:numId w:val="2"/>
        </w:numPr>
        <w:ind w:left="993" w:hanging="284"/>
        <w:contextualSpacing/>
        <w:rPr>
          <w:rFonts w:asciiTheme="minorHAnsi" w:hAnsiTheme="minorHAnsi"/>
          <w:sz w:val="24"/>
          <w:szCs w:val="24"/>
        </w:rPr>
      </w:pPr>
      <w:r w:rsidRPr="00824BC8">
        <w:rPr>
          <w:rFonts w:asciiTheme="minorHAnsi" w:hAnsiTheme="minorHAnsi"/>
          <w:sz w:val="24"/>
          <w:szCs w:val="24"/>
        </w:rPr>
        <w:t>Assuming no disease improvement a</w:t>
      </w:r>
      <w:r w:rsidR="00E57522" w:rsidRPr="00824BC8">
        <w:rPr>
          <w:rFonts w:asciiTheme="minorHAnsi" w:hAnsiTheme="minorHAnsi"/>
          <w:sz w:val="24"/>
          <w:szCs w:val="24"/>
        </w:rPr>
        <w:t>f</w:t>
      </w:r>
      <w:r w:rsidRPr="00824BC8">
        <w:rPr>
          <w:rFonts w:asciiTheme="minorHAnsi" w:hAnsiTheme="minorHAnsi"/>
          <w:sz w:val="24"/>
          <w:szCs w:val="24"/>
        </w:rPr>
        <w:t>ter an increase in seizures is appropriate</w:t>
      </w:r>
      <w:r w:rsidR="00C765A0" w:rsidRPr="00824BC8">
        <w:rPr>
          <w:rFonts w:asciiTheme="minorHAnsi" w:hAnsiTheme="minorHAnsi"/>
          <w:sz w:val="24"/>
          <w:szCs w:val="24"/>
        </w:rPr>
        <w:t xml:space="preserve"> in a l</w:t>
      </w:r>
      <w:r w:rsidR="00595C9E" w:rsidRPr="00824BC8">
        <w:rPr>
          <w:rFonts w:asciiTheme="minorHAnsi" w:hAnsiTheme="minorHAnsi"/>
          <w:sz w:val="24"/>
          <w:szCs w:val="24"/>
        </w:rPr>
        <w:t>a</w:t>
      </w:r>
      <w:r w:rsidR="00C765A0" w:rsidRPr="00824BC8">
        <w:rPr>
          <w:rFonts w:asciiTheme="minorHAnsi" w:hAnsiTheme="minorHAnsi"/>
          <w:sz w:val="24"/>
          <w:szCs w:val="24"/>
        </w:rPr>
        <w:t>st-line model;</w:t>
      </w:r>
    </w:p>
    <w:p w:rsidR="00371189" w:rsidRPr="00824BC8" w:rsidRDefault="00371189" w:rsidP="006441EA">
      <w:pPr>
        <w:numPr>
          <w:ilvl w:val="0"/>
          <w:numId w:val="2"/>
        </w:numPr>
        <w:ind w:left="993" w:hanging="284"/>
        <w:contextualSpacing/>
        <w:rPr>
          <w:rFonts w:asciiTheme="minorHAnsi" w:hAnsiTheme="minorHAnsi"/>
          <w:sz w:val="24"/>
          <w:szCs w:val="24"/>
        </w:rPr>
      </w:pPr>
      <w:r w:rsidRPr="00824BC8">
        <w:rPr>
          <w:rFonts w:asciiTheme="minorHAnsi" w:hAnsiTheme="minorHAnsi"/>
          <w:sz w:val="24"/>
          <w:szCs w:val="24"/>
        </w:rPr>
        <w:t xml:space="preserve">The </w:t>
      </w:r>
      <w:r w:rsidR="00595C9E" w:rsidRPr="00824BC8">
        <w:rPr>
          <w:rFonts w:asciiTheme="minorHAnsi" w:hAnsiTheme="minorHAnsi"/>
          <w:sz w:val="24"/>
          <w:szCs w:val="24"/>
        </w:rPr>
        <w:t xml:space="preserve">evaluators </w:t>
      </w:r>
      <w:r w:rsidRPr="00824BC8">
        <w:rPr>
          <w:rFonts w:asciiTheme="minorHAnsi" w:hAnsiTheme="minorHAnsi"/>
          <w:sz w:val="24"/>
          <w:szCs w:val="24"/>
        </w:rPr>
        <w:t>finding that 64% of patients are seizure-free at 5 years could not be verified</w:t>
      </w:r>
      <w:r w:rsidR="00D85D9B" w:rsidRPr="00824BC8">
        <w:rPr>
          <w:rFonts w:asciiTheme="minorHAnsi" w:hAnsiTheme="minorHAnsi"/>
          <w:sz w:val="24"/>
          <w:szCs w:val="24"/>
        </w:rPr>
        <w:t xml:space="preserve"> by the sponsor</w:t>
      </w:r>
      <w:r w:rsidR="00C765A0" w:rsidRPr="00824BC8">
        <w:rPr>
          <w:rFonts w:asciiTheme="minorHAnsi" w:hAnsiTheme="minorHAnsi"/>
          <w:sz w:val="24"/>
          <w:szCs w:val="24"/>
        </w:rPr>
        <w:t>;</w:t>
      </w:r>
    </w:p>
    <w:p w:rsidR="00371189" w:rsidRPr="00824BC8" w:rsidRDefault="00371189" w:rsidP="006441EA">
      <w:pPr>
        <w:numPr>
          <w:ilvl w:val="0"/>
          <w:numId w:val="2"/>
        </w:numPr>
        <w:ind w:left="993" w:hanging="284"/>
        <w:contextualSpacing/>
        <w:rPr>
          <w:rFonts w:asciiTheme="minorHAnsi" w:hAnsiTheme="minorHAnsi"/>
          <w:sz w:val="24"/>
          <w:szCs w:val="24"/>
        </w:rPr>
      </w:pPr>
      <w:r w:rsidRPr="00824BC8">
        <w:rPr>
          <w:rFonts w:asciiTheme="minorHAnsi" w:hAnsiTheme="minorHAnsi"/>
          <w:sz w:val="24"/>
          <w:szCs w:val="24"/>
        </w:rPr>
        <w:t>Transition probabilities in cycle 1 were based on trial data to month 4</w:t>
      </w:r>
      <w:r w:rsidR="00C765A0" w:rsidRPr="00824BC8">
        <w:rPr>
          <w:rFonts w:asciiTheme="minorHAnsi" w:hAnsiTheme="minorHAnsi"/>
          <w:sz w:val="24"/>
          <w:szCs w:val="24"/>
        </w:rPr>
        <w:t>;</w:t>
      </w:r>
      <w:r w:rsidRPr="00824BC8">
        <w:rPr>
          <w:rFonts w:asciiTheme="minorHAnsi" w:hAnsiTheme="minorHAnsi"/>
          <w:sz w:val="24"/>
          <w:szCs w:val="24"/>
        </w:rPr>
        <w:t xml:space="preserve"> and </w:t>
      </w:r>
    </w:p>
    <w:p w:rsidR="00371189" w:rsidRPr="00824BC8" w:rsidRDefault="00371189" w:rsidP="006441EA">
      <w:pPr>
        <w:numPr>
          <w:ilvl w:val="0"/>
          <w:numId w:val="2"/>
        </w:numPr>
        <w:ind w:left="993" w:hanging="284"/>
        <w:contextualSpacing/>
        <w:rPr>
          <w:rFonts w:asciiTheme="minorHAnsi" w:hAnsiTheme="minorHAnsi"/>
          <w:sz w:val="24"/>
          <w:szCs w:val="24"/>
        </w:rPr>
      </w:pPr>
      <w:r w:rsidRPr="00824BC8">
        <w:rPr>
          <w:rFonts w:asciiTheme="minorHAnsi" w:hAnsiTheme="minorHAnsi"/>
          <w:sz w:val="24"/>
          <w:szCs w:val="24"/>
        </w:rPr>
        <w:t>The model is internally valid.</w:t>
      </w:r>
    </w:p>
    <w:p w:rsidR="00371189" w:rsidRDefault="00371189" w:rsidP="00371189">
      <w:pPr>
        <w:contextualSpacing/>
        <w:rPr>
          <w:rFonts w:asciiTheme="minorHAnsi" w:hAnsiTheme="minorHAnsi"/>
          <w:sz w:val="24"/>
          <w:szCs w:val="24"/>
        </w:rPr>
      </w:pPr>
    </w:p>
    <w:p w:rsidR="00810969" w:rsidRPr="00824BC8" w:rsidRDefault="00810969"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The</w:t>
      </w:r>
      <w:r w:rsidR="004777C7">
        <w:rPr>
          <w:rFonts w:asciiTheme="minorHAnsi" w:hAnsiTheme="minorHAnsi"/>
          <w:sz w:val="24"/>
        </w:rPr>
        <w:t xml:space="preserve"> PBAC agreed with</w:t>
      </w:r>
      <w:r w:rsidRPr="00824BC8">
        <w:rPr>
          <w:rFonts w:asciiTheme="minorHAnsi" w:hAnsiTheme="minorHAnsi"/>
          <w:sz w:val="24"/>
        </w:rPr>
        <w:t xml:space="preserve"> ESC that the submission sought to address some of the previous concerns raised by the </w:t>
      </w:r>
      <w:r w:rsidR="004777C7">
        <w:rPr>
          <w:rFonts w:asciiTheme="minorHAnsi" w:hAnsiTheme="minorHAnsi"/>
          <w:sz w:val="24"/>
        </w:rPr>
        <w:t>committee</w:t>
      </w:r>
      <w:r w:rsidR="004777C7" w:rsidRPr="00824BC8">
        <w:rPr>
          <w:rFonts w:asciiTheme="minorHAnsi" w:hAnsiTheme="minorHAnsi"/>
          <w:sz w:val="24"/>
        </w:rPr>
        <w:t xml:space="preserve"> </w:t>
      </w:r>
      <w:r w:rsidRPr="00824BC8">
        <w:rPr>
          <w:rFonts w:asciiTheme="minorHAnsi" w:hAnsiTheme="minorHAnsi"/>
          <w:sz w:val="24"/>
        </w:rPr>
        <w:t>in relation to the model, noting that:</w:t>
      </w:r>
    </w:p>
    <w:p w:rsidR="00810969" w:rsidRPr="00824BC8" w:rsidRDefault="00810969" w:rsidP="00810969">
      <w:pPr>
        <w:pStyle w:val="ListParagraph"/>
        <w:widowControl/>
        <w:numPr>
          <w:ilvl w:val="0"/>
          <w:numId w:val="14"/>
        </w:numPr>
        <w:ind w:left="1077" w:hanging="357"/>
        <w:contextualSpacing w:val="0"/>
        <w:rPr>
          <w:rFonts w:asciiTheme="minorHAnsi" w:hAnsiTheme="minorHAnsi"/>
          <w:sz w:val="24"/>
        </w:rPr>
      </w:pPr>
      <w:r w:rsidRPr="00824BC8">
        <w:rPr>
          <w:rFonts w:asciiTheme="minorHAnsi" w:hAnsiTheme="minorHAnsi"/>
          <w:sz w:val="24"/>
        </w:rPr>
        <w:t>t</w:t>
      </w:r>
      <w:r w:rsidR="005A7009" w:rsidRPr="00824BC8">
        <w:rPr>
          <w:rFonts w:asciiTheme="minorHAnsi" w:hAnsiTheme="minorHAnsi"/>
          <w:sz w:val="24"/>
        </w:rPr>
        <w:t>he model</w:t>
      </w:r>
      <w:r w:rsidR="00C765A0" w:rsidRPr="00824BC8">
        <w:rPr>
          <w:rFonts w:asciiTheme="minorHAnsi" w:hAnsiTheme="minorHAnsi"/>
          <w:sz w:val="24"/>
        </w:rPr>
        <w:t xml:space="preserve"> </w:t>
      </w:r>
      <w:r w:rsidR="005A7009" w:rsidRPr="00824BC8">
        <w:rPr>
          <w:rFonts w:asciiTheme="minorHAnsi" w:hAnsiTheme="minorHAnsi"/>
          <w:sz w:val="24"/>
        </w:rPr>
        <w:t>addressed the issue of double-counting the number of patients withdrawing seen in the previous submission</w:t>
      </w:r>
      <w:r w:rsidRPr="00824BC8">
        <w:rPr>
          <w:rFonts w:asciiTheme="minorHAnsi" w:hAnsiTheme="minorHAnsi"/>
          <w:sz w:val="24"/>
        </w:rPr>
        <w:t>; and</w:t>
      </w:r>
    </w:p>
    <w:p w:rsidR="00371189" w:rsidRPr="00824BC8" w:rsidRDefault="00810969" w:rsidP="00C35D44">
      <w:pPr>
        <w:pStyle w:val="ListParagraph"/>
        <w:numPr>
          <w:ilvl w:val="0"/>
          <w:numId w:val="14"/>
        </w:numPr>
        <w:rPr>
          <w:rFonts w:asciiTheme="minorHAnsi" w:hAnsiTheme="minorHAnsi"/>
          <w:sz w:val="24"/>
        </w:rPr>
      </w:pPr>
      <w:r w:rsidRPr="00824BC8">
        <w:rPr>
          <w:rFonts w:asciiTheme="minorHAnsi" w:hAnsiTheme="minorHAnsi"/>
          <w:sz w:val="24"/>
        </w:rPr>
        <w:t>t</w:t>
      </w:r>
      <w:r w:rsidR="00E033F4" w:rsidRPr="00824BC8">
        <w:rPr>
          <w:rFonts w:asciiTheme="minorHAnsi" w:hAnsiTheme="minorHAnsi"/>
          <w:sz w:val="24"/>
        </w:rPr>
        <w:t xml:space="preserve">he submission </w:t>
      </w:r>
      <w:r w:rsidR="00C14082" w:rsidRPr="00824BC8">
        <w:rPr>
          <w:rFonts w:asciiTheme="minorHAnsi" w:hAnsiTheme="minorHAnsi"/>
          <w:sz w:val="24"/>
        </w:rPr>
        <w:t xml:space="preserve">attempted to </w:t>
      </w:r>
      <w:r w:rsidR="00E033F4" w:rsidRPr="00824BC8">
        <w:rPr>
          <w:rFonts w:asciiTheme="minorHAnsi" w:hAnsiTheme="minorHAnsi"/>
          <w:sz w:val="24"/>
        </w:rPr>
        <w:t>address the issue around utilities from the previous submission as the utilities were derived from National Health and Wel</w:t>
      </w:r>
      <w:r w:rsidR="00E57522" w:rsidRPr="00824BC8">
        <w:rPr>
          <w:rFonts w:asciiTheme="minorHAnsi" w:hAnsiTheme="minorHAnsi"/>
          <w:sz w:val="24"/>
        </w:rPr>
        <w:t>l</w:t>
      </w:r>
      <w:r w:rsidR="00E033F4" w:rsidRPr="00824BC8">
        <w:rPr>
          <w:rFonts w:asciiTheme="minorHAnsi" w:hAnsiTheme="minorHAnsi"/>
          <w:sz w:val="24"/>
        </w:rPr>
        <w:t>ness Survey data published by Gupta 2016, pertaining to epilepsy patients in five European countries. However, the ESC noted it is still unclear if this is representative of the Australian population.</w:t>
      </w:r>
      <w:r w:rsidR="00C35D44" w:rsidRPr="00824BC8">
        <w:t xml:space="preserve"> </w:t>
      </w:r>
      <w:r w:rsidR="00C35D44" w:rsidRPr="00824BC8">
        <w:rPr>
          <w:rFonts w:asciiTheme="minorHAnsi" w:hAnsiTheme="minorHAnsi"/>
          <w:sz w:val="24"/>
        </w:rPr>
        <w:t>Additionally, the new utilities used in the model potentially lack face validity with a higher utility value for one seizure per week (0.634) compared with one seizure per month (0.627).</w:t>
      </w:r>
    </w:p>
    <w:p w:rsidR="00810969" w:rsidRPr="00810969" w:rsidRDefault="00810969" w:rsidP="00810969">
      <w:pPr>
        <w:pStyle w:val="ListParagraph"/>
        <w:widowControl/>
        <w:ind w:left="1077"/>
        <w:contextualSpacing w:val="0"/>
        <w:rPr>
          <w:rFonts w:asciiTheme="minorHAnsi" w:hAnsiTheme="minorHAnsi"/>
          <w:i/>
          <w:sz w:val="24"/>
        </w:rPr>
      </w:pPr>
    </w:p>
    <w:p w:rsidR="00C14082" w:rsidRPr="00824BC8" w:rsidRDefault="00D85D9B"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T</w:t>
      </w:r>
      <w:r w:rsidR="00C14082" w:rsidRPr="00824BC8">
        <w:rPr>
          <w:rFonts w:asciiTheme="minorHAnsi" w:hAnsiTheme="minorHAnsi"/>
          <w:sz w:val="24"/>
        </w:rPr>
        <w:t>he ESC noted the model is very sensitive to the 40 year time horizon and</w:t>
      </w:r>
      <w:r w:rsidR="00810969" w:rsidRPr="00824BC8">
        <w:rPr>
          <w:rFonts w:asciiTheme="minorHAnsi" w:hAnsiTheme="minorHAnsi"/>
          <w:sz w:val="24"/>
        </w:rPr>
        <w:t xml:space="preserve"> </w:t>
      </w:r>
      <w:r w:rsidRPr="00824BC8">
        <w:rPr>
          <w:rFonts w:asciiTheme="minorHAnsi" w:hAnsiTheme="minorHAnsi"/>
          <w:sz w:val="24"/>
        </w:rPr>
        <w:t xml:space="preserve">considered </w:t>
      </w:r>
      <w:r w:rsidR="00810969" w:rsidRPr="00824BC8">
        <w:rPr>
          <w:rFonts w:asciiTheme="minorHAnsi" w:hAnsiTheme="minorHAnsi"/>
          <w:sz w:val="24"/>
        </w:rPr>
        <w:t>that</w:t>
      </w:r>
      <w:r w:rsidR="00C14082" w:rsidRPr="00824BC8">
        <w:rPr>
          <w:rFonts w:asciiTheme="minorHAnsi" w:hAnsiTheme="minorHAnsi"/>
          <w:sz w:val="24"/>
        </w:rPr>
        <w:t xml:space="preserve"> ten years would have been a more appropriate time horizon</w:t>
      </w:r>
      <w:r w:rsidRPr="00824BC8">
        <w:rPr>
          <w:rFonts w:asciiTheme="minorHAnsi" w:hAnsiTheme="minorHAnsi"/>
          <w:sz w:val="24"/>
        </w:rPr>
        <w:t xml:space="preserve"> given the available data</w:t>
      </w:r>
      <w:r w:rsidR="00C14082" w:rsidRPr="00824BC8">
        <w:rPr>
          <w:rFonts w:asciiTheme="minorHAnsi" w:hAnsiTheme="minorHAnsi"/>
          <w:sz w:val="24"/>
        </w:rPr>
        <w:t>.</w:t>
      </w:r>
    </w:p>
    <w:p w:rsidR="00E033F4" w:rsidRPr="00824BC8" w:rsidRDefault="00E033F4"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 xml:space="preserve">The ESC </w:t>
      </w:r>
      <w:r w:rsidR="003243B5" w:rsidRPr="00824BC8">
        <w:rPr>
          <w:rFonts w:asciiTheme="minorHAnsi" w:hAnsiTheme="minorHAnsi"/>
          <w:sz w:val="24"/>
        </w:rPr>
        <w:t xml:space="preserve">further </w:t>
      </w:r>
      <w:r w:rsidRPr="00824BC8">
        <w:rPr>
          <w:rFonts w:asciiTheme="minorHAnsi" w:hAnsiTheme="minorHAnsi"/>
          <w:sz w:val="24"/>
        </w:rPr>
        <w:t>noted the validation of the increased risk of mortality for epilepsy patients in different seizure health states by surveying eleven key opinion leaders did not</w:t>
      </w:r>
      <w:r w:rsidR="00D85D9B" w:rsidRPr="00824BC8">
        <w:rPr>
          <w:rFonts w:asciiTheme="minorHAnsi" w:hAnsiTheme="minorHAnsi"/>
          <w:sz w:val="24"/>
        </w:rPr>
        <w:t xml:space="preserve"> substantially</w:t>
      </w:r>
      <w:r w:rsidRPr="00824BC8">
        <w:rPr>
          <w:rFonts w:asciiTheme="minorHAnsi" w:hAnsiTheme="minorHAnsi"/>
          <w:sz w:val="24"/>
        </w:rPr>
        <w:t xml:space="preserve"> increase confidence in </w:t>
      </w:r>
      <w:r w:rsidR="00D85D9B" w:rsidRPr="00824BC8">
        <w:rPr>
          <w:rFonts w:asciiTheme="minorHAnsi" w:hAnsiTheme="minorHAnsi"/>
          <w:sz w:val="24"/>
        </w:rPr>
        <w:t>these estimates</w:t>
      </w:r>
      <w:r w:rsidRPr="00824BC8">
        <w:rPr>
          <w:rFonts w:asciiTheme="minorHAnsi" w:hAnsiTheme="minorHAnsi"/>
          <w:sz w:val="24"/>
        </w:rPr>
        <w:t>.</w:t>
      </w:r>
    </w:p>
    <w:p w:rsidR="00E57522" w:rsidRPr="00824BC8" w:rsidRDefault="00E033F4" w:rsidP="00E57522">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Overall the</w:t>
      </w:r>
      <w:r w:rsidR="00925029">
        <w:rPr>
          <w:rFonts w:asciiTheme="minorHAnsi" w:hAnsiTheme="minorHAnsi"/>
          <w:sz w:val="24"/>
        </w:rPr>
        <w:t xml:space="preserve"> PBAC agreed with</w:t>
      </w:r>
      <w:r w:rsidRPr="00824BC8">
        <w:rPr>
          <w:rFonts w:asciiTheme="minorHAnsi" w:hAnsiTheme="minorHAnsi"/>
          <w:sz w:val="24"/>
        </w:rPr>
        <w:t xml:space="preserve"> ESC </w:t>
      </w:r>
      <w:r w:rsidR="00925029">
        <w:rPr>
          <w:rFonts w:asciiTheme="minorHAnsi" w:hAnsiTheme="minorHAnsi"/>
          <w:sz w:val="24"/>
        </w:rPr>
        <w:t xml:space="preserve">that </w:t>
      </w:r>
      <w:r w:rsidRPr="00824BC8">
        <w:rPr>
          <w:rFonts w:asciiTheme="minorHAnsi" w:hAnsiTheme="minorHAnsi"/>
          <w:sz w:val="24"/>
        </w:rPr>
        <w:t xml:space="preserve">the submission </w:t>
      </w:r>
      <w:r w:rsidR="00C765A0" w:rsidRPr="00824BC8">
        <w:rPr>
          <w:rFonts w:asciiTheme="minorHAnsi" w:hAnsiTheme="minorHAnsi"/>
          <w:sz w:val="24"/>
        </w:rPr>
        <w:t>did</w:t>
      </w:r>
      <w:r w:rsidRPr="00824BC8">
        <w:rPr>
          <w:rFonts w:asciiTheme="minorHAnsi" w:hAnsiTheme="minorHAnsi"/>
          <w:sz w:val="24"/>
        </w:rPr>
        <w:t xml:space="preserve"> not </w:t>
      </w:r>
      <w:r w:rsidR="00E97B46" w:rsidRPr="00824BC8">
        <w:rPr>
          <w:rFonts w:asciiTheme="minorHAnsi" w:hAnsiTheme="minorHAnsi"/>
          <w:sz w:val="24"/>
        </w:rPr>
        <w:t xml:space="preserve">adequately </w:t>
      </w:r>
      <w:r w:rsidRPr="00824BC8">
        <w:rPr>
          <w:rFonts w:asciiTheme="minorHAnsi" w:hAnsiTheme="minorHAnsi"/>
          <w:sz w:val="24"/>
        </w:rPr>
        <w:t xml:space="preserve">address the main structural issues </w:t>
      </w:r>
      <w:r w:rsidR="00D85D9B" w:rsidRPr="00824BC8">
        <w:rPr>
          <w:rFonts w:asciiTheme="minorHAnsi" w:hAnsiTheme="minorHAnsi"/>
          <w:sz w:val="24"/>
        </w:rPr>
        <w:t xml:space="preserve">previously identified </w:t>
      </w:r>
      <w:r w:rsidRPr="00824BC8">
        <w:rPr>
          <w:rFonts w:asciiTheme="minorHAnsi" w:hAnsiTheme="minorHAnsi"/>
          <w:sz w:val="24"/>
        </w:rPr>
        <w:t>with the model</w:t>
      </w:r>
      <w:r w:rsidR="004777C7">
        <w:rPr>
          <w:rFonts w:asciiTheme="minorHAnsi" w:hAnsiTheme="minorHAnsi"/>
          <w:sz w:val="24"/>
        </w:rPr>
        <w:t>; however, it noted that there are difficulties associated with modelling epilepsy based on currently available data</w:t>
      </w:r>
      <w:r w:rsidRPr="00824BC8">
        <w:rPr>
          <w:rFonts w:asciiTheme="minorHAnsi" w:hAnsiTheme="minorHAnsi"/>
          <w:sz w:val="24"/>
        </w:rPr>
        <w:t>.</w:t>
      </w:r>
      <w:r w:rsidR="00E57522" w:rsidRPr="00824BC8">
        <w:rPr>
          <w:rFonts w:asciiTheme="minorHAnsi" w:hAnsiTheme="minorHAnsi"/>
          <w:sz w:val="24"/>
        </w:rPr>
        <w:t xml:space="preserve"> </w:t>
      </w:r>
    </w:p>
    <w:p w:rsidR="00371189" w:rsidRPr="00E033F4" w:rsidRDefault="00371189" w:rsidP="00E57522">
      <w:pPr>
        <w:pStyle w:val="ListParagraph"/>
        <w:widowControl/>
        <w:spacing w:after="120"/>
        <w:contextualSpacing w:val="0"/>
        <w:rPr>
          <w:rFonts w:asciiTheme="minorHAnsi" w:hAnsiTheme="minorHAnsi"/>
          <w:i/>
          <w:sz w:val="24"/>
        </w:rPr>
      </w:pPr>
    </w:p>
    <w:p w:rsidR="00B54462" w:rsidRPr="00242572" w:rsidRDefault="00B54462" w:rsidP="00B54462">
      <w:pPr>
        <w:spacing w:after="120"/>
        <w:rPr>
          <w:rFonts w:asciiTheme="minorHAnsi" w:hAnsiTheme="minorHAnsi"/>
          <w:sz w:val="24"/>
          <w:u w:val="single"/>
        </w:rPr>
      </w:pPr>
      <w:r w:rsidRPr="00242572">
        <w:rPr>
          <w:rFonts w:asciiTheme="minorHAnsi" w:hAnsiTheme="minorHAnsi"/>
          <w:sz w:val="24"/>
          <w:u w:val="single"/>
        </w:rPr>
        <w:t>Cost-minimisation analysis of perampanel versus other AEDs</w:t>
      </w:r>
    </w:p>
    <w:p w:rsidR="00D20C0D"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equi-effective doses were estimated as perampanel 8mg/day, lamotrigine 300mg/day, levetiracetam 2000mg/day, topiramate 300mg/day and valproate 1500mg/day. The equi-effective dose for the comparators were based on the mid-point of the ranges of maintenance doses recommended from the respective product information (PI)</w:t>
      </w:r>
      <w:r w:rsidR="00AD3ECA" w:rsidRPr="00242572">
        <w:rPr>
          <w:rFonts w:asciiTheme="minorHAnsi" w:hAnsiTheme="minorHAnsi"/>
          <w:sz w:val="24"/>
        </w:rPr>
        <w:t xml:space="preserve">, which are identical to the therapeutic relativity of lamotrigine, levetiracetam and valproate for partial seizures; </w:t>
      </w:r>
      <w:r w:rsidR="005B6525" w:rsidRPr="00242572">
        <w:rPr>
          <w:rFonts w:asciiTheme="minorHAnsi" w:hAnsiTheme="minorHAnsi"/>
          <w:sz w:val="24"/>
        </w:rPr>
        <w:t xml:space="preserve">the </w:t>
      </w:r>
      <w:r w:rsidR="00AD3ECA" w:rsidRPr="00242572">
        <w:rPr>
          <w:rFonts w:asciiTheme="minorHAnsi" w:hAnsiTheme="minorHAnsi"/>
          <w:sz w:val="24"/>
        </w:rPr>
        <w:t>PBAC has previously considered equi-effective doses of these drugs differ between partial seizures and PGTC seizures</w:t>
      </w:r>
      <w:r w:rsidR="00790517" w:rsidRPr="00242572">
        <w:rPr>
          <w:rFonts w:asciiTheme="minorHAnsi" w:hAnsiTheme="minorHAnsi"/>
          <w:sz w:val="24"/>
        </w:rPr>
        <w:t xml:space="preserve"> (</w:t>
      </w:r>
      <w:r w:rsidR="00B075CD" w:rsidRPr="00242572">
        <w:rPr>
          <w:rFonts w:asciiTheme="minorHAnsi" w:hAnsiTheme="minorHAnsi"/>
          <w:sz w:val="24"/>
        </w:rPr>
        <w:t xml:space="preserve">November </w:t>
      </w:r>
      <w:r w:rsidR="00790517" w:rsidRPr="00242572">
        <w:rPr>
          <w:rFonts w:asciiTheme="minorHAnsi" w:hAnsiTheme="minorHAnsi"/>
          <w:sz w:val="24"/>
        </w:rPr>
        <w:t>2008 levetiracetam PSD)</w:t>
      </w:r>
      <w:r w:rsidRPr="00242572">
        <w:rPr>
          <w:rFonts w:asciiTheme="minorHAnsi" w:hAnsiTheme="minorHAnsi"/>
          <w:sz w:val="24"/>
        </w:rPr>
        <w:t xml:space="preserve">. </w:t>
      </w:r>
    </w:p>
    <w:p w:rsidR="00AD3ECA" w:rsidRPr="00511D49" w:rsidRDefault="00B54462" w:rsidP="006441EA">
      <w:pPr>
        <w:pStyle w:val="ListParagraph"/>
        <w:widowControl/>
        <w:numPr>
          <w:ilvl w:val="1"/>
          <w:numId w:val="3"/>
        </w:numPr>
        <w:spacing w:after="120"/>
        <w:contextualSpacing w:val="0"/>
        <w:rPr>
          <w:rFonts w:asciiTheme="minorHAnsi" w:hAnsiTheme="minorHAnsi"/>
          <w:sz w:val="24"/>
        </w:rPr>
      </w:pPr>
      <w:r w:rsidRPr="00511D49">
        <w:rPr>
          <w:rFonts w:asciiTheme="minorHAnsi" w:hAnsiTheme="minorHAnsi"/>
          <w:sz w:val="24"/>
        </w:rPr>
        <w:t>The equi-effective doses of perampanel 8mg/day was the target maintenance dose specified in its PI and consistent with the target maintenance dose in Trial 332. Although the equi-effective dose of lamotrigine proposed in the re-submission (300mg/day) was similar to the mean dose of lamotrigine in Biton 2005 (296mg/day), the proposed equi-effective doses for levetiracetam (2000mg/day), topiramate (300mg/day) and valproate (1500mg/day) were not based on clinical evidence and the treatment effect of perampanel compared with these AEDs at the nominated doses is unknown.</w:t>
      </w: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In November 2008 when the PBAC considered levetiracetam for PGTC seizures, the PBAC accepted that lamotrigine 296mg/day (based on Biton 2005) is equi-effective to levetiracetam 2,887mg/day (based on Berkovic 2007) and topiramate 359mg/day. The equi-effective dose of valproate (compared to perampanel or any other AEDs) in the setting of PGTC seizures was not adequately explored in the re-submission and remain</w:t>
      </w:r>
      <w:r w:rsidR="005B6525" w:rsidRPr="00242572">
        <w:rPr>
          <w:rFonts w:asciiTheme="minorHAnsi" w:hAnsiTheme="minorHAnsi"/>
          <w:sz w:val="24"/>
        </w:rPr>
        <w:t>s</w:t>
      </w:r>
      <w:r w:rsidRPr="00242572">
        <w:rPr>
          <w:rFonts w:asciiTheme="minorHAnsi" w:hAnsiTheme="minorHAnsi"/>
          <w:sz w:val="24"/>
        </w:rPr>
        <w:t xml:space="preserve"> uncertain.</w:t>
      </w:r>
    </w:p>
    <w:p w:rsidR="00B5446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A summary of the average daily dose in the trials presented in Section B, maintenance doses in the respective PIs, the equi-effective doses of lamotrigine, levetiracetam and topiramate accepted by the PBAC in November 2008 and the equi-effective dose used in the re-submission is summarised in Table </w:t>
      </w:r>
      <w:r w:rsidR="00823DC6" w:rsidRPr="00242572">
        <w:rPr>
          <w:rFonts w:asciiTheme="minorHAnsi" w:hAnsiTheme="minorHAnsi"/>
          <w:sz w:val="24"/>
        </w:rPr>
        <w:t>1</w:t>
      </w:r>
      <w:r w:rsidR="002607F5" w:rsidRPr="00242572">
        <w:rPr>
          <w:rFonts w:asciiTheme="minorHAnsi" w:hAnsiTheme="minorHAnsi"/>
          <w:sz w:val="24"/>
        </w:rPr>
        <w:t>2</w:t>
      </w:r>
      <w:r w:rsidRPr="00242572">
        <w:rPr>
          <w:rFonts w:asciiTheme="minorHAnsi" w:hAnsiTheme="minorHAnsi"/>
          <w:sz w:val="24"/>
        </w:rPr>
        <w:t>.</w:t>
      </w:r>
    </w:p>
    <w:p w:rsidR="004738B2" w:rsidRPr="00242572" w:rsidRDefault="004738B2" w:rsidP="004738B2">
      <w:pPr>
        <w:pStyle w:val="ListParagraph"/>
        <w:widowControl/>
        <w:spacing w:after="120"/>
        <w:contextualSpacing w:val="0"/>
        <w:rPr>
          <w:rFonts w:asciiTheme="minorHAnsi" w:hAnsiTheme="minorHAnsi"/>
          <w:sz w:val="24"/>
        </w:rPr>
      </w:pPr>
    </w:p>
    <w:p w:rsidR="000B634D" w:rsidRDefault="000B634D" w:rsidP="000B634D">
      <w:pPr>
        <w:pStyle w:val="Caption"/>
      </w:pPr>
      <w:r>
        <w:t xml:space="preserve">Table </w:t>
      </w:r>
      <w:fldSimple w:instr=" SEQ Table \* ARABIC ">
        <w:r>
          <w:rPr>
            <w:noProof/>
          </w:rPr>
          <w:t>12</w:t>
        </w:r>
      </w:fldSimple>
      <w:r w:rsidRPr="00583A99">
        <w:t>: Summary of equi-effective doses from different sources</w:t>
      </w:r>
    </w:p>
    <w:tbl>
      <w:tblPr>
        <w:tblStyle w:val="TableGrid"/>
        <w:tblW w:w="9386" w:type="dxa"/>
        <w:tblLayout w:type="fixed"/>
        <w:tblCellMar>
          <w:left w:w="28" w:type="dxa"/>
          <w:right w:w="28" w:type="dxa"/>
        </w:tblCellMar>
        <w:tblLook w:val="04A0" w:firstRow="1" w:lastRow="0" w:firstColumn="1" w:lastColumn="0" w:noHBand="0" w:noVBand="1"/>
        <w:tblCaption w:val="Summary of equi-effective doses from different sources"/>
      </w:tblPr>
      <w:tblGrid>
        <w:gridCol w:w="1271"/>
        <w:gridCol w:w="1109"/>
        <w:gridCol w:w="909"/>
        <w:gridCol w:w="1160"/>
        <w:gridCol w:w="1210"/>
        <w:gridCol w:w="1197"/>
        <w:gridCol w:w="1265"/>
        <w:gridCol w:w="1265"/>
      </w:tblGrid>
      <w:tr w:rsidR="00B54462" w:rsidRPr="00242572" w:rsidTr="00985386">
        <w:trPr>
          <w:tblHeader/>
        </w:trPr>
        <w:tc>
          <w:tcPr>
            <w:tcW w:w="1271" w:type="dxa"/>
            <w:vMerge w:val="restart"/>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Drug</w:t>
            </w:r>
          </w:p>
        </w:tc>
        <w:tc>
          <w:tcPr>
            <w:tcW w:w="1109" w:type="dxa"/>
            <w:vMerge w:val="restart"/>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Adjunctive Treatment</w:t>
            </w:r>
          </w:p>
        </w:tc>
        <w:tc>
          <w:tcPr>
            <w:tcW w:w="2069" w:type="dxa"/>
            <w:gridSpan w:val="2"/>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Trials Presented in Section B</w:t>
            </w:r>
          </w:p>
        </w:tc>
        <w:tc>
          <w:tcPr>
            <w:tcW w:w="1210" w:type="dxa"/>
            <w:vMerge w:val="restart"/>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Maintenance Dose in Product Information</w:t>
            </w:r>
          </w:p>
        </w:tc>
        <w:tc>
          <w:tcPr>
            <w:tcW w:w="1197" w:type="dxa"/>
            <w:vMerge w:val="restart"/>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PBS</w:t>
            </w:r>
          </w:p>
          <w:p w:rsidR="00B54462" w:rsidRPr="00242572" w:rsidRDefault="00B54462" w:rsidP="00D20C0D">
            <w:pPr>
              <w:jc w:val="center"/>
              <w:rPr>
                <w:rFonts w:ascii="Arial Narrow" w:hAnsi="Arial Narrow"/>
                <w:b/>
                <w:sz w:val="20"/>
              </w:rPr>
            </w:pPr>
            <w:r w:rsidRPr="00242572">
              <w:rPr>
                <w:rFonts w:ascii="Arial Narrow" w:hAnsi="Arial Narrow"/>
                <w:b/>
                <w:sz w:val="20"/>
              </w:rPr>
              <w:t>therapeutic relativity (partial seizures)</w:t>
            </w:r>
          </w:p>
        </w:tc>
        <w:tc>
          <w:tcPr>
            <w:tcW w:w="1265" w:type="dxa"/>
            <w:vMerge w:val="restart"/>
            <w:vAlign w:val="center"/>
          </w:tcPr>
          <w:p w:rsidR="00B54462" w:rsidRPr="00242572" w:rsidRDefault="00B075CD" w:rsidP="00D20C0D">
            <w:pPr>
              <w:jc w:val="center"/>
              <w:rPr>
                <w:rFonts w:ascii="Arial Narrow" w:hAnsi="Arial Narrow"/>
                <w:b/>
                <w:sz w:val="20"/>
              </w:rPr>
            </w:pPr>
            <w:r w:rsidRPr="00242572">
              <w:rPr>
                <w:rFonts w:ascii="Arial Narrow" w:hAnsi="Arial Narrow"/>
                <w:b/>
                <w:sz w:val="20"/>
              </w:rPr>
              <w:t xml:space="preserve">Nov. </w:t>
            </w:r>
            <w:r w:rsidR="00B54462" w:rsidRPr="00242572">
              <w:rPr>
                <w:rFonts w:ascii="Arial Narrow" w:hAnsi="Arial Narrow"/>
                <w:b/>
                <w:sz w:val="20"/>
              </w:rPr>
              <w:t>2008 levetiracetam</w:t>
            </w:r>
          </w:p>
          <w:p w:rsidR="00B54462" w:rsidRPr="00242572" w:rsidRDefault="00B54462" w:rsidP="00D20C0D">
            <w:pPr>
              <w:jc w:val="center"/>
              <w:rPr>
                <w:rFonts w:ascii="Arial Narrow" w:hAnsi="Arial Narrow"/>
                <w:b/>
                <w:sz w:val="20"/>
              </w:rPr>
            </w:pPr>
            <w:r w:rsidRPr="00242572">
              <w:rPr>
                <w:rFonts w:ascii="Arial Narrow" w:hAnsi="Arial Narrow"/>
                <w:b/>
                <w:sz w:val="20"/>
              </w:rPr>
              <w:t>PSD, equi-effective dose</w:t>
            </w:r>
          </w:p>
          <w:p w:rsidR="00B54462" w:rsidRPr="00242572" w:rsidRDefault="00B54462" w:rsidP="00D20C0D">
            <w:pPr>
              <w:jc w:val="center"/>
              <w:rPr>
                <w:rFonts w:ascii="Arial Narrow" w:hAnsi="Arial Narrow"/>
                <w:b/>
                <w:sz w:val="20"/>
              </w:rPr>
            </w:pPr>
            <w:r w:rsidRPr="00242572">
              <w:rPr>
                <w:rFonts w:ascii="Arial Narrow" w:hAnsi="Arial Narrow"/>
                <w:b/>
                <w:sz w:val="20"/>
              </w:rPr>
              <w:t>(PGTC seizures)</w:t>
            </w:r>
          </w:p>
        </w:tc>
        <w:tc>
          <w:tcPr>
            <w:tcW w:w="1265" w:type="dxa"/>
            <w:vMerge w:val="restart"/>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Re-submission</w:t>
            </w:r>
          </w:p>
          <w:p w:rsidR="00B54462" w:rsidRPr="00242572" w:rsidRDefault="00B54462" w:rsidP="00D20C0D">
            <w:pPr>
              <w:jc w:val="center"/>
              <w:rPr>
                <w:rFonts w:ascii="Arial Narrow" w:hAnsi="Arial Narrow"/>
                <w:b/>
                <w:sz w:val="20"/>
              </w:rPr>
            </w:pPr>
            <w:r w:rsidRPr="00242572">
              <w:rPr>
                <w:rFonts w:ascii="Arial Narrow" w:hAnsi="Arial Narrow"/>
                <w:b/>
                <w:sz w:val="20"/>
              </w:rPr>
              <w:t>equi-effective dose</w:t>
            </w:r>
          </w:p>
        </w:tc>
      </w:tr>
      <w:tr w:rsidR="00B54462" w:rsidRPr="00242572" w:rsidTr="00985386">
        <w:trPr>
          <w:tblHeader/>
        </w:trPr>
        <w:tc>
          <w:tcPr>
            <w:tcW w:w="1271" w:type="dxa"/>
            <w:vMerge/>
            <w:vAlign w:val="center"/>
          </w:tcPr>
          <w:p w:rsidR="00B54462" w:rsidRPr="00242572" w:rsidRDefault="00B54462" w:rsidP="00D20C0D">
            <w:pPr>
              <w:jc w:val="center"/>
              <w:rPr>
                <w:rFonts w:ascii="Arial Narrow" w:hAnsi="Arial Narrow"/>
                <w:b/>
                <w:sz w:val="20"/>
              </w:rPr>
            </w:pPr>
          </w:p>
        </w:tc>
        <w:tc>
          <w:tcPr>
            <w:tcW w:w="1109" w:type="dxa"/>
            <w:vMerge/>
            <w:vAlign w:val="center"/>
          </w:tcPr>
          <w:p w:rsidR="00B54462" w:rsidRPr="00242572" w:rsidRDefault="00B54462" w:rsidP="00D20C0D">
            <w:pPr>
              <w:jc w:val="center"/>
              <w:rPr>
                <w:rFonts w:ascii="Arial Narrow" w:hAnsi="Arial Narrow"/>
                <w:b/>
                <w:sz w:val="20"/>
              </w:rPr>
            </w:pPr>
          </w:p>
        </w:tc>
        <w:tc>
          <w:tcPr>
            <w:tcW w:w="909" w:type="dxa"/>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Trial target dose</w:t>
            </w:r>
          </w:p>
        </w:tc>
        <w:tc>
          <w:tcPr>
            <w:tcW w:w="1160" w:type="dxa"/>
            <w:vAlign w:val="center"/>
          </w:tcPr>
          <w:p w:rsidR="00B54462" w:rsidRPr="00242572" w:rsidRDefault="00B54462" w:rsidP="00D20C0D">
            <w:pPr>
              <w:jc w:val="center"/>
              <w:rPr>
                <w:rFonts w:ascii="Arial Narrow" w:hAnsi="Arial Narrow"/>
                <w:b/>
                <w:sz w:val="20"/>
              </w:rPr>
            </w:pPr>
            <w:r w:rsidRPr="00242572">
              <w:rPr>
                <w:rFonts w:ascii="Arial Narrow" w:hAnsi="Arial Narrow"/>
                <w:b/>
                <w:sz w:val="20"/>
              </w:rPr>
              <w:t>Avg. Daily dose – trial</w:t>
            </w:r>
          </w:p>
        </w:tc>
        <w:tc>
          <w:tcPr>
            <w:tcW w:w="1210" w:type="dxa"/>
            <w:vMerge/>
            <w:vAlign w:val="center"/>
          </w:tcPr>
          <w:p w:rsidR="00B54462" w:rsidRPr="00242572" w:rsidRDefault="00B54462" w:rsidP="00D20C0D">
            <w:pPr>
              <w:jc w:val="center"/>
              <w:rPr>
                <w:rFonts w:ascii="Arial Narrow" w:hAnsi="Arial Narrow"/>
                <w:b/>
                <w:sz w:val="20"/>
              </w:rPr>
            </w:pPr>
          </w:p>
        </w:tc>
        <w:tc>
          <w:tcPr>
            <w:tcW w:w="1197" w:type="dxa"/>
            <w:vMerge/>
            <w:vAlign w:val="center"/>
          </w:tcPr>
          <w:p w:rsidR="00B54462" w:rsidRPr="00242572" w:rsidRDefault="00B54462" w:rsidP="00D20C0D">
            <w:pPr>
              <w:jc w:val="center"/>
              <w:rPr>
                <w:rFonts w:ascii="Arial Narrow" w:hAnsi="Arial Narrow"/>
                <w:b/>
                <w:sz w:val="20"/>
              </w:rPr>
            </w:pPr>
          </w:p>
        </w:tc>
        <w:tc>
          <w:tcPr>
            <w:tcW w:w="1265" w:type="dxa"/>
            <w:vMerge/>
          </w:tcPr>
          <w:p w:rsidR="00B54462" w:rsidRPr="00242572" w:rsidRDefault="00B54462" w:rsidP="00D20C0D">
            <w:pPr>
              <w:jc w:val="center"/>
              <w:rPr>
                <w:rFonts w:ascii="Arial Narrow" w:hAnsi="Arial Narrow"/>
                <w:b/>
                <w:sz w:val="20"/>
              </w:rPr>
            </w:pPr>
          </w:p>
        </w:tc>
        <w:tc>
          <w:tcPr>
            <w:tcW w:w="1265" w:type="dxa"/>
            <w:vMerge/>
            <w:vAlign w:val="center"/>
          </w:tcPr>
          <w:p w:rsidR="00B54462" w:rsidRPr="00242572" w:rsidRDefault="00B54462" w:rsidP="00D20C0D">
            <w:pPr>
              <w:jc w:val="center"/>
              <w:rPr>
                <w:rFonts w:ascii="Arial Narrow" w:hAnsi="Arial Narrow"/>
                <w:b/>
                <w:sz w:val="20"/>
              </w:rPr>
            </w:pPr>
          </w:p>
        </w:tc>
      </w:tr>
      <w:tr w:rsidR="00B54462" w:rsidRPr="00242572" w:rsidTr="00D20C0D">
        <w:tc>
          <w:tcPr>
            <w:tcW w:w="1271" w:type="dxa"/>
            <w:vMerge w:val="restart"/>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Lamotrigine (Biton 2005)</w:t>
            </w:r>
          </w:p>
        </w:tc>
        <w:tc>
          <w:tcPr>
            <w:tcW w:w="1109"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Taking valproate</w:t>
            </w:r>
          </w:p>
        </w:tc>
        <w:tc>
          <w:tcPr>
            <w:tcW w:w="909" w:type="dxa"/>
            <w:vAlign w:val="center"/>
          </w:tcPr>
          <w:p w:rsidR="00B54462" w:rsidRPr="00242572" w:rsidRDefault="00B54462" w:rsidP="00D20C0D">
            <w:pPr>
              <w:keepNext/>
              <w:autoSpaceDE w:val="0"/>
              <w:autoSpaceDN w:val="0"/>
              <w:adjustRightInd w:val="0"/>
              <w:jc w:val="center"/>
              <w:rPr>
                <w:rFonts w:ascii="Arial Narrow" w:hAnsi="Arial Narrow" w:cs="Universal-GreekwithMathPi"/>
                <w:sz w:val="20"/>
                <w:lang w:eastAsia="en-AU"/>
              </w:rPr>
            </w:pPr>
            <w:r w:rsidRPr="00242572">
              <w:rPr>
                <w:rFonts w:ascii="Arial Narrow" w:hAnsi="Arial Narrow" w:cs="Universal-GreekwithMathPi"/>
                <w:sz w:val="20"/>
                <w:lang w:eastAsia="en-AU"/>
              </w:rPr>
              <w:t>200mg</w:t>
            </w:r>
          </w:p>
        </w:tc>
        <w:tc>
          <w:tcPr>
            <w:tcW w:w="1160" w:type="dxa"/>
            <w:vAlign w:val="center"/>
          </w:tcPr>
          <w:p w:rsidR="00B54462" w:rsidRPr="00242572" w:rsidRDefault="00B54462" w:rsidP="00D20C0D">
            <w:pPr>
              <w:keepNext/>
              <w:autoSpaceDE w:val="0"/>
              <w:autoSpaceDN w:val="0"/>
              <w:adjustRightInd w:val="0"/>
              <w:jc w:val="center"/>
              <w:rPr>
                <w:rFonts w:ascii="Arial Narrow" w:hAnsi="Arial Narrow" w:cs="Universal-GreekwithMathPi"/>
                <w:sz w:val="20"/>
                <w:lang w:eastAsia="en-AU"/>
              </w:rPr>
            </w:pPr>
            <w:r w:rsidRPr="00242572">
              <w:rPr>
                <w:rFonts w:ascii="Arial Narrow" w:hAnsi="Arial Narrow" w:cs="Universal-GreekwithMathPi"/>
                <w:sz w:val="20"/>
                <w:lang w:eastAsia="en-AU"/>
              </w:rPr>
              <w:t>(n=15)</w:t>
            </w:r>
          </w:p>
          <w:p w:rsidR="00B54462" w:rsidRPr="00242572" w:rsidRDefault="00B54462" w:rsidP="00D20C0D">
            <w:pPr>
              <w:keepNext/>
              <w:autoSpaceDE w:val="0"/>
              <w:autoSpaceDN w:val="0"/>
              <w:adjustRightInd w:val="0"/>
              <w:jc w:val="center"/>
              <w:rPr>
                <w:rFonts w:ascii="Arial Narrow" w:hAnsi="Arial Narrow" w:cs="Universal-GreekwithMathPi"/>
                <w:sz w:val="20"/>
                <w:lang w:eastAsia="en-AU"/>
              </w:rPr>
            </w:pPr>
            <w:r w:rsidRPr="00242572">
              <w:rPr>
                <w:rFonts w:ascii="Arial Narrow" w:hAnsi="Arial Narrow" w:cs="Universal-GreekwithMathPi"/>
                <w:sz w:val="20"/>
                <w:lang w:eastAsia="en-AU"/>
              </w:rPr>
              <w:t>188.9 (23.4)*</w:t>
            </w:r>
          </w:p>
        </w:tc>
        <w:tc>
          <w:tcPr>
            <w:tcW w:w="1210" w:type="dxa"/>
            <w:shd w:val="clear" w:color="auto" w:fill="auto"/>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100-200mg</w:t>
            </w:r>
          </w:p>
        </w:tc>
        <w:tc>
          <w:tcPr>
            <w:tcW w:w="1197" w:type="dxa"/>
            <w:vMerge w:val="restart"/>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300mg</w:t>
            </w:r>
          </w:p>
        </w:tc>
        <w:tc>
          <w:tcPr>
            <w:tcW w:w="1265" w:type="dxa"/>
            <w:vMerge w:val="restart"/>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296mg</w:t>
            </w:r>
          </w:p>
        </w:tc>
        <w:tc>
          <w:tcPr>
            <w:tcW w:w="1265" w:type="dxa"/>
            <w:vMerge w:val="restart"/>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300mg</w:t>
            </w:r>
          </w:p>
        </w:tc>
      </w:tr>
      <w:tr w:rsidR="00B54462" w:rsidRPr="00242572" w:rsidTr="00D20C0D">
        <w:tc>
          <w:tcPr>
            <w:tcW w:w="1271" w:type="dxa"/>
            <w:vMerge/>
            <w:vAlign w:val="center"/>
          </w:tcPr>
          <w:p w:rsidR="00B54462" w:rsidRPr="00242572" w:rsidRDefault="00B54462" w:rsidP="00D20C0D">
            <w:pPr>
              <w:jc w:val="center"/>
              <w:rPr>
                <w:rFonts w:ascii="Arial Narrow" w:hAnsi="Arial Narrow" w:cs="Universal-GreekwithMathPi"/>
                <w:sz w:val="20"/>
                <w:lang w:eastAsia="en-AU"/>
              </w:rPr>
            </w:pPr>
          </w:p>
        </w:tc>
        <w:tc>
          <w:tcPr>
            <w:tcW w:w="1109"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Taking enzyme-inducing AED</w:t>
            </w:r>
          </w:p>
        </w:tc>
        <w:tc>
          <w:tcPr>
            <w:tcW w:w="909" w:type="dxa"/>
            <w:vAlign w:val="center"/>
          </w:tcPr>
          <w:p w:rsidR="00B54462" w:rsidRPr="00242572" w:rsidRDefault="00B54462" w:rsidP="00D20C0D">
            <w:pPr>
              <w:keepNext/>
              <w:spacing w:before="40" w:after="40"/>
              <w:jc w:val="center"/>
              <w:rPr>
                <w:rFonts w:ascii="Arial Narrow" w:hAnsi="Arial Narrow" w:cs="Universal-GreekwithMathPi"/>
                <w:sz w:val="20"/>
                <w:lang w:eastAsia="en-AU"/>
              </w:rPr>
            </w:pPr>
            <w:r w:rsidRPr="00242572">
              <w:rPr>
                <w:rFonts w:ascii="Arial Narrow" w:hAnsi="Arial Narrow" w:cs="Universal-GreekwithMathPi"/>
                <w:sz w:val="20"/>
                <w:lang w:eastAsia="en-AU"/>
              </w:rPr>
              <w:t>400mg</w:t>
            </w:r>
          </w:p>
        </w:tc>
        <w:tc>
          <w:tcPr>
            <w:tcW w:w="1160" w:type="dxa"/>
            <w:vAlign w:val="center"/>
          </w:tcPr>
          <w:p w:rsidR="00B54462" w:rsidRPr="00242572" w:rsidRDefault="00B54462" w:rsidP="00D20C0D">
            <w:pPr>
              <w:keepNext/>
              <w:spacing w:before="40" w:after="40"/>
              <w:jc w:val="center"/>
              <w:rPr>
                <w:rFonts w:ascii="Arial Narrow" w:hAnsi="Arial Narrow" w:cs="Universal-GreekwithMathPi"/>
                <w:sz w:val="20"/>
                <w:lang w:eastAsia="en-AU"/>
              </w:rPr>
            </w:pPr>
            <w:r w:rsidRPr="00242572">
              <w:rPr>
                <w:rFonts w:ascii="Arial Narrow" w:hAnsi="Arial Narrow" w:cs="Universal-GreekwithMathPi"/>
                <w:sz w:val="20"/>
                <w:lang w:eastAsia="en-AU"/>
              </w:rPr>
              <w:t>(n=24)</w:t>
            </w:r>
          </w:p>
          <w:p w:rsidR="00B54462" w:rsidRPr="00242572" w:rsidRDefault="00B54462" w:rsidP="00D20C0D">
            <w:pPr>
              <w:keepNext/>
              <w:spacing w:before="40" w:after="40"/>
              <w:jc w:val="center"/>
              <w:rPr>
                <w:rFonts w:ascii="Arial Narrow" w:hAnsi="Arial Narrow" w:cs="Universal-GreekwithMathPi"/>
                <w:sz w:val="20"/>
                <w:lang w:eastAsia="en-AU"/>
              </w:rPr>
            </w:pPr>
            <w:r w:rsidRPr="00242572">
              <w:rPr>
                <w:rFonts w:ascii="Arial Narrow" w:hAnsi="Arial Narrow" w:cs="Universal-GreekwithMathPi"/>
                <w:sz w:val="20"/>
                <w:lang w:eastAsia="en-AU"/>
              </w:rPr>
              <w:t>393.0 (24.1)*</w:t>
            </w:r>
          </w:p>
        </w:tc>
        <w:tc>
          <w:tcPr>
            <w:tcW w:w="121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200-400mg</w:t>
            </w:r>
          </w:p>
        </w:tc>
        <w:tc>
          <w:tcPr>
            <w:tcW w:w="1197" w:type="dxa"/>
            <w:vMerge/>
            <w:vAlign w:val="center"/>
          </w:tcPr>
          <w:p w:rsidR="00B54462" w:rsidRPr="00242572" w:rsidRDefault="00B54462" w:rsidP="00D20C0D">
            <w:pPr>
              <w:jc w:val="center"/>
              <w:rPr>
                <w:rFonts w:ascii="Arial Narrow" w:hAnsi="Arial Narrow" w:cs="Universal-GreekwithMathPi"/>
                <w:sz w:val="20"/>
                <w:lang w:eastAsia="en-AU"/>
              </w:rPr>
            </w:pPr>
          </w:p>
        </w:tc>
        <w:tc>
          <w:tcPr>
            <w:tcW w:w="1265" w:type="dxa"/>
            <w:vMerge/>
            <w:vAlign w:val="center"/>
          </w:tcPr>
          <w:p w:rsidR="00B54462" w:rsidRPr="00242572" w:rsidRDefault="00B54462" w:rsidP="00D20C0D">
            <w:pPr>
              <w:jc w:val="center"/>
              <w:rPr>
                <w:rFonts w:ascii="Arial Narrow" w:hAnsi="Arial Narrow" w:cs="Universal-GreekwithMathPi"/>
                <w:sz w:val="20"/>
                <w:lang w:eastAsia="en-AU"/>
              </w:rPr>
            </w:pPr>
          </w:p>
        </w:tc>
        <w:tc>
          <w:tcPr>
            <w:tcW w:w="1265" w:type="dxa"/>
            <w:vMerge/>
            <w:vAlign w:val="center"/>
          </w:tcPr>
          <w:p w:rsidR="00B54462" w:rsidRPr="00242572" w:rsidRDefault="00B54462" w:rsidP="00D20C0D">
            <w:pPr>
              <w:jc w:val="center"/>
              <w:rPr>
                <w:rFonts w:ascii="Arial Narrow" w:hAnsi="Arial Narrow" w:cs="Universal-GreekwithMathPi"/>
                <w:sz w:val="20"/>
                <w:lang w:eastAsia="en-AU"/>
              </w:rPr>
            </w:pPr>
          </w:p>
        </w:tc>
      </w:tr>
      <w:tr w:rsidR="00B54462" w:rsidRPr="00242572" w:rsidTr="00D20C0D">
        <w:tc>
          <w:tcPr>
            <w:tcW w:w="1271" w:type="dxa"/>
            <w:vMerge/>
            <w:vAlign w:val="center"/>
          </w:tcPr>
          <w:p w:rsidR="00B54462" w:rsidRPr="00242572" w:rsidRDefault="00B54462" w:rsidP="00D20C0D">
            <w:pPr>
              <w:jc w:val="center"/>
              <w:rPr>
                <w:rFonts w:ascii="Arial Narrow" w:hAnsi="Arial Narrow" w:cs="Universal-GreekwithMathPi"/>
                <w:sz w:val="20"/>
                <w:lang w:eastAsia="en-AU"/>
              </w:rPr>
            </w:pPr>
          </w:p>
        </w:tc>
        <w:tc>
          <w:tcPr>
            <w:tcW w:w="1109"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Taking other</w:t>
            </w:r>
          </w:p>
        </w:tc>
        <w:tc>
          <w:tcPr>
            <w:tcW w:w="909" w:type="dxa"/>
            <w:vAlign w:val="center"/>
          </w:tcPr>
          <w:p w:rsidR="00B54462" w:rsidRPr="00242572" w:rsidRDefault="00B54462" w:rsidP="00D20C0D">
            <w:pPr>
              <w:keepNext/>
              <w:spacing w:before="40" w:after="40"/>
              <w:jc w:val="center"/>
              <w:rPr>
                <w:rFonts w:ascii="Arial Narrow" w:hAnsi="Arial Narrow" w:cs="Universal-GreekwithMathPi"/>
                <w:sz w:val="20"/>
                <w:lang w:eastAsia="en-AU"/>
              </w:rPr>
            </w:pPr>
            <w:r w:rsidRPr="00242572">
              <w:rPr>
                <w:rFonts w:ascii="Arial Narrow" w:hAnsi="Arial Narrow" w:cs="Universal-GreekwithMathPi"/>
                <w:sz w:val="20"/>
                <w:lang w:eastAsia="en-AU"/>
              </w:rPr>
              <w:t>300mg</w:t>
            </w:r>
          </w:p>
        </w:tc>
        <w:tc>
          <w:tcPr>
            <w:tcW w:w="1160" w:type="dxa"/>
            <w:vAlign w:val="center"/>
          </w:tcPr>
          <w:p w:rsidR="00B54462" w:rsidRPr="00242572" w:rsidRDefault="00B54462" w:rsidP="00D20C0D">
            <w:pPr>
              <w:keepNext/>
              <w:spacing w:before="40" w:after="40"/>
              <w:jc w:val="center"/>
              <w:rPr>
                <w:rFonts w:ascii="Arial Narrow" w:hAnsi="Arial Narrow" w:cs="Universal-GreekwithMathPi"/>
                <w:sz w:val="20"/>
                <w:lang w:eastAsia="en-AU"/>
              </w:rPr>
            </w:pPr>
            <w:r w:rsidRPr="00242572">
              <w:rPr>
                <w:rFonts w:ascii="Arial Narrow" w:hAnsi="Arial Narrow" w:cs="Universal-GreekwithMathPi"/>
                <w:sz w:val="20"/>
                <w:lang w:eastAsia="en-AU"/>
              </w:rPr>
              <w:t>(n=3)</w:t>
            </w:r>
          </w:p>
          <w:p w:rsidR="00B54462" w:rsidRPr="00242572" w:rsidRDefault="00B54462" w:rsidP="00D20C0D">
            <w:pPr>
              <w:keepNext/>
              <w:spacing w:before="40" w:after="40"/>
              <w:jc w:val="center"/>
              <w:rPr>
                <w:rFonts w:ascii="Arial Narrow" w:hAnsi="Arial Narrow" w:cs="Universal-GreekwithMathPi"/>
                <w:sz w:val="20"/>
                <w:lang w:eastAsia="en-AU"/>
              </w:rPr>
            </w:pPr>
            <w:r w:rsidRPr="00242572">
              <w:rPr>
                <w:rFonts w:ascii="Arial Narrow" w:hAnsi="Arial Narrow" w:cs="Universal-GreekwithMathPi"/>
                <w:sz w:val="20"/>
                <w:lang w:eastAsia="en-AU"/>
              </w:rPr>
              <w:t>233.3 (115.5)*</w:t>
            </w:r>
          </w:p>
        </w:tc>
        <w:tc>
          <w:tcPr>
            <w:tcW w:w="121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100-200mg</w:t>
            </w:r>
          </w:p>
        </w:tc>
        <w:tc>
          <w:tcPr>
            <w:tcW w:w="1197" w:type="dxa"/>
            <w:vMerge/>
            <w:vAlign w:val="center"/>
          </w:tcPr>
          <w:p w:rsidR="00B54462" w:rsidRPr="00242572" w:rsidRDefault="00B54462" w:rsidP="00D20C0D">
            <w:pPr>
              <w:jc w:val="center"/>
              <w:rPr>
                <w:rFonts w:ascii="Arial Narrow" w:hAnsi="Arial Narrow" w:cs="Universal-GreekwithMathPi"/>
                <w:sz w:val="20"/>
                <w:lang w:eastAsia="en-AU"/>
              </w:rPr>
            </w:pPr>
          </w:p>
        </w:tc>
        <w:tc>
          <w:tcPr>
            <w:tcW w:w="1265" w:type="dxa"/>
            <w:vMerge/>
            <w:vAlign w:val="center"/>
          </w:tcPr>
          <w:p w:rsidR="00B54462" w:rsidRPr="00242572" w:rsidRDefault="00B54462" w:rsidP="00D20C0D">
            <w:pPr>
              <w:jc w:val="center"/>
              <w:rPr>
                <w:rFonts w:ascii="Arial Narrow" w:hAnsi="Arial Narrow" w:cs="Universal-GreekwithMathPi"/>
                <w:sz w:val="20"/>
                <w:lang w:eastAsia="en-AU"/>
              </w:rPr>
            </w:pPr>
          </w:p>
        </w:tc>
        <w:tc>
          <w:tcPr>
            <w:tcW w:w="1265" w:type="dxa"/>
            <w:vMerge/>
            <w:vAlign w:val="center"/>
          </w:tcPr>
          <w:p w:rsidR="00B54462" w:rsidRPr="00242572" w:rsidRDefault="00B54462" w:rsidP="00D20C0D">
            <w:pPr>
              <w:jc w:val="center"/>
              <w:rPr>
                <w:rFonts w:ascii="Arial Narrow" w:hAnsi="Arial Narrow" w:cs="Universal-GreekwithMathPi"/>
                <w:sz w:val="20"/>
                <w:lang w:eastAsia="en-AU"/>
              </w:rPr>
            </w:pPr>
          </w:p>
        </w:tc>
      </w:tr>
      <w:tr w:rsidR="00B54462" w:rsidRPr="00242572" w:rsidTr="00D20C0D">
        <w:tc>
          <w:tcPr>
            <w:tcW w:w="1271" w:type="dxa"/>
            <w:vAlign w:val="center"/>
          </w:tcPr>
          <w:p w:rsidR="00B54462" w:rsidRPr="00242572" w:rsidRDefault="004753C2" w:rsidP="004753C2">
            <w:pPr>
              <w:jc w:val="center"/>
              <w:rPr>
                <w:rFonts w:ascii="Arial Narrow" w:hAnsi="Arial Narrow" w:cs="Universal-GreekwithMathPi"/>
                <w:sz w:val="20"/>
                <w:lang w:eastAsia="en-AU"/>
              </w:rPr>
            </w:pPr>
            <w:r w:rsidRPr="00242572">
              <w:rPr>
                <w:rFonts w:ascii="Arial Narrow" w:hAnsi="Arial Narrow" w:cs="Universal-GreekwithMathPi"/>
                <w:sz w:val="20"/>
                <w:lang w:eastAsia="en-AU"/>
              </w:rPr>
              <w:t>Levetirac</w:t>
            </w:r>
            <w:r>
              <w:rPr>
                <w:rFonts w:ascii="Arial Narrow" w:hAnsi="Arial Narrow" w:cs="Universal-GreekwithMathPi"/>
                <w:sz w:val="20"/>
                <w:lang w:eastAsia="en-AU"/>
              </w:rPr>
              <w:t>e</w:t>
            </w:r>
            <w:r w:rsidRPr="00242572">
              <w:rPr>
                <w:rFonts w:ascii="Arial Narrow" w:hAnsi="Arial Narrow" w:cs="Universal-GreekwithMathPi"/>
                <w:sz w:val="20"/>
                <w:lang w:eastAsia="en-AU"/>
              </w:rPr>
              <w:t>tam</w:t>
            </w:r>
          </w:p>
        </w:tc>
        <w:tc>
          <w:tcPr>
            <w:tcW w:w="1109"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NA</w:t>
            </w:r>
          </w:p>
        </w:tc>
        <w:tc>
          <w:tcPr>
            <w:tcW w:w="909"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3000mg /day</w:t>
            </w:r>
          </w:p>
        </w:tc>
        <w:tc>
          <w:tcPr>
            <w:tcW w:w="116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NR</w:t>
            </w:r>
          </w:p>
        </w:tc>
        <w:tc>
          <w:tcPr>
            <w:tcW w:w="121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Therapeutic dose: 500mg twice daily</w:t>
            </w:r>
          </w:p>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Can be increased to 1500mg twice daily</w:t>
            </w:r>
          </w:p>
        </w:tc>
        <w:tc>
          <w:tcPr>
            <w:tcW w:w="1197"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2000mg</w:t>
            </w: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2887mg</w:t>
            </w: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2000mg</w:t>
            </w:r>
          </w:p>
        </w:tc>
      </w:tr>
      <w:tr w:rsidR="00B54462" w:rsidRPr="00242572" w:rsidTr="00D20C0D">
        <w:tc>
          <w:tcPr>
            <w:tcW w:w="1271"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Topiramate</w:t>
            </w:r>
          </w:p>
        </w:tc>
        <w:tc>
          <w:tcPr>
            <w:tcW w:w="1109" w:type="dxa"/>
            <w:vAlign w:val="center"/>
          </w:tcPr>
          <w:p w:rsidR="00B54462" w:rsidRPr="00242572" w:rsidRDefault="00B54462" w:rsidP="00D20C0D">
            <w:pPr>
              <w:jc w:val="center"/>
              <w:rPr>
                <w:rFonts w:ascii="Arial Narrow" w:hAnsi="Arial Narrow" w:cs="Universal-GreekwithMathPi"/>
                <w:sz w:val="20"/>
                <w:lang w:eastAsia="en-AU"/>
              </w:rPr>
            </w:pPr>
          </w:p>
        </w:tc>
        <w:tc>
          <w:tcPr>
            <w:tcW w:w="909" w:type="dxa"/>
            <w:vAlign w:val="center"/>
          </w:tcPr>
          <w:p w:rsidR="00B54462" w:rsidRPr="00242572" w:rsidRDefault="00B54462" w:rsidP="00D20C0D">
            <w:pPr>
              <w:jc w:val="center"/>
              <w:rPr>
                <w:rFonts w:ascii="Arial Narrow" w:hAnsi="Arial Narrow" w:cs="Universal-GreekwithMathPi"/>
                <w:sz w:val="20"/>
                <w:lang w:eastAsia="en-AU"/>
              </w:rPr>
            </w:pPr>
          </w:p>
        </w:tc>
        <w:tc>
          <w:tcPr>
            <w:tcW w:w="1160" w:type="dxa"/>
            <w:vAlign w:val="center"/>
          </w:tcPr>
          <w:p w:rsidR="00B54462" w:rsidRPr="00242572" w:rsidRDefault="00B54462" w:rsidP="00D20C0D">
            <w:pPr>
              <w:jc w:val="center"/>
              <w:rPr>
                <w:rFonts w:ascii="Arial Narrow" w:hAnsi="Arial Narrow" w:cs="Universal-GreekwithMathPi"/>
                <w:sz w:val="20"/>
                <w:lang w:eastAsia="en-AU"/>
              </w:rPr>
            </w:pPr>
          </w:p>
        </w:tc>
        <w:tc>
          <w:tcPr>
            <w:tcW w:w="121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200-400mg, maximum 1000mg</w:t>
            </w:r>
          </w:p>
        </w:tc>
        <w:tc>
          <w:tcPr>
            <w:tcW w:w="1197"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300mg</w:t>
            </w: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359mg</w:t>
            </w: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300mg</w:t>
            </w:r>
          </w:p>
        </w:tc>
      </w:tr>
      <w:tr w:rsidR="00B54462" w:rsidRPr="00242572" w:rsidTr="00D20C0D">
        <w:tc>
          <w:tcPr>
            <w:tcW w:w="1271"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Valproate</w:t>
            </w:r>
          </w:p>
        </w:tc>
        <w:tc>
          <w:tcPr>
            <w:tcW w:w="1109" w:type="dxa"/>
            <w:vAlign w:val="center"/>
          </w:tcPr>
          <w:p w:rsidR="00B54462" w:rsidRPr="00242572" w:rsidRDefault="00B54462" w:rsidP="00D20C0D">
            <w:pPr>
              <w:jc w:val="center"/>
              <w:rPr>
                <w:rFonts w:ascii="Arial Narrow" w:hAnsi="Arial Narrow" w:cs="Universal-GreekwithMathPi"/>
                <w:sz w:val="20"/>
                <w:lang w:eastAsia="en-AU"/>
              </w:rPr>
            </w:pPr>
          </w:p>
        </w:tc>
        <w:tc>
          <w:tcPr>
            <w:tcW w:w="909" w:type="dxa"/>
            <w:vAlign w:val="center"/>
          </w:tcPr>
          <w:p w:rsidR="00B54462" w:rsidRPr="00242572" w:rsidRDefault="00B54462" w:rsidP="00D20C0D">
            <w:pPr>
              <w:jc w:val="center"/>
              <w:rPr>
                <w:rFonts w:ascii="Arial Narrow" w:hAnsi="Arial Narrow" w:cs="Universal-GreekwithMathPi"/>
                <w:sz w:val="20"/>
                <w:lang w:eastAsia="en-AU"/>
              </w:rPr>
            </w:pPr>
          </w:p>
        </w:tc>
        <w:tc>
          <w:tcPr>
            <w:tcW w:w="1160" w:type="dxa"/>
            <w:vAlign w:val="center"/>
          </w:tcPr>
          <w:p w:rsidR="00B54462" w:rsidRPr="00242572" w:rsidRDefault="00B54462" w:rsidP="00D20C0D">
            <w:pPr>
              <w:jc w:val="center"/>
              <w:rPr>
                <w:rFonts w:ascii="Arial Narrow" w:hAnsi="Arial Narrow" w:cs="Universal-GreekwithMathPi"/>
                <w:sz w:val="20"/>
                <w:lang w:eastAsia="en-AU"/>
              </w:rPr>
            </w:pPr>
          </w:p>
        </w:tc>
        <w:tc>
          <w:tcPr>
            <w:tcW w:w="121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20-30mg/kg;</w:t>
            </w:r>
          </w:p>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1300-2100mg/day **</w:t>
            </w:r>
          </w:p>
        </w:tc>
        <w:tc>
          <w:tcPr>
            <w:tcW w:w="1197"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NR</w:t>
            </w: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NR</w:t>
            </w: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1500mg</w:t>
            </w:r>
          </w:p>
        </w:tc>
      </w:tr>
      <w:tr w:rsidR="00B54462" w:rsidRPr="00242572" w:rsidTr="00D20C0D">
        <w:tc>
          <w:tcPr>
            <w:tcW w:w="1271"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Perampanel</w:t>
            </w:r>
          </w:p>
        </w:tc>
        <w:tc>
          <w:tcPr>
            <w:tcW w:w="1109" w:type="dxa"/>
            <w:vAlign w:val="center"/>
          </w:tcPr>
          <w:p w:rsidR="00B54462" w:rsidRPr="00242572" w:rsidRDefault="00B54462" w:rsidP="00D20C0D">
            <w:pPr>
              <w:jc w:val="center"/>
              <w:rPr>
                <w:rFonts w:ascii="Arial Narrow" w:hAnsi="Arial Narrow" w:cs="Universal-GreekwithMathPi"/>
                <w:sz w:val="20"/>
                <w:lang w:eastAsia="en-AU"/>
              </w:rPr>
            </w:pPr>
          </w:p>
        </w:tc>
        <w:tc>
          <w:tcPr>
            <w:tcW w:w="909"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8mg</w:t>
            </w:r>
          </w:p>
        </w:tc>
        <w:tc>
          <w:tcPr>
            <w:tcW w:w="116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Mean=7.6mg^</w:t>
            </w:r>
          </w:p>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Median=8mg^</w:t>
            </w:r>
          </w:p>
        </w:tc>
        <w:tc>
          <w:tcPr>
            <w:tcW w:w="1210"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8mg</w:t>
            </w:r>
          </w:p>
        </w:tc>
        <w:tc>
          <w:tcPr>
            <w:tcW w:w="1197" w:type="dxa"/>
            <w:vAlign w:val="center"/>
          </w:tcPr>
          <w:p w:rsidR="00B54462" w:rsidRPr="00242572" w:rsidRDefault="00B54462" w:rsidP="00D20C0D">
            <w:pPr>
              <w:jc w:val="center"/>
              <w:rPr>
                <w:rFonts w:ascii="Arial Narrow" w:hAnsi="Arial Narrow" w:cs="Universal-GreekwithMathPi"/>
                <w:sz w:val="20"/>
                <w:lang w:eastAsia="en-AU"/>
              </w:rPr>
            </w:pPr>
          </w:p>
        </w:tc>
        <w:tc>
          <w:tcPr>
            <w:tcW w:w="1265" w:type="dxa"/>
            <w:vAlign w:val="center"/>
          </w:tcPr>
          <w:p w:rsidR="00B54462" w:rsidRPr="00242572" w:rsidRDefault="00B54462" w:rsidP="00D20C0D">
            <w:pPr>
              <w:jc w:val="center"/>
              <w:rPr>
                <w:rFonts w:ascii="Arial Narrow" w:hAnsi="Arial Narrow" w:cs="Universal-GreekwithMathPi"/>
                <w:sz w:val="20"/>
                <w:lang w:eastAsia="en-AU"/>
              </w:rPr>
            </w:pPr>
          </w:p>
        </w:tc>
        <w:tc>
          <w:tcPr>
            <w:tcW w:w="1265" w:type="dxa"/>
            <w:vAlign w:val="center"/>
          </w:tcPr>
          <w:p w:rsidR="00B54462" w:rsidRPr="00242572" w:rsidRDefault="00B54462" w:rsidP="00D20C0D">
            <w:pPr>
              <w:jc w:val="center"/>
              <w:rPr>
                <w:rFonts w:ascii="Arial Narrow" w:hAnsi="Arial Narrow" w:cs="Universal-GreekwithMathPi"/>
                <w:sz w:val="20"/>
                <w:lang w:eastAsia="en-AU"/>
              </w:rPr>
            </w:pPr>
            <w:r w:rsidRPr="00242572">
              <w:rPr>
                <w:rFonts w:ascii="Arial Narrow" w:hAnsi="Arial Narrow" w:cs="Universal-GreekwithMathPi"/>
                <w:sz w:val="20"/>
                <w:lang w:eastAsia="en-AU"/>
              </w:rPr>
              <w:t>8mg</w:t>
            </w:r>
          </w:p>
        </w:tc>
      </w:tr>
    </w:tbl>
    <w:p w:rsidR="00B54462" w:rsidRPr="00242572" w:rsidRDefault="00B54462" w:rsidP="00B54462">
      <w:pPr>
        <w:pStyle w:val="TableFooter"/>
      </w:pPr>
      <w:r w:rsidRPr="00242572">
        <w:t>NA= Not applicable; NR=Not Reported</w:t>
      </w:r>
    </w:p>
    <w:p w:rsidR="00B54462" w:rsidRPr="00242572" w:rsidRDefault="00B54462" w:rsidP="00B54462">
      <w:pPr>
        <w:pStyle w:val="TableFooter"/>
      </w:pPr>
      <w:r w:rsidRPr="00242572">
        <w:t>*&gt;12 year old sub-group</w:t>
      </w:r>
    </w:p>
    <w:p w:rsidR="00B54462" w:rsidRPr="00242572" w:rsidRDefault="00B54462" w:rsidP="00B54462">
      <w:pPr>
        <w:pStyle w:val="TableFooter"/>
      </w:pPr>
      <w:r w:rsidRPr="00242572">
        <w:t>** based on average weight of 70.66kg, as per the perampanel trial.</w:t>
      </w:r>
    </w:p>
    <w:p w:rsidR="00B54462" w:rsidRPr="00242572" w:rsidRDefault="00B54462" w:rsidP="00B54462">
      <w:pPr>
        <w:pStyle w:val="TableFooter"/>
      </w:pPr>
      <w:r w:rsidRPr="00242572">
        <w:t>^last daily dose, Table 14.3.1.1.9 of the perampanel CSR</w:t>
      </w:r>
    </w:p>
    <w:p w:rsidR="00B54462" w:rsidRPr="00242572" w:rsidRDefault="00B54462" w:rsidP="00B54462">
      <w:pPr>
        <w:pStyle w:val="TableFooter"/>
      </w:pPr>
      <w:r w:rsidRPr="00242572">
        <w:t>Source: Compiled during the evaluation</w:t>
      </w:r>
    </w:p>
    <w:p w:rsidR="00B54462" w:rsidRPr="00242572" w:rsidRDefault="00B54462" w:rsidP="00B54462">
      <w:pPr>
        <w:pStyle w:val="TableFooter"/>
        <w:rPr>
          <w:rFonts w:asciiTheme="minorHAnsi" w:hAnsiTheme="minorHAnsi"/>
          <w:sz w:val="20"/>
        </w:rPr>
      </w:pPr>
    </w:p>
    <w:p w:rsidR="00B54462" w:rsidRPr="00511D49" w:rsidRDefault="00B54462" w:rsidP="006441EA">
      <w:pPr>
        <w:pStyle w:val="ListParagraph"/>
        <w:widowControl/>
        <w:numPr>
          <w:ilvl w:val="1"/>
          <w:numId w:val="3"/>
        </w:numPr>
        <w:spacing w:after="120"/>
        <w:contextualSpacing w:val="0"/>
        <w:rPr>
          <w:rFonts w:asciiTheme="minorHAnsi" w:hAnsiTheme="minorHAnsi"/>
          <w:sz w:val="24"/>
        </w:rPr>
      </w:pPr>
      <w:r w:rsidRPr="00511D49">
        <w:rPr>
          <w:rFonts w:asciiTheme="minorHAnsi" w:hAnsiTheme="minorHAnsi"/>
          <w:sz w:val="24"/>
        </w:rPr>
        <w:t>The re-submission used a lower dose for levetiracetam and topiramate in the cost-minimisation analysis than the equi-effective dose accepted by the PBAC in November 2008 for levetiracetam and topiramate. Although the result of the cost-minimisation analysis is conservative using these lower doses, the treatment effect of perampanel 8mg/day compared with levetiracetam and topiramate at these doses is unknown. No comparative treatment effect of perampanel versus topiramate or valproate at any dose is presented in the re-submission.</w:t>
      </w:r>
    </w:p>
    <w:p w:rsidR="00162110" w:rsidRPr="00162110" w:rsidRDefault="00B54462" w:rsidP="00B54462">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The results of the cost-minimisation analysis, as presented in the re-submission are provided in Table </w:t>
      </w:r>
      <w:r w:rsidR="00823DC6" w:rsidRPr="00242572">
        <w:rPr>
          <w:rFonts w:asciiTheme="minorHAnsi" w:hAnsiTheme="minorHAnsi"/>
          <w:sz w:val="24"/>
        </w:rPr>
        <w:t>1</w:t>
      </w:r>
      <w:r w:rsidR="002607F5" w:rsidRPr="00242572">
        <w:rPr>
          <w:rFonts w:asciiTheme="minorHAnsi" w:hAnsiTheme="minorHAnsi"/>
          <w:sz w:val="24"/>
        </w:rPr>
        <w:t>3</w:t>
      </w:r>
      <w:r w:rsidRPr="00242572">
        <w:rPr>
          <w:rFonts w:asciiTheme="minorHAnsi" w:hAnsiTheme="minorHAnsi"/>
          <w:sz w:val="24"/>
        </w:rPr>
        <w:t>.</w:t>
      </w:r>
    </w:p>
    <w:p w:rsidR="00162110" w:rsidRDefault="00162110" w:rsidP="00B54462">
      <w:pPr>
        <w:pStyle w:val="TableHeading"/>
        <w:rPr>
          <w:lang w:eastAsia="zh-CN"/>
        </w:rPr>
      </w:pPr>
    </w:p>
    <w:p w:rsidR="000B634D" w:rsidRDefault="000B634D" w:rsidP="000B634D">
      <w:pPr>
        <w:pStyle w:val="Caption"/>
      </w:pPr>
      <w:r>
        <w:t xml:space="preserve">Table </w:t>
      </w:r>
      <w:fldSimple w:instr=" SEQ Table \* ARABIC ">
        <w:r>
          <w:rPr>
            <w:noProof/>
          </w:rPr>
          <w:t>13</w:t>
        </w:r>
      </w:fldSimple>
      <w:r w:rsidRPr="000028E1">
        <w:t>: Results of the cost-minimisation analysis as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1052"/>
        <w:gridCol w:w="1566"/>
        <w:gridCol w:w="1985"/>
        <w:gridCol w:w="1276"/>
        <w:gridCol w:w="1337"/>
      </w:tblGrid>
      <w:tr w:rsidR="00B54462" w:rsidRPr="00242572" w:rsidTr="00D20C0D">
        <w:tc>
          <w:tcPr>
            <w:tcW w:w="1097" w:type="pct"/>
            <w:shd w:val="clear" w:color="auto" w:fill="auto"/>
            <w:noWrap/>
            <w:vAlign w:val="bottom"/>
            <w:hideMark/>
          </w:tcPr>
          <w:p w:rsidR="00B54462" w:rsidRPr="00242572" w:rsidRDefault="00B54462" w:rsidP="00D20C0D">
            <w:pPr>
              <w:jc w:val="center"/>
              <w:rPr>
                <w:rFonts w:ascii="Arial Narrow" w:hAnsi="Arial Narrow"/>
                <w:b/>
                <w:sz w:val="20"/>
              </w:rPr>
            </w:pPr>
            <w:r w:rsidRPr="00242572">
              <w:rPr>
                <w:rFonts w:ascii="Arial Narrow" w:hAnsi="Arial Narrow"/>
                <w:b/>
                <w:sz w:val="20"/>
              </w:rPr>
              <w:t>Comparator (weight)</w:t>
            </w:r>
          </w:p>
        </w:tc>
        <w:tc>
          <w:tcPr>
            <w:tcW w:w="569" w:type="pct"/>
            <w:shd w:val="clear" w:color="auto" w:fill="auto"/>
            <w:noWrap/>
            <w:vAlign w:val="bottom"/>
            <w:hideMark/>
          </w:tcPr>
          <w:p w:rsidR="00B54462" w:rsidRPr="00242572" w:rsidRDefault="00B54462" w:rsidP="00D20C0D">
            <w:pPr>
              <w:jc w:val="center"/>
              <w:rPr>
                <w:rFonts w:ascii="Arial Narrow" w:hAnsi="Arial Narrow"/>
                <w:b/>
                <w:sz w:val="20"/>
              </w:rPr>
            </w:pPr>
            <w:r w:rsidRPr="00242572">
              <w:rPr>
                <w:rFonts w:ascii="Arial Narrow" w:hAnsi="Arial Narrow"/>
                <w:b/>
                <w:sz w:val="20"/>
              </w:rPr>
              <w:t>Steady-state dose</w:t>
            </w:r>
          </w:p>
        </w:tc>
        <w:tc>
          <w:tcPr>
            <w:tcW w:w="847" w:type="pct"/>
            <w:shd w:val="clear" w:color="auto" w:fill="auto"/>
            <w:noWrap/>
            <w:vAlign w:val="bottom"/>
            <w:hideMark/>
          </w:tcPr>
          <w:p w:rsidR="00B54462" w:rsidRPr="00242572" w:rsidRDefault="00B54462" w:rsidP="00D20C0D">
            <w:pPr>
              <w:jc w:val="center"/>
              <w:rPr>
                <w:rFonts w:ascii="Arial Narrow" w:hAnsi="Arial Narrow"/>
                <w:b/>
                <w:sz w:val="20"/>
              </w:rPr>
            </w:pPr>
            <w:r w:rsidRPr="00242572">
              <w:rPr>
                <w:rFonts w:ascii="Arial Narrow" w:hAnsi="Arial Narrow"/>
                <w:b/>
                <w:sz w:val="20"/>
              </w:rPr>
              <w:t>Assumed daily regimen</w:t>
            </w:r>
          </w:p>
        </w:tc>
        <w:tc>
          <w:tcPr>
            <w:tcW w:w="1074" w:type="pct"/>
            <w:shd w:val="clear" w:color="auto" w:fill="auto"/>
            <w:vAlign w:val="bottom"/>
          </w:tcPr>
          <w:p w:rsidR="00B54462" w:rsidRPr="00242572" w:rsidRDefault="00B54462" w:rsidP="00D20C0D">
            <w:pPr>
              <w:jc w:val="center"/>
              <w:rPr>
                <w:rFonts w:ascii="Arial Narrow" w:hAnsi="Arial Narrow"/>
                <w:b/>
                <w:sz w:val="20"/>
              </w:rPr>
            </w:pPr>
            <w:r w:rsidRPr="00242572">
              <w:rPr>
                <w:rFonts w:ascii="Arial Narrow" w:hAnsi="Arial Narrow"/>
                <w:b/>
                <w:sz w:val="20"/>
              </w:rPr>
              <w:t>Ex-manufacturer price for maximum quantity</w:t>
            </w:r>
          </w:p>
        </w:tc>
        <w:tc>
          <w:tcPr>
            <w:tcW w:w="690" w:type="pct"/>
            <w:shd w:val="clear" w:color="auto" w:fill="auto"/>
            <w:noWrap/>
            <w:vAlign w:val="bottom"/>
            <w:hideMark/>
          </w:tcPr>
          <w:p w:rsidR="00B54462" w:rsidRPr="00242572" w:rsidRDefault="00B54462" w:rsidP="00D20C0D">
            <w:pPr>
              <w:jc w:val="center"/>
              <w:rPr>
                <w:rFonts w:ascii="Arial Narrow" w:hAnsi="Arial Narrow"/>
                <w:b/>
                <w:sz w:val="20"/>
              </w:rPr>
            </w:pPr>
            <w:r w:rsidRPr="00242572">
              <w:rPr>
                <w:rFonts w:ascii="Arial Narrow" w:hAnsi="Arial Narrow"/>
                <w:b/>
                <w:sz w:val="20"/>
              </w:rPr>
              <w:t>Daily ex-manufacturer cost</w:t>
            </w:r>
          </w:p>
        </w:tc>
        <w:tc>
          <w:tcPr>
            <w:tcW w:w="723" w:type="pct"/>
          </w:tcPr>
          <w:p w:rsidR="00B54462" w:rsidRPr="00242572" w:rsidRDefault="00B54462" w:rsidP="00D20C0D">
            <w:pPr>
              <w:jc w:val="center"/>
              <w:rPr>
                <w:rFonts w:ascii="Arial Narrow" w:hAnsi="Arial Narrow"/>
                <w:b/>
                <w:sz w:val="20"/>
              </w:rPr>
            </w:pPr>
            <w:r w:rsidRPr="00242572">
              <w:rPr>
                <w:rFonts w:ascii="Arial Narrow" w:hAnsi="Arial Narrow"/>
                <w:b/>
                <w:sz w:val="20"/>
              </w:rPr>
              <w:t>Perampanel: Ex-manufacturer price (28 x 8mg pack)</w:t>
            </w:r>
          </w:p>
        </w:tc>
      </w:tr>
      <w:tr w:rsidR="00B54462" w:rsidRPr="00242572" w:rsidTr="00D20C0D">
        <w:tc>
          <w:tcPr>
            <w:tcW w:w="1097" w:type="pct"/>
            <w:shd w:val="clear" w:color="auto" w:fill="auto"/>
            <w:noWrap/>
            <w:vAlign w:val="bottom"/>
            <w:hideMark/>
          </w:tcPr>
          <w:p w:rsidR="00B54462" w:rsidRPr="00242572" w:rsidRDefault="00B54462" w:rsidP="00D20C0D">
            <w:pPr>
              <w:rPr>
                <w:rFonts w:ascii="Arial Narrow" w:hAnsi="Arial Narrow"/>
                <w:sz w:val="20"/>
              </w:rPr>
            </w:pPr>
            <w:r w:rsidRPr="00242572">
              <w:rPr>
                <w:rFonts w:ascii="Arial Narrow" w:hAnsi="Arial Narrow"/>
                <w:sz w:val="20"/>
              </w:rPr>
              <w:t>Lamotrigine (22.6%)</w:t>
            </w:r>
          </w:p>
        </w:tc>
        <w:tc>
          <w:tcPr>
            <w:tcW w:w="569"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300 mg</w:t>
            </w:r>
          </w:p>
        </w:tc>
        <w:tc>
          <w:tcPr>
            <w:tcW w:w="847"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3 x 100 mg</w:t>
            </w:r>
          </w:p>
        </w:tc>
        <w:tc>
          <w:tcPr>
            <w:tcW w:w="1074" w:type="pct"/>
            <w:shd w:val="clear" w:color="auto" w:fill="auto"/>
            <w:vAlign w:val="bottom"/>
          </w:tcPr>
          <w:p w:rsidR="00B54462" w:rsidRPr="00242572" w:rsidRDefault="00B54462" w:rsidP="00D20C0D">
            <w:pPr>
              <w:jc w:val="center"/>
              <w:rPr>
                <w:rFonts w:ascii="Arial Narrow" w:hAnsi="Arial Narrow"/>
                <w:sz w:val="20"/>
              </w:rPr>
            </w:pPr>
            <w:r w:rsidRPr="00242572">
              <w:rPr>
                <w:rFonts w:ascii="Arial Narrow" w:hAnsi="Arial Narrow"/>
                <w:sz w:val="20"/>
              </w:rPr>
              <w:t>56 × 100 mg = $</w:t>
            </w:r>
            <w:r w:rsidR="00247FD4">
              <w:rPr>
                <w:rFonts w:ascii="Arial Narrow" w:hAnsi="Arial Narrow"/>
                <w:noProof/>
                <w:color w:val="000000"/>
                <w:sz w:val="20"/>
                <w:highlight w:val="black"/>
              </w:rPr>
              <w:t>'''''''''''''''</w:t>
            </w:r>
          </w:p>
        </w:tc>
        <w:tc>
          <w:tcPr>
            <w:tcW w:w="690"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723" w:type="pct"/>
            <w:vAlign w:val="bottom"/>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1097" w:type="pct"/>
            <w:shd w:val="clear" w:color="auto" w:fill="auto"/>
            <w:noWrap/>
            <w:vAlign w:val="bottom"/>
            <w:hideMark/>
          </w:tcPr>
          <w:p w:rsidR="00B54462" w:rsidRPr="00242572" w:rsidRDefault="00B54462" w:rsidP="00D20C0D">
            <w:pPr>
              <w:rPr>
                <w:rFonts w:ascii="Arial Narrow" w:hAnsi="Arial Narrow"/>
                <w:sz w:val="20"/>
              </w:rPr>
            </w:pPr>
            <w:r w:rsidRPr="00242572">
              <w:rPr>
                <w:rFonts w:ascii="Arial Narrow" w:hAnsi="Arial Narrow"/>
                <w:sz w:val="20"/>
              </w:rPr>
              <w:t>Levetiracetam (36.8%)</w:t>
            </w:r>
          </w:p>
        </w:tc>
        <w:tc>
          <w:tcPr>
            <w:tcW w:w="569"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2000 mg</w:t>
            </w:r>
          </w:p>
        </w:tc>
        <w:tc>
          <w:tcPr>
            <w:tcW w:w="847"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2 x 1000 mg</w:t>
            </w:r>
          </w:p>
        </w:tc>
        <w:tc>
          <w:tcPr>
            <w:tcW w:w="1074" w:type="pct"/>
            <w:shd w:val="clear" w:color="auto" w:fill="auto"/>
            <w:vAlign w:val="bottom"/>
          </w:tcPr>
          <w:p w:rsidR="00B54462" w:rsidRPr="00242572" w:rsidRDefault="00B54462" w:rsidP="00D20C0D">
            <w:pPr>
              <w:jc w:val="center"/>
              <w:rPr>
                <w:rFonts w:ascii="Arial Narrow" w:hAnsi="Arial Narrow"/>
                <w:sz w:val="20"/>
              </w:rPr>
            </w:pPr>
            <w:r w:rsidRPr="00242572">
              <w:rPr>
                <w:rFonts w:ascii="Arial Narrow" w:hAnsi="Arial Narrow"/>
                <w:sz w:val="20"/>
              </w:rPr>
              <w:t>60 × 1000 mg = $</w:t>
            </w:r>
            <w:r w:rsidR="00247FD4">
              <w:rPr>
                <w:rFonts w:ascii="Arial Narrow" w:hAnsi="Arial Narrow"/>
                <w:noProof/>
                <w:color w:val="000000"/>
                <w:sz w:val="20"/>
                <w:highlight w:val="black"/>
              </w:rPr>
              <w:t>'''''''''''''''</w:t>
            </w:r>
          </w:p>
        </w:tc>
        <w:tc>
          <w:tcPr>
            <w:tcW w:w="690"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723" w:type="pct"/>
            <w:vAlign w:val="bottom"/>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1097" w:type="pct"/>
            <w:shd w:val="clear" w:color="auto" w:fill="auto"/>
            <w:noWrap/>
            <w:vAlign w:val="bottom"/>
            <w:hideMark/>
          </w:tcPr>
          <w:p w:rsidR="00B54462" w:rsidRPr="00242572" w:rsidRDefault="00B54462" w:rsidP="00D20C0D">
            <w:pPr>
              <w:rPr>
                <w:rFonts w:ascii="Arial Narrow" w:hAnsi="Arial Narrow"/>
                <w:sz w:val="20"/>
              </w:rPr>
            </w:pPr>
            <w:r w:rsidRPr="00242572">
              <w:rPr>
                <w:rFonts w:ascii="Arial Narrow" w:hAnsi="Arial Narrow"/>
                <w:sz w:val="20"/>
              </w:rPr>
              <w:t>Topiramate (10.3%)</w:t>
            </w:r>
          </w:p>
        </w:tc>
        <w:tc>
          <w:tcPr>
            <w:tcW w:w="569"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300 mg</w:t>
            </w:r>
          </w:p>
        </w:tc>
        <w:tc>
          <w:tcPr>
            <w:tcW w:w="847"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3 x 100 mg</w:t>
            </w:r>
          </w:p>
        </w:tc>
        <w:tc>
          <w:tcPr>
            <w:tcW w:w="1074" w:type="pct"/>
            <w:shd w:val="clear" w:color="auto" w:fill="auto"/>
            <w:vAlign w:val="bottom"/>
          </w:tcPr>
          <w:p w:rsidR="00B54462" w:rsidRPr="00242572" w:rsidRDefault="00B54462" w:rsidP="00D20C0D">
            <w:pPr>
              <w:jc w:val="center"/>
              <w:rPr>
                <w:rFonts w:ascii="Arial Narrow" w:hAnsi="Arial Narrow"/>
                <w:sz w:val="20"/>
              </w:rPr>
            </w:pPr>
            <w:r w:rsidRPr="00242572">
              <w:rPr>
                <w:rFonts w:ascii="Arial Narrow" w:hAnsi="Arial Narrow"/>
                <w:sz w:val="20"/>
              </w:rPr>
              <w:t>60 × 100 mg = $</w:t>
            </w:r>
            <w:r w:rsidR="00247FD4">
              <w:rPr>
                <w:rFonts w:ascii="Arial Narrow" w:hAnsi="Arial Narrow"/>
                <w:noProof/>
                <w:color w:val="000000"/>
                <w:sz w:val="20"/>
                <w:highlight w:val="black"/>
              </w:rPr>
              <w:t>'''''''''''''</w:t>
            </w:r>
          </w:p>
        </w:tc>
        <w:tc>
          <w:tcPr>
            <w:tcW w:w="690"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723" w:type="pct"/>
            <w:vAlign w:val="bottom"/>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D20C0D">
        <w:tc>
          <w:tcPr>
            <w:tcW w:w="1097" w:type="pct"/>
            <w:shd w:val="clear" w:color="auto" w:fill="auto"/>
            <w:noWrap/>
            <w:vAlign w:val="bottom"/>
            <w:hideMark/>
          </w:tcPr>
          <w:p w:rsidR="00B54462" w:rsidRPr="00242572" w:rsidRDefault="00B54462" w:rsidP="00D20C0D">
            <w:pPr>
              <w:rPr>
                <w:rFonts w:ascii="Arial Narrow" w:hAnsi="Arial Narrow"/>
                <w:sz w:val="20"/>
              </w:rPr>
            </w:pPr>
            <w:r w:rsidRPr="00242572">
              <w:rPr>
                <w:rFonts w:ascii="Arial Narrow" w:hAnsi="Arial Narrow"/>
                <w:sz w:val="20"/>
              </w:rPr>
              <w:t>Valproate sodium (30.3%)</w:t>
            </w:r>
          </w:p>
        </w:tc>
        <w:tc>
          <w:tcPr>
            <w:tcW w:w="569"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1500 mg</w:t>
            </w:r>
          </w:p>
        </w:tc>
        <w:tc>
          <w:tcPr>
            <w:tcW w:w="847"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3 x 500 mg</w:t>
            </w:r>
          </w:p>
        </w:tc>
        <w:tc>
          <w:tcPr>
            <w:tcW w:w="1074" w:type="pct"/>
            <w:shd w:val="clear" w:color="auto" w:fill="auto"/>
            <w:vAlign w:val="bottom"/>
          </w:tcPr>
          <w:p w:rsidR="00B54462" w:rsidRPr="00242572" w:rsidRDefault="00B54462" w:rsidP="00D20C0D">
            <w:pPr>
              <w:jc w:val="center"/>
              <w:rPr>
                <w:rFonts w:ascii="Arial Narrow" w:hAnsi="Arial Narrow"/>
                <w:sz w:val="20"/>
              </w:rPr>
            </w:pPr>
            <w:r w:rsidRPr="00242572">
              <w:rPr>
                <w:rFonts w:ascii="Arial Narrow" w:hAnsi="Arial Narrow"/>
                <w:sz w:val="20"/>
              </w:rPr>
              <w:t>200 × 500 mg = $</w:t>
            </w:r>
            <w:r w:rsidR="00247FD4">
              <w:rPr>
                <w:rFonts w:ascii="Arial Narrow" w:hAnsi="Arial Narrow"/>
                <w:noProof/>
                <w:color w:val="000000"/>
                <w:sz w:val="20"/>
                <w:highlight w:val="black"/>
              </w:rPr>
              <w:t>''''''''''''''</w:t>
            </w:r>
          </w:p>
        </w:tc>
        <w:tc>
          <w:tcPr>
            <w:tcW w:w="690"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723" w:type="pct"/>
            <w:vAlign w:val="bottom"/>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r w:rsidR="00B54462" w:rsidRPr="00242572" w:rsidTr="000B4E62">
        <w:tc>
          <w:tcPr>
            <w:tcW w:w="3586" w:type="pct"/>
            <w:gridSpan w:val="4"/>
            <w:shd w:val="clear" w:color="auto" w:fill="auto"/>
            <w:noWrap/>
            <w:vAlign w:val="bottom"/>
            <w:hideMark/>
          </w:tcPr>
          <w:p w:rsidR="00B54462" w:rsidRPr="00242572" w:rsidRDefault="00B54462" w:rsidP="00D20C0D">
            <w:pPr>
              <w:rPr>
                <w:rFonts w:ascii="Arial Narrow" w:hAnsi="Arial Narrow"/>
                <w:sz w:val="20"/>
              </w:rPr>
            </w:pPr>
            <w:r w:rsidRPr="00242572">
              <w:rPr>
                <w:rFonts w:ascii="Arial Narrow" w:hAnsi="Arial Narrow"/>
                <w:sz w:val="20"/>
              </w:rPr>
              <w:t>All comparators (100.0%)</w:t>
            </w:r>
          </w:p>
        </w:tc>
        <w:tc>
          <w:tcPr>
            <w:tcW w:w="690" w:type="pct"/>
            <w:shd w:val="clear" w:color="auto" w:fill="auto"/>
            <w:noWrap/>
            <w:vAlign w:val="bottom"/>
            <w:hideMark/>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c>
          <w:tcPr>
            <w:tcW w:w="723" w:type="pct"/>
          </w:tcPr>
          <w:p w:rsidR="00B54462" w:rsidRPr="00242572" w:rsidRDefault="00B54462" w:rsidP="00D20C0D">
            <w:pPr>
              <w:jc w:val="center"/>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bl>
    <w:p w:rsidR="00B54462" w:rsidRPr="00242572" w:rsidRDefault="00B54462" w:rsidP="00B54462">
      <w:pPr>
        <w:pStyle w:val="TableFooter"/>
      </w:pPr>
      <w:r w:rsidRPr="00242572">
        <w:t>Source: Table D.1.2, p186, Section D of the re-submission</w:t>
      </w:r>
    </w:p>
    <w:p w:rsidR="00B54462" w:rsidRPr="00242572" w:rsidRDefault="00B54462" w:rsidP="00B54462">
      <w:pPr>
        <w:pStyle w:val="05-NormalBodyText"/>
        <w:rPr>
          <w:sz w:val="24"/>
        </w:rPr>
      </w:pPr>
    </w:p>
    <w:p w:rsidR="003D291C" w:rsidRPr="00824BC8" w:rsidRDefault="003D291C"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The PSCR (p4) argued the relativities used in the submission were conservative.</w:t>
      </w:r>
    </w:p>
    <w:p w:rsidR="003D291C" w:rsidRPr="00824BC8" w:rsidRDefault="003D291C"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 xml:space="preserve">The ESC noted </w:t>
      </w:r>
      <w:r w:rsidR="000031A4" w:rsidRPr="00824BC8">
        <w:rPr>
          <w:rFonts w:asciiTheme="minorHAnsi" w:hAnsiTheme="minorHAnsi"/>
          <w:sz w:val="24"/>
        </w:rPr>
        <w:t xml:space="preserve">that </w:t>
      </w:r>
      <w:r w:rsidR="00EE4CA7" w:rsidRPr="00824BC8">
        <w:rPr>
          <w:rFonts w:asciiTheme="minorHAnsi" w:hAnsiTheme="minorHAnsi"/>
          <w:sz w:val="24"/>
        </w:rPr>
        <w:t xml:space="preserve">when compared with the trial based doses, </w:t>
      </w:r>
      <w:r w:rsidR="000031A4" w:rsidRPr="00824BC8">
        <w:rPr>
          <w:rFonts w:asciiTheme="minorHAnsi" w:hAnsiTheme="minorHAnsi"/>
          <w:sz w:val="24"/>
        </w:rPr>
        <w:t>the mid-point dose range used in the submission results in a lower cost per day</w:t>
      </w:r>
      <w:r w:rsidR="00D13C5C" w:rsidRPr="00824BC8">
        <w:rPr>
          <w:rFonts w:asciiTheme="minorHAnsi" w:hAnsiTheme="minorHAnsi"/>
          <w:sz w:val="24"/>
        </w:rPr>
        <w:t xml:space="preserve"> for perampanel</w:t>
      </w:r>
      <w:r w:rsidR="000031A4" w:rsidRPr="00824BC8">
        <w:rPr>
          <w:rFonts w:asciiTheme="minorHAnsi" w:hAnsiTheme="minorHAnsi"/>
          <w:sz w:val="24"/>
        </w:rPr>
        <w:t>.</w:t>
      </w:r>
    </w:p>
    <w:p w:rsidR="00B54462" w:rsidRPr="00824BC8" w:rsidRDefault="00B54462" w:rsidP="006441EA">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The respective proportion of lamotrigine, levetiracetam, topiramate, and valproate usage in the treatment of PGTC seizures was estimated from a survey of a limited number of epileptologists (14 respondents with 10 completions). Given the small number of respondents to these questions, heterogeneity in responses to each question, and the uncertain representativeness of the respondents to the Australian epilepsy treating clinicians, the results of the survey may not be applicable to Australian clinical practice.</w:t>
      </w:r>
    </w:p>
    <w:p w:rsidR="003D291C" w:rsidRPr="00824BC8" w:rsidRDefault="003D291C" w:rsidP="0069289B">
      <w:pPr>
        <w:pStyle w:val="ListParagraph"/>
        <w:widowControl/>
        <w:numPr>
          <w:ilvl w:val="1"/>
          <w:numId w:val="3"/>
        </w:numPr>
        <w:spacing w:after="120"/>
        <w:contextualSpacing w:val="0"/>
        <w:rPr>
          <w:rFonts w:asciiTheme="minorHAnsi" w:hAnsiTheme="minorHAnsi"/>
          <w:sz w:val="24"/>
        </w:rPr>
      </w:pPr>
      <w:r w:rsidRPr="00824BC8">
        <w:rPr>
          <w:rFonts w:asciiTheme="minorHAnsi" w:hAnsiTheme="minorHAnsi"/>
          <w:sz w:val="24"/>
        </w:rPr>
        <w:t xml:space="preserve">The PSCR (p4) argued the PBS price for levetiracetam is </w:t>
      </w:r>
      <w:r w:rsidR="0069289B" w:rsidRPr="00824BC8">
        <w:rPr>
          <w:rFonts w:asciiTheme="minorHAnsi" w:hAnsiTheme="minorHAnsi"/>
          <w:sz w:val="24"/>
        </w:rPr>
        <w:t xml:space="preserve">now </w:t>
      </w:r>
      <w:r w:rsidRPr="00824BC8">
        <w:rPr>
          <w:rFonts w:asciiTheme="minorHAnsi" w:hAnsiTheme="minorHAnsi"/>
          <w:sz w:val="24"/>
        </w:rPr>
        <w:t>significantly lower than the price proposed in the submission for treatment of epilepsy with PGTC seizures</w:t>
      </w:r>
      <w:r w:rsidR="0069289B" w:rsidRPr="00824BC8">
        <w:rPr>
          <w:rFonts w:asciiTheme="minorHAnsi" w:hAnsiTheme="minorHAnsi"/>
          <w:sz w:val="24"/>
        </w:rPr>
        <w:t xml:space="preserve"> which was recommended for listing by PBAC in November 2008</w:t>
      </w:r>
      <w:r w:rsidRPr="00824BC8">
        <w:rPr>
          <w:rFonts w:asciiTheme="minorHAnsi" w:hAnsiTheme="minorHAnsi"/>
          <w:sz w:val="24"/>
        </w:rPr>
        <w:t xml:space="preserve">. This is due to levetiracetam being </w:t>
      </w:r>
      <w:r w:rsidR="006B42F3" w:rsidRPr="00824BC8">
        <w:rPr>
          <w:rFonts w:asciiTheme="minorHAnsi" w:hAnsiTheme="minorHAnsi"/>
          <w:sz w:val="24"/>
        </w:rPr>
        <w:t>an</w:t>
      </w:r>
      <w:r w:rsidRPr="00824BC8">
        <w:rPr>
          <w:rFonts w:asciiTheme="minorHAnsi" w:hAnsiTheme="minorHAnsi"/>
          <w:sz w:val="24"/>
        </w:rPr>
        <w:t xml:space="preserve"> F2 and having taken multiple rounds of price disclosure.</w:t>
      </w:r>
      <w:r w:rsidR="0069289B" w:rsidRPr="00824BC8">
        <w:rPr>
          <w:rFonts w:asciiTheme="minorHAnsi" w:hAnsiTheme="minorHAnsi"/>
          <w:sz w:val="24"/>
        </w:rPr>
        <w:t xml:space="preserve"> </w:t>
      </w:r>
    </w:p>
    <w:p w:rsidR="00B54462" w:rsidRPr="00242572" w:rsidRDefault="00B54462" w:rsidP="00B54462">
      <w:pPr>
        <w:spacing w:after="120"/>
        <w:rPr>
          <w:rFonts w:asciiTheme="minorHAnsi" w:hAnsiTheme="minorHAnsi"/>
          <w:sz w:val="24"/>
          <w:u w:val="single"/>
        </w:rPr>
      </w:pPr>
      <w:r w:rsidRPr="00242572">
        <w:rPr>
          <w:rFonts w:asciiTheme="minorHAnsi" w:hAnsiTheme="minorHAnsi"/>
          <w:sz w:val="24"/>
          <w:u w:val="single"/>
        </w:rPr>
        <w:t>Determination of the weighted price for perampanel</w:t>
      </w:r>
    </w:p>
    <w:p w:rsidR="007E046D" w:rsidRDefault="00B54462" w:rsidP="007E046D">
      <w:pPr>
        <w:pStyle w:val="ListParagraph"/>
        <w:numPr>
          <w:ilvl w:val="1"/>
          <w:numId w:val="3"/>
        </w:numPr>
        <w:spacing w:after="120"/>
        <w:rPr>
          <w:rFonts w:asciiTheme="minorHAnsi" w:hAnsiTheme="minorHAnsi"/>
          <w:sz w:val="24"/>
        </w:rPr>
      </w:pPr>
      <w:r w:rsidRPr="00F258EB">
        <w:rPr>
          <w:rFonts w:asciiTheme="minorHAnsi" w:hAnsiTheme="minorHAnsi"/>
          <w:sz w:val="24"/>
        </w:rPr>
        <w:t xml:space="preserve">The results of both the cost-minimisation and cost-utility analyses were used to calculate a weighted ex-manufacturer price of 8mg perampanel. The proportion of expected use of perampanel as a substituted drug (perampanel </w:t>
      </w:r>
      <w:r w:rsidR="002A4752" w:rsidRPr="00F258EB">
        <w:rPr>
          <w:rFonts w:asciiTheme="minorHAnsi" w:hAnsiTheme="minorHAnsi"/>
          <w:sz w:val="24"/>
        </w:rPr>
        <w:t>vs.</w:t>
      </w:r>
      <w:r w:rsidRPr="00F258EB">
        <w:rPr>
          <w:rFonts w:asciiTheme="minorHAnsi" w:hAnsiTheme="minorHAnsi"/>
          <w:sz w:val="24"/>
        </w:rPr>
        <w:t xml:space="preserve"> other AEDs), and as a last-line therapy (perampanel </w:t>
      </w:r>
      <w:r w:rsidR="002A4752" w:rsidRPr="00F258EB">
        <w:rPr>
          <w:rFonts w:asciiTheme="minorHAnsi" w:hAnsiTheme="minorHAnsi"/>
          <w:sz w:val="24"/>
        </w:rPr>
        <w:t>vs.</w:t>
      </w:r>
      <w:r w:rsidRPr="00F258EB">
        <w:rPr>
          <w:rFonts w:asciiTheme="minorHAnsi" w:hAnsiTheme="minorHAnsi"/>
          <w:sz w:val="24"/>
        </w:rPr>
        <w:t xml:space="preserve"> placebo) were obtained from a survey of epileptologists conducted by the re-submission, and used to weight the proposed price of perampanel.</w:t>
      </w:r>
      <w:r w:rsidR="00F258EB">
        <w:rPr>
          <w:rFonts w:asciiTheme="minorHAnsi" w:hAnsiTheme="minorHAnsi"/>
          <w:sz w:val="24"/>
        </w:rPr>
        <w:t xml:space="preserve"> </w:t>
      </w:r>
      <w:r w:rsidR="00511D49">
        <w:rPr>
          <w:rFonts w:asciiTheme="minorHAnsi" w:hAnsiTheme="minorHAnsi"/>
          <w:sz w:val="24"/>
        </w:rPr>
        <w:t>As</w:t>
      </w:r>
      <w:r w:rsidR="00F258EB">
        <w:rPr>
          <w:rFonts w:asciiTheme="minorHAnsi" w:hAnsiTheme="minorHAnsi"/>
          <w:sz w:val="24"/>
        </w:rPr>
        <w:t xml:space="preserve"> noted</w:t>
      </w:r>
      <w:r w:rsidR="00511D49">
        <w:rPr>
          <w:rFonts w:asciiTheme="minorHAnsi" w:hAnsiTheme="minorHAnsi"/>
          <w:sz w:val="24"/>
        </w:rPr>
        <w:t xml:space="preserve"> above,</w:t>
      </w:r>
      <w:r w:rsidR="00162110">
        <w:rPr>
          <w:rFonts w:asciiTheme="minorHAnsi" w:hAnsiTheme="minorHAnsi"/>
          <w:sz w:val="24"/>
        </w:rPr>
        <w:t xml:space="preserve"> </w:t>
      </w:r>
      <w:r w:rsidR="00F258EB" w:rsidRPr="00F258EB">
        <w:rPr>
          <w:rFonts w:asciiTheme="minorHAnsi" w:hAnsiTheme="minorHAnsi"/>
          <w:sz w:val="24"/>
        </w:rPr>
        <w:t>the</w:t>
      </w:r>
      <w:r w:rsidR="00511D49">
        <w:rPr>
          <w:rFonts w:asciiTheme="minorHAnsi" w:hAnsiTheme="minorHAnsi"/>
          <w:sz w:val="24"/>
        </w:rPr>
        <w:t xml:space="preserve"> evaluation considered that the</w:t>
      </w:r>
      <w:r w:rsidR="00F258EB" w:rsidRPr="00F258EB">
        <w:rPr>
          <w:rFonts w:asciiTheme="minorHAnsi" w:hAnsiTheme="minorHAnsi"/>
          <w:sz w:val="24"/>
        </w:rPr>
        <w:t xml:space="preserve"> results from the survey may not reflect Australian clinical practice. </w:t>
      </w:r>
    </w:p>
    <w:p w:rsidR="007E046D" w:rsidRPr="007E046D" w:rsidRDefault="007E046D" w:rsidP="007E046D">
      <w:pPr>
        <w:pStyle w:val="ListParagraph"/>
        <w:spacing w:after="120"/>
        <w:rPr>
          <w:rFonts w:asciiTheme="minorHAnsi" w:hAnsiTheme="minorHAnsi"/>
          <w:sz w:val="24"/>
        </w:rPr>
      </w:pPr>
    </w:p>
    <w:p w:rsidR="001D3F0D" w:rsidRDefault="001D3F0D" w:rsidP="001D3F0D">
      <w:pPr>
        <w:pStyle w:val="ListParagraph"/>
        <w:widowControl/>
        <w:numPr>
          <w:ilvl w:val="1"/>
          <w:numId w:val="3"/>
        </w:numPr>
        <w:spacing w:after="120"/>
        <w:contextualSpacing w:val="0"/>
        <w:rPr>
          <w:rFonts w:asciiTheme="minorHAnsi" w:hAnsiTheme="minorHAnsi"/>
          <w:sz w:val="24"/>
        </w:rPr>
      </w:pPr>
      <w:r w:rsidRPr="001D3F0D">
        <w:rPr>
          <w:rFonts w:asciiTheme="minorHAnsi" w:hAnsiTheme="minorHAnsi"/>
          <w:sz w:val="24"/>
        </w:rPr>
        <w:t>The pre-PBAC Response argued that the survey included a significant proportion of the estimated 30-40 neurologists who wholly treat epilepsy across Australia (26 clinicians - 20 epileptologists and 6 paediatric neurologists) and that the response rate was high. It further noted that as the restriction requires perampanel treatment to be initiated by a neurologist that this sample is representative of those who would be initiating treatment in Australia.</w:t>
      </w:r>
    </w:p>
    <w:p w:rsidR="00FD58AA" w:rsidRPr="00824BC8" w:rsidRDefault="00FD58AA" w:rsidP="004738B2">
      <w:pPr>
        <w:ind w:left="993"/>
        <w:contextualSpacing/>
        <w:rPr>
          <w:rFonts w:asciiTheme="minorHAnsi" w:hAnsiTheme="minorHAnsi"/>
          <w:sz w:val="24"/>
          <w:szCs w:val="24"/>
        </w:rPr>
      </w:pPr>
    </w:p>
    <w:p w:rsidR="00BC57AC" w:rsidRPr="00162110" w:rsidRDefault="001D3F0D" w:rsidP="00162110">
      <w:pPr>
        <w:pStyle w:val="ListParagraph"/>
        <w:widowControl/>
        <w:numPr>
          <w:ilvl w:val="1"/>
          <w:numId w:val="3"/>
        </w:numPr>
        <w:spacing w:after="120"/>
        <w:contextualSpacing w:val="0"/>
        <w:rPr>
          <w:rFonts w:asciiTheme="minorHAnsi" w:hAnsiTheme="minorHAnsi"/>
          <w:sz w:val="24"/>
        </w:rPr>
      </w:pPr>
      <w:r>
        <w:rPr>
          <w:rFonts w:asciiTheme="minorHAnsi" w:hAnsiTheme="minorHAnsi"/>
          <w:sz w:val="24"/>
        </w:rPr>
        <w:t>T</w:t>
      </w:r>
      <w:r w:rsidR="000B1FB6" w:rsidRPr="00824BC8">
        <w:rPr>
          <w:rFonts w:asciiTheme="minorHAnsi" w:hAnsiTheme="minorHAnsi"/>
          <w:sz w:val="24"/>
        </w:rPr>
        <w:t xml:space="preserve">he </w:t>
      </w:r>
      <w:r w:rsidR="0044191B">
        <w:rPr>
          <w:rFonts w:asciiTheme="minorHAnsi" w:hAnsiTheme="minorHAnsi"/>
          <w:sz w:val="24"/>
        </w:rPr>
        <w:t>PBAC agreed</w:t>
      </w:r>
      <w:r w:rsidR="000B1FB6" w:rsidRPr="00824BC8">
        <w:rPr>
          <w:rFonts w:asciiTheme="minorHAnsi" w:hAnsiTheme="minorHAnsi"/>
          <w:sz w:val="24"/>
        </w:rPr>
        <w:t xml:space="preserve"> </w:t>
      </w:r>
      <w:r w:rsidR="0044191B">
        <w:rPr>
          <w:rFonts w:asciiTheme="minorHAnsi" w:hAnsiTheme="minorHAnsi"/>
          <w:sz w:val="24"/>
        </w:rPr>
        <w:t xml:space="preserve">with </w:t>
      </w:r>
      <w:r>
        <w:rPr>
          <w:rFonts w:asciiTheme="minorHAnsi" w:hAnsiTheme="minorHAnsi"/>
          <w:sz w:val="24"/>
        </w:rPr>
        <w:t xml:space="preserve">its </w:t>
      </w:r>
      <w:r w:rsidR="0044191B">
        <w:rPr>
          <w:rFonts w:asciiTheme="minorHAnsi" w:hAnsiTheme="minorHAnsi"/>
          <w:sz w:val="24"/>
        </w:rPr>
        <w:t xml:space="preserve">ESC that </w:t>
      </w:r>
      <w:r w:rsidR="000B1FB6" w:rsidRPr="00824BC8">
        <w:rPr>
          <w:rFonts w:asciiTheme="minorHAnsi" w:hAnsiTheme="minorHAnsi"/>
          <w:sz w:val="24"/>
        </w:rPr>
        <w:t xml:space="preserve">the survey of </w:t>
      </w:r>
      <w:r w:rsidR="006B42F3" w:rsidRPr="00824BC8">
        <w:rPr>
          <w:rFonts w:asciiTheme="minorHAnsi" w:hAnsiTheme="minorHAnsi"/>
          <w:sz w:val="24"/>
          <w:szCs w:val="24"/>
        </w:rPr>
        <w:t>epileptologists</w:t>
      </w:r>
      <w:r w:rsidR="006B42F3" w:rsidRPr="00824BC8">
        <w:rPr>
          <w:rFonts w:asciiTheme="minorHAnsi" w:hAnsiTheme="minorHAnsi"/>
          <w:sz w:val="24"/>
        </w:rPr>
        <w:t xml:space="preserve"> </w:t>
      </w:r>
      <w:r w:rsidR="000B1FB6" w:rsidRPr="00824BC8">
        <w:rPr>
          <w:rFonts w:asciiTheme="minorHAnsi" w:hAnsiTheme="minorHAnsi"/>
          <w:sz w:val="24"/>
        </w:rPr>
        <w:t>is likely to give an overestimate of the proportion of ‘last line substitution’.</w:t>
      </w:r>
      <w:r w:rsidR="0044191B">
        <w:rPr>
          <w:rFonts w:asciiTheme="minorHAnsi" w:hAnsiTheme="minorHAnsi"/>
          <w:sz w:val="24"/>
        </w:rPr>
        <w:t xml:space="preserve"> The PBAC considered that the proportion of pera</w:t>
      </w:r>
      <w:r w:rsidR="00F66242">
        <w:rPr>
          <w:rFonts w:asciiTheme="minorHAnsi" w:hAnsiTheme="minorHAnsi"/>
          <w:sz w:val="24"/>
        </w:rPr>
        <w:t>m</w:t>
      </w:r>
      <w:r w:rsidR="0044191B">
        <w:rPr>
          <w:rFonts w:asciiTheme="minorHAnsi" w:hAnsiTheme="minorHAnsi"/>
          <w:sz w:val="24"/>
        </w:rPr>
        <w:t>pan</w:t>
      </w:r>
      <w:r w:rsidR="00F66242">
        <w:rPr>
          <w:rFonts w:asciiTheme="minorHAnsi" w:hAnsiTheme="minorHAnsi"/>
          <w:sz w:val="24"/>
        </w:rPr>
        <w:t>e</w:t>
      </w:r>
      <w:r w:rsidR="0044191B">
        <w:rPr>
          <w:rFonts w:asciiTheme="minorHAnsi" w:hAnsiTheme="minorHAnsi"/>
          <w:sz w:val="24"/>
        </w:rPr>
        <w:t>l use in last-line vs earlier line treatment should be 30-40% and 60-70% respecitively.</w:t>
      </w:r>
      <w:r w:rsidR="0044191B">
        <w:rPr>
          <w:rStyle w:val="FootnoteReference"/>
          <w:rFonts w:asciiTheme="minorHAnsi" w:hAnsiTheme="minorHAnsi"/>
          <w:sz w:val="24"/>
        </w:rPr>
        <w:footnoteReference w:id="5"/>
      </w:r>
      <w:r w:rsidR="0044191B">
        <w:rPr>
          <w:rFonts w:asciiTheme="minorHAnsi" w:hAnsiTheme="minorHAnsi"/>
          <w:sz w:val="24"/>
        </w:rPr>
        <w:t xml:space="preserve"> </w:t>
      </w: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w:t>
      </w:r>
      <w:r w:rsidR="001D3F0D">
        <w:rPr>
          <w:rFonts w:asciiTheme="minorHAnsi" w:hAnsiTheme="minorHAnsi"/>
          <w:sz w:val="24"/>
        </w:rPr>
        <w:t xml:space="preserve"> submission’s proposed</w:t>
      </w:r>
      <w:r w:rsidRPr="00242572">
        <w:rPr>
          <w:rFonts w:asciiTheme="minorHAnsi" w:hAnsiTheme="minorHAnsi"/>
          <w:sz w:val="24"/>
        </w:rPr>
        <w:t xml:space="preserve"> weighted price of perampanel is summarised in Table </w:t>
      </w:r>
      <w:r w:rsidR="00823DC6" w:rsidRPr="00242572">
        <w:rPr>
          <w:rFonts w:asciiTheme="minorHAnsi" w:hAnsiTheme="minorHAnsi"/>
          <w:sz w:val="24"/>
        </w:rPr>
        <w:t>1</w:t>
      </w:r>
      <w:r w:rsidR="002607F5" w:rsidRPr="00242572">
        <w:rPr>
          <w:rFonts w:asciiTheme="minorHAnsi" w:hAnsiTheme="minorHAnsi"/>
          <w:sz w:val="24"/>
        </w:rPr>
        <w:t>4</w:t>
      </w:r>
      <w:r w:rsidR="00A46F81" w:rsidRPr="00242572">
        <w:rPr>
          <w:rFonts w:asciiTheme="minorHAnsi" w:hAnsiTheme="minorHAnsi"/>
          <w:sz w:val="24"/>
        </w:rPr>
        <w:t>.</w:t>
      </w:r>
    </w:p>
    <w:p w:rsidR="000B634D" w:rsidRDefault="000B634D" w:rsidP="000B634D">
      <w:pPr>
        <w:pStyle w:val="Caption"/>
      </w:pPr>
      <w:r>
        <w:t xml:space="preserve">Table </w:t>
      </w:r>
      <w:fldSimple w:instr=" SEQ Table \* ARABIC ">
        <w:r>
          <w:rPr>
            <w:noProof/>
          </w:rPr>
          <w:t>14</w:t>
        </w:r>
      </w:fldSimple>
      <w:r w:rsidRPr="004D123E">
        <w:t>: Weighted price of perampanel</w:t>
      </w:r>
    </w:p>
    <w:tbl>
      <w:tblPr>
        <w:tblStyle w:val="TableGrid2"/>
        <w:tblW w:w="5000" w:type="pct"/>
        <w:tblLook w:val="04A0" w:firstRow="1" w:lastRow="0" w:firstColumn="1" w:lastColumn="0" w:noHBand="0" w:noVBand="1"/>
        <w:tblCaption w:val="Weighted price of perampanel"/>
      </w:tblPr>
      <w:tblGrid>
        <w:gridCol w:w="3079"/>
        <w:gridCol w:w="3082"/>
        <w:gridCol w:w="3082"/>
      </w:tblGrid>
      <w:tr w:rsidR="00B54462" w:rsidRPr="00242572" w:rsidTr="00985386">
        <w:trPr>
          <w:tblHeader/>
        </w:trPr>
        <w:tc>
          <w:tcPr>
            <w:tcW w:w="1666" w:type="pct"/>
          </w:tcPr>
          <w:p w:rsidR="00B54462" w:rsidRPr="00242572" w:rsidRDefault="00B54462" w:rsidP="00D20C0D">
            <w:pPr>
              <w:pStyle w:val="V50Tablename"/>
              <w:jc w:val="center"/>
              <w:rPr>
                <w:rFonts w:ascii="Arial Narrow" w:hAnsi="Arial Narrow"/>
                <w:szCs w:val="20"/>
              </w:rPr>
            </w:pPr>
            <w:r w:rsidRPr="00242572">
              <w:rPr>
                <w:rFonts w:ascii="Arial Narrow" w:hAnsi="Arial Narrow"/>
                <w:szCs w:val="20"/>
              </w:rPr>
              <w:t>Setting</w:t>
            </w:r>
          </w:p>
        </w:tc>
        <w:tc>
          <w:tcPr>
            <w:tcW w:w="1667" w:type="pct"/>
          </w:tcPr>
          <w:p w:rsidR="00B54462" w:rsidRPr="00242572" w:rsidRDefault="00B54462" w:rsidP="00D20C0D">
            <w:pPr>
              <w:pStyle w:val="ListParagraph"/>
              <w:ind w:left="0"/>
              <w:jc w:val="center"/>
              <w:rPr>
                <w:rFonts w:ascii="Arial Narrow" w:hAnsi="Arial Narrow"/>
                <w:b/>
                <w:sz w:val="20"/>
              </w:rPr>
            </w:pPr>
            <w:r w:rsidRPr="00242572">
              <w:rPr>
                <w:rFonts w:ascii="Arial Narrow" w:hAnsi="Arial Narrow"/>
                <w:b/>
                <w:sz w:val="20"/>
              </w:rPr>
              <w:t>Proportion of perampanel use</w:t>
            </w:r>
          </w:p>
        </w:tc>
        <w:tc>
          <w:tcPr>
            <w:tcW w:w="1667" w:type="pct"/>
          </w:tcPr>
          <w:p w:rsidR="00B54462" w:rsidRPr="00242572" w:rsidRDefault="00B54462" w:rsidP="00D20C0D">
            <w:pPr>
              <w:pStyle w:val="ListParagraph"/>
              <w:ind w:left="0"/>
              <w:jc w:val="center"/>
              <w:rPr>
                <w:rFonts w:ascii="Arial Narrow" w:hAnsi="Arial Narrow"/>
                <w:b/>
                <w:sz w:val="20"/>
              </w:rPr>
            </w:pPr>
            <w:r w:rsidRPr="00242572">
              <w:rPr>
                <w:rFonts w:ascii="Arial Narrow" w:hAnsi="Arial Narrow"/>
                <w:b/>
                <w:sz w:val="20"/>
              </w:rPr>
              <w:t>Ex-manufacturer Price of perampanel 8mg/day</w:t>
            </w:r>
          </w:p>
        </w:tc>
      </w:tr>
      <w:tr w:rsidR="00B54462" w:rsidRPr="00242572" w:rsidTr="00D20C0D">
        <w:tc>
          <w:tcPr>
            <w:tcW w:w="1666" w:type="pct"/>
          </w:tcPr>
          <w:p w:rsidR="00B54462" w:rsidRPr="00242572" w:rsidRDefault="00B54462" w:rsidP="00D20C0D">
            <w:pPr>
              <w:pStyle w:val="ListParagraph"/>
              <w:ind w:left="0"/>
              <w:rPr>
                <w:rFonts w:ascii="Arial Narrow" w:hAnsi="Arial Narrow"/>
                <w:sz w:val="20"/>
              </w:rPr>
            </w:pPr>
            <w:r w:rsidRPr="00242572">
              <w:rPr>
                <w:rFonts w:ascii="Arial Narrow" w:hAnsi="Arial Narrow"/>
                <w:sz w:val="20"/>
              </w:rPr>
              <w:t>Last line (versus placebo)</w:t>
            </w:r>
          </w:p>
        </w:tc>
        <w:tc>
          <w:tcPr>
            <w:tcW w:w="1667" w:type="pct"/>
          </w:tcPr>
          <w:p w:rsidR="00B54462" w:rsidRPr="00242572" w:rsidRDefault="00B54462" w:rsidP="00D20C0D">
            <w:pPr>
              <w:pStyle w:val="ListParagraph"/>
              <w:ind w:left="0"/>
              <w:jc w:val="center"/>
              <w:rPr>
                <w:rFonts w:ascii="Arial Narrow" w:hAnsi="Arial Narrow"/>
                <w:sz w:val="20"/>
              </w:rPr>
            </w:pPr>
            <w:r w:rsidRPr="00242572">
              <w:rPr>
                <w:rFonts w:ascii="Arial Narrow" w:hAnsi="Arial Narrow"/>
                <w:sz w:val="20"/>
              </w:rPr>
              <w:t>76.1%^</w:t>
            </w:r>
          </w:p>
        </w:tc>
        <w:tc>
          <w:tcPr>
            <w:tcW w:w="1667" w:type="pct"/>
          </w:tcPr>
          <w:p w:rsidR="00B54462" w:rsidRPr="00242572" w:rsidRDefault="00B54462" w:rsidP="00D20C0D">
            <w:pPr>
              <w:pStyle w:val="ListParagraph"/>
              <w:ind w:left="0"/>
              <w:jc w:val="right"/>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r w:rsidRPr="001051BB">
              <w:rPr>
                <w:rFonts w:ascii="Arial Narrow" w:hAnsi="Arial Narrow"/>
                <w:sz w:val="20"/>
              </w:rPr>
              <w:t>*</w:t>
            </w:r>
          </w:p>
        </w:tc>
      </w:tr>
      <w:tr w:rsidR="00B54462" w:rsidRPr="00242572" w:rsidTr="00D20C0D">
        <w:tc>
          <w:tcPr>
            <w:tcW w:w="1666" w:type="pct"/>
          </w:tcPr>
          <w:p w:rsidR="00B54462" w:rsidRPr="00242572" w:rsidRDefault="00B54462" w:rsidP="00D20C0D">
            <w:pPr>
              <w:pStyle w:val="ListParagraph"/>
              <w:ind w:left="0"/>
              <w:rPr>
                <w:rFonts w:ascii="Arial Narrow" w:hAnsi="Arial Narrow"/>
                <w:sz w:val="20"/>
              </w:rPr>
            </w:pPr>
            <w:r w:rsidRPr="00242572">
              <w:rPr>
                <w:rFonts w:ascii="Arial Narrow" w:hAnsi="Arial Narrow"/>
                <w:sz w:val="20"/>
              </w:rPr>
              <w:t>Earlier line (versus other AEDs)</w:t>
            </w:r>
          </w:p>
        </w:tc>
        <w:tc>
          <w:tcPr>
            <w:tcW w:w="1667" w:type="pct"/>
          </w:tcPr>
          <w:p w:rsidR="00B54462" w:rsidRPr="00242572" w:rsidRDefault="00B54462" w:rsidP="00D20C0D">
            <w:pPr>
              <w:pStyle w:val="ListParagraph"/>
              <w:ind w:left="0"/>
              <w:jc w:val="center"/>
              <w:rPr>
                <w:rFonts w:ascii="Arial Narrow" w:hAnsi="Arial Narrow"/>
                <w:sz w:val="20"/>
              </w:rPr>
            </w:pPr>
            <w:r w:rsidRPr="00242572">
              <w:rPr>
                <w:rFonts w:ascii="Arial Narrow" w:hAnsi="Arial Narrow"/>
                <w:sz w:val="20"/>
              </w:rPr>
              <w:t>23.9%^</w:t>
            </w:r>
          </w:p>
        </w:tc>
        <w:tc>
          <w:tcPr>
            <w:tcW w:w="1667" w:type="pct"/>
          </w:tcPr>
          <w:p w:rsidR="00B54462" w:rsidRPr="00242572" w:rsidRDefault="00B54462" w:rsidP="00D20C0D">
            <w:pPr>
              <w:pStyle w:val="ListParagraph"/>
              <w:ind w:left="0"/>
              <w:jc w:val="right"/>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r w:rsidRPr="001051BB">
              <w:rPr>
                <w:rFonts w:ascii="Arial Narrow" w:hAnsi="Arial Narrow"/>
                <w:sz w:val="20"/>
              </w:rPr>
              <w:t>**</w:t>
            </w:r>
          </w:p>
        </w:tc>
      </w:tr>
      <w:tr w:rsidR="00B54462" w:rsidRPr="00242572" w:rsidTr="00D20C0D">
        <w:tc>
          <w:tcPr>
            <w:tcW w:w="3333" w:type="pct"/>
            <w:gridSpan w:val="2"/>
          </w:tcPr>
          <w:p w:rsidR="00B54462" w:rsidRPr="00242572" w:rsidRDefault="00B54462" w:rsidP="00D20C0D">
            <w:pPr>
              <w:pStyle w:val="ListParagraph"/>
              <w:ind w:left="0"/>
              <w:rPr>
                <w:rFonts w:ascii="Arial Narrow" w:hAnsi="Arial Narrow"/>
                <w:sz w:val="20"/>
              </w:rPr>
            </w:pPr>
            <w:r w:rsidRPr="00242572">
              <w:rPr>
                <w:rFonts w:ascii="Arial Narrow" w:hAnsi="Arial Narrow"/>
                <w:sz w:val="20"/>
              </w:rPr>
              <w:t>Weighted</w:t>
            </w:r>
          </w:p>
        </w:tc>
        <w:tc>
          <w:tcPr>
            <w:tcW w:w="1667" w:type="pct"/>
          </w:tcPr>
          <w:p w:rsidR="00B54462" w:rsidRPr="00242572" w:rsidRDefault="00B54462" w:rsidP="00D20C0D">
            <w:pPr>
              <w:pStyle w:val="ListParagraph"/>
              <w:ind w:left="0"/>
              <w:jc w:val="right"/>
              <w:rPr>
                <w:rFonts w:ascii="Arial Narrow" w:hAnsi="Arial Narrow"/>
                <w:sz w:val="20"/>
              </w:rPr>
            </w:pPr>
            <w:r w:rsidRPr="00242572">
              <w:rPr>
                <w:rFonts w:ascii="Arial Narrow" w:hAnsi="Arial Narrow"/>
                <w:sz w:val="20"/>
              </w:rPr>
              <w:t>$</w:t>
            </w:r>
            <w:r w:rsidR="00247FD4">
              <w:rPr>
                <w:rFonts w:ascii="Arial Narrow" w:hAnsi="Arial Narrow"/>
                <w:noProof/>
                <w:color w:val="000000"/>
                <w:sz w:val="20"/>
                <w:highlight w:val="black"/>
              </w:rPr>
              <w:t>''''''''''</w:t>
            </w:r>
          </w:p>
        </w:tc>
      </w:tr>
    </w:tbl>
    <w:p w:rsidR="00B54462" w:rsidRPr="00242572" w:rsidRDefault="00B54462" w:rsidP="00B54462">
      <w:pPr>
        <w:pStyle w:val="TableFooter"/>
      </w:pPr>
      <w:r w:rsidRPr="00242572">
        <w:t>^based on clinician survey (14 respondents with 10 completions)</w:t>
      </w:r>
    </w:p>
    <w:p w:rsidR="00B54462" w:rsidRPr="00242572" w:rsidRDefault="00B54462" w:rsidP="00B54462">
      <w:pPr>
        <w:pStyle w:val="TableFooter"/>
      </w:pPr>
      <w:r w:rsidRPr="00242572">
        <w:t>*The re-submission proposed price used in the cost-utility analysis of perampanel compared with placebo</w:t>
      </w:r>
    </w:p>
    <w:p w:rsidR="00B54462" w:rsidRPr="00242572" w:rsidRDefault="00B54462" w:rsidP="00B54462">
      <w:pPr>
        <w:pStyle w:val="TableFooter"/>
      </w:pPr>
      <w:r w:rsidRPr="00242572">
        <w:t>**weighted price of perampanel derived from cost-minimisation analysis (perampanel versus lamotrigine, levetiracetam, topiramate and valproate)</w:t>
      </w:r>
    </w:p>
    <w:p w:rsidR="00FC3C23" w:rsidRPr="00242572" w:rsidRDefault="00B54462" w:rsidP="00912E36">
      <w:pPr>
        <w:pStyle w:val="TableFooter"/>
      </w:pPr>
      <w:r w:rsidRPr="00242572">
        <w:t>Source: compiled during the evaluation.</w:t>
      </w:r>
    </w:p>
    <w:p w:rsidR="00BC57AC" w:rsidRDefault="00BC57AC" w:rsidP="00B54462">
      <w:pPr>
        <w:pStyle w:val="TableFooter"/>
      </w:pPr>
    </w:p>
    <w:p w:rsidR="00BC57AC" w:rsidRPr="00242572" w:rsidRDefault="00BC57AC" w:rsidP="00B54462">
      <w:pPr>
        <w:pStyle w:val="TableFooter"/>
      </w:pPr>
    </w:p>
    <w:p w:rsidR="00B54462" w:rsidRPr="00242572" w:rsidRDefault="00B54462" w:rsidP="00B54462">
      <w:pPr>
        <w:pStyle w:val="Heading2"/>
        <w:rPr>
          <w:rFonts w:asciiTheme="minorHAnsi" w:hAnsiTheme="minorHAnsi"/>
          <w:i/>
          <w:sz w:val="28"/>
        </w:rPr>
      </w:pPr>
      <w:bookmarkStart w:id="31" w:name="_Toc413139283"/>
      <w:bookmarkStart w:id="32" w:name="_Toc476306893"/>
      <w:bookmarkStart w:id="33" w:name="_Toc482695860"/>
      <w:r w:rsidRPr="00242572">
        <w:rPr>
          <w:rFonts w:asciiTheme="minorHAnsi" w:hAnsiTheme="minorHAnsi"/>
          <w:i/>
          <w:sz w:val="28"/>
        </w:rPr>
        <w:t>Drug cost/patient/</w:t>
      </w:r>
      <w:r w:rsidR="005B6525" w:rsidRPr="00242572">
        <w:rPr>
          <w:rFonts w:asciiTheme="minorHAnsi" w:hAnsiTheme="minorHAnsi"/>
          <w:i/>
          <w:sz w:val="28"/>
        </w:rPr>
        <w:t>year</w:t>
      </w:r>
      <w:r w:rsidRPr="00242572">
        <w:rPr>
          <w:rFonts w:asciiTheme="minorHAnsi" w:hAnsiTheme="minorHAnsi"/>
          <w:i/>
          <w:sz w:val="28"/>
        </w:rPr>
        <w:t>: $</w:t>
      </w:r>
      <w:r w:rsidR="00247FD4">
        <w:rPr>
          <w:rFonts w:asciiTheme="minorHAnsi" w:hAnsiTheme="minorHAnsi"/>
          <w:i/>
          <w:noProof/>
          <w:color w:val="000000"/>
          <w:sz w:val="28"/>
          <w:highlight w:val="black"/>
        </w:rPr>
        <w:t>'''''''''''''''</w:t>
      </w:r>
      <w:r w:rsidR="005B6525" w:rsidRPr="00242572">
        <w:rPr>
          <w:rFonts w:asciiTheme="minorHAnsi" w:hAnsiTheme="minorHAnsi"/>
          <w:i/>
          <w:sz w:val="28"/>
        </w:rPr>
        <w:t xml:space="preserve"> </w:t>
      </w:r>
      <w:bookmarkEnd w:id="31"/>
      <w:bookmarkEnd w:id="32"/>
      <w:r w:rsidR="002607F5" w:rsidRPr="00242572">
        <w:rPr>
          <w:rFonts w:asciiTheme="minorHAnsi" w:hAnsiTheme="minorHAnsi"/>
          <w:i/>
          <w:sz w:val="28"/>
        </w:rPr>
        <w:t>ex-manufacturer</w:t>
      </w:r>
      <w:bookmarkEnd w:id="33"/>
      <w:r w:rsidR="001D3F0D">
        <w:rPr>
          <w:rFonts w:asciiTheme="minorHAnsi" w:hAnsiTheme="minorHAnsi"/>
          <w:i/>
          <w:sz w:val="28"/>
        </w:rPr>
        <w:t xml:space="preserve"> </w:t>
      </w:r>
    </w:p>
    <w:p w:rsidR="00B358BD" w:rsidRPr="00242572" w:rsidRDefault="00B358BD" w:rsidP="00B358BD"/>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bookmarkStart w:id="34" w:name="_Toc413139284"/>
      <w:bookmarkStart w:id="35" w:name="_Toc476306894"/>
      <w:r w:rsidRPr="00242572">
        <w:rPr>
          <w:rFonts w:asciiTheme="minorHAnsi" w:hAnsiTheme="minorHAnsi"/>
          <w:sz w:val="24"/>
        </w:rPr>
        <w:t>The re-submission proposed an ex-manufacturer price for perampanel of $</w:t>
      </w:r>
      <w:r w:rsidR="00247FD4">
        <w:rPr>
          <w:rFonts w:asciiTheme="minorHAnsi" w:hAnsiTheme="minorHAnsi"/>
          <w:noProof/>
          <w:color w:val="000000"/>
          <w:sz w:val="24"/>
          <w:highlight w:val="black"/>
        </w:rPr>
        <w:t>'''''''''</w:t>
      </w:r>
      <w:r w:rsidRPr="00242572">
        <w:rPr>
          <w:rFonts w:asciiTheme="minorHAnsi" w:hAnsiTheme="minorHAnsi"/>
          <w:sz w:val="24"/>
        </w:rPr>
        <w:t>/day (8 mg/day), based on a weighted comparator approach (76.1% of perampanel use in the last line setting compared with placebo and 23.9% as an earlier line of treatment compared with other AEDs). Patients responding to perampanel would be expected to continue taking perampanel indefinitely due to the chronic nature of the disease. This is compared with a daily ex-manufacturer cost of $</w:t>
      </w:r>
      <w:r w:rsidR="00247FD4">
        <w:rPr>
          <w:rFonts w:asciiTheme="minorHAnsi" w:hAnsiTheme="minorHAnsi"/>
          <w:noProof/>
          <w:color w:val="000000"/>
          <w:sz w:val="24"/>
          <w:highlight w:val="black"/>
        </w:rPr>
        <w:t>''''''''</w:t>
      </w:r>
      <w:r w:rsidRPr="00242572">
        <w:rPr>
          <w:rFonts w:asciiTheme="minorHAnsi" w:hAnsiTheme="minorHAnsi"/>
          <w:sz w:val="24"/>
        </w:rPr>
        <w:t xml:space="preserve"> if other AEDs are the only comparators (weighted daily costs of lamotrigine, levetiracetam, topiramate and valproate).</w:t>
      </w:r>
    </w:p>
    <w:p w:rsidR="00B5446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previous submission proposed a daily dispensed price of $</w:t>
      </w:r>
      <w:r w:rsidR="00247FD4">
        <w:rPr>
          <w:rFonts w:asciiTheme="minorHAnsi" w:hAnsiTheme="minorHAnsi"/>
          <w:noProof/>
          <w:color w:val="000000"/>
          <w:sz w:val="24"/>
          <w:highlight w:val="black"/>
        </w:rPr>
        <w:t>'''''''''''</w:t>
      </w:r>
      <w:r w:rsidRPr="00242572">
        <w:rPr>
          <w:rFonts w:asciiTheme="minorHAnsi" w:hAnsiTheme="minorHAnsi"/>
          <w:sz w:val="24"/>
        </w:rPr>
        <w:t>, based on a dispensed price for maximum quantity (DPMQ) of $</w:t>
      </w:r>
      <w:r w:rsidR="00247FD4">
        <w:rPr>
          <w:rFonts w:asciiTheme="minorHAnsi" w:hAnsiTheme="minorHAnsi"/>
          <w:noProof/>
          <w:color w:val="000000"/>
          <w:sz w:val="24"/>
          <w:highlight w:val="black"/>
        </w:rPr>
        <w:t>''''''''''''''</w:t>
      </w:r>
      <w:r w:rsidRPr="00242572">
        <w:rPr>
          <w:rFonts w:asciiTheme="minorHAnsi" w:hAnsiTheme="minorHAnsi"/>
          <w:sz w:val="24"/>
        </w:rPr>
        <w:t xml:space="preserve"> for a pack of 28 tablets.</w:t>
      </w:r>
    </w:p>
    <w:p w:rsidR="00242572" w:rsidRPr="00242572" w:rsidRDefault="00242572" w:rsidP="00242572">
      <w:pPr>
        <w:pStyle w:val="ListParagraph"/>
        <w:widowControl/>
        <w:spacing w:after="120"/>
        <w:contextualSpacing w:val="0"/>
        <w:rPr>
          <w:rFonts w:asciiTheme="minorHAnsi" w:hAnsiTheme="minorHAnsi"/>
          <w:sz w:val="24"/>
        </w:rPr>
      </w:pPr>
    </w:p>
    <w:p w:rsidR="00B54462" w:rsidRPr="00242572" w:rsidRDefault="00B54462" w:rsidP="00B54462">
      <w:pPr>
        <w:pStyle w:val="Heading2"/>
        <w:rPr>
          <w:rFonts w:asciiTheme="minorHAnsi" w:hAnsiTheme="minorHAnsi"/>
          <w:i/>
          <w:sz w:val="28"/>
        </w:rPr>
      </w:pPr>
      <w:bookmarkStart w:id="36" w:name="_Toc482695861"/>
      <w:r w:rsidRPr="00242572">
        <w:rPr>
          <w:rFonts w:asciiTheme="minorHAnsi" w:hAnsiTheme="minorHAnsi"/>
          <w:i/>
          <w:sz w:val="28"/>
        </w:rPr>
        <w:t>Estimated PBS usage &amp; financial implications</w:t>
      </w:r>
      <w:bookmarkEnd w:id="34"/>
      <w:bookmarkEnd w:id="35"/>
      <w:bookmarkEnd w:id="36"/>
    </w:p>
    <w:p w:rsidR="00B54462" w:rsidRPr="00242572" w:rsidRDefault="00B54462" w:rsidP="00B54462">
      <w:pPr>
        <w:rPr>
          <w:rFonts w:asciiTheme="minorHAnsi" w:hAnsiTheme="minorHAnsi"/>
          <w:sz w:val="24"/>
        </w:rPr>
      </w:pP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This re-submission is not being considered by DUSC.  </w:t>
      </w:r>
    </w:p>
    <w:p w:rsidR="00B54462" w:rsidRPr="00242572" w:rsidRDefault="00B54462" w:rsidP="006441EA">
      <w:pPr>
        <w:pStyle w:val="ListParagraph"/>
        <w:widowControl/>
        <w:numPr>
          <w:ilvl w:val="1"/>
          <w:numId w:val="3"/>
        </w:numPr>
        <w:spacing w:before="120" w:after="160"/>
        <w:contextualSpacing w:val="0"/>
        <w:rPr>
          <w:rFonts w:asciiTheme="minorHAnsi" w:hAnsiTheme="minorHAnsi"/>
          <w:sz w:val="24"/>
        </w:rPr>
      </w:pPr>
      <w:r w:rsidRPr="00242572">
        <w:rPr>
          <w:rFonts w:asciiTheme="minorHAnsi" w:hAnsiTheme="minorHAnsi"/>
          <w:sz w:val="24"/>
        </w:rPr>
        <w:t xml:space="preserve">The submission used an epidemiological approach to estimate the financial impact of extending the current PBS listing of perampanel to include patients aged 12 years and older with IGE and PGTC seizures who have failed treatment with at least two AEDs. </w:t>
      </w:r>
    </w:p>
    <w:p w:rsidR="000B634D" w:rsidRDefault="000B634D" w:rsidP="000B634D">
      <w:pPr>
        <w:pStyle w:val="Caption"/>
      </w:pPr>
      <w:r>
        <w:t xml:space="preserve">Table </w:t>
      </w:r>
      <w:fldSimple w:instr=" SEQ Table \* ARABIC ">
        <w:r>
          <w:rPr>
            <w:noProof/>
          </w:rPr>
          <w:t>15</w:t>
        </w:r>
      </w:fldSimple>
      <w:r w:rsidRPr="003F4105">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5"/>
        <w:gridCol w:w="927"/>
        <w:gridCol w:w="927"/>
        <w:gridCol w:w="927"/>
        <w:gridCol w:w="927"/>
        <w:gridCol w:w="924"/>
      </w:tblGrid>
      <w:tr w:rsidR="00B54462" w:rsidRPr="00242572" w:rsidTr="00D20C0D">
        <w:trPr>
          <w:tblHeader/>
        </w:trPr>
        <w:tc>
          <w:tcPr>
            <w:tcW w:w="2437" w:type="pct"/>
            <w:shd w:val="clear" w:color="auto" w:fill="auto"/>
            <w:vAlign w:val="center"/>
          </w:tcPr>
          <w:p w:rsidR="00B54462" w:rsidRPr="00242572" w:rsidRDefault="00B54462" w:rsidP="00DB2644">
            <w:pPr>
              <w:pStyle w:val="TableText1"/>
              <w:keepLines/>
              <w:widowControl w:val="0"/>
              <w:spacing w:before="0" w:after="0"/>
              <w:jc w:val="left"/>
            </w:pPr>
          </w:p>
        </w:tc>
        <w:tc>
          <w:tcPr>
            <w:tcW w:w="513" w:type="pct"/>
            <w:shd w:val="clear" w:color="auto" w:fill="auto"/>
            <w:vAlign w:val="center"/>
          </w:tcPr>
          <w:p w:rsidR="00B54462" w:rsidRPr="00242572" w:rsidRDefault="00B54462" w:rsidP="00DB2644">
            <w:pPr>
              <w:pStyle w:val="TableText1"/>
              <w:keepLines/>
              <w:widowControl w:val="0"/>
              <w:spacing w:before="0" w:after="0"/>
              <w:jc w:val="center"/>
              <w:rPr>
                <w:b/>
              </w:rPr>
            </w:pPr>
            <w:r w:rsidRPr="00242572">
              <w:rPr>
                <w:b/>
              </w:rPr>
              <w:t>Year 1</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
              </w:rPr>
            </w:pPr>
            <w:r w:rsidRPr="00242572">
              <w:rPr>
                <w:b/>
              </w:rPr>
              <w:t>Year 2</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
              </w:rPr>
            </w:pPr>
            <w:r w:rsidRPr="00242572">
              <w:rPr>
                <w:b/>
              </w:rPr>
              <w:t>Year 3</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
              </w:rPr>
            </w:pPr>
            <w:r w:rsidRPr="00242572">
              <w:rPr>
                <w:b/>
              </w:rPr>
              <w:t>Year 4</w:t>
            </w:r>
          </w:p>
        </w:tc>
        <w:tc>
          <w:tcPr>
            <w:tcW w:w="511" w:type="pct"/>
            <w:shd w:val="clear" w:color="auto" w:fill="auto"/>
            <w:vAlign w:val="center"/>
          </w:tcPr>
          <w:p w:rsidR="00B54462" w:rsidRPr="00242572" w:rsidRDefault="00B54462" w:rsidP="00DB2644">
            <w:pPr>
              <w:pStyle w:val="TableText1"/>
              <w:keepLines/>
              <w:widowControl w:val="0"/>
              <w:spacing w:before="0" w:after="0"/>
              <w:jc w:val="center"/>
              <w:rPr>
                <w:b/>
              </w:rPr>
            </w:pPr>
            <w:r w:rsidRPr="00242572">
              <w:rPr>
                <w:b/>
              </w:rPr>
              <w:t>Year 5</w:t>
            </w:r>
          </w:p>
        </w:tc>
      </w:tr>
      <w:tr w:rsidR="00B54462" w:rsidRPr="00242572" w:rsidTr="00D20C0D">
        <w:tc>
          <w:tcPr>
            <w:tcW w:w="5000" w:type="pct"/>
            <w:gridSpan w:val="6"/>
            <w:shd w:val="clear" w:color="auto" w:fill="auto"/>
            <w:vAlign w:val="center"/>
          </w:tcPr>
          <w:p w:rsidR="00B54462" w:rsidRPr="00242572" w:rsidRDefault="00B54462" w:rsidP="00DB2644">
            <w:pPr>
              <w:pStyle w:val="TableText1"/>
              <w:keepLines/>
              <w:widowControl w:val="0"/>
              <w:spacing w:before="0" w:after="0"/>
              <w:jc w:val="left"/>
              <w:rPr>
                <w:b/>
                <w:bCs/>
                <w:color w:val="000000"/>
              </w:rPr>
            </w:pPr>
            <w:r w:rsidRPr="00242572">
              <w:rPr>
                <w:b/>
                <w:bCs/>
                <w:color w:val="000000"/>
              </w:rPr>
              <w:t>Estimated extent of use</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rFonts w:ascii="Times" w:eastAsia="Times New Roman" w:hAnsi="Times" w:cs="Times New Roman"/>
              </w:rPr>
            </w:pPr>
            <w:r w:rsidRPr="00242572">
              <w:t xml:space="preserve">Patients who would add perampanel to last-line </w:t>
            </w:r>
            <w:r w:rsidR="002A4752" w:rsidRPr="00242572">
              <w:t>therapy</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1"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pPr>
            <w:r w:rsidRPr="00242572">
              <w:t>Patients who would use perampanel instead of other AEDs</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1" w:type="pct"/>
            <w:shd w:val="clear" w:color="auto" w:fill="auto"/>
            <w:vAlign w:val="center"/>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pPr>
            <w:r w:rsidRPr="00242572">
              <w:t>Total number of patients</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highlight w:val="black"/>
              </w:rPr>
            </w:pPr>
            <w:r>
              <w:rPr>
                <w:noProof/>
                <w:color w:val="000000"/>
                <w:highlight w:val="black"/>
              </w:rPr>
              <w:t>'''''''''''''</w:t>
            </w:r>
          </w:p>
        </w:tc>
        <w:tc>
          <w:tcPr>
            <w:tcW w:w="513" w:type="pct"/>
            <w:shd w:val="clear" w:color="auto" w:fill="auto"/>
            <w:vAlign w:val="center"/>
          </w:tcPr>
          <w:p w:rsidR="00B54462" w:rsidRPr="00247FD4" w:rsidRDefault="00247FD4" w:rsidP="00DB2644">
            <w:pPr>
              <w:pStyle w:val="TableText1"/>
              <w:keepLines/>
              <w:widowControl w:val="0"/>
              <w:spacing w:before="0" w:after="0"/>
              <w:jc w:val="center"/>
              <w:rPr>
                <w:highlight w:val="black"/>
              </w:rPr>
            </w:pPr>
            <w:r>
              <w:rPr>
                <w:noProof/>
                <w:color w:val="000000"/>
                <w:highlight w:val="black"/>
              </w:rPr>
              <w:t>'''''''''''''</w:t>
            </w:r>
          </w:p>
        </w:tc>
        <w:tc>
          <w:tcPr>
            <w:tcW w:w="511" w:type="pct"/>
            <w:shd w:val="clear" w:color="auto" w:fill="auto"/>
            <w:vAlign w:val="center"/>
          </w:tcPr>
          <w:p w:rsidR="00B54462" w:rsidRPr="00247FD4" w:rsidRDefault="00247FD4" w:rsidP="00DB2644">
            <w:pPr>
              <w:pStyle w:val="TableText1"/>
              <w:keepLines/>
              <w:widowControl w:val="0"/>
              <w:spacing w:before="0" w:after="0"/>
              <w:jc w:val="center"/>
              <w:rPr>
                <w:highlight w:val="black"/>
              </w:rPr>
            </w:pPr>
            <w:r>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rFonts w:ascii="Times" w:eastAsia="Times New Roman" w:hAnsi="Times" w:cs="Times New Roman"/>
              </w:rPr>
            </w:pPr>
            <w:r w:rsidRPr="00242572">
              <w:t xml:space="preserve">Number of scripts </w:t>
            </w:r>
            <w:r w:rsidR="002A4752" w:rsidRPr="00242572">
              <w:t>dispensed</w:t>
            </w:r>
          </w:p>
        </w:tc>
        <w:tc>
          <w:tcPr>
            <w:tcW w:w="513" w:type="pct"/>
            <w:shd w:val="clear" w:color="auto" w:fill="auto"/>
            <w:vAlign w:val="bottom"/>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bottom"/>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bottom"/>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3" w:type="pct"/>
            <w:shd w:val="clear" w:color="auto" w:fill="auto"/>
            <w:vAlign w:val="bottom"/>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c>
          <w:tcPr>
            <w:tcW w:w="511" w:type="pct"/>
            <w:shd w:val="clear" w:color="auto" w:fill="auto"/>
            <w:vAlign w:val="bottom"/>
          </w:tcPr>
          <w:p w:rsidR="00B54462" w:rsidRPr="00247FD4" w:rsidRDefault="00247FD4" w:rsidP="00DB2644">
            <w:pPr>
              <w:pStyle w:val="TableText1"/>
              <w:keepLines/>
              <w:widowControl w:val="0"/>
              <w:spacing w:before="0" w:after="0"/>
              <w:jc w:val="center"/>
              <w:rPr>
                <w:bCs/>
                <w:color w:val="000000"/>
                <w:highlight w:val="black"/>
              </w:rPr>
            </w:pPr>
            <w:r>
              <w:rPr>
                <w:noProof/>
                <w:color w:val="000000"/>
                <w:highlight w:val="black"/>
              </w:rPr>
              <w:t>''''''''''''''''''''</w:t>
            </w:r>
          </w:p>
        </w:tc>
      </w:tr>
      <w:tr w:rsidR="00B54462" w:rsidRPr="00242572" w:rsidTr="00D20C0D">
        <w:tc>
          <w:tcPr>
            <w:tcW w:w="5000" w:type="pct"/>
            <w:gridSpan w:val="6"/>
            <w:shd w:val="clear" w:color="auto" w:fill="auto"/>
            <w:vAlign w:val="center"/>
          </w:tcPr>
          <w:p w:rsidR="00B54462" w:rsidRPr="00242572" w:rsidRDefault="00B54462" w:rsidP="00DB2644">
            <w:pPr>
              <w:pStyle w:val="TableText1"/>
              <w:keepLines/>
              <w:widowControl w:val="0"/>
              <w:spacing w:before="0" w:after="0"/>
              <w:jc w:val="left"/>
              <w:rPr>
                <w:b/>
                <w:bCs/>
                <w:color w:val="000000"/>
              </w:rPr>
            </w:pPr>
            <w:r w:rsidRPr="00242572">
              <w:rPr>
                <w:b/>
                <w:bCs/>
                <w:color w:val="000000"/>
              </w:rPr>
              <w:t>Estimated financial implications of perampanel</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rFonts w:ascii="Times" w:eastAsia="Times New Roman" w:hAnsi="Times" w:cs="Times New Roman"/>
              </w:rPr>
            </w:pPr>
            <w:r w:rsidRPr="00242572">
              <w:rPr>
                <w:sz w:val="19"/>
                <w:szCs w:val="19"/>
              </w:rPr>
              <w:t>Cost to PBS/RPBS</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2A4752" w:rsidP="00DB2644">
            <w:pPr>
              <w:pStyle w:val="TableText1"/>
              <w:keepLines/>
              <w:widowControl w:val="0"/>
              <w:spacing w:before="0" w:after="0"/>
              <w:jc w:val="left"/>
              <w:rPr>
                <w:sz w:val="19"/>
                <w:szCs w:val="19"/>
              </w:rPr>
            </w:pPr>
            <w:r w:rsidRPr="00242572">
              <w:rPr>
                <w:sz w:val="19"/>
                <w:szCs w:val="19"/>
              </w:rPr>
              <w:t>Co-payments</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sz w:val="19"/>
                <w:szCs w:val="19"/>
              </w:rPr>
              <w:t xml:space="preserve">Cost to PBS/RPBS less </w:t>
            </w:r>
            <w:r w:rsidR="002A4752" w:rsidRPr="00242572">
              <w:rPr>
                <w:sz w:val="19"/>
                <w:szCs w:val="19"/>
              </w:rPr>
              <w:t>co-payments</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5000" w:type="pct"/>
            <w:gridSpan w:val="6"/>
            <w:shd w:val="clear" w:color="auto" w:fill="auto"/>
            <w:vAlign w:val="center"/>
          </w:tcPr>
          <w:p w:rsidR="00B54462" w:rsidRPr="00242572" w:rsidRDefault="00B54462" w:rsidP="00DB2644">
            <w:pPr>
              <w:pStyle w:val="TableText1"/>
              <w:keepLines/>
              <w:widowControl w:val="0"/>
              <w:spacing w:before="0" w:after="0"/>
              <w:jc w:val="left"/>
              <w:rPr>
                <w:bCs/>
                <w:color w:val="000000"/>
              </w:rPr>
            </w:pPr>
            <w:r w:rsidRPr="00242572">
              <w:rPr>
                <w:b/>
                <w:bCs/>
                <w:color w:val="000000"/>
              </w:rPr>
              <w:t>Estimated financial implications for other AEDs</w:t>
            </w:r>
          </w:p>
        </w:tc>
      </w:tr>
      <w:tr w:rsidR="00B54462" w:rsidRPr="00242572" w:rsidTr="00D20C0D">
        <w:tc>
          <w:tcPr>
            <w:tcW w:w="5000" w:type="pct"/>
            <w:gridSpan w:val="6"/>
            <w:shd w:val="clear" w:color="auto" w:fill="auto"/>
            <w:vAlign w:val="center"/>
          </w:tcPr>
          <w:p w:rsidR="00B54462" w:rsidRPr="00242572" w:rsidRDefault="00B54462" w:rsidP="00DB2644">
            <w:pPr>
              <w:pStyle w:val="TableText1"/>
              <w:keepLines/>
              <w:widowControl w:val="0"/>
              <w:spacing w:before="0" w:after="0"/>
              <w:jc w:val="left"/>
            </w:pPr>
            <w:r w:rsidRPr="00242572">
              <w:rPr>
                <w:rFonts w:eastAsia="SimSun"/>
              </w:rPr>
              <w:t>Cost to PBS/RPBS (including patient co-payments)</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rFonts w:eastAsia="SimSun"/>
              </w:rPr>
              <w:t>Lamotrigine</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rFonts w:eastAsia="SimSun"/>
              </w:rPr>
              <w:t>Levetiracetam</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rFonts w:eastAsia="SimSun"/>
              </w:rPr>
              <w:t>Topiramate</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rFonts w:eastAsia="SimSun"/>
              </w:rPr>
              <w:t>Valproate</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rFonts w:eastAsia="SimSun"/>
              </w:rPr>
              <w:t>Total cost to PBS/RPBS (including patient co-payments)</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sz w:val="19"/>
                <w:szCs w:val="19"/>
              </w:rPr>
              <w:t xml:space="preserve">Total </w:t>
            </w:r>
            <w:r w:rsidR="002A4752" w:rsidRPr="00242572">
              <w:rPr>
                <w:sz w:val="19"/>
                <w:szCs w:val="19"/>
              </w:rPr>
              <w:t>co-payments</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rPr>
                <w:sz w:val="19"/>
                <w:szCs w:val="19"/>
              </w:rPr>
            </w:pPr>
            <w:r w:rsidRPr="00242572">
              <w:rPr>
                <w:sz w:val="19"/>
                <w:szCs w:val="19"/>
              </w:rPr>
              <w:t xml:space="preserve">Cost to PBS/RPBS less </w:t>
            </w:r>
            <w:r w:rsidR="002A4752" w:rsidRPr="00242572">
              <w:rPr>
                <w:sz w:val="19"/>
                <w:szCs w:val="19"/>
              </w:rPr>
              <w:t>co-payments</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5000" w:type="pct"/>
            <w:gridSpan w:val="6"/>
            <w:shd w:val="clear" w:color="auto" w:fill="auto"/>
            <w:vAlign w:val="center"/>
          </w:tcPr>
          <w:p w:rsidR="00B54462" w:rsidRPr="00242572" w:rsidRDefault="00B54462" w:rsidP="00DB2644">
            <w:pPr>
              <w:pStyle w:val="TableText1"/>
              <w:keepLines/>
              <w:widowControl w:val="0"/>
              <w:spacing w:before="0" w:after="0"/>
              <w:jc w:val="left"/>
              <w:rPr>
                <w:b/>
                <w:bCs/>
                <w:color w:val="000000"/>
              </w:rPr>
            </w:pPr>
            <w:r w:rsidRPr="00242572">
              <w:rPr>
                <w:b/>
                <w:bCs/>
                <w:color w:val="000000"/>
              </w:rPr>
              <w:t>Net financial implications –re-submission</w:t>
            </w:r>
          </w:p>
        </w:tc>
      </w:tr>
      <w:tr w:rsidR="00B54462" w:rsidRPr="00242572" w:rsidTr="00D20C0D">
        <w:tc>
          <w:tcPr>
            <w:tcW w:w="2437" w:type="pct"/>
            <w:shd w:val="clear" w:color="auto" w:fill="auto"/>
          </w:tcPr>
          <w:p w:rsidR="00B54462" w:rsidRPr="00242572" w:rsidRDefault="00B54462" w:rsidP="00DB2644">
            <w:pPr>
              <w:pStyle w:val="TableText1"/>
              <w:keepLines/>
              <w:widowControl w:val="0"/>
              <w:spacing w:before="0" w:after="0"/>
              <w:jc w:val="left"/>
              <w:rPr>
                <w:sz w:val="19"/>
                <w:szCs w:val="19"/>
              </w:rPr>
            </w:pPr>
            <w:r w:rsidRPr="00242572">
              <w:t>Net costs to PBS/RPBS (patient co-payments removed)</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tcPr>
          <w:p w:rsidR="00B54462" w:rsidRPr="00242572" w:rsidRDefault="00B54462" w:rsidP="00DB2644">
            <w:pPr>
              <w:pStyle w:val="TableText1"/>
              <w:keepLines/>
              <w:widowControl w:val="0"/>
              <w:spacing w:before="0" w:after="0"/>
              <w:jc w:val="left"/>
              <w:rPr>
                <w:rFonts w:ascii="Times" w:eastAsia="Times New Roman" w:hAnsi="Times" w:cs="Times New Roman"/>
              </w:rPr>
            </w:pPr>
            <w:r w:rsidRPr="00242572">
              <w:t>Net costs to MBS (15% patient co-payments removed)</w:t>
            </w:r>
            <w:r w:rsidRPr="00242572">
              <w:rPr>
                <w:vertAlign w:val="superscript"/>
              </w:rPr>
              <w:t>a</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tcPr>
          <w:p w:rsidR="00B54462" w:rsidRPr="00242572" w:rsidRDefault="00B54462" w:rsidP="00DB2644">
            <w:pPr>
              <w:pStyle w:val="TableText1"/>
              <w:keepLines/>
              <w:widowControl w:val="0"/>
              <w:spacing w:before="0" w:after="0"/>
              <w:jc w:val="left"/>
              <w:rPr>
                <w:sz w:val="19"/>
                <w:szCs w:val="19"/>
              </w:rPr>
            </w:pPr>
            <w:r w:rsidRPr="00242572">
              <w:t>Overall net cost to Federal Government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tcPr>
          <w:p w:rsidR="00B54462" w:rsidRPr="00242572" w:rsidRDefault="00B54462" w:rsidP="00DB2644">
            <w:pPr>
              <w:pStyle w:val="TableText1"/>
              <w:keepLines/>
              <w:widowControl w:val="0"/>
              <w:spacing w:before="0" w:after="0"/>
              <w:jc w:val="left"/>
              <w:rPr>
                <w:sz w:val="19"/>
                <w:szCs w:val="19"/>
              </w:rPr>
            </w:pPr>
            <w:r w:rsidRPr="00242572">
              <w:t xml:space="preserve">Change in other HRU </w:t>
            </w:r>
            <w:r w:rsidR="002A4752" w:rsidRPr="00242572">
              <w:t>costs</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2437" w:type="pct"/>
            <w:shd w:val="clear" w:color="auto" w:fill="auto"/>
          </w:tcPr>
          <w:p w:rsidR="00B54462" w:rsidRPr="00242572" w:rsidRDefault="00B54462" w:rsidP="00DB2644">
            <w:pPr>
              <w:pStyle w:val="TableText1"/>
              <w:keepLines/>
              <w:widowControl w:val="0"/>
              <w:spacing w:before="0" w:after="0"/>
              <w:jc w:val="left"/>
              <w:rPr>
                <w:sz w:val="19"/>
                <w:szCs w:val="19"/>
              </w:rPr>
            </w:pPr>
            <w:r w:rsidRPr="00242572">
              <w:t>Overall net cost to combined government health budgets</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rPr>
                <w:bCs/>
                <w:color w:val="000000"/>
              </w:rPr>
            </w:pPr>
            <w:r w:rsidRPr="00242572">
              <w:t>$</w:t>
            </w:r>
            <w:r w:rsidR="00247FD4">
              <w:rPr>
                <w:noProof/>
                <w:color w:val="000000"/>
                <w:highlight w:val="black"/>
              </w:rPr>
              <w:t>''''''''''''''''''''''''</w:t>
            </w:r>
          </w:p>
        </w:tc>
      </w:tr>
      <w:tr w:rsidR="00B54462" w:rsidRPr="00242572" w:rsidTr="00D20C0D">
        <w:tc>
          <w:tcPr>
            <w:tcW w:w="5000" w:type="pct"/>
            <w:gridSpan w:val="6"/>
            <w:shd w:val="clear" w:color="auto" w:fill="auto"/>
          </w:tcPr>
          <w:p w:rsidR="00B54462" w:rsidRPr="00242572" w:rsidRDefault="00B54462" w:rsidP="00DB2644">
            <w:pPr>
              <w:pStyle w:val="TableText1"/>
              <w:keepLines/>
              <w:widowControl w:val="0"/>
              <w:spacing w:before="0" w:after="0"/>
              <w:jc w:val="left"/>
            </w:pPr>
            <w:r w:rsidRPr="00242572">
              <w:rPr>
                <w:b/>
                <w:bCs/>
                <w:color w:val="000000"/>
              </w:rPr>
              <w:t>Net financial implications – July 2016 submission</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pPr>
            <w:r w:rsidRPr="00242572">
              <w:rPr>
                <w:sz w:val="19"/>
                <w:szCs w:val="19"/>
              </w:rPr>
              <w:t>Net cost to PBS/RPBS</w:t>
            </w:r>
          </w:p>
        </w:tc>
        <w:tc>
          <w:tcPr>
            <w:tcW w:w="513" w:type="pct"/>
            <w:shd w:val="clear" w:color="auto" w:fill="auto"/>
            <w:vAlign w:val="bottom"/>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bottom"/>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1" w:type="pct"/>
            <w:shd w:val="clear" w:color="auto" w:fill="auto"/>
            <w:vAlign w:val="bottom"/>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pPr>
            <w:r w:rsidRPr="00242572">
              <w:rPr>
                <w:sz w:val="19"/>
                <w:szCs w:val="19"/>
              </w:rPr>
              <w:t>Net cost to other government budgets</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r>
      <w:tr w:rsidR="00B54462" w:rsidRPr="00242572" w:rsidTr="00D20C0D">
        <w:tc>
          <w:tcPr>
            <w:tcW w:w="2437" w:type="pct"/>
            <w:shd w:val="clear" w:color="auto" w:fill="auto"/>
            <w:vAlign w:val="center"/>
          </w:tcPr>
          <w:p w:rsidR="00B54462" w:rsidRPr="00242572" w:rsidRDefault="00B54462" w:rsidP="00DB2644">
            <w:pPr>
              <w:pStyle w:val="TableText1"/>
              <w:keepLines/>
              <w:widowControl w:val="0"/>
              <w:spacing w:before="0" w:after="0"/>
              <w:jc w:val="left"/>
            </w:pPr>
            <w:r w:rsidRPr="00242572">
              <w:rPr>
                <w:bCs/>
                <w:color w:val="000000"/>
              </w:rPr>
              <w:t>Net cost to PBS/RPBS/MBS</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3"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c>
          <w:tcPr>
            <w:tcW w:w="511" w:type="pct"/>
            <w:shd w:val="clear" w:color="auto" w:fill="auto"/>
            <w:vAlign w:val="center"/>
          </w:tcPr>
          <w:p w:rsidR="00B54462" w:rsidRPr="00242572" w:rsidRDefault="00B54462" w:rsidP="00DB2644">
            <w:pPr>
              <w:pStyle w:val="TableText1"/>
              <w:keepLines/>
              <w:widowControl w:val="0"/>
              <w:spacing w:before="0" w:after="0"/>
              <w:jc w:val="center"/>
            </w:pPr>
            <w:r w:rsidRPr="00242572">
              <w:rPr>
                <w:bCs/>
                <w:color w:val="000000"/>
              </w:rPr>
              <w:t>$</w:t>
            </w:r>
            <w:r w:rsidR="00247FD4">
              <w:rPr>
                <w:bCs/>
                <w:noProof/>
                <w:color w:val="000000"/>
                <w:highlight w:val="black"/>
              </w:rPr>
              <w:t>''''''''''''''''''''''''</w:t>
            </w:r>
          </w:p>
        </w:tc>
      </w:tr>
    </w:tbl>
    <w:p w:rsidR="00B54462" w:rsidRPr="00242572" w:rsidRDefault="002A4752" w:rsidP="00DB2644">
      <w:pPr>
        <w:pStyle w:val="TableFooter"/>
        <w:keepNext/>
        <w:keepLines/>
      </w:pPr>
      <w:r w:rsidRPr="00242572">
        <w:rPr>
          <w:vertAlign w:val="superscript"/>
        </w:rPr>
        <w:t>a</w:t>
      </w:r>
      <w:r w:rsidR="00B54462" w:rsidRPr="00242572">
        <w:t xml:space="preserve"> Adjusted for continuous uptake</w:t>
      </w:r>
    </w:p>
    <w:p w:rsidR="00B54462" w:rsidRPr="00242572" w:rsidRDefault="00B54462" w:rsidP="00DB2644">
      <w:pPr>
        <w:pStyle w:val="TableFooter"/>
        <w:keepNext/>
        <w:keepLines/>
      </w:pPr>
      <w:r w:rsidRPr="00242572">
        <w:rPr>
          <w:vertAlign w:val="superscript"/>
        </w:rPr>
        <w:t>b</w:t>
      </w:r>
      <w:r w:rsidRPr="00242572">
        <w:t xml:space="preserve"> Assuming average of 15 scripts per year as estimated by the re-submission.</w:t>
      </w:r>
    </w:p>
    <w:p w:rsidR="00B54462" w:rsidRPr="00242572" w:rsidRDefault="00B54462" w:rsidP="00DB2644">
      <w:pPr>
        <w:pStyle w:val="TableFooter"/>
        <w:keepNext/>
        <w:keepLines/>
      </w:pPr>
      <w:r w:rsidRPr="00242572">
        <w:rPr>
          <w:vertAlign w:val="superscript"/>
        </w:rPr>
        <w:t xml:space="preserve">c </w:t>
      </w:r>
      <w:r w:rsidRPr="00242572">
        <w:t>MBS costs associated with general practitioner/specialist visit</w:t>
      </w:r>
    </w:p>
    <w:p w:rsidR="00B54462" w:rsidRPr="00242572" w:rsidRDefault="00B54462" w:rsidP="00DB2644">
      <w:pPr>
        <w:pStyle w:val="TableFooter"/>
        <w:keepNext/>
        <w:keepLines/>
      </w:pPr>
      <w:r w:rsidRPr="00242572">
        <w:rPr>
          <w:vertAlign w:val="superscript"/>
        </w:rPr>
        <w:t>d</w:t>
      </w:r>
      <w:r w:rsidRPr="00242572">
        <w:t xml:space="preserve"> Costs for hospitalisation and emergency department visit</w:t>
      </w:r>
    </w:p>
    <w:p w:rsidR="00B54462" w:rsidRPr="00242572" w:rsidRDefault="00B54462" w:rsidP="00DB2644">
      <w:pPr>
        <w:pStyle w:val="TableFooter"/>
        <w:keepNext/>
        <w:keepLines/>
      </w:pPr>
      <w:r w:rsidRPr="00242572">
        <w:t>HRU = healthcare resource utilisation</w:t>
      </w:r>
    </w:p>
    <w:p w:rsidR="00B54462" w:rsidRDefault="00B54462" w:rsidP="00DB2644">
      <w:pPr>
        <w:pStyle w:val="TableFooter"/>
        <w:keepNext/>
        <w:keepLines/>
      </w:pPr>
      <w:r w:rsidRPr="00242572">
        <w:t>Source: Table E.2.2 to Table E.2.10, Table E.3.3, Table E.3.4 and Table E.5.5 of the re-submission and Fycompa PGTC_Section E FINAL.xksx, from the original submission.</w:t>
      </w:r>
    </w:p>
    <w:p w:rsidR="002735D0" w:rsidRPr="00242572" w:rsidRDefault="002735D0" w:rsidP="00DB2644">
      <w:pPr>
        <w:pStyle w:val="TableFooter"/>
        <w:keepNext/>
        <w:keepLines/>
      </w:pPr>
    </w:p>
    <w:p w:rsidR="00B54462" w:rsidRPr="00247FD4" w:rsidRDefault="002735D0" w:rsidP="00247FD4">
      <w:pPr>
        <w:pStyle w:val="ListParagraph"/>
        <w:widowControl/>
        <w:numPr>
          <w:ilvl w:val="1"/>
          <w:numId w:val="3"/>
        </w:numPr>
        <w:spacing w:before="120" w:after="160"/>
        <w:contextualSpacing w:val="0"/>
        <w:rPr>
          <w:rFonts w:asciiTheme="minorHAnsi" w:hAnsiTheme="minorHAnsi"/>
          <w:sz w:val="24"/>
        </w:rPr>
      </w:pPr>
      <w:r w:rsidRPr="00247FD4">
        <w:rPr>
          <w:rFonts w:asciiTheme="minorHAnsi" w:hAnsiTheme="minorHAnsi"/>
          <w:sz w:val="24"/>
        </w:rPr>
        <w:t>The redacted table shows that at year 5, the estimated number of patients was less than 10,000 per year and the net cost to the PBS would be</w:t>
      </w:r>
      <w:r w:rsidR="008A5C27" w:rsidRPr="00247FD4">
        <w:rPr>
          <w:rFonts w:asciiTheme="minorHAnsi" w:hAnsiTheme="minorHAnsi"/>
          <w:sz w:val="24"/>
        </w:rPr>
        <w:t xml:space="preserve"> </w:t>
      </w:r>
      <w:r w:rsidR="00870861" w:rsidRPr="00247FD4">
        <w:rPr>
          <w:rFonts w:asciiTheme="minorHAnsi" w:hAnsiTheme="minorHAnsi"/>
          <w:sz w:val="24"/>
        </w:rPr>
        <w:t>$10 – $20 million per year.</w:t>
      </w:r>
    </w:p>
    <w:p w:rsidR="002735D0" w:rsidRPr="00242572" w:rsidRDefault="002735D0" w:rsidP="00B54462">
      <w:pPr>
        <w:pStyle w:val="TableFooter"/>
        <w:rPr>
          <w:rFonts w:asciiTheme="minorHAnsi" w:hAnsiTheme="minorHAnsi"/>
          <w:sz w:val="20"/>
        </w:rPr>
      </w:pPr>
    </w:p>
    <w:p w:rsidR="00CB4F1C" w:rsidRPr="00824BC8" w:rsidRDefault="00B54462" w:rsidP="006441EA">
      <w:pPr>
        <w:pStyle w:val="ListParagraph"/>
        <w:widowControl/>
        <w:numPr>
          <w:ilvl w:val="1"/>
          <w:numId w:val="3"/>
        </w:numPr>
        <w:spacing w:before="120" w:after="160"/>
        <w:contextualSpacing w:val="0"/>
        <w:rPr>
          <w:rFonts w:asciiTheme="minorHAnsi" w:hAnsiTheme="minorHAnsi"/>
          <w:sz w:val="24"/>
        </w:rPr>
      </w:pPr>
      <w:r w:rsidRPr="00824BC8">
        <w:rPr>
          <w:rFonts w:asciiTheme="minorHAnsi" w:hAnsiTheme="minorHAnsi"/>
          <w:sz w:val="24"/>
        </w:rPr>
        <w:t xml:space="preserve">The number of patients eligible for treatment with perampanel may not be as predicted in the re-submission. </w:t>
      </w:r>
      <w:r w:rsidR="00CB4F1C" w:rsidRPr="00824BC8">
        <w:rPr>
          <w:rFonts w:asciiTheme="minorHAnsi" w:hAnsiTheme="minorHAnsi"/>
          <w:sz w:val="24"/>
        </w:rPr>
        <w:t>The prevalence rate of epilepsy was estimated form D’Souza which was substantially lower than that estimated in the ABS National Health Survey and may therefore be underestimated</w:t>
      </w:r>
      <w:r w:rsidRPr="00824BC8">
        <w:rPr>
          <w:rFonts w:asciiTheme="minorHAnsi" w:hAnsiTheme="minorHAnsi"/>
          <w:sz w:val="24"/>
        </w:rPr>
        <w:t xml:space="preserve">. This parameter remains unchanged from the previous submission. </w:t>
      </w:r>
    </w:p>
    <w:p w:rsidR="00B54462" w:rsidRDefault="00CB4F1C" w:rsidP="006441EA">
      <w:pPr>
        <w:pStyle w:val="ListParagraph"/>
        <w:widowControl/>
        <w:numPr>
          <w:ilvl w:val="1"/>
          <w:numId w:val="3"/>
        </w:numPr>
        <w:spacing w:before="120" w:after="160"/>
        <w:contextualSpacing w:val="0"/>
        <w:rPr>
          <w:rFonts w:asciiTheme="minorHAnsi" w:hAnsiTheme="minorHAnsi"/>
          <w:sz w:val="24"/>
        </w:rPr>
      </w:pPr>
      <w:r w:rsidRPr="00824BC8">
        <w:rPr>
          <w:rFonts w:asciiTheme="minorHAnsi" w:hAnsiTheme="minorHAnsi"/>
          <w:sz w:val="24"/>
        </w:rPr>
        <w:t xml:space="preserve">The </w:t>
      </w:r>
      <w:bookmarkStart w:id="37" w:name="_Toc413139285"/>
      <w:bookmarkStart w:id="38" w:name="_Toc476306895"/>
      <w:r w:rsidR="00B54462" w:rsidRPr="00824BC8">
        <w:rPr>
          <w:rFonts w:asciiTheme="minorHAnsi" w:hAnsiTheme="minorHAnsi"/>
          <w:sz w:val="24"/>
        </w:rPr>
        <w:t>estimated proportion of PGTC patients eligible for treatment with perampanel, and the expected treatment uptake rate</w:t>
      </w:r>
      <w:r w:rsidRPr="00824BC8">
        <w:rPr>
          <w:rFonts w:asciiTheme="minorHAnsi" w:hAnsiTheme="minorHAnsi"/>
          <w:sz w:val="24"/>
        </w:rPr>
        <w:t xml:space="preserve"> was estimated based on the results of a clinician survey (described above) and</w:t>
      </w:r>
      <w:r w:rsidR="00B54462" w:rsidRPr="00824BC8">
        <w:rPr>
          <w:rFonts w:asciiTheme="minorHAnsi" w:hAnsiTheme="minorHAnsi"/>
          <w:sz w:val="24"/>
        </w:rPr>
        <w:t xml:space="preserve"> remain highly uncertain.</w:t>
      </w:r>
    </w:p>
    <w:p w:rsidR="00FC7C2B" w:rsidRDefault="00FC7C2B" w:rsidP="006441EA">
      <w:pPr>
        <w:pStyle w:val="ListParagraph"/>
        <w:widowControl/>
        <w:numPr>
          <w:ilvl w:val="1"/>
          <w:numId w:val="3"/>
        </w:numPr>
        <w:spacing w:before="120" w:after="160"/>
        <w:contextualSpacing w:val="0"/>
        <w:rPr>
          <w:rFonts w:asciiTheme="minorHAnsi" w:hAnsiTheme="minorHAnsi"/>
          <w:sz w:val="24"/>
        </w:rPr>
      </w:pPr>
      <w:r w:rsidRPr="00824BC8">
        <w:rPr>
          <w:rFonts w:asciiTheme="minorHAnsi" w:hAnsiTheme="minorHAnsi"/>
          <w:sz w:val="24"/>
        </w:rPr>
        <w:t>The PSCR (p4-5) stated the sponsor is willing to enter into a risk share arrangement with the Department which caps the number of patients treated under the PBS to reduce the uncertainty around patient numbers.</w:t>
      </w:r>
    </w:p>
    <w:p w:rsidR="001D3F0D" w:rsidRPr="00824BC8" w:rsidRDefault="001D3F0D" w:rsidP="006441EA">
      <w:pPr>
        <w:pStyle w:val="ListParagraph"/>
        <w:widowControl/>
        <w:numPr>
          <w:ilvl w:val="1"/>
          <w:numId w:val="3"/>
        </w:numPr>
        <w:spacing w:before="120" w:after="160"/>
        <w:contextualSpacing w:val="0"/>
        <w:rPr>
          <w:rFonts w:asciiTheme="minorHAnsi" w:hAnsiTheme="minorHAnsi"/>
          <w:sz w:val="24"/>
        </w:rPr>
      </w:pPr>
      <w:r>
        <w:rPr>
          <w:rFonts w:asciiTheme="minorHAnsi" w:hAnsiTheme="minorHAnsi"/>
          <w:sz w:val="24"/>
        </w:rPr>
        <w:t>The PBAC noted that the financial estimated presented by the submission would need to be recalculated to take into account the basis upon which the PBAC has recommended listing.</w:t>
      </w:r>
    </w:p>
    <w:p w:rsidR="00B54462" w:rsidRPr="00242572" w:rsidRDefault="00B54462" w:rsidP="00B54462">
      <w:pPr>
        <w:rPr>
          <w:rFonts w:asciiTheme="minorHAnsi" w:hAnsiTheme="minorHAnsi"/>
          <w:sz w:val="24"/>
        </w:rPr>
      </w:pPr>
    </w:p>
    <w:p w:rsidR="00B54462" w:rsidRPr="00242572" w:rsidRDefault="00B54462" w:rsidP="00B54462">
      <w:pPr>
        <w:pStyle w:val="Heading2"/>
        <w:rPr>
          <w:rFonts w:asciiTheme="minorHAnsi" w:hAnsiTheme="minorHAnsi"/>
          <w:i/>
          <w:sz w:val="28"/>
        </w:rPr>
      </w:pPr>
      <w:bookmarkStart w:id="39" w:name="_Toc482695862"/>
      <w:r w:rsidRPr="00242572">
        <w:rPr>
          <w:rFonts w:asciiTheme="minorHAnsi" w:hAnsiTheme="minorHAnsi"/>
          <w:i/>
          <w:sz w:val="28"/>
        </w:rPr>
        <w:t>Quality Use of Medicines</w:t>
      </w:r>
      <w:bookmarkEnd w:id="37"/>
      <w:bookmarkEnd w:id="38"/>
      <w:bookmarkEnd w:id="39"/>
    </w:p>
    <w:p w:rsidR="00B54462" w:rsidRPr="00242572" w:rsidRDefault="00B54462" w:rsidP="00B54462">
      <w:pPr>
        <w:rPr>
          <w:rFonts w:asciiTheme="minorHAnsi" w:eastAsiaTheme="majorEastAsia" w:hAnsiTheme="minorHAnsi"/>
          <w:sz w:val="24"/>
        </w:rPr>
      </w:pPr>
    </w:p>
    <w:p w:rsidR="00B54462" w:rsidRPr="00242572" w:rsidRDefault="00B54462" w:rsidP="006441EA">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The sponsor stated that it has implemented a Pharmacovigilance and risk-management plan within the Australian Specific Annex (ASA) to the TGA to enhance the quality use of perampanel for the treatment of patients with IGE-PGTC. The re-submission stated that a number of other activities will occur in order to support the quality use of medicines, including a ‘Dear Healthcare Professional’ (HCP) letter to announce the availability of perampanel for this indication, development and distribution of a patient booklet in lay language, development of a dosing guidance card for prescribing HCP, and development of a larger format Product Information Booklet for HCPs.</w:t>
      </w:r>
      <w:r w:rsidR="002607F5" w:rsidRPr="00242572">
        <w:rPr>
          <w:rFonts w:asciiTheme="minorHAnsi" w:hAnsiTheme="minorHAnsi"/>
          <w:sz w:val="24"/>
        </w:rPr>
        <w:t xml:space="preserve"> The previous submission did not provide any information on the quality use of medicines</w:t>
      </w:r>
      <w:r w:rsidR="000819C3" w:rsidRPr="00242572">
        <w:rPr>
          <w:rFonts w:asciiTheme="minorHAnsi" w:hAnsiTheme="minorHAnsi"/>
          <w:sz w:val="24"/>
        </w:rPr>
        <w:t>.</w:t>
      </w:r>
    </w:p>
    <w:p w:rsidR="00B54462" w:rsidRPr="00242572" w:rsidRDefault="00B54462" w:rsidP="00B54462">
      <w:pPr>
        <w:widowControl/>
        <w:spacing w:after="120"/>
        <w:rPr>
          <w:rFonts w:asciiTheme="minorHAnsi" w:hAnsiTheme="minorHAnsi"/>
          <w:sz w:val="24"/>
        </w:rPr>
      </w:pPr>
    </w:p>
    <w:p w:rsidR="00B54462" w:rsidRPr="00242572" w:rsidRDefault="00B54462" w:rsidP="00B54462">
      <w:pPr>
        <w:pStyle w:val="Heading2"/>
        <w:rPr>
          <w:rFonts w:asciiTheme="minorHAnsi" w:hAnsiTheme="minorHAnsi"/>
          <w:i/>
          <w:sz w:val="28"/>
        </w:rPr>
      </w:pPr>
      <w:bookmarkStart w:id="40" w:name="_Toc413139286"/>
      <w:bookmarkStart w:id="41" w:name="_Toc476306896"/>
      <w:bookmarkStart w:id="42" w:name="_Toc482695863"/>
      <w:r w:rsidRPr="00242572">
        <w:rPr>
          <w:rFonts w:asciiTheme="minorHAnsi" w:hAnsiTheme="minorHAnsi"/>
          <w:i/>
          <w:sz w:val="28"/>
        </w:rPr>
        <w:t>Financial Management – Risk Sharing Arrangements</w:t>
      </w:r>
      <w:bookmarkEnd w:id="40"/>
      <w:bookmarkEnd w:id="41"/>
      <w:bookmarkEnd w:id="42"/>
    </w:p>
    <w:p w:rsidR="00B54462" w:rsidRPr="00242572" w:rsidRDefault="00B54462" w:rsidP="00B54462">
      <w:pPr>
        <w:rPr>
          <w:rFonts w:asciiTheme="minorHAnsi" w:hAnsiTheme="minorHAnsi"/>
          <w:sz w:val="24"/>
        </w:rPr>
      </w:pPr>
    </w:p>
    <w:p w:rsidR="00824BC8" w:rsidRPr="00912E36" w:rsidRDefault="00B54462" w:rsidP="00824BC8">
      <w:pPr>
        <w:pStyle w:val="ListParagraph"/>
        <w:widowControl/>
        <w:numPr>
          <w:ilvl w:val="1"/>
          <w:numId w:val="3"/>
        </w:numPr>
        <w:spacing w:after="120"/>
        <w:contextualSpacing w:val="0"/>
        <w:rPr>
          <w:rFonts w:asciiTheme="minorHAnsi" w:hAnsiTheme="minorHAnsi"/>
          <w:sz w:val="24"/>
        </w:rPr>
      </w:pPr>
      <w:r w:rsidRPr="00242572">
        <w:rPr>
          <w:rFonts w:asciiTheme="minorHAnsi" w:hAnsiTheme="minorHAnsi"/>
          <w:sz w:val="24"/>
        </w:rPr>
        <w:t xml:space="preserve">Perampanel is currently PBS listed for partial – onset (or focal) epilepsy and a price-volume based risk-share arrangement exists in conjunction with UCB Biosciences (lacosamide – Vimpat). </w:t>
      </w:r>
      <w:r w:rsidRPr="00BF54D0">
        <w:rPr>
          <w:rFonts w:asciiTheme="minorHAnsi" w:hAnsiTheme="minorHAnsi"/>
          <w:sz w:val="24"/>
        </w:rPr>
        <w:t>This is encompassed within a Commonwealth Deed which is intended to expire on 1st April 2020</w:t>
      </w:r>
      <w:r w:rsidRPr="00242572">
        <w:rPr>
          <w:rFonts w:asciiTheme="minorHAnsi" w:hAnsiTheme="minorHAnsi"/>
          <w:sz w:val="24"/>
        </w:rPr>
        <w:t xml:space="preserve">. The sponsor is willing to undertake a separate price-volume, risk-share arrangement for IGE-PGTC.  The re-submission stated that the most appropriate mechanism would be an annual cap based trigger for a further price reduction based on the finalised figures within the financial estimates and budgetary implications contained in section E of the re-submission. </w:t>
      </w:r>
      <w:r w:rsidR="002607F5" w:rsidRPr="00242572">
        <w:rPr>
          <w:rFonts w:asciiTheme="minorHAnsi" w:hAnsiTheme="minorHAnsi"/>
          <w:sz w:val="24"/>
        </w:rPr>
        <w:t>The previous submission did not propose any risk-sharing arrangements</w:t>
      </w:r>
      <w:r w:rsidR="005B6525" w:rsidRPr="00242572">
        <w:rPr>
          <w:rFonts w:asciiTheme="minorHAnsi" w:hAnsiTheme="minorHAnsi"/>
          <w:sz w:val="24"/>
        </w:rPr>
        <w:t>.</w:t>
      </w:r>
      <w:r w:rsidR="00255E1B">
        <w:rPr>
          <w:rFonts w:asciiTheme="minorHAnsi" w:hAnsiTheme="minorHAnsi"/>
          <w:sz w:val="24"/>
        </w:rPr>
        <w:t xml:space="preserve"> The PBAC</w:t>
      </w:r>
      <w:r w:rsidR="00AD63E8">
        <w:rPr>
          <w:rFonts w:asciiTheme="minorHAnsi" w:hAnsiTheme="minorHAnsi"/>
          <w:sz w:val="24"/>
        </w:rPr>
        <w:t>,</w:t>
      </w:r>
      <w:r w:rsidR="00255E1B">
        <w:rPr>
          <w:rFonts w:asciiTheme="minorHAnsi" w:hAnsiTheme="minorHAnsi"/>
          <w:sz w:val="24"/>
        </w:rPr>
        <w:t xml:space="preserve"> </w:t>
      </w:r>
      <w:r w:rsidR="00AD63E8">
        <w:rPr>
          <w:rFonts w:asciiTheme="minorHAnsi" w:hAnsiTheme="minorHAnsi"/>
          <w:sz w:val="24"/>
        </w:rPr>
        <w:t>noting the uncertainty around patient numbers, recommended that a risk share</w:t>
      </w:r>
      <w:r w:rsidR="00255E1B">
        <w:rPr>
          <w:rFonts w:asciiTheme="minorHAnsi" w:hAnsiTheme="minorHAnsi"/>
          <w:sz w:val="24"/>
        </w:rPr>
        <w:t xml:space="preserve"> which caps the number of </w:t>
      </w:r>
      <w:r w:rsidR="00AD63E8">
        <w:rPr>
          <w:rFonts w:asciiTheme="minorHAnsi" w:hAnsiTheme="minorHAnsi"/>
          <w:sz w:val="24"/>
        </w:rPr>
        <w:t xml:space="preserve">patients treated with perampanel for </w:t>
      </w:r>
      <w:r w:rsidR="00AD63E8" w:rsidRPr="00242572">
        <w:rPr>
          <w:rFonts w:asciiTheme="minorHAnsi" w:hAnsiTheme="minorHAnsi"/>
          <w:sz w:val="24"/>
        </w:rPr>
        <w:t>IGE-PGTC</w:t>
      </w:r>
      <w:r w:rsidR="00AD63E8">
        <w:rPr>
          <w:rFonts w:asciiTheme="minorHAnsi" w:hAnsiTheme="minorHAnsi"/>
          <w:sz w:val="24"/>
        </w:rPr>
        <w:t xml:space="preserve"> under the PBS (as proposed in the PSCR), is appropriate. </w:t>
      </w:r>
    </w:p>
    <w:p w:rsidR="00BE6EB3" w:rsidRPr="00682C61" w:rsidRDefault="00BE6EB3" w:rsidP="00BE6EB3">
      <w:pPr>
        <w:spacing w:after="120"/>
        <w:rPr>
          <w:rFonts w:asciiTheme="minorHAnsi" w:hAnsiTheme="minorHAnsi"/>
          <w:sz w:val="28"/>
        </w:rPr>
      </w:pPr>
    </w:p>
    <w:p w:rsidR="00BE6EB3" w:rsidRPr="00F258EB" w:rsidRDefault="00BE6EB3" w:rsidP="00BE6EB3">
      <w:pPr>
        <w:pStyle w:val="PBACheading1"/>
      </w:pPr>
      <w:r w:rsidRPr="00F258EB">
        <w:t xml:space="preserve">PBAC Outcome </w:t>
      </w:r>
    </w:p>
    <w:p w:rsidR="0026216C" w:rsidRDefault="0026216C" w:rsidP="00B54462">
      <w:pPr>
        <w:spacing w:after="120"/>
        <w:rPr>
          <w:rFonts w:asciiTheme="minorHAnsi" w:hAnsiTheme="minorHAnsi"/>
          <w:sz w:val="24"/>
        </w:rPr>
      </w:pPr>
    </w:p>
    <w:p w:rsidR="00341472" w:rsidRDefault="0026216C" w:rsidP="002312BF">
      <w:pPr>
        <w:widowControl/>
        <w:numPr>
          <w:ilvl w:val="1"/>
          <w:numId w:val="3"/>
        </w:numPr>
        <w:spacing w:after="120"/>
        <w:jc w:val="left"/>
        <w:rPr>
          <w:rFonts w:ascii="Calibri" w:hAnsi="Calibri"/>
          <w:sz w:val="24"/>
          <w:szCs w:val="24"/>
        </w:rPr>
      </w:pPr>
      <w:r w:rsidRPr="009225C6">
        <w:rPr>
          <w:rFonts w:asciiTheme="minorHAnsi" w:hAnsiTheme="minorHAnsi"/>
          <w:bCs/>
          <w:sz w:val="24"/>
          <w:szCs w:val="24"/>
          <w:lang w:val="en-GB"/>
        </w:rPr>
        <w:t>The PBAC recommended the listing of perampanel for the treatment of primary generali</w:t>
      </w:r>
      <w:r w:rsidR="006F3941" w:rsidRPr="009225C6">
        <w:rPr>
          <w:rFonts w:asciiTheme="minorHAnsi" w:hAnsiTheme="minorHAnsi"/>
          <w:bCs/>
          <w:sz w:val="24"/>
          <w:szCs w:val="24"/>
          <w:lang w:val="en-GB"/>
        </w:rPr>
        <w:t>sed tonic-clonic (PG</w:t>
      </w:r>
      <w:r w:rsidR="00F66242">
        <w:rPr>
          <w:rFonts w:asciiTheme="minorHAnsi" w:hAnsiTheme="minorHAnsi"/>
          <w:bCs/>
          <w:sz w:val="24"/>
          <w:szCs w:val="24"/>
          <w:lang w:val="en-GB"/>
        </w:rPr>
        <w:t>T</w:t>
      </w:r>
      <w:r w:rsidR="006F3941" w:rsidRPr="009225C6">
        <w:rPr>
          <w:rFonts w:asciiTheme="minorHAnsi" w:hAnsiTheme="minorHAnsi"/>
          <w:bCs/>
          <w:sz w:val="24"/>
          <w:szCs w:val="24"/>
          <w:lang w:val="en-GB"/>
        </w:rPr>
        <w:t>C) seizures</w:t>
      </w:r>
      <w:r w:rsidR="00454FE7" w:rsidRPr="009225C6">
        <w:rPr>
          <w:rFonts w:asciiTheme="minorHAnsi" w:hAnsiTheme="minorHAnsi"/>
          <w:bCs/>
          <w:sz w:val="24"/>
          <w:szCs w:val="24"/>
          <w:lang w:val="en-GB"/>
        </w:rPr>
        <w:t xml:space="preserve"> in patients with </w:t>
      </w:r>
      <w:r w:rsidR="001F7EB1" w:rsidRPr="009225C6">
        <w:rPr>
          <w:rFonts w:asciiTheme="minorHAnsi" w:hAnsiTheme="minorHAnsi"/>
          <w:bCs/>
          <w:sz w:val="24"/>
          <w:szCs w:val="24"/>
          <w:lang w:val="en-GB"/>
        </w:rPr>
        <w:t>idiopathic generalised e</w:t>
      </w:r>
      <w:r w:rsidR="00454FE7" w:rsidRPr="009225C6">
        <w:rPr>
          <w:rFonts w:asciiTheme="minorHAnsi" w:hAnsiTheme="minorHAnsi"/>
          <w:bCs/>
          <w:sz w:val="24"/>
          <w:szCs w:val="24"/>
          <w:lang w:val="en-GB"/>
        </w:rPr>
        <w:t>pilepsy (IGE)</w:t>
      </w:r>
      <w:r w:rsidRPr="009225C6">
        <w:rPr>
          <w:rFonts w:asciiTheme="minorHAnsi" w:hAnsiTheme="minorHAnsi"/>
          <w:bCs/>
          <w:sz w:val="24"/>
          <w:szCs w:val="24"/>
          <w:lang w:val="en-GB"/>
        </w:rPr>
        <w:t xml:space="preserve">, </w:t>
      </w:r>
      <w:r w:rsidR="009225C6" w:rsidRPr="009225C6">
        <w:rPr>
          <w:rFonts w:ascii="Calibri" w:hAnsi="Calibri"/>
          <w:sz w:val="24"/>
          <w:szCs w:val="24"/>
        </w:rPr>
        <w:t xml:space="preserve">on the basis of a mixed comparison against placebo in refractory patients who have failed to respond adequately to other anti-epileptic drugs (AED); and against other AEDs </w:t>
      </w:r>
      <w:r w:rsidR="009225C6" w:rsidRPr="009225C6">
        <w:rPr>
          <w:rFonts w:asciiTheme="minorHAnsi" w:hAnsiTheme="minorHAnsi"/>
          <w:bCs/>
          <w:sz w:val="24"/>
          <w:szCs w:val="24"/>
          <w:lang w:val="en-GB"/>
        </w:rPr>
        <w:t xml:space="preserve">(valproate, lamotrigine, </w:t>
      </w:r>
      <w:r w:rsidR="004753C2" w:rsidRPr="009225C6">
        <w:rPr>
          <w:rFonts w:asciiTheme="minorHAnsi" w:hAnsiTheme="minorHAnsi"/>
          <w:bCs/>
          <w:sz w:val="24"/>
          <w:szCs w:val="24"/>
          <w:lang w:val="en-GB"/>
        </w:rPr>
        <w:t>levetirac</w:t>
      </w:r>
      <w:r w:rsidR="004753C2">
        <w:rPr>
          <w:rFonts w:asciiTheme="minorHAnsi" w:hAnsiTheme="minorHAnsi"/>
          <w:bCs/>
          <w:sz w:val="24"/>
          <w:szCs w:val="24"/>
          <w:lang w:val="en-GB"/>
        </w:rPr>
        <w:t>e</w:t>
      </w:r>
      <w:r w:rsidR="004753C2" w:rsidRPr="009225C6">
        <w:rPr>
          <w:rFonts w:asciiTheme="minorHAnsi" w:hAnsiTheme="minorHAnsi"/>
          <w:bCs/>
          <w:sz w:val="24"/>
          <w:szCs w:val="24"/>
          <w:lang w:val="en-GB"/>
        </w:rPr>
        <w:t>t</w:t>
      </w:r>
      <w:r w:rsidR="004753C2">
        <w:rPr>
          <w:rFonts w:asciiTheme="minorHAnsi" w:hAnsiTheme="minorHAnsi"/>
          <w:bCs/>
          <w:sz w:val="24"/>
          <w:szCs w:val="24"/>
          <w:lang w:val="en-GB"/>
        </w:rPr>
        <w:t>a</w:t>
      </w:r>
      <w:r w:rsidR="004753C2" w:rsidRPr="009225C6">
        <w:rPr>
          <w:rFonts w:asciiTheme="minorHAnsi" w:hAnsiTheme="minorHAnsi"/>
          <w:bCs/>
          <w:sz w:val="24"/>
          <w:szCs w:val="24"/>
          <w:lang w:val="en-GB"/>
        </w:rPr>
        <w:t xml:space="preserve">m </w:t>
      </w:r>
      <w:r w:rsidR="009225C6" w:rsidRPr="009225C6">
        <w:rPr>
          <w:rFonts w:asciiTheme="minorHAnsi" w:hAnsiTheme="minorHAnsi"/>
          <w:bCs/>
          <w:sz w:val="24"/>
          <w:szCs w:val="24"/>
          <w:lang w:val="en-GB"/>
        </w:rPr>
        <w:t xml:space="preserve">and topiramate) for refractory patients in </w:t>
      </w:r>
      <w:r w:rsidR="009225C6" w:rsidRPr="009225C6">
        <w:rPr>
          <w:rFonts w:ascii="Calibri" w:hAnsi="Calibri"/>
          <w:sz w:val="24"/>
          <w:szCs w:val="24"/>
        </w:rPr>
        <w:t xml:space="preserve">whom perampanel will substitute for another AED. </w:t>
      </w:r>
    </w:p>
    <w:p w:rsidR="009225C6" w:rsidRPr="0090130C" w:rsidRDefault="00341472" w:rsidP="002312BF">
      <w:pPr>
        <w:widowControl/>
        <w:numPr>
          <w:ilvl w:val="1"/>
          <w:numId w:val="3"/>
        </w:numPr>
        <w:spacing w:after="120"/>
        <w:jc w:val="left"/>
        <w:rPr>
          <w:rFonts w:ascii="Calibri" w:hAnsi="Calibri"/>
          <w:sz w:val="24"/>
          <w:szCs w:val="24"/>
        </w:rPr>
      </w:pPr>
      <w:r>
        <w:rPr>
          <w:rFonts w:ascii="Calibri" w:hAnsi="Calibri"/>
          <w:sz w:val="24"/>
          <w:szCs w:val="24"/>
        </w:rPr>
        <w:t>The</w:t>
      </w:r>
      <w:r w:rsidR="002312BF">
        <w:rPr>
          <w:rFonts w:ascii="Calibri" w:hAnsi="Calibri"/>
          <w:sz w:val="24"/>
          <w:szCs w:val="24"/>
        </w:rPr>
        <w:t xml:space="preserve"> PBAC </w:t>
      </w:r>
      <w:r w:rsidR="009225C6" w:rsidRPr="002312BF">
        <w:rPr>
          <w:rFonts w:asciiTheme="minorHAnsi" w:hAnsiTheme="minorHAnsi"/>
          <w:sz w:val="24"/>
          <w:szCs w:val="24"/>
        </w:rPr>
        <w:t xml:space="preserve">noted the comments in the sponsor hearing </w:t>
      </w:r>
      <w:r w:rsidR="00264854" w:rsidRPr="002312BF">
        <w:rPr>
          <w:rFonts w:asciiTheme="minorHAnsi" w:hAnsiTheme="minorHAnsi"/>
          <w:sz w:val="24"/>
          <w:szCs w:val="24"/>
        </w:rPr>
        <w:t>and clinician statement</w:t>
      </w:r>
      <w:r>
        <w:rPr>
          <w:rFonts w:asciiTheme="minorHAnsi" w:hAnsiTheme="minorHAnsi"/>
          <w:sz w:val="24"/>
          <w:szCs w:val="24"/>
        </w:rPr>
        <w:t xml:space="preserve"> and agreed</w:t>
      </w:r>
      <w:r w:rsidR="00264854" w:rsidRPr="002312BF">
        <w:rPr>
          <w:rFonts w:asciiTheme="minorHAnsi" w:hAnsiTheme="minorHAnsi"/>
          <w:sz w:val="24"/>
          <w:szCs w:val="24"/>
        </w:rPr>
        <w:t xml:space="preserve"> </w:t>
      </w:r>
      <w:r w:rsidR="002312BF">
        <w:rPr>
          <w:rFonts w:asciiTheme="minorHAnsi" w:hAnsiTheme="minorHAnsi"/>
          <w:sz w:val="24"/>
          <w:szCs w:val="24"/>
        </w:rPr>
        <w:t>that</w:t>
      </w:r>
      <w:r w:rsidR="009225C6" w:rsidRPr="002312BF">
        <w:rPr>
          <w:rFonts w:asciiTheme="minorHAnsi" w:hAnsiTheme="minorHAnsi"/>
          <w:sz w:val="24"/>
          <w:szCs w:val="24"/>
        </w:rPr>
        <w:t xml:space="preserve"> there was a clinical need for an</w:t>
      </w:r>
      <w:r w:rsidR="00763D83" w:rsidRPr="002312BF">
        <w:rPr>
          <w:rFonts w:asciiTheme="minorHAnsi" w:hAnsiTheme="minorHAnsi"/>
          <w:sz w:val="24"/>
          <w:szCs w:val="24"/>
        </w:rPr>
        <w:t xml:space="preserve"> additional treatment option for patients with </w:t>
      </w:r>
      <w:r w:rsidR="00EC793F">
        <w:rPr>
          <w:rFonts w:asciiTheme="minorHAnsi" w:hAnsiTheme="minorHAnsi"/>
          <w:bCs/>
          <w:sz w:val="24"/>
          <w:szCs w:val="24"/>
          <w:lang w:val="en-GB"/>
        </w:rPr>
        <w:t>PG</w:t>
      </w:r>
      <w:r w:rsidR="00F85AFA">
        <w:rPr>
          <w:rFonts w:asciiTheme="minorHAnsi" w:hAnsiTheme="minorHAnsi"/>
          <w:bCs/>
          <w:sz w:val="24"/>
          <w:szCs w:val="24"/>
          <w:lang w:val="en-GB"/>
        </w:rPr>
        <w:t>T</w:t>
      </w:r>
      <w:r w:rsidR="00EC793F">
        <w:rPr>
          <w:rFonts w:asciiTheme="minorHAnsi" w:hAnsiTheme="minorHAnsi"/>
          <w:bCs/>
          <w:sz w:val="24"/>
          <w:szCs w:val="24"/>
          <w:lang w:val="en-GB"/>
        </w:rPr>
        <w:t>C</w:t>
      </w:r>
      <w:r w:rsidR="00763D83" w:rsidRPr="002312BF">
        <w:rPr>
          <w:rFonts w:asciiTheme="minorHAnsi" w:hAnsiTheme="minorHAnsi"/>
          <w:bCs/>
          <w:sz w:val="24"/>
          <w:szCs w:val="24"/>
          <w:lang w:val="en-GB"/>
        </w:rPr>
        <w:t xml:space="preserve"> seizures. </w:t>
      </w:r>
      <w:r w:rsidR="00763D83" w:rsidRPr="002312BF">
        <w:rPr>
          <w:rFonts w:asciiTheme="minorHAnsi" w:hAnsiTheme="minorHAnsi"/>
          <w:sz w:val="24"/>
          <w:szCs w:val="24"/>
        </w:rPr>
        <w:t xml:space="preserve"> </w:t>
      </w:r>
    </w:p>
    <w:p w:rsidR="00D31FEF" w:rsidRPr="00307000" w:rsidRDefault="0090130C" w:rsidP="00307000">
      <w:pPr>
        <w:widowControl/>
        <w:numPr>
          <w:ilvl w:val="1"/>
          <w:numId w:val="3"/>
        </w:numPr>
        <w:spacing w:after="120"/>
        <w:jc w:val="left"/>
        <w:rPr>
          <w:rFonts w:ascii="Calibri" w:hAnsi="Calibri"/>
          <w:sz w:val="24"/>
          <w:szCs w:val="24"/>
        </w:rPr>
      </w:pPr>
      <w:r>
        <w:rPr>
          <w:rFonts w:ascii="Calibri" w:hAnsi="Calibri"/>
          <w:sz w:val="24"/>
          <w:szCs w:val="24"/>
        </w:rPr>
        <w:t xml:space="preserve">The PBAC did not agree that the </w:t>
      </w:r>
      <w:r w:rsidR="00F47EB0">
        <w:rPr>
          <w:rFonts w:ascii="Calibri" w:hAnsi="Calibri"/>
          <w:sz w:val="24"/>
          <w:szCs w:val="24"/>
        </w:rPr>
        <w:t xml:space="preserve">calculation of the </w:t>
      </w:r>
      <w:r>
        <w:rPr>
          <w:rFonts w:ascii="Calibri" w:hAnsi="Calibri"/>
          <w:sz w:val="24"/>
          <w:szCs w:val="24"/>
        </w:rPr>
        <w:t>weighted price presented in the submission was appropriate.</w:t>
      </w:r>
      <w:r w:rsidR="00F47EB0">
        <w:rPr>
          <w:rFonts w:ascii="Calibri" w:hAnsi="Calibri"/>
          <w:sz w:val="24"/>
          <w:szCs w:val="24"/>
        </w:rPr>
        <w:t xml:space="preserve"> The </w:t>
      </w:r>
      <w:r w:rsidR="00C35563">
        <w:rPr>
          <w:rFonts w:ascii="Calibri" w:hAnsi="Calibri"/>
          <w:sz w:val="24"/>
          <w:szCs w:val="24"/>
        </w:rPr>
        <w:t>committee</w:t>
      </w:r>
      <w:r w:rsidR="00236FF1">
        <w:rPr>
          <w:rFonts w:ascii="Calibri" w:hAnsi="Calibri"/>
          <w:sz w:val="24"/>
          <w:szCs w:val="24"/>
        </w:rPr>
        <w:t xml:space="preserve"> noted that the </w:t>
      </w:r>
      <w:r w:rsidR="00F258EB">
        <w:rPr>
          <w:rFonts w:ascii="Calibri" w:hAnsi="Calibri"/>
          <w:sz w:val="24"/>
          <w:szCs w:val="24"/>
        </w:rPr>
        <w:t xml:space="preserve">proposed </w:t>
      </w:r>
      <w:r w:rsidR="00236FF1">
        <w:rPr>
          <w:rFonts w:ascii="Calibri" w:hAnsi="Calibri"/>
          <w:sz w:val="24"/>
          <w:szCs w:val="24"/>
        </w:rPr>
        <w:t xml:space="preserve">proportion of the comparators </w:t>
      </w:r>
      <w:r w:rsidR="00F47EB0">
        <w:rPr>
          <w:rFonts w:ascii="Calibri" w:hAnsi="Calibri"/>
          <w:sz w:val="24"/>
          <w:szCs w:val="24"/>
        </w:rPr>
        <w:t xml:space="preserve">was </w:t>
      </w:r>
      <w:r w:rsidR="00236FF1">
        <w:rPr>
          <w:rFonts w:ascii="Calibri" w:hAnsi="Calibri"/>
          <w:sz w:val="24"/>
          <w:szCs w:val="24"/>
        </w:rPr>
        <w:t xml:space="preserve">derived </w:t>
      </w:r>
      <w:r w:rsidR="00F47EB0">
        <w:rPr>
          <w:rFonts w:ascii="Calibri" w:hAnsi="Calibri"/>
          <w:sz w:val="24"/>
          <w:szCs w:val="24"/>
        </w:rPr>
        <w:t xml:space="preserve">from </w:t>
      </w:r>
      <w:r w:rsidR="005854B2">
        <w:rPr>
          <w:rFonts w:ascii="Calibri" w:hAnsi="Calibri"/>
          <w:sz w:val="24"/>
          <w:szCs w:val="24"/>
        </w:rPr>
        <w:t xml:space="preserve">the results </w:t>
      </w:r>
      <w:r w:rsidR="005854B2" w:rsidRPr="004738B2">
        <w:rPr>
          <w:rFonts w:ascii="Calibri" w:hAnsi="Calibri"/>
          <w:sz w:val="24"/>
          <w:szCs w:val="24"/>
        </w:rPr>
        <w:t xml:space="preserve">of </w:t>
      </w:r>
      <w:r w:rsidR="00F47EB0" w:rsidRPr="004738B2">
        <w:rPr>
          <w:rFonts w:ascii="Calibri" w:hAnsi="Calibri"/>
          <w:sz w:val="24"/>
          <w:szCs w:val="24"/>
        </w:rPr>
        <w:t xml:space="preserve">a survey </w:t>
      </w:r>
      <w:r w:rsidR="004738B2" w:rsidRPr="004738B2">
        <w:rPr>
          <w:rFonts w:ascii="Calibri" w:hAnsi="Calibri"/>
          <w:sz w:val="24"/>
          <w:szCs w:val="24"/>
        </w:rPr>
        <w:t>that</w:t>
      </w:r>
      <w:r w:rsidR="00236FF1" w:rsidRPr="004738B2">
        <w:rPr>
          <w:rFonts w:ascii="Calibri" w:hAnsi="Calibri"/>
          <w:sz w:val="24"/>
          <w:szCs w:val="24"/>
        </w:rPr>
        <w:t xml:space="preserve"> may not be val</w:t>
      </w:r>
      <w:r w:rsidR="004738B2" w:rsidRPr="004738B2">
        <w:rPr>
          <w:rFonts w:ascii="Calibri" w:hAnsi="Calibri"/>
          <w:sz w:val="24"/>
          <w:szCs w:val="24"/>
        </w:rPr>
        <w:t>i</w:t>
      </w:r>
      <w:r w:rsidR="00236FF1" w:rsidRPr="004738B2">
        <w:rPr>
          <w:rFonts w:ascii="Calibri" w:hAnsi="Calibri"/>
          <w:sz w:val="24"/>
          <w:szCs w:val="24"/>
        </w:rPr>
        <w:t>d</w:t>
      </w:r>
      <w:r w:rsidR="00F47EB0" w:rsidRPr="004738B2">
        <w:rPr>
          <w:rFonts w:ascii="Calibri" w:hAnsi="Calibri"/>
          <w:sz w:val="24"/>
          <w:szCs w:val="24"/>
        </w:rPr>
        <w:t>;</w:t>
      </w:r>
      <w:r w:rsidR="00236FF1">
        <w:rPr>
          <w:rFonts w:ascii="Calibri" w:hAnsi="Calibri"/>
          <w:sz w:val="24"/>
          <w:szCs w:val="24"/>
        </w:rPr>
        <w:t xml:space="preserve"> and that the weighted comparator price results in a significantly higher price for perampanel </w:t>
      </w:r>
      <w:r w:rsidR="00C35563">
        <w:rPr>
          <w:rFonts w:ascii="Calibri" w:hAnsi="Calibri"/>
          <w:sz w:val="24"/>
          <w:szCs w:val="24"/>
        </w:rPr>
        <w:t>vs.</w:t>
      </w:r>
      <w:r w:rsidR="00236FF1">
        <w:rPr>
          <w:rFonts w:ascii="Calibri" w:hAnsi="Calibri"/>
          <w:sz w:val="24"/>
          <w:szCs w:val="24"/>
        </w:rPr>
        <w:t xml:space="preserve"> cost-minimisation against currently listed AEDs alone</w:t>
      </w:r>
      <w:r w:rsidR="00162110">
        <w:rPr>
          <w:rFonts w:ascii="Calibri" w:hAnsi="Calibri"/>
          <w:sz w:val="24"/>
          <w:szCs w:val="24"/>
        </w:rPr>
        <w:t xml:space="preserve">. </w:t>
      </w:r>
      <w:r w:rsidR="00236FF1">
        <w:rPr>
          <w:rFonts w:ascii="Calibri" w:hAnsi="Calibri"/>
          <w:sz w:val="24"/>
          <w:szCs w:val="24"/>
        </w:rPr>
        <w:t>T</w:t>
      </w:r>
      <w:r>
        <w:rPr>
          <w:rFonts w:ascii="Calibri" w:hAnsi="Calibri"/>
          <w:sz w:val="24"/>
          <w:szCs w:val="24"/>
        </w:rPr>
        <w:t xml:space="preserve">he PBAC considered </w:t>
      </w:r>
      <w:r w:rsidR="00236FF1">
        <w:rPr>
          <w:rFonts w:ascii="Calibri" w:hAnsi="Calibri"/>
          <w:sz w:val="24"/>
          <w:szCs w:val="24"/>
        </w:rPr>
        <w:t>(</w:t>
      </w:r>
      <w:r w:rsidR="00F47EB0">
        <w:rPr>
          <w:rFonts w:ascii="Calibri" w:hAnsi="Calibri"/>
          <w:sz w:val="24"/>
          <w:szCs w:val="24"/>
        </w:rPr>
        <w:t xml:space="preserve">citing </w:t>
      </w:r>
      <w:r w:rsidR="00236FF1">
        <w:rPr>
          <w:rFonts w:ascii="Calibri" w:hAnsi="Calibri"/>
          <w:sz w:val="24"/>
          <w:szCs w:val="24"/>
        </w:rPr>
        <w:t xml:space="preserve">Laxer, K.D. </w:t>
      </w:r>
      <w:r w:rsidR="00236FF1" w:rsidRPr="00335B54">
        <w:rPr>
          <w:rFonts w:ascii="Calibri" w:hAnsi="Calibri"/>
          <w:i/>
          <w:sz w:val="24"/>
          <w:szCs w:val="24"/>
        </w:rPr>
        <w:t>et al</w:t>
      </w:r>
      <w:r w:rsidR="00236FF1">
        <w:rPr>
          <w:rFonts w:ascii="Calibri" w:hAnsi="Calibri"/>
          <w:sz w:val="24"/>
          <w:szCs w:val="24"/>
        </w:rPr>
        <w:t xml:space="preserve"> (2014)</w:t>
      </w:r>
      <w:r w:rsidR="00236FF1">
        <w:rPr>
          <w:rStyle w:val="FootnoteReference"/>
          <w:rFonts w:ascii="Calibri" w:hAnsi="Calibri"/>
          <w:sz w:val="24"/>
          <w:szCs w:val="24"/>
        </w:rPr>
        <w:footnoteReference w:id="6"/>
      </w:r>
      <w:r w:rsidR="00236FF1">
        <w:rPr>
          <w:rFonts w:ascii="Calibri" w:hAnsi="Calibri"/>
          <w:sz w:val="24"/>
          <w:szCs w:val="24"/>
        </w:rPr>
        <w:t xml:space="preserve">) </w:t>
      </w:r>
      <w:r>
        <w:rPr>
          <w:rFonts w:ascii="Calibri" w:hAnsi="Calibri"/>
          <w:sz w:val="24"/>
          <w:szCs w:val="24"/>
        </w:rPr>
        <w:t xml:space="preserve">that the proportion of patients using </w:t>
      </w:r>
      <w:r w:rsidR="00F66242">
        <w:rPr>
          <w:rFonts w:ascii="Calibri" w:hAnsi="Calibri"/>
          <w:sz w:val="24"/>
          <w:szCs w:val="24"/>
        </w:rPr>
        <w:t xml:space="preserve">perampanel </w:t>
      </w:r>
      <w:r>
        <w:rPr>
          <w:rFonts w:ascii="Calibri" w:hAnsi="Calibri"/>
          <w:sz w:val="24"/>
          <w:szCs w:val="24"/>
        </w:rPr>
        <w:t xml:space="preserve">last-line was overestimated  </w:t>
      </w:r>
      <w:r w:rsidR="00335B54">
        <w:rPr>
          <w:rFonts w:ascii="Calibri" w:hAnsi="Calibri"/>
          <w:sz w:val="24"/>
          <w:szCs w:val="24"/>
        </w:rPr>
        <w:t xml:space="preserve">and that the </w:t>
      </w:r>
      <w:r w:rsidR="00335B54">
        <w:rPr>
          <w:rFonts w:asciiTheme="minorHAnsi" w:hAnsiTheme="minorHAnsi"/>
          <w:sz w:val="24"/>
        </w:rPr>
        <w:t>proportion of pera</w:t>
      </w:r>
      <w:r w:rsidR="00F66242">
        <w:rPr>
          <w:rFonts w:asciiTheme="minorHAnsi" w:hAnsiTheme="minorHAnsi"/>
          <w:sz w:val="24"/>
        </w:rPr>
        <w:t>m</w:t>
      </w:r>
      <w:r w:rsidR="00335B54">
        <w:rPr>
          <w:rFonts w:asciiTheme="minorHAnsi" w:hAnsiTheme="minorHAnsi"/>
          <w:sz w:val="24"/>
        </w:rPr>
        <w:t>pan</w:t>
      </w:r>
      <w:r w:rsidR="00F66242">
        <w:rPr>
          <w:rFonts w:asciiTheme="minorHAnsi" w:hAnsiTheme="minorHAnsi"/>
          <w:sz w:val="24"/>
        </w:rPr>
        <w:t>e</w:t>
      </w:r>
      <w:r w:rsidR="00335B54">
        <w:rPr>
          <w:rFonts w:asciiTheme="minorHAnsi" w:hAnsiTheme="minorHAnsi"/>
          <w:sz w:val="24"/>
        </w:rPr>
        <w:t>l use in last-line vs earlier line treatment was more likely to be 30-40% and 60-70% respectively (</w:t>
      </w:r>
      <w:r w:rsidR="00C35563">
        <w:rPr>
          <w:rFonts w:asciiTheme="minorHAnsi" w:hAnsiTheme="minorHAnsi"/>
          <w:sz w:val="24"/>
        </w:rPr>
        <w:t>vs.</w:t>
      </w:r>
      <w:r w:rsidR="00335B54">
        <w:rPr>
          <w:rFonts w:asciiTheme="minorHAnsi" w:hAnsiTheme="minorHAnsi"/>
          <w:sz w:val="24"/>
        </w:rPr>
        <w:t xml:space="preserve"> 76.1% and 23.9% respectively). </w:t>
      </w:r>
      <w:r w:rsidR="005854B2">
        <w:rPr>
          <w:rFonts w:asciiTheme="minorHAnsi" w:hAnsiTheme="minorHAnsi"/>
          <w:sz w:val="24"/>
        </w:rPr>
        <w:t xml:space="preserve">  The PBAC noted that the </w:t>
      </w:r>
      <w:r w:rsidR="00162110">
        <w:rPr>
          <w:rFonts w:asciiTheme="minorHAnsi" w:hAnsiTheme="minorHAnsi"/>
          <w:sz w:val="24"/>
        </w:rPr>
        <w:t>ex</w:t>
      </w:r>
      <w:r w:rsidR="00162110">
        <w:rPr>
          <w:rFonts w:asciiTheme="minorHAnsi" w:hAnsiTheme="minorHAnsi"/>
          <w:sz w:val="24"/>
        </w:rPr>
        <w:noBreakHyphen/>
      </w:r>
      <w:r w:rsidR="005854B2">
        <w:rPr>
          <w:rFonts w:asciiTheme="minorHAnsi" w:hAnsiTheme="minorHAnsi"/>
          <w:sz w:val="24"/>
        </w:rPr>
        <w:t>manufacturer price per day of perampanel, if recalculated on this basis would be between $</w:t>
      </w:r>
      <w:r w:rsidR="00247FD4">
        <w:rPr>
          <w:rFonts w:asciiTheme="minorHAnsi" w:hAnsiTheme="minorHAnsi"/>
          <w:noProof/>
          <w:color w:val="000000"/>
          <w:sz w:val="24"/>
          <w:highlight w:val="black"/>
        </w:rPr>
        <w:t>'''''''''</w:t>
      </w:r>
      <w:r w:rsidR="005854B2">
        <w:rPr>
          <w:rFonts w:asciiTheme="minorHAnsi" w:hAnsiTheme="minorHAnsi"/>
          <w:sz w:val="24"/>
        </w:rPr>
        <w:t xml:space="preserve"> and $</w:t>
      </w:r>
      <w:r w:rsidR="00247FD4">
        <w:rPr>
          <w:rFonts w:asciiTheme="minorHAnsi" w:hAnsiTheme="minorHAnsi"/>
          <w:noProof/>
          <w:color w:val="000000"/>
          <w:sz w:val="24"/>
          <w:highlight w:val="black"/>
        </w:rPr>
        <w:t>'''''''''</w:t>
      </w:r>
      <w:r w:rsidR="005854B2">
        <w:rPr>
          <w:rFonts w:asciiTheme="minorHAnsi" w:hAnsiTheme="minorHAnsi"/>
          <w:sz w:val="24"/>
        </w:rPr>
        <w:t xml:space="preserve"> rather than the $</w:t>
      </w:r>
      <w:r w:rsidR="00247FD4">
        <w:rPr>
          <w:rFonts w:asciiTheme="minorHAnsi" w:hAnsiTheme="minorHAnsi"/>
          <w:noProof/>
          <w:color w:val="000000"/>
          <w:sz w:val="24"/>
          <w:highlight w:val="black"/>
        </w:rPr>
        <w:t>''''''''</w:t>
      </w:r>
      <w:r w:rsidR="005854B2">
        <w:rPr>
          <w:rFonts w:asciiTheme="minorHAnsi" w:hAnsiTheme="minorHAnsi"/>
          <w:sz w:val="24"/>
        </w:rPr>
        <w:t xml:space="preserve"> requested by the submission.</w:t>
      </w:r>
    </w:p>
    <w:p w:rsidR="009225C6" w:rsidRPr="009225C6" w:rsidRDefault="00341472" w:rsidP="009225C6">
      <w:pPr>
        <w:widowControl/>
        <w:numPr>
          <w:ilvl w:val="1"/>
          <w:numId w:val="3"/>
        </w:numPr>
        <w:spacing w:after="120"/>
        <w:jc w:val="left"/>
        <w:rPr>
          <w:rFonts w:ascii="Calibri" w:hAnsi="Calibri"/>
          <w:b/>
          <w:sz w:val="24"/>
          <w:szCs w:val="24"/>
        </w:rPr>
      </w:pPr>
      <w:r>
        <w:rPr>
          <w:rFonts w:ascii="Calibri" w:hAnsi="Calibri"/>
          <w:sz w:val="24"/>
          <w:szCs w:val="24"/>
        </w:rPr>
        <w:t xml:space="preserve">The PBAC noted that the proposed restriction had been revised to allow earlier treatment with perampanel (i.e. as an additional option for refractory patients, rather than last-line only) </w:t>
      </w:r>
      <w:r w:rsidR="00F419BE">
        <w:rPr>
          <w:rFonts w:ascii="Calibri" w:hAnsi="Calibri"/>
          <w:sz w:val="24"/>
          <w:szCs w:val="24"/>
        </w:rPr>
        <w:t xml:space="preserve">consistent </w:t>
      </w:r>
      <w:r>
        <w:rPr>
          <w:rFonts w:ascii="Calibri" w:hAnsi="Calibri"/>
          <w:sz w:val="24"/>
          <w:szCs w:val="24"/>
        </w:rPr>
        <w:t xml:space="preserve">with its earlier advice.  </w:t>
      </w:r>
    </w:p>
    <w:p w:rsidR="00307000" w:rsidRDefault="00D31FEF" w:rsidP="00307000">
      <w:pPr>
        <w:widowControl/>
        <w:numPr>
          <w:ilvl w:val="1"/>
          <w:numId w:val="3"/>
        </w:numPr>
        <w:spacing w:after="120"/>
        <w:jc w:val="left"/>
        <w:rPr>
          <w:rFonts w:asciiTheme="minorHAnsi" w:hAnsiTheme="minorHAnsi"/>
          <w:bCs/>
          <w:sz w:val="24"/>
          <w:szCs w:val="24"/>
          <w:lang w:val="en-GB"/>
        </w:rPr>
      </w:pPr>
      <w:r>
        <w:rPr>
          <w:rFonts w:asciiTheme="minorHAnsi" w:hAnsiTheme="minorHAnsi"/>
          <w:bCs/>
          <w:sz w:val="24"/>
          <w:szCs w:val="24"/>
          <w:lang w:val="en-GB"/>
        </w:rPr>
        <w:t xml:space="preserve">The PBAC </w:t>
      </w:r>
      <w:r w:rsidRPr="006F3941">
        <w:rPr>
          <w:rFonts w:asciiTheme="minorHAnsi" w:hAnsiTheme="minorHAnsi"/>
          <w:bCs/>
          <w:sz w:val="24"/>
          <w:szCs w:val="24"/>
          <w:lang w:val="en-GB"/>
        </w:rPr>
        <w:t>noted that the equ</w:t>
      </w:r>
      <w:r>
        <w:rPr>
          <w:rFonts w:asciiTheme="minorHAnsi" w:hAnsiTheme="minorHAnsi"/>
          <w:bCs/>
          <w:sz w:val="24"/>
          <w:szCs w:val="24"/>
          <w:lang w:val="en-GB"/>
        </w:rPr>
        <w:t>i</w:t>
      </w:r>
      <w:r w:rsidRPr="006F3941">
        <w:rPr>
          <w:rFonts w:asciiTheme="minorHAnsi" w:hAnsiTheme="minorHAnsi"/>
          <w:bCs/>
          <w:sz w:val="24"/>
          <w:szCs w:val="24"/>
          <w:lang w:val="en-GB"/>
        </w:rPr>
        <w:t>-effective doses were</w:t>
      </w:r>
      <w:r w:rsidRPr="006F3941">
        <w:t xml:space="preserve"> </w:t>
      </w:r>
      <w:r>
        <w:rPr>
          <w:rFonts w:asciiTheme="minorHAnsi" w:hAnsiTheme="minorHAnsi"/>
          <w:bCs/>
          <w:sz w:val="24"/>
          <w:szCs w:val="24"/>
          <w:lang w:val="en-GB"/>
        </w:rPr>
        <w:t>nominated</w:t>
      </w:r>
      <w:r w:rsidRPr="006F3941">
        <w:rPr>
          <w:rFonts w:asciiTheme="minorHAnsi" w:hAnsiTheme="minorHAnsi"/>
          <w:bCs/>
          <w:sz w:val="24"/>
          <w:szCs w:val="24"/>
          <w:lang w:val="en-GB"/>
        </w:rPr>
        <w:t xml:space="preserve"> as perampanel 8</w:t>
      </w:r>
      <w:r w:rsidR="004753C2">
        <w:rPr>
          <w:rFonts w:asciiTheme="minorHAnsi" w:hAnsiTheme="minorHAnsi"/>
          <w:bCs/>
          <w:sz w:val="24"/>
          <w:szCs w:val="24"/>
          <w:lang w:val="en-GB"/>
        </w:rPr>
        <w:t> </w:t>
      </w:r>
      <w:r w:rsidRPr="006F3941">
        <w:rPr>
          <w:rFonts w:asciiTheme="minorHAnsi" w:hAnsiTheme="minorHAnsi"/>
          <w:bCs/>
          <w:sz w:val="24"/>
          <w:szCs w:val="24"/>
          <w:lang w:val="en-GB"/>
        </w:rPr>
        <w:t>mg/day, lamotrigine 300</w:t>
      </w:r>
      <w:r w:rsidR="004753C2">
        <w:rPr>
          <w:rFonts w:asciiTheme="minorHAnsi" w:hAnsiTheme="minorHAnsi"/>
          <w:bCs/>
          <w:sz w:val="24"/>
          <w:szCs w:val="24"/>
          <w:lang w:val="en-GB"/>
        </w:rPr>
        <w:t> </w:t>
      </w:r>
      <w:r w:rsidRPr="006F3941">
        <w:rPr>
          <w:rFonts w:asciiTheme="minorHAnsi" w:hAnsiTheme="minorHAnsi"/>
          <w:bCs/>
          <w:sz w:val="24"/>
          <w:szCs w:val="24"/>
          <w:lang w:val="en-GB"/>
        </w:rPr>
        <w:t>mg/day, levetiracetam 2000</w:t>
      </w:r>
      <w:r w:rsidR="004753C2">
        <w:rPr>
          <w:rFonts w:asciiTheme="minorHAnsi" w:hAnsiTheme="minorHAnsi"/>
          <w:bCs/>
          <w:sz w:val="24"/>
          <w:szCs w:val="24"/>
          <w:lang w:val="en-GB"/>
        </w:rPr>
        <w:t> </w:t>
      </w:r>
      <w:r w:rsidRPr="006F3941">
        <w:rPr>
          <w:rFonts w:asciiTheme="minorHAnsi" w:hAnsiTheme="minorHAnsi"/>
          <w:bCs/>
          <w:sz w:val="24"/>
          <w:szCs w:val="24"/>
          <w:lang w:val="en-GB"/>
        </w:rPr>
        <w:t>mg/day, topiramate 300</w:t>
      </w:r>
      <w:r w:rsidR="004753C2">
        <w:rPr>
          <w:rFonts w:asciiTheme="minorHAnsi" w:hAnsiTheme="minorHAnsi"/>
          <w:bCs/>
          <w:sz w:val="24"/>
          <w:szCs w:val="24"/>
          <w:lang w:val="en-GB"/>
        </w:rPr>
        <w:t> </w:t>
      </w:r>
      <w:r w:rsidRPr="006F3941">
        <w:rPr>
          <w:rFonts w:asciiTheme="minorHAnsi" w:hAnsiTheme="minorHAnsi"/>
          <w:bCs/>
          <w:sz w:val="24"/>
          <w:szCs w:val="24"/>
          <w:lang w:val="en-GB"/>
        </w:rPr>
        <w:t>mg/day and valproate 1500</w:t>
      </w:r>
      <w:r w:rsidR="004753C2">
        <w:rPr>
          <w:rFonts w:asciiTheme="minorHAnsi" w:hAnsiTheme="minorHAnsi"/>
          <w:bCs/>
          <w:sz w:val="24"/>
          <w:szCs w:val="24"/>
          <w:lang w:val="en-GB"/>
        </w:rPr>
        <w:t> </w:t>
      </w:r>
      <w:r w:rsidRPr="006F3941">
        <w:rPr>
          <w:rFonts w:asciiTheme="minorHAnsi" w:hAnsiTheme="minorHAnsi"/>
          <w:bCs/>
          <w:sz w:val="24"/>
          <w:szCs w:val="24"/>
          <w:lang w:val="en-GB"/>
        </w:rPr>
        <w:t>mg/day.</w:t>
      </w:r>
      <w:r w:rsidRPr="00D31FEF">
        <w:rPr>
          <w:rFonts w:asciiTheme="minorHAnsi" w:hAnsiTheme="minorHAnsi"/>
          <w:bCs/>
          <w:sz w:val="24"/>
          <w:szCs w:val="24"/>
          <w:lang w:val="en-GB"/>
        </w:rPr>
        <w:t xml:space="preserve"> </w:t>
      </w:r>
      <w:r w:rsidR="00307000">
        <w:rPr>
          <w:rFonts w:asciiTheme="minorHAnsi" w:hAnsiTheme="minorHAnsi"/>
          <w:bCs/>
          <w:sz w:val="24"/>
          <w:szCs w:val="24"/>
          <w:lang w:val="en-GB"/>
        </w:rPr>
        <w:t xml:space="preserve">The PBAC considered there was uncertainty around the equi-effective doses </w:t>
      </w:r>
      <w:r w:rsidR="00F258EB">
        <w:rPr>
          <w:rFonts w:asciiTheme="minorHAnsi" w:hAnsiTheme="minorHAnsi"/>
          <w:bCs/>
          <w:sz w:val="24"/>
          <w:szCs w:val="24"/>
          <w:lang w:val="en-GB"/>
        </w:rPr>
        <w:t>but that overall these doses provided a reasonable basis for the cost-minimisation analysis.</w:t>
      </w:r>
    </w:p>
    <w:p w:rsidR="00673245" w:rsidRPr="00673245" w:rsidRDefault="00307000" w:rsidP="00673245">
      <w:pPr>
        <w:numPr>
          <w:ilvl w:val="1"/>
          <w:numId w:val="3"/>
        </w:numPr>
        <w:rPr>
          <w:bCs/>
          <w:lang w:val="en-GB"/>
        </w:rPr>
      </w:pPr>
      <w:r>
        <w:rPr>
          <w:rFonts w:asciiTheme="minorHAnsi" w:hAnsiTheme="minorHAnsi"/>
          <w:bCs/>
          <w:sz w:val="24"/>
          <w:szCs w:val="24"/>
          <w:lang w:val="en-GB"/>
        </w:rPr>
        <w:t>The PBAC recalled that in its consideration of pera</w:t>
      </w:r>
      <w:r w:rsidR="00F66242">
        <w:rPr>
          <w:rFonts w:asciiTheme="minorHAnsi" w:hAnsiTheme="minorHAnsi"/>
          <w:bCs/>
          <w:sz w:val="24"/>
          <w:szCs w:val="24"/>
          <w:lang w:val="en-GB"/>
        </w:rPr>
        <w:t>m</w:t>
      </w:r>
      <w:r>
        <w:rPr>
          <w:rFonts w:asciiTheme="minorHAnsi" w:hAnsiTheme="minorHAnsi"/>
          <w:bCs/>
          <w:sz w:val="24"/>
          <w:szCs w:val="24"/>
          <w:lang w:val="en-GB"/>
        </w:rPr>
        <w:t>panel in July 2016 it considered that a comparison against placebo was not appropriat</w:t>
      </w:r>
      <w:r w:rsidR="00841C6C">
        <w:rPr>
          <w:rFonts w:asciiTheme="minorHAnsi" w:hAnsiTheme="minorHAnsi"/>
          <w:bCs/>
          <w:sz w:val="24"/>
          <w:szCs w:val="24"/>
          <w:lang w:val="en-GB"/>
        </w:rPr>
        <w:t>e – noting that the clinical pla</w:t>
      </w:r>
      <w:r>
        <w:rPr>
          <w:rFonts w:asciiTheme="minorHAnsi" w:hAnsiTheme="minorHAnsi"/>
          <w:bCs/>
          <w:sz w:val="24"/>
          <w:szCs w:val="24"/>
          <w:lang w:val="en-GB"/>
        </w:rPr>
        <w:t xml:space="preserve">ce of therapy should be </w:t>
      </w:r>
      <w:r w:rsidRPr="00307000">
        <w:rPr>
          <w:rFonts w:asciiTheme="minorHAnsi" w:hAnsiTheme="minorHAnsi"/>
          <w:bCs/>
          <w:sz w:val="24"/>
          <w:szCs w:val="24"/>
          <w:lang w:val="en-GB"/>
        </w:rPr>
        <w:t>as</w:t>
      </w:r>
      <w:r w:rsidR="004753C2">
        <w:rPr>
          <w:rFonts w:asciiTheme="minorHAnsi" w:hAnsiTheme="minorHAnsi"/>
          <w:bCs/>
          <w:sz w:val="24"/>
          <w:szCs w:val="24"/>
          <w:lang w:val="en-GB"/>
        </w:rPr>
        <w:t xml:space="preserve"> an</w:t>
      </w:r>
      <w:r w:rsidRPr="00307000">
        <w:rPr>
          <w:rFonts w:asciiTheme="minorHAnsi" w:hAnsiTheme="minorHAnsi"/>
          <w:bCs/>
          <w:sz w:val="24"/>
          <w:szCs w:val="24"/>
          <w:lang w:val="en-GB"/>
        </w:rPr>
        <w:t xml:space="preserve"> additional </w:t>
      </w:r>
      <w:r w:rsidRPr="00307000">
        <w:rPr>
          <w:rFonts w:asciiTheme="minorHAnsi" w:hAnsiTheme="minorHAnsi"/>
          <w:sz w:val="24"/>
          <w:szCs w:val="24"/>
        </w:rPr>
        <w:t>option to those currently available for the treatment of refractory patients</w:t>
      </w:r>
      <w:r w:rsidR="00840F00">
        <w:rPr>
          <w:rFonts w:asciiTheme="minorHAnsi" w:hAnsiTheme="minorHAnsi"/>
          <w:bCs/>
          <w:sz w:val="24"/>
          <w:szCs w:val="24"/>
          <w:lang w:val="en-GB"/>
        </w:rPr>
        <w:t xml:space="preserve">. The PBAC </w:t>
      </w:r>
      <w:r w:rsidR="00840F00">
        <w:rPr>
          <w:rFonts w:asciiTheme="minorHAnsi" w:hAnsiTheme="minorHAnsi"/>
          <w:sz w:val="24"/>
          <w:lang w:val="en-GB"/>
        </w:rPr>
        <w:t>maintained the view that a comparison</w:t>
      </w:r>
      <w:r w:rsidR="00094820">
        <w:rPr>
          <w:rFonts w:asciiTheme="minorHAnsi" w:hAnsiTheme="minorHAnsi"/>
          <w:sz w:val="24"/>
          <w:lang w:val="en-GB"/>
        </w:rPr>
        <w:t xml:space="preserve"> wholly</w:t>
      </w:r>
      <w:r w:rsidR="00840F00">
        <w:rPr>
          <w:rFonts w:asciiTheme="minorHAnsi" w:hAnsiTheme="minorHAnsi"/>
          <w:sz w:val="24"/>
          <w:lang w:val="en-GB"/>
        </w:rPr>
        <w:t xml:space="preserve"> against placebo was not appropriate. However, on balance – noting the clinical need for another therapeutic option in refractory</w:t>
      </w:r>
      <w:r w:rsidR="00841C6C">
        <w:rPr>
          <w:rFonts w:asciiTheme="minorHAnsi" w:hAnsiTheme="minorHAnsi"/>
          <w:sz w:val="24"/>
          <w:lang w:val="en-GB"/>
        </w:rPr>
        <w:t xml:space="preserve"> patients – the committee pragmatically consi</w:t>
      </w:r>
      <w:r w:rsidR="00840F00">
        <w:rPr>
          <w:rFonts w:asciiTheme="minorHAnsi" w:hAnsiTheme="minorHAnsi"/>
          <w:sz w:val="24"/>
          <w:lang w:val="en-GB"/>
        </w:rPr>
        <w:t>der</w:t>
      </w:r>
      <w:r w:rsidR="00841C6C">
        <w:rPr>
          <w:rFonts w:asciiTheme="minorHAnsi" w:hAnsiTheme="minorHAnsi"/>
          <w:sz w:val="24"/>
          <w:lang w:val="en-GB"/>
        </w:rPr>
        <w:t>e</w:t>
      </w:r>
      <w:r w:rsidR="00840F00">
        <w:rPr>
          <w:rFonts w:asciiTheme="minorHAnsi" w:hAnsiTheme="minorHAnsi"/>
          <w:sz w:val="24"/>
          <w:lang w:val="en-GB"/>
        </w:rPr>
        <w:t>d the approach of a mixed comparison against placebo for patients who have failed to respond adequately to existing treatment options and against other currently available AEDs (v</w:t>
      </w:r>
      <w:r w:rsidR="00840F00" w:rsidRPr="000C4D3F">
        <w:rPr>
          <w:rFonts w:asciiTheme="minorHAnsi" w:hAnsiTheme="minorHAnsi"/>
          <w:sz w:val="24"/>
          <w:lang w:val="en-GB"/>
        </w:rPr>
        <w:t xml:space="preserve">alproate, lamotrigine, </w:t>
      </w:r>
      <w:r w:rsidR="004753C2" w:rsidRPr="000C4D3F">
        <w:rPr>
          <w:rFonts w:asciiTheme="minorHAnsi" w:hAnsiTheme="minorHAnsi"/>
          <w:sz w:val="24"/>
          <w:lang w:val="en-GB"/>
        </w:rPr>
        <w:t>levetirac</w:t>
      </w:r>
      <w:r w:rsidR="004753C2">
        <w:rPr>
          <w:rFonts w:asciiTheme="minorHAnsi" w:hAnsiTheme="minorHAnsi"/>
          <w:sz w:val="24"/>
          <w:lang w:val="en-GB"/>
        </w:rPr>
        <w:t>e</w:t>
      </w:r>
      <w:r w:rsidR="004753C2" w:rsidRPr="000C4D3F">
        <w:rPr>
          <w:rFonts w:asciiTheme="minorHAnsi" w:hAnsiTheme="minorHAnsi"/>
          <w:sz w:val="24"/>
          <w:lang w:val="en-GB"/>
        </w:rPr>
        <w:t>t</w:t>
      </w:r>
      <w:r w:rsidR="004753C2">
        <w:rPr>
          <w:rFonts w:asciiTheme="minorHAnsi" w:hAnsiTheme="minorHAnsi"/>
          <w:sz w:val="24"/>
          <w:lang w:val="en-GB"/>
        </w:rPr>
        <w:t>a</w:t>
      </w:r>
      <w:r w:rsidR="004753C2" w:rsidRPr="000C4D3F">
        <w:rPr>
          <w:rFonts w:asciiTheme="minorHAnsi" w:hAnsiTheme="minorHAnsi"/>
          <w:sz w:val="24"/>
          <w:lang w:val="en-GB"/>
        </w:rPr>
        <w:t xml:space="preserve">m </w:t>
      </w:r>
      <w:r w:rsidR="00840F00" w:rsidRPr="000C4D3F">
        <w:rPr>
          <w:rFonts w:asciiTheme="minorHAnsi" w:hAnsiTheme="minorHAnsi"/>
          <w:sz w:val="24"/>
          <w:lang w:val="en-GB"/>
        </w:rPr>
        <w:t>and topiramate)</w:t>
      </w:r>
      <w:r w:rsidR="00840F00">
        <w:rPr>
          <w:rFonts w:asciiTheme="minorHAnsi" w:hAnsiTheme="minorHAnsi"/>
          <w:sz w:val="24"/>
          <w:lang w:val="en-GB"/>
        </w:rPr>
        <w:t xml:space="preserve"> for patients in whom perampanel will substitute for another AED is acceptable - subject to changes to the proportion of patients in each comparator group as discussed in paragraph 7.3. </w:t>
      </w:r>
    </w:p>
    <w:p w:rsidR="00673245" w:rsidRPr="00673245" w:rsidRDefault="00673245" w:rsidP="00841C6C">
      <w:pPr>
        <w:rPr>
          <w:bCs/>
          <w:lang w:val="en-GB"/>
        </w:rPr>
      </w:pPr>
    </w:p>
    <w:p w:rsidR="00E70FED" w:rsidRPr="000E140D" w:rsidRDefault="00E70FED" w:rsidP="00E70FED">
      <w:pPr>
        <w:pStyle w:val="ListParagraph"/>
        <w:widowControl/>
        <w:numPr>
          <w:ilvl w:val="1"/>
          <w:numId w:val="3"/>
        </w:numPr>
        <w:spacing w:after="120"/>
        <w:contextualSpacing w:val="0"/>
        <w:rPr>
          <w:rFonts w:asciiTheme="minorHAnsi" w:hAnsiTheme="minorHAnsi"/>
          <w:sz w:val="24"/>
          <w:szCs w:val="24"/>
        </w:rPr>
      </w:pPr>
      <w:r w:rsidRPr="000E140D">
        <w:rPr>
          <w:rFonts w:asciiTheme="minorHAnsi" w:hAnsiTheme="minorHAnsi"/>
          <w:sz w:val="24"/>
          <w:szCs w:val="24"/>
        </w:rPr>
        <w:t>The PBAC considered that the claim of superior comparative effectiveness</w:t>
      </w:r>
      <w:r>
        <w:rPr>
          <w:rFonts w:asciiTheme="minorHAnsi" w:hAnsiTheme="minorHAnsi"/>
          <w:sz w:val="24"/>
          <w:szCs w:val="24"/>
        </w:rPr>
        <w:t xml:space="preserve"> and inferior safety compared to</w:t>
      </w:r>
      <w:r w:rsidRPr="000E140D">
        <w:rPr>
          <w:rFonts w:asciiTheme="minorHAnsi" w:hAnsiTheme="minorHAnsi"/>
          <w:sz w:val="24"/>
          <w:szCs w:val="24"/>
        </w:rPr>
        <w:t xml:space="preserve"> placebo was reasonable</w:t>
      </w:r>
      <w:r w:rsidR="004753C2">
        <w:rPr>
          <w:rFonts w:asciiTheme="minorHAnsi" w:hAnsiTheme="minorHAnsi"/>
          <w:sz w:val="24"/>
          <w:szCs w:val="24"/>
        </w:rPr>
        <w:t>.</w:t>
      </w:r>
    </w:p>
    <w:p w:rsidR="00E70FED" w:rsidRPr="008E2E5E" w:rsidRDefault="00E70FED" w:rsidP="008E2E5E">
      <w:pPr>
        <w:pStyle w:val="ListParagraph"/>
        <w:widowControl/>
        <w:numPr>
          <w:ilvl w:val="1"/>
          <w:numId w:val="3"/>
        </w:numPr>
        <w:spacing w:after="120"/>
        <w:contextualSpacing w:val="0"/>
        <w:rPr>
          <w:rFonts w:asciiTheme="minorHAnsi" w:hAnsiTheme="minorHAnsi"/>
          <w:sz w:val="24"/>
          <w:szCs w:val="24"/>
        </w:rPr>
      </w:pPr>
      <w:r w:rsidRPr="000E140D">
        <w:rPr>
          <w:rFonts w:asciiTheme="minorHAnsi" w:hAnsiTheme="minorHAnsi"/>
          <w:sz w:val="24"/>
          <w:szCs w:val="24"/>
        </w:rPr>
        <w:t xml:space="preserve">The </w:t>
      </w:r>
      <w:r w:rsidR="008E2E5E">
        <w:rPr>
          <w:rFonts w:asciiTheme="minorHAnsi" w:hAnsiTheme="minorHAnsi"/>
          <w:sz w:val="24"/>
          <w:szCs w:val="24"/>
        </w:rPr>
        <w:t>committee</w:t>
      </w:r>
      <w:r w:rsidRPr="000E140D">
        <w:rPr>
          <w:rFonts w:asciiTheme="minorHAnsi" w:hAnsiTheme="minorHAnsi"/>
          <w:sz w:val="24"/>
          <w:szCs w:val="24"/>
        </w:rPr>
        <w:t xml:space="preserve"> noted that </w:t>
      </w:r>
      <w:r w:rsidR="008E2E5E">
        <w:rPr>
          <w:rFonts w:asciiTheme="minorHAnsi" w:hAnsiTheme="minorHAnsi"/>
          <w:sz w:val="24"/>
          <w:szCs w:val="24"/>
        </w:rPr>
        <w:t xml:space="preserve">there were significant </w:t>
      </w:r>
      <w:r w:rsidR="00C35563" w:rsidRPr="000E140D">
        <w:rPr>
          <w:rFonts w:asciiTheme="minorHAnsi" w:hAnsiTheme="minorHAnsi"/>
          <w:sz w:val="24"/>
          <w:szCs w:val="24"/>
        </w:rPr>
        <w:t>exchangeability</w:t>
      </w:r>
      <w:r w:rsidRPr="000E140D">
        <w:rPr>
          <w:rFonts w:asciiTheme="minorHAnsi" w:hAnsiTheme="minorHAnsi"/>
          <w:sz w:val="24"/>
          <w:szCs w:val="24"/>
        </w:rPr>
        <w:t xml:space="preserve"> issues between the trials</w:t>
      </w:r>
      <w:r w:rsidR="008E2E5E">
        <w:rPr>
          <w:rFonts w:asciiTheme="minorHAnsi" w:hAnsiTheme="minorHAnsi"/>
          <w:sz w:val="24"/>
          <w:szCs w:val="24"/>
        </w:rPr>
        <w:t xml:space="preserve"> </w:t>
      </w:r>
      <w:r w:rsidR="008E2E5E">
        <w:rPr>
          <w:rFonts w:ascii="Calibri" w:hAnsi="Calibri"/>
          <w:sz w:val="24"/>
          <w:szCs w:val="24"/>
        </w:rPr>
        <w:t xml:space="preserve">which made it difficult to draw </w:t>
      </w:r>
      <w:r w:rsidR="008E2E5E" w:rsidRPr="000E140D">
        <w:rPr>
          <w:rFonts w:asciiTheme="minorHAnsi" w:hAnsiTheme="minorHAnsi"/>
          <w:sz w:val="24"/>
          <w:szCs w:val="24"/>
        </w:rPr>
        <w:t>accurate conclusions</w:t>
      </w:r>
      <w:r w:rsidR="008E2E5E">
        <w:rPr>
          <w:rFonts w:asciiTheme="minorHAnsi" w:hAnsiTheme="minorHAnsi"/>
          <w:sz w:val="24"/>
          <w:szCs w:val="24"/>
        </w:rPr>
        <w:t xml:space="preserve"> regarding non-inferiority of perampanel to </w:t>
      </w:r>
      <w:r w:rsidR="008E2E5E" w:rsidRPr="000E140D">
        <w:rPr>
          <w:rFonts w:asciiTheme="minorHAnsi" w:hAnsiTheme="minorHAnsi"/>
          <w:sz w:val="24"/>
        </w:rPr>
        <w:t>lamotrigine or levetiracetam</w:t>
      </w:r>
      <w:r w:rsidR="008E2E5E">
        <w:rPr>
          <w:rFonts w:asciiTheme="minorHAnsi" w:hAnsiTheme="minorHAnsi"/>
          <w:sz w:val="24"/>
          <w:szCs w:val="24"/>
        </w:rPr>
        <w:t>. These included:</w:t>
      </w:r>
      <w:r w:rsidR="006E1C3A">
        <w:rPr>
          <w:rFonts w:asciiTheme="minorHAnsi" w:hAnsiTheme="minorHAnsi"/>
          <w:sz w:val="24"/>
          <w:szCs w:val="24"/>
        </w:rPr>
        <w:t xml:space="preserve"> </w:t>
      </w:r>
      <w:r w:rsidR="006E1C3A" w:rsidRPr="006E1C3A">
        <w:rPr>
          <w:rFonts w:ascii="Calibri" w:hAnsi="Calibri"/>
          <w:sz w:val="24"/>
          <w:szCs w:val="24"/>
        </w:rPr>
        <w:t>differences in the clinical diagnosis of epilepsy and standard of care</w:t>
      </w:r>
      <w:r w:rsidR="008E2E5E">
        <w:rPr>
          <w:rFonts w:ascii="Calibri" w:hAnsi="Calibri"/>
          <w:sz w:val="24"/>
          <w:szCs w:val="24"/>
        </w:rPr>
        <w:t xml:space="preserve">; the number of AEDs taken at baseline; </w:t>
      </w:r>
      <w:r w:rsidR="006E1C3A" w:rsidRPr="006E1C3A">
        <w:rPr>
          <w:rFonts w:ascii="Calibri" w:hAnsi="Calibri"/>
          <w:sz w:val="24"/>
          <w:szCs w:val="24"/>
        </w:rPr>
        <w:t>and differences in the common reference (placebo) arms observed across the trials for a number of efficacy and safety outcomes</w:t>
      </w:r>
      <w:r w:rsidR="008E2E5E">
        <w:rPr>
          <w:rFonts w:ascii="Calibri" w:hAnsi="Calibri"/>
          <w:sz w:val="24"/>
          <w:szCs w:val="24"/>
        </w:rPr>
        <w:t xml:space="preserve"> which made </w:t>
      </w:r>
      <w:r w:rsidR="008E2E5E">
        <w:rPr>
          <w:rFonts w:asciiTheme="minorHAnsi" w:hAnsiTheme="minorHAnsi"/>
          <w:sz w:val="24"/>
          <w:szCs w:val="24"/>
        </w:rPr>
        <w:t xml:space="preserve">However, the committee also noted that </w:t>
      </w:r>
      <w:r w:rsidRPr="000E140D">
        <w:rPr>
          <w:rFonts w:asciiTheme="minorHAnsi" w:hAnsiTheme="minorHAnsi"/>
          <w:sz w:val="24"/>
          <w:szCs w:val="24"/>
        </w:rPr>
        <w:t xml:space="preserve">that the use of newer drugs in the </w:t>
      </w:r>
      <w:r w:rsidRPr="000E140D">
        <w:rPr>
          <w:rFonts w:asciiTheme="minorHAnsi" w:hAnsiTheme="minorHAnsi"/>
          <w:sz w:val="24"/>
        </w:rPr>
        <w:t xml:space="preserve">lamotrigine or levetiracetam trials may bias </w:t>
      </w:r>
      <w:r w:rsidR="00C35563" w:rsidRPr="000E140D">
        <w:rPr>
          <w:rFonts w:asciiTheme="minorHAnsi" w:hAnsiTheme="minorHAnsi"/>
          <w:sz w:val="24"/>
        </w:rPr>
        <w:t>against</w:t>
      </w:r>
      <w:r w:rsidRPr="000E140D">
        <w:rPr>
          <w:rFonts w:asciiTheme="minorHAnsi" w:hAnsiTheme="minorHAnsi"/>
          <w:sz w:val="24"/>
        </w:rPr>
        <w:t xml:space="preserve"> perampanel</w:t>
      </w:r>
      <w:r w:rsidR="008E2E5E">
        <w:rPr>
          <w:rFonts w:asciiTheme="minorHAnsi" w:hAnsiTheme="minorHAnsi"/>
          <w:sz w:val="24"/>
        </w:rPr>
        <w:t xml:space="preserve"> and that on balance, the claim of non-inferior </w:t>
      </w:r>
      <w:r w:rsidR="008E2E5E" w:rsidRPr="000E140D">
        <w:rPr>
          <w:rFonts w:asciiTheme="minorHAnsi" w:hAnsiTheme="minorHAnsi"/>
          <w:sz w:val="24"/>
          <w:szCs w:val="24"/>
        </w:rPr>
        <w:t>comparative effectiveness</w:t>
      </w:r>
      <w:r w:rsidR="008E2E5E">
        <w:rPr>
          <w:rFonts w:asciiTheme="minorHAnsi" w:hAnsiTheme="minorHAnsi"/>
          <w:sz w:val="24"/>
          <w:szCs w:val="24"/>
        </w:rPr>
        <w:t xml:space="preserve"> was reasonable</w:t>
      </w:r>
      <w:r w:rsidRPr="000E140D">
        <w:rPr>
          <w:rFonts w:asciiTheme="minorHAnsi" w:hAnsiTheme="minorHAnsi"/>
          <w:sz w:val="24"/>
        </w:rPr>
        <w:t>.</w:t>
      </w:r>
      <w:r w:rsidRPr="000E140D">
        <w:rPr>
          <w:rFonts w:asciiTheme="minorHAnsi" w:hAnsiTheme="minorHAnsi"/>
          <w:sz w:val="24"/>
          <w:szCs w:val="24"/>
        </w:rPr>
        <w:t xml:space="preserve"> </w:t>
      </w:r>
    </w:p>
    <w:p w:rsidR="00307000" w:rsidRDefault="00E70FED" w:rsidP="006E1C3A">
      <w:pPr>
        <w:numPr>
          <w:ilvl w:val="1"/>
          <w:numId w:val="3"/>
        </w:numPr>
        <w:spacing w:after="120"/>
        <w:rPr>
          <w:rFonts w:asciiTheme="minorHAnsi" w:hAnsiTheme="minorHAnsi"/>
          <w:sz w:val="24"/>
          <w:szCs w:val="24"/>
        </w:rPr>
      </w:pPr>
      <w:r w:rsidRPr="00925029">
        <w:rPr>
          <w:rFonts w:asciiTheme="minorHAnsi" w:hAnsiTheme="minorHAnsi"/>
          <w:sz w:val="24"/>
          <w:szCs w:val="24"/>
        </w:rPr>
        <w:t xml:space="preserve">The PBAC considered that the claim of </w:t>
      </w:r>
      <w:r>
        <w:rPr>
          <w:rFonts w:asciiTheme="minorHAnsi" w:hAnsiTheme="minorHAnsi"/>
          <w:sz w:val="24"/>
          <w:szCs w:val="24"/>
        </w:rPr>
        <w:t>non-</w:t>
      </w:r>
      <w:r w:rsidRPr="00925029">
        <w:rPr>
          <w:rFonts w:asciiTheme="minorHAnsi" w:hAnsiTheme="minorHAnsi"/>
          <w:sz w:val="24"/>
          <w:szCs w:val="24"/>
        </w:rPr>
        <w:t xml:space="preserve">inferior safety compared to </w:t>
      </w:r>
      <w:r w:rsidRPr="00925029">
        <w:rPr>
          <w:rFonts w:asciiTheme="minorHAnsi" w:hAnsiTheme="minorHAnsi"/>
          <w:sz w:val="24"/>
        </w:rPr>
        <w:t>either lamotrigine or levetiracetam</w:t>
      </w:r>
      <w:r w:rsidRPr="00925029">
        <w:rPr>
          <w:rFonts w:asciiTheme="minorHAnsi" w:hAnsiTheme="minorHAnsi"/>
          <w:sz w:val="24"/>
          <w:szCs w:val="24"/>
        </w:rPr>
        <w:t xml:space="preserve"> was reasonable</w:t>
      </w:r>
      <w:r>
        <w:rPr>
          <w:rFonts w:asciiTheme="minorHAnsi" w:hAnsiTheme="minorHAnsi"/>
          <w:sz w:val="24"/>
          <w:szCs w:val="24"/>
        </w:rPr>
        <w:t xml:space="preserve">, but noted that the studies were not adequately powered to assess safety and that there is a need for longer term safety data.  </w:t>
      </w:r>
    </w:p>
    <w:p w:rsidR="008E2E5E" w:rsidRDefault="008E2E5E" w:rsidP="008323B2">
      <w:pPr>
        <w:numPr>
          <w:ilvl w:val="1"/>
          <w:numId w:val="3"/>
        </w:numPr>
        <w:rPr>
          <w:rFonts w:asciiTheme="minorHAnsi" w:hAnsiTheme="minorHAnsi"/>
          <w:sz w:val="24"/>
          <w:szCs w:val="24"/>
        </w:rPr>
      </w:pPr>
      <w:r>
        <w:rPr>
          <w:rFonts w:asciiTheme="minorHAnsi" w:hAnsiTheme="minorHAnsi"/>
          <w:sz w:val="24"/>
          <w:szCs w:val="24"/>
        </w:rPr>
        <w:t>The PBAC considered that there were a number of outstanding issues with the economic analysis presen</w:t>
      </w:r>
      <w:r w:rsidR="00EC793F">
        <w:rPr>
          <w:rFonts w:asciiTheme="minorHAnsi" w:hAnsiTheme="minorHAnsi"/>
          <w:sz w:val="24"/>
          <w:szCs w:val="24"/>
        </w:rPr>
        <w:t>ted that had not been addressed</w:t>
      </w:r>
      <w:r>
        <w:rPr>
          <w:rFonts w:asciiTheme="minorHAnsi" w:hAnsiTheme="minorHAnsi"/>
          <w:sz w:val="24"/>
          <w:szCs w:val="24"/>
        </w:rPr>
        <w:t xml:space="preserve">. </w:t>
      </w:r>
      <w:r w:rsidR="008323B2">
        <w:rPr>
          <w:rFonts w:asciiTheme="minorHAnsi" w:hAnsiTheme="minorHAnsi"/>
          <w:sz w:val="24"/>
          <w:szCs w:val="24"/>
        </w:rPr>
        <w:t>These included</w:t>
      </w:r>
      <w:r w:rsidR="008323B2" w:rsidRPr="008323B2">
        <w:rPr>
          <w:rFonts w:asciiTheme="minorHAnsi" w:hAnsiTheme="minorHAnsi"/>
          <w:sz w:val="24"/>
          <w:szCs w:val="24"/>
        </w:rPr>
        <w:t xml:space="preserve"> concerns with respect to structure, application and ex</w:t>
      </w:r>
      <w:r w:rsidR="008323B2">
        <w:rPr>
          <w:rFonts w:asciiTheme="minorHAnsi" w:hAnsiTheme="minorHAnsi"/>
          <w:sz w:val="24"/>
          <w:szCs w:val="24"/>
        </w:rPr>
        <w:t xml:space="preserve">trapolation of treatment effect. However, the committee also noted that </w:t>
      </w:r>
      <w:r w:rsidR="008323B2">
        <w:rPr>
          <w:rFonts w:asciiTheme="minorHAnsi" w:hAnsiTheme="minorHAnsi"/>
          <w:sz w:val="24"/>
        </w:rPr>
        <w:t>there are difficulties associated with modelling epilepsy based on currently available data and the sponsors comment that any resubmission would be unlikely to address the uncertainty any further</w:t>
      </w:r>
      <w:r w:rsidR="008323B2" w:rsidRPr="00824BC8">
        <w:rPr>
          <w:rFonts w:asciiTheme="minorHAnsi" w:hAnsiTheme="minorHAnsi"/>
          <w:sz w:val="24"/>
        </w:rPr>
        <w:t xml:space="preserve">. </w:t>
      </w:r>
      <w:r w:rsidR="008323B2">
        <w:rPr>
          <w:rFonts w:asciiTheme="minorHAnsi" w:hAnsiTheme="minorHAnsi"/>
          <w:sz w:val="24"/>
          <w:szCs w:val="24"/>
        </w:rPr>
        <w:t xml:space="preserve">  </w:t>
      </w:r>
    </w:p>
    <w:p w:rsidR="008323B2" w:rsidRPr="008323B2" w:rsidRDefault="008323B2" w:rsidP="008323B2">
      <w:pPr>
        <w:ind w:left="720"/>
        <w:rPr>
          <w:rFonts w:asciiTheme="minorHAnsi" w:hAnsiTheme="minorHAnsi"/>
          <w:sz w:val="24"/>
          <w:szCs w:val="24"/>
        </w:rPr>
      </w:pPr>
    </w:p>
    <w:p w:rsidR="004D1EBE" w:rsidRPr="004D1EBE" w:rsidRDefault="00673245" w:rsidP="004D1EBE">
      <w:pPr>
        <w:numPr>
          <w:ilvl w:val="1"/>
          <w:numId w:val="3"/>
        </w:numPr>
        <w:spacing w:after="120"/>
        <w:rPr>
          <w:rFonts w:asciiTheme="minorHAnsi" w:hAnsiTheme="minorHAnsi"/>
          <w:bCs/>
          <w:sz w:val="24"/>
          <w:szCs w:val="24"/>
        </w:rPr>
      </w:pPr>
      <w:r>
        <w:rPr>
          <w:rFonts w:asciiTheme="minorHAnsi" w:hAnsiTheme="minorHAnsi"/>
          <w:bCs/>
          <w:sz w:val="24"/>
          <w:szCs w:val="24"/>
        </w:rPr>
        <w:t xml:space="preserve">The </w:t>
      </w:r>
      <w:r w:rsidR="004D1EBE">
        <w:rPr>
          <w:rFonts w:asciiTheme="minorHAnsi" w:hAnsiTheme="minorHAnsi"/>
          <w:bCs/>
          <w:sz w:val="24"/>
          <w:szCs w:val="24"/>
        </w:rPr>
        <w:t xml:space="preserve">PBAC </w:t>
      </w:r>
      <w:r>
        <w:rPr>
          <w:rFonts w:asciiTheme="minorHAnsi" w:hAnsiTheme="minorHAnsi"/>
          <w:bCs/>
          <w:sz w:val="24"/>
          <w:szCs w:val="24"/>
        </w:rPr>
        <w:t>considered that</w:t>
      </w:r>
      <w:r w:rsidR="004D1EBE">
        <w:rPr>
          <w:rFonts w:asciiTheme="minorHAnsi" w:hAnsiTheme="minorHAnsi"/>
          <w:bCs/>
          <w:sz w:val="24"/>
          <w:szCs w:val="24"/>
        </w:rPr>
        <w:t xml:space="preserve"> t</w:t>
      </w:r>
      <w:r w:rsidR="008F6207" w:rsidRPr="004D1EBE">
        <w:rPr>
          <w:rFonts w:asciiTheme="minorHAnsi" w:hAnsiTheme="minorHAnsi"/>
          <w:bCs/>
          <w:sz w:val="24"/>
          <w:szCs w:val="24"/>
        </w:rPr>
        <w:t xml:space="preserve">he number of patients estimated to be eligible for treatment with perampanel </w:t>
      </w:r>
      <w:r w:rsidR="004D1EBE">
        <w:rPr>
          <w:rFonts w:asciiTheme="minorHAnsi" w:hAnsiTheme="minorHAnsi"/>
          <w:bCs/>
          <w:sz w:val="24"/>
          <w:szCs w:val="24"/>
        </w:rPr>
        <w:t xml:space="preserve">is likely to be </w:t>
      </w:r>
      <w:r>
        <w:rPr>
          <w:rFonts w:asciiTheme="minorHAnsi" w:hAnsiTheme="minorHAnsi"/>
          <w:bCs/>
          <w:sz w:val="24"/>
          <w:szCs w:val="24"/>
        </w:rPr>
        <w:t>an underestimate, noting that the p</w:t>
      </w:r>
      <w:r w:rsidR="008F6207" w:rsidRPr="004D1EBE">
        <w:rPr>
          <w:rFonts w:asciiTheme="minorHAnsi" w:hAnsiTheme="minorHAnsi"/>
          <w:bCs/>
          <w:sz w:val="24"/>
          <w:szCs w:val="24"/>
        </w:rPr>
        <w:t>revalence rates of epilepsy</w:t>
      </w:r>
      <w:r w:rsidR="004D1EBE">
        <w:rPr>
          <w:rFonts w:asciiTheme="minorHAnsi" w:hAnsiTheme="minorHAnsi"/>
          <w:bCs/>
          <w:sz w:val="24"/>
          <w:szCs w:val="24"/>
        </w:rPr>
        <w:t xml:space="preserve"> and t</w:t>
      </w:r>
      <w:r w:rsidR="008F6207" w:rsidRPr="004D1EBE">
        <w:rPr>
          <w:rFonts w:asciiTheme="minorHAnsi" w:hAnsiTheme="minorHAnsi"/>
          <w:bCs/>
          <w:sz w:val="24"/>
          <w:szCs w:val="24"/>
        </w:rPr>
        <w:t>he proportion of patients with PGTC seizures who are eligible for treatment with peram</w:t>
      </w:r>
      <w:r w:rsidR="004D1EBE" w:rsidRPr="004D1EBE">
        <w:rPr>
          <w:rFonts w:asciiTheme="minorHAnsi" w:hAnsiTheme="minorHAnsi"/>
          <w:bCs/>
          <w:sz w:val="24"/>
          <w:szCs w:val="24"/>
        </w:rPr>
        <w:t xml:space="preserve">panel </w:t>
      </w:r>
      <w:r w:rsidR="00841C6C">
        <w:rPr>
          <w:rFonts w:asciiTheme="minorHAnsi" w:hAnsiTheme="minorHAnsi"/>
          <w:bCs/>
          <w:sz w:val="24"/>
          <w:szCs w:val="24"/>
        </w:rPr>
        <w:t>may both be underestimated</w:t>
      </w:r>
      <w:r>
        <w:rPr>
          <w:rFonts w:asciiTheme="minorHAnsi" w:hAnsiTheme="minorHAnsi"/>
          <w:bCs/>
          <w:sz w:val="24"/>
          <w:szCs w:val="24"/>
        </w:rPr>
        <w:t xml:space="preserve">. </w:t>
      </w:r>
    </w:p>
    <w:p w:rsidR="009530DB" w:rsidRPr="006F3941" w:rsidRDefault="009530DB" w:rsidP="006F3941">
      <w:pPr>
        <w:widowControl/>
        <w:numPr>
          <w:ilvl w:val="1"/>
          <w:numId w:val="3"/>
        </w:numPr>
        <w:spacing w:after="120"/>
        <w:jc w:val="left"/>
        <w:rPr>
          <w:rFonts w:asciiTheme="minorHAnsi" w:hAnsiTheme="minorHAnsi"/>
          <w:bCs/>
          <w:sz w:val="24"/>
          <w:szCs w:val="24"/>
          <w:lang w:val="en-GB"/>
        </w:rPr>
      </w:pPr>
      <w:r w:rsidRPr="006F3941">
        <w:rPr>
          <w:rFonts w:asciiTheme="minorHAnsi" w:hAnsiTheme="minorHAnsi"/>
          <w:bCs/>
          <w:sz w:val="24"/>
          <w:szCs w:val="24"/>
          <w:lang w:val="en-GB"/>
        </w:rPr>
        <w:t>The PBAC recommended that</w:t>
      </w:r>
      <w:r w:rsidR="00E329E4" w:rsidRPr="006F3941">
        <w:rPr>
          <w:rFonts w:asciiTheme="minorHAnsi" w:hAnsiTheme="minorHAnsi"/>
          <w:bCs/>
          <w:sz w:val="24"/>
          <w:szCs w:val="24"/>
          <w:lang w:val="en-GB"/>
        </w:rPr>
        <w:t xml:space="preserve"> </w:t>
      </w:r>
      <w:r w:rsidR="004753C2">
        <w:rPr>
          <w:rFonts w:asciiTheme="minorHAnsi" w:hAnsiTheme="minorHAnsi"/>
          <w:bCs/>
          <w:sz w:val="24"/>
          <w:szCs w:val="24"/>
          <w:lang w:val="en-GB"/>
        </w:rPr>
        <w:t>p</w:t>
      </w:r>
      <w:r w:rsidR="004753C2" w:rsidRPr="006F3941">
        <w:rPr>
          <w:rFonts w:asciiTheme="minorHAnsi" w:hAnsiTheme="minorHAnsi"/>
          <w:bCs/>
          <w:sz w:val="24"/>
          <w:szCs w:val="24"/>
          <w:lang w:val="en-GB"/>
        </w:rPr>
        <w:t xml:space="preserve">erampanel </w:t>
      </w:r>
      <w:r w:rsidRPr="006F3941">
        <w:rPr>
          <w:rFonts w:asciiTheme="minorHAnsi" w:hAnsiTheme="minorHAnsi"/>
          <w:bCs/>
          <w:sz w:val="24"/>
          <w:szCs w:val="24"/>
          <w:lang w:val="en-GB"/>
        </w:rPr>
        <w:t xml:space="preserve">should </w:t>
      </w:r>
      <w:r w:rsidR="00673245">
        <w:rPr>
          <w:rFonts w:asciiTheme="minorHAnsi" w:hAnsiTheme="minorHAnsi"/>
          <w:bCs/>
          <w:sz w:val="24"/>
          <w:szCs w:val="24"/>
          <w:lang w:val="en-GB"/>
        </w:rPr>
        <w:t xml:space="preserve">not </w:t>
      </w:r>
      <w:r w:rsidRPr="006F3941">
        <w:rPr>
          <w:rFonts w:asciiTheme="minorHAnsi" w:hAnsiTheme="minorHAnsi"/>
          <w:bCs/>
          <w:sz w:val="24"/>
          <w:szCs w:val="24"/>
          <w:lang w:val="en-GB"/>
        </w:rPr>
        <w:t>be treated as interchangeable</w:t>
      </w:r>
      <w:r w:rsidR="00673245">
        <w:rPr>
          <w:rFonts w:asciiTheme="minorHAnsi" w:hAnsiTheme="minorHAnsi"/>
          <w:bCs/>
          <w:sz w:val="24"/>
          <w:szCs w:val="24"/>
          <w:lang w:val="en-GB"/>
        </w:rPr>
        <w:t xml:space="preserve"> with any other drugs</w:t>
      </w:r>
      <w:r w:rsidR="006F3941" w:rsidRPr="006F3941">
        <w:rPr>
          <w:rFonts w:asciiTheme="minorHAnsi" w:hAnsiTheme="minorHAnsi"/>
          <w:bCs/>
          <w:sz w:val="24"/>
          <w:szCs w:val="24"/>
          <w:lang w:val="en-GB"/>
        </w:rPr>
        <w:t>.</w:t>
      </w:r>
    </w:p>
    <w:p w:rsidR="009530DB" w:rsidRPr="009530DB" w:rsidRDefault="009530DB" w:rsidP="009530DB">
      <w:pPr>
        <w:widowControl/>
        <w:numPr>
          <w:ilvl w:val="1"/>
          <w:numId w:val="3"/>
        </w:numPr>
        <w:spacing w:after="120"/>
        <w:jc w:val="left"/>
        <w:rPr>
          <w:rFonts w:asciiTheme="minorHAnsi" w:hAnsiTheme="minorHAnsi"/>
          <w:bCs/>
          <w:sz w:val="24"/>
          <w:szCs w:val="24"/>
          <w:lang w:val="en-GB"/>
        </w:rPr>
      </w:pPr>
      <w:r w:rsidRPr="009530DB">
        <w:rPr>
          <w:rFonts w:asciiTheme="minorHAnsi" w:hAnsiTheme="minorHAnsi"/>
          <w:bCs/>
          <w:sz w:val="24"/>
          <w:szCs w:val="24"/>
          <w:lang w:val="en-GB"/>
        </w:rPr>
        <w:t>The PBAC advised that perampanel is suitable for prescribing by nurse practitioners</w:t>
      </w:r>
      <w:r w:rsidR="001514FA">
        <w:rPr>
          <w:rFonts w:asciiTheme="minorHAnsi" w:hAnsiTheme="minorHAnsi"/>
          <w:bCs/>
          <w:sz w:val="24"/>
          <w:szCs w:val="24"/>
          <w:lang w:val="en-GB"/>
        </w:rPr>
        <w:t xml:space="preserve"> as continuing therapy only.</w:t>
      </w:r>
      <w:r w:rsidRPr="009530DB">
        <w:rPr>
          <w:rFonts w:asciiTheme="minorHAnsi" w:hAnsiTheme="minorHAnsi"/>
          <w:bCs/>
          <w:sz w:val="24"/>
          <w:szCs w:val="24"/>
          <w:lang w:val="en-GB"/>
        </w:rPr>
        <w:t xml:space="preserve"> </w:t>
      </w:r>
    </w:p>
    <w:p w:rsidR="009530DB" w:rsidRPr="009530DB" w:rsidRDefault="009530DB" w:rsidP="009530DB">
      <w:pPr>
        <w:widowControl/>
        <w:numPr>
          <w:ilvl w:val="1"/>
          <w:numId w:val="3"/>
        </w:numPr>
        <w:spacing w:after="120"/>
        <w:jc w:val="left"/>
        <w:rPr>
          <w:rFonts w:asciiTheme="minorHAnsi" w:hAnsiTheme="minorHAnsi"/>
          <w:bCs/>
          <w:sz w:val="24"/>
          <w:szCs w:val="24"/>
          <w:lang w:val="en-GB"/>
        </w:rPr>
      </w:pPr>
      <w:r w:rsidRPr="009530DB">
        <w:rPr>
          <w:rFonts w:asciiTheme="minorHAnsi" w:hAnsiTheme="minorHAnsi"/>
          <w:bCs/>
          <w:sz w:val="24"/>
          <w:szCs w:val="24"/>
          <w:lang w:val="en-GB"/>
        </w:rPr>
        <w:t xml:space="preserve">The PBAC recommended that the Early Supply Rule should apply. </w:t>
      </w:r>
    </w:p>
    <w:p w:rsidR="009530DB" w:rsidRPr="00AF7333" w:rsidRDefault="009530DB" w:rsidP="009530DB">
      <w:pPr>
        <w:pStyle w:val="ListParagraph"/>
        <w:widowControl/>
        <w:numPr>
          <w:ilvl w:val="1"/>
          <w:numId w:val="3"/>
        </w:numPr>
        <w:jc w:val="left"/>
        <w:rPr>
          <w:rFonts w:asciiTheme="minorHAnsi" w:hAnsiTheme="minorHAnsi" w:cs="Times New Roman"/>
          <w:bCs/>
          <w:sz w:val="24"/>
          <w:szCs w:val="24"/>
          <w:lang w:val="en-GB"/>
        </w:rPr>
      </w:pPr>
      <w:r w:rsidRPr="009530DB">
        <w:rPr>
          <w:rFonts w:asciiTheme="minorHAnsi" w:hAnsiTheme="minorHAnsi"/>
          <w:bCs/>
          <w:sz w:val="24"/>
          <w:szCs w:val="24"/>
          <w:lang w:val="en-GB"/>
        </w:rPr>
        <w:t>The PBAC noted that this submission is not eligible for an Independent Review because it received a positive recommendation.</w:t>
      </w:r>
    </w:p>
    <w:p w:rsidR="006779DF" w:rsidRPr="0026216C" w:rsidRDefault="006779DF" w:rsidP="006F3941">
      <w:pPr>
        <w:widowControl/>
        <w:spacing w:after="120"/>
        <w:ind w:left="720"/>
        <w:jc w:val="left"/>
        <w:rPr>
          <w:rFonts w:asciiTheme="minorHAnsi" w:hAnsiTheme="minorHAnsi"/>
          <w:bCs/>
          <w:sz w:val="24"/>
          <w:szCs w:val="24"/>
          <w:lang w:val="en-GB"/>
        </w:rPr>
      </w:pPr>
    </w:p>
    <w:p w:rsidR="00BE6EB3" w:rsidRPr="00C22C18" w:rsidRDefault="00BE6EB3" w:rsidP="00C22C18">
      <w:pPr>
        <w:widowControl/>
        <w:spacing w:before="240" w:after="120"/>
        <w:outlineLvl w:val="1"/>
        <w:rPr>
          <w:rFonts w:asciiTheme="minorHAnsi" w:hAnsiTheme="minorHAnsi"/>
          <w:b/>
          <w:bCs/>
          <w:sz w:val="24"/>
          <w:szCs w:val="24"/>
          <w:lang w:val="en-GB"/>
        </w:rPr>
      </w:pPr>
      <w:r w:rsidRPr="00A46763">
        <w:rPr>
          <w:rFonts w:asciiTheme="minorHAnsi" w:hAnsiTheme="minorHAnsi"/>
          <w:b/>
          <w:bCs/>
          <w:sz w:val="24"/>
          <w:szCs w:val="24"/>
          <w:lang w:val="en-GB"/>
        </w:rPr>
        <w:t>Outcome:</w:t>
      </w:r>
      <w:r w:rsidR="00C22C18">
        <w:rPr>
          <w:rFonts w:asciiTheme="minorHAnsi" w:hAnsiTheme="minorHAnsi"/>
          <w:b/>
          <w:bCs/>
          <w:sz w:val="24"/>
          <w:szCs w:val="24"/>
          <w:lang w:val="en-GB"/>
        </w:rPr>
        <w:br/>
      </w:r>
      <w:r w:rsidRPr="00A46763">
        <w:rPr>
          <w:rFonts w:asciiTheme="minorHAnsi" w:hAnsiTheme="minorHAnsi"/>
          <w:bCs/>
          <w:sz w:val="24"/>
          <w:szCs w:val="24"/>
          <w:lang w:val="en-GB"/>
        </w:rPr>
        <w:t xml:space="preserve">Recommended </w:t>
      </w:r>
    </w:p>
    <w:p w:rsidR="00BE6EB3" w:rsidRPr="00BE6EB3" w:rsidRDefault="00BE6EB3" w:rsidP="00BE6EB3">
      <w:pPr>
        <w:spacing w:after="120"/>
        <w:rPr>
          <w:rFonts w:asciiTheme="minorHAnsi" w:hAnsiTheme="minorHAnsi"/>
          <w:b/>
          <w:bCs/>
          <w:sz w:val="24"/>
          <w:szCs w:val="24"/>
          <w:highlight w:val="yellow"/>
        </w:rPr>
      </w:pPr>
    </w:p>
    <w:p w:rsidR="00371A38" w:rsidRPr="00371A38" w:rsidRDefault="00371A38" w:rsidP="00C22C18">
      <w:pPr>
        <w:numPr>
          <w:ilvl w:val="0"/>
          <w:numId w:val="3"/>
        </w:numPr>
        <w:spacing w:before="240" w:after="120"/>
        <w:outlineLvl w:val="0"/>
        <w:rPr>
          <w:rFonts w:asciiTheme="minorHAnsi" w:hAnsiTheme="minorHAnsi"/>
          <w:b/>
          <w:bCs/>
          <w:i/>
          <w:sz w:val="28"/>
          <w:lang w:val="en-GB"/>
        </w:rPr>
      </w:pPr>
      <w:r w:rsidRPr="00371A38">
        <w:rPr>
          <w:rFonts w:asciiTheme="minorHAnsi" w:hAnsiTheme="minorHAnsi"/>
          <w:b/>
          <w:bCs/>
          <w:sz w:val="28"/>
          <w:lang w:val="en-GB"/>
        </w:rPr>
        <w:t>Recommended listing</w:t>
      </w:r>
    </w:p>
    <w:p w:rsidR="00371A38" w:rsidRPr="002312BF" w:rsidRDefault="00371A38" w:rsidP="00371A38">
      <w:pPr>
        <w:pStyle w:val="ListParagraph"/>
        <w:widowControl/>
        <w:numPr>
          <w:ilvl w:val="1"/>
          <w:numId w:val="3"/>
        </w:numPr>
        <w:spacing w:after="120"/>
        <w:contextualSpacing w:val="0"/>
        <w:rPr>
          <w:rFonts w:asciiTheme="minorHAnsi" w:hAnsiTheme="minorHAnsi"/>
          <w:b/>
          <w:bCs/>
          <w:sz w:val="24"/>
          <w:szCs w:val="24"/>
        </w:rPr>
      </w:pPr>
      <w:r w:rsidRPr="002312BF">
        <w:rPr>
          <w:rFonts w:asciiTheme="minorHAnsi" w:hAnsiTheme="minorHAnsi"/>
          <w:bCs/>
          <w:sz w:val="24"/>
          <w:szCs w:val="24"/>
        </w:rPr>
        <w:t>Add new item:</w:t>
      </w: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1514FA" w:rsidRPr="00260CE3" w:rsidTr="00841C6C">
        <w:trPr>
          <w:cantSplit/>
          <w:trHeight w:val="471"/>
        </w:trPr>
        <w:tc>
          <w:tcPr>
            <w:tcW w:w="3261" w:type="dxa"/>
            <w:gridSpan w:val="2"/>
            <w:tcBorders>
              <w:bottom w:val="single" w:sz="4" w:space="0" w:color="auto"/>
            </w:tcBorders>
          </w:tcPr>
          <w:p w:rsidR="001514FA" w:rsidRPr="00260CE3" w:rsidRDefault="001514FA" w:rsidP="00841C6C">
            <w:pPr>
              <w:keepNext/>
              <w:keepLines/>
              <w:ind w:left="-108"/>
              <w:rPr>
                <w:rFonts w:ascii="Arial Narrow" w:hAnsi="Arial Narrow"/>
                <w:sz w:val="20"/>
              </w:rPr>
            </w:pPr>
            <w:r w:rsidRPr="00260CE3">
              <w:rPr>
                <w:rFonts w:ascii="Arial Narrow" w:hAnsi="Arial Narrow"/>
                <w:sz w:val="20"/>
              </w:rPr>
              <w:t>Name, Restriction,</w:t>
            </w:r>
          </w:p>
          <w:p w:rsidR="001514FA" w:rsidRPr="00260CE3" w:rsidRDefault="001514FA" w:rsidP="00841C6C">
            <w:pPr>
              <w:keepNext/>
              <w:keepLines/>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514FA" w:rsidRPr="00260CE3" w:rsidRDefault="001514FA" w:rsidP="00841C6C">
            <w:pPr>
              <w:keepNext/>
              <w:keepLines/>
              <w:ind w:left="-108"/>
              <w:rPr>
                <w:rFonts w:ascii="Arial Narrow" w:hAnsi="Arial Narrow"/>
                <w:sz w:val="20"/>
              </w:rPr>
            </w:pPr>
            <w:r w:rsidRPr="00260CE3">
              <w:rPr>
                <w:rFonts w:ascii="Arial Narrow" w:hAnsi="Arial Narrow"/>
                <w:sz w:val="20"/>
              </w:rPr>
              <w:t>Max.</w:t>
            </w:r>
          </w:p>
          <w:p w:rsidR="001514FA" w:rsidRPr="00260CE3" w:rsidRDefault="001514FA" w:rsidP="00841C6C">
            <w:pPr>
              <w:keepNext/>
              <w:keepLines/>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1514FA" w:rsidRPr="00260CE3" w:rsidRDefault="001514FA" w:rsidP="00841C6C">
            <w:pPr>
              <w:keepNext/>
              <w:keepLines/>
              <w:ind w:left="-108"/>
              <w:rPr>
                <w:rFonts w:ascii="Arial Narrow" w:hAnsi="Arial Narrow"/>
                <w:sz w:val="20"/>
              </w:rPr>
            </w:pPr>
            <w:r w:rsidRPr="00260CE3">
              <w:rPr>
                <w:rFonts w:ascii="Arial Narrow" w:hAnsi="Arial Narrow"/>
                <w:sz w:val="20"/>
              </w:rPr>
              <w:t>№.of</w:t>
            </w:r>
          </w:p>
          <w:p w:rsidR="001514FA" w:rsidRPr="00260CE3" w:rsidRDefault="001514FA" w:rsidP="00841C6C">
            <w:pPr>
              <w:keepNext/>
              <w:keepLines/>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1514FA" w:rsidRPr="00260CE3" w:rsidRDefault="001514FA" w:rsidP="00841C6C">
            <w:pPr>
              <w:keepNext/>
              <w:keepLines/>
              <w:ind w:left="-108"/>
              <w:rPr>
                <w:rFonts w:ascii="Arial Narrow" w:hAnsi="Arial Narrow"/>
                <w:sz w:val="20"/>
              </w:rPr>
            </w:pPr>
          </w:p>
        </w:tc>
        <w:tc>
          <w:tcPr>
            <w:tcW w:w="2835" w:type="dxa"/>
            <w:gridSpan w:val="2"/>
            <w:tcBorders>
              <w:bottom w:val="single" w:sz="4" w:space="0" w:color="auto"/>
            </w:tcBorders>
          </w:tcPr>
          <w:p w:rsidR="001514FA" w:rsidRPr="00260CE3" w:rsidRDefault="001514FA" w:rsidP="00841C6C">
            <w:pPr>
              <w:keepNext/>
              <w:keepLines/>
              <w:rPr>
                <w:rFonts w:ascii="Arial Narrow" w:hAnsi="Arial Narrow"/>
                <w:sz w:val="20"/>
                <w:lang w:val="fr-FR"/>
              </w:rPr>
            </w:pPr>
            <w:r w:rsidRPr="00260CE3">
              <w:rPr>
                <w:rFonts w:ascii="Arial Narrow" w:hAnsi="Arial Narrow"/>
                <w:sz w:val="20"/>
              </w:rPr>
              <w:t>Proprietary Name and Manufacturer</w:t>
            </w:r>
          </w:p>
        </w:tc>
      </w:tr>
      <w:tr w:rsidR="001514FA" w:rsidRPr="00260CE3" w:rsidTr="00841C6C">
        <w:trPr>
          <w:cantSplit/>
          <w:trHeight w:val="577"/>
        </w:trPr>
        <w:tc>
          <w:tcPr>
            <w:tcW w:w="3261" w:type="dxa"/>
            <w:gridSpan w:val="2"/>
          </w:tcPr>
          <w:p w:rsidR="001514FA" w:rsidRPr="00260CE3" w:rsidRDefault="001514FA" w:rsidP="00841C6C">
            <w:pPr>
              <w:keepNext/>
              <w:keepLines/>
              <w:ind w:left="-108"/>
              <w:rPr>
                <w:rFonts w:ascii="Arial Narrow" w:hAnsi="Arial Narrow"/>
                <w:sz w:val="20"/>
              </w:rPr>
            </w:pPr>
            <w:r>
              <w:rPr>
                <w:rFonts w:ascii="Arial Narrow" w:hAnsi="Arial Narrow"/>
                <w:smallCaps/>
                <w:sz w:val="20"/>
              </w:rPr>
              <w:t>PERAMPENAL</w:t>
            </w:r>
          </w:p>
          <w:p w:rsidR="001514FA" w:rsidRPr="00260CE3" w:rsidRDefault="001514FA" w:rsidP="00841C6C">
            <w:pPr>
              <w:keepNext/>
              <w:keepLines/>
              <w:ind w:left="-108"/>
              <w:rPr>
                <w:rFonts w:ascii="Arial Narrow" w:hAnsi="Arial Narrow"/>
                <w:sz w:val="20"/>
              </w:rPr>
            </w:pPr>
            <w:r>
              <w:rPr>
                <w:rFonts w:ascii="Arial Narrow" w:hAnsi="Arial Narrow"/>
                <w:sz w:val="20"/>
              </w:rPr>
              <w:t>2 mg tablet, 7</w:t>
            </w:r>
          </w:p>
        </w:tc>
        <w:tc>
          <w:tcPr>
            <w:tcW w:w="567" w:type="dxa"/>
          </w:tcPr>
          <w:p w:rsidR="001514FA" w:rsidRPr="00260CE3" w:rsidRDefault="001514FA" w:rsidP="00841C6C">
            <w:pPr>
              <w:keepNext/>
              <w:keepLines/>
              <w:ind w:left="-108"/>
              <w:rPr>
                <w:rFonts w:ascii="Arial Narrow" w:hAnsi="Arial Narrow"/>
                <w:sz w:val="20"/>
              </w:rPr>
            </w:pPr>
          </w:p>
          <w:p w:rsidR="001514FA" w:rsidRPr="00260CE3" w:rsidRDefault="001514FA" w:rsidP="00841C6C">
            <w:pPr>
              <w:keepNext/>
              <w:keepLines/>
              <w:ind w:left="-108"/>
              <w:rPr>
                <w:rFonts w:ascii="Arial Narrow" w:hAnsi="Arial Narrow"/>
                <w:sz w:val="20"/>
              </w:rPr>
            </w:pPr>
            <w:r w:rsidRPr="000675EB">
              <w:rPr>
                <w:rFonts w:ascii="Arial Narrow" w:hAnsi="Arial Narrow"/>
                <w:sz w:val="20"/>
              </w:rPr>
              <w:t>2</w:t>
            </w:r>
          </w:p>
        </w:tc>
        <w:tc>
          <w:tcPr>
            <w:tcW w:w="850" w:type="dxa"/>
          </w:tcPr>
          <w:p w:rsidR="001514FA" w:rsidRPr="00260CE3" w:rsidRDefault="001514FA" w:rsidP="00841C6C">
            <w:pPr>
              <w:keepNext/>
              <w:keepLines/>
              <w:ind w:left="-108"/>
              <w:rPr>
                <w:rFonts w:ascii="Arial Narrow" w:hAnsi="Arial Narrow"/>
                <w:sz w:val="20"/>
              </w:rPr>
            </w:pPr>
          </w:p>
          <w:p w:rsidR="001514FA" w:rsidRPr="00260CE3" w:rsidRDefault="001514FA" w:rsidP="00841C6C">
            <w:pPr>
              <w:keepNext/>
              <w:keepLines/>
              <w:ind w:left="-108"/>
              <w:rPr>
                <w:rFonts w:ascii="Arial Narrow" w:hAnsi="Arial Narrow"/>
                <w:sz w:val="20"/>
              </w:rPr>
            </w:pPr>
            <w:r w:rsidRPr="000675EB">
              <w:rPr>
                <w:rFonts w:ascii="Arial Narrow" w:hAnsi="Arial Narrow"/>
                <w:sz w:val="20"/>
              </w:rPr>
              <w:t>1</w:t>
            </w:r>
          </w:p>
        </w:tc>
        <w:tc>
          <w:tcPr>
            <w:tcW w:w="1701" w:type="dxa"/>
          </w:tcPr>
          <w:p w:rsidR="001514FA" w:rsidRPr="00260CE3" w:rsidRDefault="001514FA" w:rsidP="00841C6C">
            <w:pPr>
              <w:keepNext/>
              <w:keepLines/>
              <w:ind w:left="-108"/>
              <w:rPr>
                <w:rFonts w:ascii="Arial Narrow" w:hAnsi="Arial Narrow"/>
                <w:sz w:val="20"/>
              </w:rPr>
            </w:pPr>
          </w:p>
          <w:p w:rsidR="001514FA" w:rsidRPr="00260CE3" w:rsidRDefault="001514FA" w:rsidP="00841C6C">
            <w:pPr>
              <w:keepNext/>
              <w:keepLines/>
              <w:ind w:left="-108"/>
              <w:rPr>
                <w:rFonts w:ascii="Arial Narrow" w:hAnsi="Arial Narrow"/>
                <w:sz w:val="20"/>
              </w:rPr>
            </w:pPr>
          </w:p>
        </w:tc>
        <w:tc>
          <w:tcPr>
            <w:tcW w:w="1559" w:type="dxa"/>
          </w:tcPr>
          <w:p w:rsidR="001514FA" w:rsidRDefault="001514FA" w:rsidP="00841C6C">
            <w:pPr>
              <w:keepNext/>
              <w:keepLines/>
              <w:rPr>
                <w:rFonts w:ascii="Arial Narrow" w:hAnsi="Arial Narrow"/>
                <w:sz w:val="20"/>
              </w:rPr>
            </w:pPr>
          </w:p>
          <w:p w:rsidR="001514FA" w:rsidRPr="00260CE3" w:rsidRDefault="001514FA" w:rsidP="00841C6C">
            <w:pPr>
              <w:keepNext/>
              <w:keepLines/>
              <w:rPr>
                <w:rFonts w:ascii="Arial Narrow" w:hAnsi="Arial Narrow"/>
                <w:sz w:val="20"/>
              </w:rPr>
            </w:pPr>
            <w:r>
              <w:rPr>
                <w:rFonts w:ascii="Arial Narrow" w:hAnsi="Arial Narrow"/>
                <w:sz w:val="20"/>
              </w:rPr>
              <w:t>Fycompa</w:t>
            </w:r>
            <w:r w:rsidRPr="009A02FB">
              <w:rPr>
                <w:rFonts w:ascii="Arial Narrow" w:hAnsi="Arial Narrow"/>
                <w:sz w:val="20"/>
                <w:vertAlign w:val="superscript"/>
              </w:rPr>
              <w:t>®</w:t>
            </w:r>
          </w:p>
        </w:tc>
        <w:tc>
          <w:tcPr>
            <w:tcW w:w="1276" w:type="dxa"/>
          </w:tcPr>
          <w:p w:rsidR="001514FA" w:rsidRDefault="001514FA" w:rsidP="00841C6C">
            <w:pPr>
              <w:keepNext/>
              <w:keepLines/>
              <w:rPr>
                <w:rFonts w:ascii="Arial Narrow" w:hAnsi="Arial Narrow"/>
                <w:sz w:val="20"/>
              </w:rPr>
            </w:pPr>
          </w:p>
          <w:p w:rsidR="001514FA" w:rsidRPr="00260CE3" w:rsidRDefault="001514FA" w:rsidP="00841C6C">
            <w:pPr>
              <w:keepNext/>
              <w:keepLines/>
              <w:rPr>
                <w:rFonts w:ascii="Arial Narrow" w:hAnsi="Arial Narrow"/>
                <w:sz w:val="20"/>
              </w:rPr>
            </w:pPr>
            <w:r>
              <w:rPr>
                <w:rFonts w:ascii="Arial Narrow" w:hAnsi="Arial Narrow"/>
                <w:sz w:val="20"/>
              </w:rPr>
              <w:t>Eisai Australia Pty Ltd</w:t>
            </w:r>
          </w:p>
        </w:tc>
      </w:tr>
      <w:tr w:rsidR="001514FA" w:rsidRPr="00260CE3" w:rsidTr="00841C6C">
        <w:trPr>
          <w:cantSplit/>
          <w:trHeight w:val="360"/>
        </w:trPr>
        <w:tc>
          <w:tcPr>
            <w:tcW w:w="9214" w:type="dxa"/>
            <w:gridSpan w:val="7"/>
            <w:tcBorders>
              <w:bottom w:val="single" w:sz="4" w:space="0" w:color="auto"/>
            </w:tcBorders>
          </w:tcPr>
          <w:p w:rsidR="001514FA" w:rsidRPr="00260CE3" w:rsidRDefault="001514FA" w:rsidP="00841C6C">
            <w:pPr>
              <w:keepNext/>
              <w:keepLines/>
              <w:rPr>
                <w:rFonts w:ascii="Arial Narrow" w:hAnsi="Arial Narrow"/>
                <w:sz w:val="20"/>
              </w:rPr>
            </w:pP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 xml:space="preserve">Category / </w:t>
            </w:r>
          </w:p>
          <w:p w:rsidR="001514FA" w:rsidRPr="00260CE3" w:rsidRDefault="001514FA" w:rsidP="00841C6C">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260CE3">
              <w:rPr>
                <w:rFonts w:ascii="Arial Narrow" w:hAnsi="Arial Narrow"/>
                <w:sz w:val="20"/>
              </w:rPr>
              <w:t>GENERAL – General Schedule (Code GE)</w:t>
            </w:r>
          </w:p>
          <w:p w:rsidR="001514FA" w:rsidRPr="00260CE3" w:rsidRDefault="001514FA" w:rsidP="00841C6C">
            <w:pPr>
              <w:keepNext/>
              <w:keepLines/>
              <w:rPr>
                <w:rFonts w:ascii="Arial Narrow" w:hAnsi="Arial Narrow"/>
                <w:sz w:val="20"/>
              </w:rPr>
            </w:pP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Default="001514FA" w:rsidP="00841C6C">
            <w:pPr>
              <w:keepNext/>
              <w:keepLines/>
              <w:rPr>
                <w:rFonts w:ascii="Arial Narrow" w:hAnsi="Arial Narrow"/>
                <w:b/>
                <w:sz w:val="20"/>
              </w:rPr>
            </w:pPr>
            <w:r w:rsidRPr="00260CE3">
              <w:rPr>
                <w:rFonts w:ascii="Arial Narrow" w:hAnsi="Arial Narrow"/>
                <w:b/>
                <w:sz w:val="20"/>
              </w:rPr>
              <w:t>Prescriber type:</w:t>
            </w:r>
          </w:p>
          <w:p w:rsidR="001514FA" w:rsidRPr="00260CE3" w:rsidRDefault="001514FA" w:rsidP="00841C6C">
            <w:pPr>
              <w:keepNext/>
              <w:keepLines/>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514FA" w:rsidRPr="00260CE3" w:rsidRDefault="001514FA" w:rsidP="00841C6C">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371A38" w:rsidRDefault="001514FA" w:rsidP="00841C6C">
            <w:pPr>
              <w:keepNext/>
              <w:keepLines/>
              <w:rPr>
                <w:rFonts w:ascii="Arial Narrow" w:hAnsi="Arial Narrow"/>
                <w:strike/>
                <w:sz w:val="20"/>
              </w:rPr>
            </w:pPr>
            <w:r w:rsidRPr="00371A38">
              <w:rPr>
                <w:rFonts w:ascii="Arial Narrow" w:hAnsi="Arial Narrow"/>
                <w:sz w:val="20"/>
              </w:rPr>
              <w:t>Primary generalised tonic-clonic seizures</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FA5816" w:rsidRDefault="001514FA" w:rsidP="001514FA">
            <w:pPr>
              <w:keepNext/>
              <w:keepLines/>
              <w:rPr>
                <w:rFonts w:eastAsia="SimSun"/>
                <w:i/>
                <w:sz w:val="20"/>
                <w:lang w:eastAsia="ja-JP"/>
              </w:rPr>
            </w:pPr>
            <w:r w:rsidRPr="004964C8">
              <w:rPr>
                <w:rFonts w:ascii="Arial Narrow" w:hAnsi="Arial Narrow"/>
                <w:sz w:val="20"/>
              </w:rPr>
              <w:t xml:space="preserve">Idiopathic </w:t>
            </w:r>
            <w:r>
              <w:rPr>
                <w:rFonts w:ascii="Arial Narrow" w:hAnsi="Arial Narrow"/>
                <w:sz w:val="20"/>
              </w:rPr>
              <w:t>g</w:t>
            </w:r>
            <w:r w:rsidRPr="004964C8">
              <w:rPr>
                <w:rFonts w:ascii="Arial Narrow" w:hAnsi="Arial Narrow"/>
                <w:sz w:val="20"/>
              </w:rPr>
              <w:t xml:space="preserve">eneralised </w:t>
            </w:r>
            <w:r>
              <w:rPr>
                <w:rFonts w:ascii="Arial Narrow" w:hAnsi="Arial Narrow"/>
                <w:sz w:val="20"/>
              </w:rPr>
              <w:t>e</w:t>
            </w:r>
            <w:r w:rsidRPr="00FA5816">
              <w:rPr>
                <w:rFonts w:ascii="Arial Narrow" w:hAnsi="Arial Narrow"/>
                <w:sz w:val="20"/>
              </w:rPr>
              <w:t>pilepsy</w:t>
            </w:r>
            <w:r w:rsidRPr="00F719B1">
              <w:rPr>
                <w:rFonts w:ascii="Arial Narrow" w:hAnsi="Arial Narrow"/>
                <w:strike/>
                <w:sz w:val="20"/>
              </w:rPr>
              <w:t xml:space="preserve"> </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F719B1" w:rsidRDefault="001514FA" w:rsidP="00841C6C">
            <w:pPr>
              <w:keepNext/>
              <w:keepLines/>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1514FA" w:rsidRDefault="001514FA" w:rsidP="00841C6C">
            <w:pPr>
              <w:keepNext/>
              <w:keepLines/>
              <w:rPr>
                <w:rFonts w:ascii="Arial Narrow" w:hAnsi="Arial Narrow"/>
                <w:sz w:val="20"/>
              </w:rPr>
            </w:pPr>
            <w:r w:rsidRPr="001514FA">
              <w:rPr>
                <w:rFonts w:ascii="Arial Narrow" w:hAnsi="Arial Narrow"/>
                <w:sz w:val="20"/>
              </w:rPr>
              <w:t>Idiopathic generalised epilepsy with primary generalised tonic-clonic seizures</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FA5816" w:rsidRDefault="001514FA" w:rsidP="00841C6C">
            <w:pPr>
              <w:keepNext/>
              <w:keepLines/>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1514FA">
            <w:pPr>
              <w:keepNext/>
              <w:keepLines/>
              <w:rPr>
                <w:rFonts w:ascii="Arial Narrow" w:hAnsi="Arial Narrow"/>
                <w:sz w:val="20"/>
              </w:rPr>
            </w:pPr>
            <w:r>
              <w:rPr>
                <w:rFonts w:ascii="Arial Narrow" w:hAnsi="Arial Narrow"/>
                <w:sz w:val="20"/>
              </w:rPr>
              <w:t>Initial</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514FA" w:rsidRDefault="001514FA" w:rsidP="00841C6C">
            <w:pPr>
              <w:keepNext/>
              <w:keepLines/>
              <w:rPr>
                <w:rFonts w:ascii="Arial Narrow" w:hAnsi="Arial Narrow"/>
                <w:i/>
                <w:sz w:val="20"/>
              </w:rPr>
            </w:pPr>
          </w:p>
          <w:p w:rsidR="001514FA" w:rsidRDefault="001514FA" w:rsidP="00841C6C">
            <w:pPr>
              <w:keepNext/>
              <w:keepLines/>
              <w:rPr>
                <w:rFonts w:ascii="Arial Narrow" w:hAnsi="Arial Narrow"/>
                <w:i/>
                <w:sz w:val="20"/>
              </w:rPr>
            </w:pPr>
          </w:p>
          <w:p w:rsidR="001514FA" w:rsidRPr="00CD28F3" w:rsidRDefault="001514FA" w:rsidP="00841C6C">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1514FA" w:rsidRPr="00260CE3" w:rsidRDefault="001514FA" w:rsidP="00841C6C">
            <w:pPr>
              <w:keepNext/>
              <w:keepLines/>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260CE3">
              <w:rPr>
                <w:rFonts w:ascii="Arial Narrow" w:hAnsi="Arial Narrow"/>
                <w:b/>
                <w:sz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FE7A24">
              <w:rPr>
                <w:rFonts w:ascii="Arial Narrow" w:hAnsi="Arial Narrow"/>
                <w:sz w:val="20"/>
              </w:rPr>
              <w:t>Must be treated by a neurologist</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FA5816" w:rsidRDefault="001514FA" w:rsidP="00841C6C">
            <w:pPr>
              <w:keepNext/>
              <w:keepLines/>
              <w:rPr>
                <w:rFonts w:ascii="Arial Narrow" w:hAnsi="Arial Narrow"/>
                <w:b/>
                <w:sz w:val="20"/>
              </w:rPr>
            </w:pPr>
            <w:r w:rsidRPr="00FA5816">
              <w:rPr>
                <w:rFonts w:ascii="Arial Narrow" w:hAnsi="Arial Narrow"/>
                <w:b/>
                <w:sz w:val="20"/>
              </w:rPr>
              <w:t>Clinical criteria:</w:t>
            </w:r>
          </w:p>
          <w:p w:rsidR="001514FA" w:rsidRPr="00FA5816" w:rsidRDefault="001514FA" w:rsidP="00841C6C">
            <w:pPr>
              <w:keepNext/>
              <w:keepLines/>
              <w:rPr>
                <w:rFonts w:ascii="Arial Narrow" w:hAnsi="Arial Narrow"/>
                <w:i/>
                <w:sz w:val="20"/>
              </w:rPr>
            </w:pPr>
          </w:p>
          <w:p w:rsidR="001514FA" w:rsidRPr="00FA5816" w:rsidRDefault="001514FA" w:rsidP="00841C6C">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Default="001514FA" w:rsidP="00841C6C">
            <w:pPr>
              <w:keepNext/>
              <w:keepLines/>
              <w:rPr>
                <w:rFonts w:ascii="Arial Narrow" w:hAnsi="Arial Narrow"/>
                <w:sz w:val="20"/>
              </w:rPr>
            </w:pPr>
            <w:r w:rsidRPr="00FA5816">
              <w:rPr>
                <w:rFonts w:ascii="Arial Narrow" w:hAnsi="Arial Narrow"/>
                <w:sz w:val="20"/>
              </w:rPr>
              <w:t>The condition must have failed to be controlled satisfactorily by at least two anti-epileptic drugs</w:t>
            </w:r>
            <w:r w:rsidRPr="00FA5816">
              <w:rPr>
                <w:rFonts w:ascii="Arial Narrow" w:hAnsi="Arial Narrow"/>
                <w:i/>
                <w:sz w:val="20"/>
              </w:rPr>
              <w:t>,</w:t>
            </w:r>
            <w:r w:rsidRPr="00FA5816">
              <w:rPr>
                <w:rFonts w:ascii="Arial Narrow" w:hAnsi="Arial Narrow"/>
                <w:sz w:val="20"/>
              </w:rPr>
              <w:t xml:space="preserve"> </w:t>
            </w:r>
          </w:p>
          <w:p w:rsidR="001514FA" w:rsidRPr="00FA5816" w:rsidRDefault="001514FA" w:rsidP="00841C6C">
            <w:pPr>
              <w:keepNext/>
              <w:keepLines/>
              <w:rPr>
                <w:rFonts w:ascii="Arial Narrow" w:hAnsi="Arial Narrow"/>
                <w:sz w:val="20"/>
              </w:rPr>
            </w:pPr>
          </w:p>
          <w:p w:rsidR="001514FA" w:rsidRDefault="001514FA" w:rsidP="00841C6C">
            <w:pPr>
              <w:keepNext/>
              <w:keepLines/>
              <w:rPr>
                <w:rFonts w:ascii="Arial Narrow" w:hAnsi="Arial Narrow"/>
                <w:sz w:val="20"/>
              </w:rPr>
            </w:pPr>
            <w:r w:rsidRPr="00FA5816">
              <w:rPr>
                <w:rFonts w:ascii="Arial Narrow" w:hAnsi="Arial Narrow"/>
                <w:sz w:val="20"/>
              </w:rPr>
              <w:t>AND</w:t>
            </w:r>
          </w:p>
          <w:p w:rsidR="001514FA" w:rsidRPr="00FA5816" w:rsidRDefault="001514FA" w:rsidP="00841C6C">
            <w:pPr>
              <w:keepNext/>
              <w:keepLines/>
              <w:rPr>
                <w:rFonts w:ascii="Arial Narrow" w:hAnsi="Arial Narrow"/>
                <w:sz w:val="20"/>
              </w:rPr>
            </w:pPr>
          </w:p>
          <w:p w:rsidR="001514FA" w:rsidRPr="001514FA" w:rsidRDefault="001514FA" w:rsidP="00841C6C">
            <w:pPr>
              <w:keepNext/>
              <w:keepLines/>
              <w:rPr>
                <w:rFonts w:ascii="Arial Narrow" w:hAnsi="Arial Narrow"/>
                <w:sz w:val="20"/>
              </w:rPr>
            </w:pPr>
            <w:r w:rsidRPr="001514FA">
              <w:rPr>
                <w:rFonts w:ascii="Arial Narrow" w:hAnsi="Arial Narrow"/>
                <w:sz w:val="20"/>
              </w:rPr>
              <w:t xml:space="preserve">The treatment must be in combination with at least one PBS subsidised anti-epileptic drug, </w:t>
            </w:r>
          </w:p>
          <w:p w:rsidR="001514FA" w:rsidRPr="00FA5816" w:rsidRDefault="001514FA" w:rsidP="00841C6C">
            <w:pPr>
              <w:keepNext/>
              <w:keepLines/>
              <w:rPr>
                <w:rFonts w:ascii="Arial Narrow" w:hAnsi="Arial Narrow"/>
                <w:sz w:val="20"/>
              </w:rPr>
            </w:pPr>
          </w:p>
          <w:p w:rsidR="001514FA" w:rsidRDefault="001514FA" w:rsidP="00841C6C">
            <w:pPr>
              <w:keepNext/>
              <w:keepLines/>
              <w:rPr>
                <w:rFonts w:ascii="Arial Narrow" w:hAnsi="Arial Narrow"/>
                <w:sz w:val="20"/>
              </w:rPr>
            </w:pPr>
            <w:r w:rsidRPr="00FA5816">
              <w:rPr>
                <w:rFonts w:ascii="Arial Narrow" w:hAnsi="Arial Narrow"/>
                <w:sz w:val="20"/>
              </w:rPr>
              <w:t>AND</w:t>
            </w:r>
          </w:p>
          <w:p w:rsidR="001514FA" w:rsidRPr="00FA5816" w:rsidRDefault="001514FA" w:rsidP="00841C6C">
            <w:pPr>
              <w:keepNext/>
              <w:keepLines/>
              <w:rPr>
                <w:rFonts w:ascii="Arial Narrow" w:hAnsi="Arial Narrow"/>
                <w:sz w:val="20"/>
              </w:rPr>
            </w:pPr>
          </w:p>
          <w:p w:rsidR="001514FA" w:rsidRPr="00FA5816" w:rsidRDefault="001514FA" w:rsidP="001514FA">
            <w:pPr>
              <w:keepNext/>
              <w:keepLines/>
              <w:rPr>
                <w:rFonts w:ascii="Arial Narrow" w:hAnsi="Arial Narrow"/>
                <w:sz w:val="20"/>
              </w:rPr>
            </w:pPr>
            <w:r w:rsidRPr="00FA5816">
              <w:rPr>
                <w:rFonts w:ascii="Arial Narrow" w:hAnsi="Arial Narrow"/>
                <w:sz w:val="20"/>
              </w:rPr>
              <w:t xml:space="preserve">The treatment must be for dose titration purposes </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Population criteria:</w:t>
            </w:r>
          </w:p>
          <w:p w:rsidR="001514FA" w:rsidRPr="00260CE3" w:rsidRDefault="001514FA" w:rsidP="00841C6C">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FE7A24">
              <w:rPr>
                <w:rFonts w:ascii="Arial Narrow" w:hAnsi="Arial Narrow"/>
                <w:sz w:val="20"/>
              </w:rPr>
              <w:t>Patient must be aged 12 years or older.</w:t>
            </w:r>
          </w:p>
          <w:p w:rsidR="001514FA" w:rsidRPr="00260CE3" w:rsidRDefault="001514FA" w:rsidP="00841C6C">
            <w:pPr>
              <w:keepNext/>
              <w:keepLines/>
              <w:rPr>
                <w:rFonts w:ascii="Arial Narrow" w:hAnsi="Arial Narrow"/>
                <w:sz w:val="20"/>
              </w:rPr>
            </w:pP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i/>
                <w:sz w:val="20"/>
              </w:rPr>
            </w:pPr>
            <w:r w:rsidRPr="00260CE3">
              <w:rPr>
                <w:rFonts w:ascii="Arial Narrow" w:hAnsi="Arial Narrow"/>
                <w:b/>
                <w:sz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1514FA">
            <w:pPr>
              <w:keepNext/>
              <w:keepLines/>
              <w:rPr>
                <w:rFonts w:ascii="Arial Narrow" w:hAnsi="Arial Narrow"/>
                <w:sz w:val="20"/>
              </w:rPr>
            </w:pPr>
            <w:r w:rsidRPr="00FE7A24">
              <w:rPr>
                <w:rFonts w:ascii="Arial Narrow" w:hAnsi="Arial Narrow"/>
                <w:sz w:val="20"/>
              </w:rPr>
              <w:t>No</w:t>
            </w:r>
            <w:r>
              <w:rPr>
                <w:rFonts w:ascii="Arial Narrow" w:hAnsi="Arial Narrow"/>
                <w:strike/>
                <w:sz w:val="20"/>
              </w:rPr>
              <w:t xml:space="preserve"> </w:t>
            </w:r>
            <w:r w:rsidRPr="00FE7A24">
              <w:rPr>
                <w:rFonts w:ascii="Arial Narrow" w:hAnsi="Arial Narrow"/>
                <w:sz w:val="20"/>
              </w:rPr>
              <w:t>increase</w:t>
            </w:r>
            <w:r>
              <w:rPr>
                <w:rFonts w:ascii="Arial Narrow" w:hAnsi="Arial Narrow"/>
                <w:sz w:val="20"/>
              </w:rPr>
              <w:t xml:space="preserve"> </w:t>
            </w:r>
            <w:r w:rsidRPr="001514FA">
              <w:rPr>
                <w:rFonts w:ascii="Arial Narrow" w:hAnsi="Arial Narrow"/>
                <w:sz w:val="20"/>
              </w:rPr>
              <w:t>to the</w:t>
            </w:r>
            <w:r w:rsidRPr="00FE7A24">
              <w:rPr>
                <w:rFonts w:ascii="Arial Narrow" w:hAnsi="Arial Narrow"/>
                <w:sz w:val="20"/>
              </w:rPr>
              <w:t xml:space="preserve"> maximum quantities will be authorised.</w:t>
            </w:r>
          </w:p>
        </w:tc>
      </w:tr>
    </w:tbl>
    <w:p w:rsidR="001514FA" w:rsidRPr="00552722" w:rsidRDefault="001514FA" w:rsidP="001514FA">
      <w:pPr>
        <w:rPr>
          <w:szCs w:val="22"/>
        </w:rPr>
      </w:pPr>
    </w:p>
    <w:p w:rsidR="001514FA" w:rsidRPr="00552722" w:rsidRDefault="001514FA" w:rsidP="001514FA">
      <w:pPr>
        <w:rPr>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559"/>
        <w:gridCol w:w="1276"/>
      </w:tblGrid>
      <w:tr w:rsidR="001514FA" w:rsidRPr="00260CE3" w:rsidTr="00841C6C">
        <w:trPr>
          <w:cantSplit/>
          <w:trHeight w:val="471"/>
        </w:trPr>
        <w:tc>
          <w:tcPr>
            <w:tcW w:w="3261" w:type="dxa"/>
            <w:gridSpan w:val="2"/>
            <w:tcBorders>
              <w:bottom w:val="single" w:sz="4" w:space="0" w:color="auto"/>
            </w:tcBorders>
          </w:tcPr>
          <w:p w:rsidR="001514FA" w:rsidRPr="00260CE3" w:rsidRDefault="001514FA" w:rsidP="00841C6C">
            <w:pPr>
              <w:keepNext/>
              <w:keepLines/>
              <w:ind w:left="-108"/>
              <w:rPr>
                <w:rFonts w:ascii="Arial Narrow" w:hAnsi="Arial Narrow"/>
                <w:sz w:val="20"/>
              </w:rPr>
            </w:pPr>
            <w:r w:rsidRPr="00260CE3">
              <w:rPr>
                <w:rFonts w:ascii="Arial Narrow" w:hAnsi="Arial Narrow"/>
                <w:sz w:val="20"/>
              </w:rPr>
              <w:t>Name, Restriction,</w:t>
            </w:r>
          </w:p>
          <w:p w:rsidR="001514FA" w:rsidRPr="00260CE3" w:rsidRDefault="001514FA" w:rsidP="00841C6C">
            <w:pPr>
              <w:keepNext/>
              <w:keepLines/>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514FA" w:rsidRPr="00260CE3" w:rsidRDefault="001514FA" w:rsidP="00841C6C">
            <w:pPr>
              <w:keepNext/>
              <w:keepLines/>
              <w:ind w:left="-108"/>
              <w:rPr>
                <w:rFonts w:ascii="Arial Narrow" w:hAnsi="Arial Narrow"/>
                <w:sz w:val="20"/>
              </w:rPr>
            </w:pPr>
            <w:r w:rsidRPr="00260CE3">
              <w:rPr>
                <w:rFonts w:ascii="Arial Narrow" w:hAnsi="Arial Narrow"/>
                <w:sz w:val="20"/>
              </w:rPr>
              <w:t>Max.</w:t>
            </w:r>
          </w:p>
          <w:p w:rsidR="001514FA" w:rsidRPr="00260CE3" w:rsidRDefault="001514FA" w:rsidP="00841C6C">
            <w:pPr>
              <w:keepNext/>
              <w:keepLines/>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1514FA" w:rsidRPr="00260CE3" w:rsidRDefault="001514FA" w:rsidP="00841C6C">
            <w:pPr>
              <w:keepNext/>
              <w:keepLines/>
              <w:ind w:left="-108"/>
              <w:rPr>
                <w:rFonts w:ascii="Arial Narrow" w:hAnsi="Arial Narrow"/>
                <w:sz w:val="20"/>
              </w:rPr>
            </w:pPr>
            <w:r w:rsidRPr="00260CE3">
              <w:rPr>
                <w:rFonts w:ascii="Arial Narrow" w:hAnsi="Arial Narrow"/>
                <w:sz w:val="20"/>
              </w:rPr>
              <w:t>№.of</w:t>
            </w:r>
          </w:p>
          <w:p w:rsidR="001514FA" w:rsidRPr="00260CE3" w:rsidRDefault="001514FA" w:rsidP="00841C6C">
            <w:pPr>
              <w:keepNext/>
              <w:keepLines/>
              <w:ind w:left="-108"/>
              <w:rPr>
                <w:rFonts w:ascii="Arial Narrow" w:hAnsi="Arial Narrow"/>
                <w:sz w:val="20"/>
              </w:rPr>
            </w:pPr>
            <w:r w:rsidRPr="00260CE3">
              <w:rPr>
                <w:rFonts w:ascii="Arial Narrow" w:hAnsi="Arial Narrow"/>
                <w:sz w:val="20"/>
              </w:rPr>
              <w:t>Rpts</w:t>
            </w:r>
          </w:p>
        </w:tc>
        <w:tc>
          <w:tcPr>
            <w:tcW w:w="1701" w:type="dxa"/>
            <w:tcBorders>
              <w:bottom w:val="single" w:sz="4" w:space="0" w:color="auto"/>
            </w:tcBorders>
          </w:tcPr>
          <w:p w:rsidR="001514FA" w:rsidRPr="00260CE3" w:rsidRDefault="001514FA" w:rsidP="00841C6C">
            <w:pPr>
              <w:keepNext/>
              <w:keepLines/>
              <w:ind w:left="-108"/>
              <w:rPr>
                <w:rFonts w:ascii="Arial Narrow" w:hAnsi="Arial Narrow"/>
                <w:sz w:val="20"/>
              </w:rPr>
            </w:pPr>
          </w:p>
        </w:tc>
        <w:tc>
          <w:tcPr>
            <w:tcW w:w="2835" w:type="dxa"/>
            <w:gridSpan w:val="2"/>
            <w:tcBorders>
              <w:bottom w:val="single" w:sz="4" w:space="0" w:color="auto"/>
            </w:tcBorders>
          </w:tcPr>
          <w:p w:rsidR="001514FA" w:rsidRPr="00260CE3" w:rsidRDefault="001514FA" w:rsidP="00841C6C">
            <w:pPr>
              <w:keepNext/>
              <w:keepLines/>
              <w:rPr>
                <w:rFonts w:ascii="Arial Narrow" w:hAnsi="Arial Narrow"/>
                <w:sz w:val="20"/>
                <w:lang w:val="fr-FR"/>
              </w:rPr>
            </w:pPr>
            <w:r w:rsidRPr="00260CE3">
              <w:rPr>
                <w:rFonts w:ascii="Arial Narrow" w:hAnsi="Arial Narrow"/>
                <w:sz w:val="20"/>
              </w:rPr>
              <w:t>Proprietary Name and Manufacturer</w:t>
            </w:r>
          </w:p>
        </w:tc>
      </w:tr>
      <w:tr w:rsidR="001514FA" w:rsidRPr="00260CE3" w:rsidTr="00841C6C">
        <w:trPr>
          <w:cantSplit/>
          <w:trHeight w:val="577"/>
        </w:trPr>
        <w:tc>
          <w:tcPr>
            <w:tcW w:w="3261" w:type="dxa"/>
            <w:gridSpan w:val="2"/>
          </w:tcPr>
          <w:p w:rsidR="001514FA" w:rsidRPr="00260CE3" w:rsidRDefault="001514FA" w:rsidP="00841C6C">
            <w:pPr>
              <w:keepNext/>
              <w:keepLines/>
              <w:ind w:left="-108"/>
              <w:rPr>
                <w:rFonts w:ascii="Arial Narrow" w:hAnsi="Arial Narrow"/>
                <w:sz w:val="20"/>
              </w:rPr>
            </w:pPr>
            <w:r>
              <w:rPr>
                <w:rFonts w:ascii="Arial Narrow" w:hAnsi="Arial Narrow"/>
                <w:smallCaps/>
                <w:sz w:val="20"/>
              </w:rPr>
              <w:t>PERAMPENAL</w:t>
            </w:r>
          </w:p>
          <w:p w:rsidR="001514FA" w:rsidRDefault="001514FA" w:rsidP="00841C6C">
            <w:pPr>
              <w:keepNext/>
              <w:keepLines/>
              <w:ind w:left="-108"/>
              <w:rPr>
                <w:rFonts w:ascii="Arial Narrow" w:hAnsi="Arial Narrow"/>
                <w:sz w:val="20"/>
              </w:rPr>
            </w:pPr>
            <w:r>
              <w:rPr>
                <w:rFonts w:ascii="Arial Narrow" w:hAnsi="Arial Narrow"/>
                <w:sz w:val="20"/>
              </w:rPr>
              <w:t>4 mg tablet, 28</w:t>
            </w:r>
          </w:p>
          <w:p w:rsidR="001514FA" w:rsidRDefault="001514FA" w:rsidP="00841C6C">
            <w:pPr>
              <w:keepNext/>
              <w:keepLines/>
              <w:ind w:left="-108"/>
              <w:rPr>
                <w:rFonts w:ascii="Arial Narrow" w:hAnsi="Arial Narrow"/>
                <w:sz w:val="20"/>
              </w:rPr>
            </w:pPr>
            <w:r>
              <w:rPr>
                <w:rFonts w:ascii="Arial Narrow" w:hAnsi="Arial Narrow"/>
                <w:sz w:val="20"/>
              </w:rPr>
              <w:t>6 mg tablet, 28</w:t>
            </w:r>
          </w:p>
          <w:p w:rsidR="001514FA" w:rsidRDefault="001514FA" w:rsidP="00841C6C">
            <w:pPr>
              <w:keepNext/>
              <w:keepLines/>
              <w:ind w:left="-108"/>
              <w:rPr>
                <w:rFonts w:ascii="Arial Narrow" w:hAnsi="Arial Narrow"/>
                <w:sz w:val="20"/>
              </w:rPr>
            </w:pPr>
            <w:r>
              <w:rPr>
                <w:rFonts w:ascii="Arial Narrow" w:hAnsi="Arial Narrow"/>
                <w:sz w:val="20"/>
              </w:rPr>
              <w:t>8 mg tablet, 28</w:t>
            </w:r>
          </w:p>
          <w:p w:rsidR="001514FA" w:rsidRDefault="001514FA" w:rsidP="00841C6C">
            <w:pPr>
              <w:keepNext/>
              <w:keepLines/>
              <w:ind w:left="-108"/>
              <w:rPr>
                <w:rFonts w:ascii="Arial Narrow" w:hAnsi="Arial Narrow"/>
                <w:sz w:val="20"/>
              </w:rPr>
            </w:pPr>
            <w:r>
              <w:rPr>
                <w:rFonts w:ascii="Arial Narrow" w:hAnsi="Arial Narrow"/>
                <w:sz w:val="20"/>
              </w:rPr>
              <w:t>10 mg tablet, 28</w:t>
            </w:r>
          </w:p>
          <w:p w:rsidR="001514FA" w:rsidRPr="00260CE3" w:rsidRDefault="001514FA" w:rsidP="00841C6C">
            <w:pPr>
              <w:keepNext/>
              <w:keepLines/>
              <w:ind w:left="-108"/>
              <w:rPr>
                <w:rFonts w:ascii="Arial Narrow" w:hAnsi="Arial Narrow"/>
                <w:sz w:val="20"/>
              </w:rPr>
            </w:pPr>
            <w:r>
              <w:rPr>
                <w:rFonts w:ascii="Arial Narrow" w:hAnsi="Arial Narrow"/>
                <w:sz w:val="20"/>
              </w:rPr>
              <w:t>12 mg tablet, 28</w:t>
            </w:r>
          </w:p>
        </w:tc>
        <w:tc>
          <w:tcPr>
            <w:tcW w:w="567" w:type="dxa"/>
          </w:tcPr>
          <w:p w:rsidR="001514FA" w:rsidRPr="000675EB" w:rsidRDefault="001514FA" w:rsidP="00841C6C">
            <w:pPr>
              <w:keepNext/>
              <w:keepLines/>
              <w:ind w:left="-108"/>
              <w:rPr>
                <w:rFonts w:ascii="Arial Narrow" w:hAnsi="Arial Narrow"/>
                <w:sz w:val="20"/>
              </w:rPr>
            </w:pPr>
          </w:p>
          <w:p w:rsidR="001514FA" w:rsidRPr="000675EB" w:rsidRDefault="001514FA" w:rsidP="00841C6C">
            <w:pPr>
              <w:keepNext/>
              <w:keepLines/>
              <w:ind w:left="-108"/>
              <w:rPr>
                <w:rFonts w:ascii="Arial Narrow" w:hAnsi="Arial Narrow"/>
                <w:sz w:val="20"/>
              </w:rPr>
            </w:pPr>
            <w:r w:rsidRPr="000675EB">
              <w:rPr>
                <w:rFonts w:ascii="Arial Narrow" w:hAnsi="Arial Narrow"/>
                <w:sz w:val="20"/>
              </w:rPr>
              <w:t>1</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1</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1</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1</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1</w:t>
            </w:r>
          </w:p>
        </w:tc>
        <w:tc>
          <w:tcPr>
            <w:tcW w:w="850" w:type="dxa"/>
          </w:tcPr>
          <w:p w:rsidR="001514FA" w:rsidRPr="000675EB" w:rsidRDefault="001514FA" w:rsidP="00841C6C">
            <w:pPr>
              <w:keepNext/>
              <w:keepLines/>
              <w:ind w:left="-108"/>
              <w:rPr>
                <w:rFonts w:ascii="Arial Narrow" w:hAnsi="Arial Narrow"/>
                <w:sz w:val="20"/>
              </w:rPr>
            </w:pPr>
          </w:p>
          <w:p w:rsidR="001514FA" w:rsidRPr="000675EB" w:rsidRDefault="001514FA" w:rsidP="00841C6C">
            <w:pPr>
              <w:keepNext/>
              <w:keepLines/>
              <w:ind w:left="-108"/>
              <w:rPr>
                <w:rFonts w:ascii="Arial Narrow" w:hAnsi="Arial Narrow"/>
                <w:sz w:val="20"/>
              </w:rPr>
            </w:pPr>
            <w:r w:rsidRPr="000675EB">
              <w:rPr>
                <w:rFonts w:ascii="Arial Narrow" w:hAnsi="Arial Narrow"/>
                <w:sz w:val="20"/>
              </w:rPr>
              <w:t>2</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2</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5</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5</w:t>
            </w:r>
          </w:p>
          <w:p w:rsidR="001514FA" w:rsidRPr="000675EB" w:rsidRDefault="001514FA" w:rsidP="00841C6C">
            <w:pPr>
              <w:keepNext/>
              <w:keepLines/>
              <w:ind w:left="-108"/>
              <w:rPr>
                <w:rFonts w:ascii="Arial Narrow" w:hAnsi="Arial Narrow"/>
                <w:sz w:val="20"/>
              </w:rPr>
            </w:pPr>
            <w:r w:rsidRPr="000675EB">
              <w:rPr>
                <w:rFonts w:ascii="Arial Narrow" w:hAnsi="Arial Narrow"/>
                <w:sz w:val="20"/>
              </w:rPr>
              <w:t>5</w:t>
            </w:r>
          </w:p>
        </w:tc>
        <w:tc>
          <w:tcPr>
            <w:tcW w:w="1701" w:type="dxa"/>
          </w:tcPr>
          <w:p w:rsidR="001514FA" w:rsidRPr="00260CE3" w:rsidRDefault="001514FA" w:rsidP="00841C6C">
            <w:pPr>
              <w:keepNext/>
              <w:keepLines/>
              <w:ind w:left="-108"/>
              <w:rPr>
                <w:rFonts w:ascii="Arial Narrow" w:hAnsi="Arial Narrow"/>
                <w:sz w:val="20"/>
              </w:rPr>
            </w:pPr>
          </w:p>
          <w:p w:rsidR="001514FA" w:rsidRPr="00260CE3" w:rsidRDefault="001514FA" w:rsidP="00841C6C">
            <w:pPr>
              <w:keepNext/>
              <w:keepLines/>
              <w:ind w:left="-108"/>
              <w:rPr>
                <w:rFonts w:ascii="Arial Narrow" w:hAnsi="Arial Narrow"/>
                <w:sz w:val="20"/>
              </w:rPr>
            </w:pPr>
          </w:p>
        </w:tc>
        <w:tc>
          <w:tcPr>
            <w:tcW w:w="1559" w:type="dxa"/>
          </w:tcPr>
          <w:p w:rsidR="001514FA" w:rsidRDefault="001514FA" w:rsidP="00841C6C">
            <w:pPr>
              <w:keepNext/>
              <w:keepLines/>
              <w:rPr>
                <w:rFonts w:ascii="Arial Narrow" w:hAnsi="Arial Narrow"/>
                <w:sz w:val="20"/>
              </w:rPr>
            </w:pPr>
          </w:p>
          <w:p w:rsidR="001514FA" w:rsidRPr="00260CE3" w:rsidRDefault="001514FA" w:rsidP="00841C6C">
            <w:pPr>
              <w:keepNext/>
              <w:keepLines/>
              <w:rPr>
                <w:rFonts w:ascii="Arial Narrow" w:hAnsi="Arial Narrow"/>
                <w:sz w:val="20"/>
              </w:rPr>
            </w:pPr>
            <w:r>
              <w:rPr>
                <w:rFonts w:ascii="Arial Narrow" w:hAnsi="Arial Narrow"/>
                <w:sz w:val="20"/>
              </w:rPr>
              <w:t>Fycompa</w:t>
            </w:r>
            <w:r w:rsidRPr="009A02FB">
              <w:rPr>
                <w:rFonts w:ascii="Arial Narrow" w:hAnsi="Arial Narrow"/>
                <w:sz w:val="20"/>
                <w:vertAlign w:val="superscript"/>
              </w:rPr>
              <w:t>®</w:t>
            </w:r>
          </w:p>
        </w:tc>
        <w:tc>
          <w:tcPr>
            <w:tcW w:w="1276" w:type="dxa"/>
          </w:tcPr>
          <w:p w:rsidR="001514FA" w:rsidRDefault="001514FA" w:rsidP="00841C6C">
            <w:pPr>
              <w:keepNext/>
              <w:keepLines/>
              <w:rPr>
                <w:rFonts w:ascii="Arial Narrow" w:hAnsi="Arial Narrow"/>
                <w:sz w:val="20"/>
              </w:rPr>
            </w:pPr>
          </w:p>
          <w:p w:rsidR="001514FA" w:rsidRPr="00260CE3" w:rsidRDefault="001514FA" w:rsidP="00841C6C">
            <w:pPr>
              <w:keepNext/>
              <w:keepLines/>
              <w:rPr>
                <w:rFonts w:ascii="Arial Narrow" w:hAnsi="Arial Narrow"/>
                <w:sz w:val="20"/>
              </w:rPr>
            </w:pPr>
            <w:r>
              <w:rPr>
                <w:rFonts w:ascii="Arial Narrow" w:hAnsi="Arial Narrow"/>
                <w:sz w:val="20"/>
              </w:rPr>
              <w:t>Eisai Australia Pty Ltd</w:t>
            </w:r>
          </w:p>
        </w:tc>
      </w:tr>
      <w:tr w:rsidR="001514FA" w:rsidRPr="00260CE3" w:rsidTr="00841C6C">
        <w:trPr>
          <w:cantSplit/>
          <w:trHeight w:val="360"/>
        </w:trPr>
        <w:tc>
          <w:tcPr>
            <w:tcW w:w="9214" w:type="dxa"/>
            <w:gridSpan w:val="7"/>
            <w:tcBorders>
              <w:bottom w:val="single" w:sz="4" w:space="0" w:color="auto"/>
            </w:tcBorders>
          </w:tcPr>
          <w:p w:rsidR="001514FA" w:rsidRPr="00260CE3" w:rsidRDefault="001514FA" w:rsidP="00841C6C">
            <w:pPr>
              <w:keepNext/>
              <w:keepLines/>
              <w:rPr>
                <w:rFonts w:ascii="Arial Narrow" w:hAnsi="Arial Narrow"/>
                <w:sz w:val="20"/>
              </w:rPr>
            </w:pP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 xml:space="preserve">Category / </w:t>
            </w:r>
          </w:p>
          <w:p w:rsidR="001514FA" w:rsidRPr="00260CE3" w:rsidRDefault="001514FA" w:rsidP="00841C6C">
            <w:pPr>
              <w:keepNext/>
              <w:keepLines/>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260CE3">
              <w:rPr>
                <w:rFonts w:ascii="Arial Narrow" w:hAnsi="Arial Narrow"/>
                <w:sz w:val="20"/>
              </w:rPr>
              <w:t>GENERAL – General Schedule (Code GE)</w:t>
            </w:r>
          </w:p>
          <w:p w:rsidR="001514FA" w:rsidRPr="00260CE3" w:rsidRDefault="001514FA" w:rsidP="00841C6C">
            <w:pPr>
              <w:keepNext/>
              <w:keepLines/>
              <w:rPr>
                <w:rFonts w:ascii="Arial Narrow" w:hAnsi="Arial Narrow"/>
                <w:sz w:val="20"/>
              </w:rPr>
            </w:pP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Default="001514FA" w:rsidP="00841C6C">
            <w:pPr>
              <w:keepNext/>
              <w:keepLines/>
              <w:rPr>
                <w:rFonts w:ascii="Arial Narrow" w:hAnsi="Arial Narrow"/>
                <w:b/>
                <w:sz w:val="20"/>
              </w:rPr>
            </w:pPr>
            <w:r w:rsidRPr="00260CE3">
              <w:rPr>
                <w:rFonts w:ascii="Arial Narrow" w:hAnsi="Arial Narrow"/>
                <w:b/>
                <w:sz w:val="20"/>
              </w:rPr>
              <w:t>Prescriber type:</w:t>
            </w:r>
          </w:p>
          <w:p w:rsidR="001514FA" w:rsidRPr="00260CE3" w:rsidRDefault="001514FA" w:rsidP="00841C6C">
            <w:pPr>
              <w:keepNext/>
              <w:keepLines/>
              <w:rPr>
                <w:rFonts w:ascii="Arial Narrow" w:hAnsi="Arial Narrow"/>
                <w:b/>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1514FA" w:rsidRPr="00260CE3" w:rsidRDefault="001514FA" w:rsidP="00841C6C">
            <w:pPr>
              <w:keepNext/>
              <w:keepLines/>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8F7DDA" w:rsidRDefault="001514FA" w:rsidP="00841C6C">
            <w:pPr>
              <w:keepNext/>
              <w:keepLines/>
              <w:rPr>
                <w:rFonts w:eastAsia="SimSun"/>
                <w:sz w:val="20"/>
                <w:lang w:eastAsia="ja-JP"/>
              </w:rPr>
            </w:pPr>
            <w:r>
              <w:rPr>
                <w:rFonts w:ascii="Arial Narrow" w:hAnsi="Arial Narrow"/>
                <w:i/>
                <w:sz w:val="20"/>
              </w:rPr>
              <w:t>Primary generalised tonic-clonic s</w:t>
            </w:r>
            <w:r w:rsidRPr="009F4475">
              <w:rPr>
                <w:rFonts w:ascii="Arial Narrow" w:hAnsi="Arial Narrow"/>
                <w:i/>
                <w:sz w:val="20"/>
              </w:rPr>
              <w:t>eizures</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1514FA">
            <w:pPr>
              <w:keepNext/>
              <w:keepLines/>
              <w:rPr>
                <w:rFonts w:ascii="Arial Narrow" w:hAnsi="Arial Narrow"/>
                <w:sz w:val="20"/>
              </w:rPr>
            </w:pPr>
            <w:r w:rsidRPr="004964C8">
              <w:rPr>
                <w:rFonts w:ascii="Arial Narrow" w:hAnsi="Arial Narrow"/>
                <w:sz w:val="20"/>
              </w:rPr>
              <w:t xml:space="preserve">Idiopathic Generalised </w:t>
            </w:r>
            <w:r>
              <w:rPr>
                <w:rFonts w:ascii="Arial Narrow" w:hAnsi="Arial Narrow"/>
                <w:sz w:val="20"/>
              </w:rPr>
              <w:t>e</w:t>
            </w:r>
            <w:r w:rsidRPr="00FE7A24">
              <w:rPr>
                <w:rFonts w:ascii="Arial Narrow" w:hAnsi="Arial Narrow"/>
                <w:sz w:val="20"/>
              </w:rPr>
              <w:t>pilepsy</w:t>
            </w:r>
            <w:r w:rsidRPr="009F4475">
              <w:rPr>
                <w:rFonts w:ascii="Arial Narrow" w:hAnsi="Arial Narrow"/>
                <w:strike/>
                <w:sz w:val="20"/>
              </w:rPr>
              <w:t xml:space="preserve"> </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Default="001514FA" w:rsidP="00841C6C">
            <w:pPr>
              <w:keepNext/>
              <w:keepLines/>
              <w:rPr>
                <w:rFonts w:ascii="Arial Narrow" w:hAnsi="Arial Narrow"/>
                <w:b/>
                <w:sz w:val="20"/>
              </w:rPr>
            </w:pPr>
            <w:r w:rsidRPr="00260CE3">
              <w:rPr>
                <w:rFonts w:ascii="Arial Narrow" w:hAnsi="Arial Narrow"/>
                <w:b/>
                <w:sz w:val="20"/>
              </w:rPr>
              <w:t>PBS Indication:</w:t>
            </w:r>
          </w:p>
          <w:p w:rsidR="001514FA" w:rsidRDefault="001514FA" w:rsidP="00841C6C">
            <w:pPr>
              <w:keepNext/>
              <w:keepLines/>
              <w:rPr>
                <w:rFonts w:ascii="Arial Narrow" w:hAnsi="Arial Narrow"/>
                <w:b/>
                <w:sz w:val="20"/>
              </w:rPr>
            </w:pPr>
          </w:p>
          <w:p w:rsidR="001514FA" w:rsidRPr="00AE058A" w:rsidRDefault="001514FA" w:rsidP="00841C6C">
            <w:pPr>
              <w:keepNext/>
              <w:keepLines/>
              <w:rPr>
                <w:rFonts w:ascii="Arial Narrow" w:hAnsi="Arial Narrow"/>
                <w:i/>
                <w:sz w:val="20"/>
              </w:rPr>
            </w:pPr>
            <w:r w:rsidRPr="00AE058A">
              <w:rPr>
                <w:rFonts w:ascii="Arial Narrow" w:hAnsi="Arial Narrow"/>
                <w:i/>
                <w:sz w:val="20"/>
              </w:rPr>
              <w:t>PBS Indication is the combination of the Episodicity, Severity and Condition.</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1514FA" w:rsidRDefault="001514FA" w:rsidP="00841C6C">
            <w:pPr>
              <w:keepNext/>
              <w:keepLines/>
              <w:rPr>
                <w:rFonts w:ascii="Arial Narrow" w:hAnsi="Arial Narrow"/>
                <w:sz w:val="20"/>
              </w:rPr>
            </w:pPr>
            <w:r w:rsidRPr="001514FA">
              <w:rPr>
                <w:rFonts w:ascii="Arial Narrow" w:hAnsi="Arial Narrow"/>
                <w:sz w:val="20"/>
              </w:rPr>
              <w:t>Idiopathic generalised epilepsy with primary generalised tonic-clonic seizures</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9F4475" w:rsidRDefault="001514FA" w:rsidP="00841C6C">
            <w:pPr>
              <w:keepNext/>
              <w:keepLines/>
              <w:rPr>
                <w:rFonts w:ascii="Arial Narrow" w:hAnsi="Arial Narrow"/>
                <w:b/>
                <w:sz w:val="20"/>
              </w:rPr>
            </w:pPr>
            <w:r w:rsidRPr="00260CE3">
              <w:rPr>
                <w:rFonts w:ascii="Arial Narrow" w:hAnsi="Arial Narrow"/>
                <w:b/>
                <w:sz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1514FA">
            <w:pPr>
              <w:keepNext/>
              <w:keepLines/>
              <w:rPr>
                <w:rFonts w:ascii="Arial Narrow" w:hAnsi="Arial Narrow"/>
                <w:sz w:val="20"/>
              </w:rPr>
            </w:pPr>
            <w:r>
              <w:rPr>
                <w:rFonts w:ascii="Arial Narrow" w:hAnsi="Arial Narrow"/>
                <w:sz w:val="20"/>
              </w:rPr>
              <w:t>Continuing</w:t>
            </w:r>
            <w:r w:rsidRPr="009F4475">
              <w:rPr>
                <w:rFonts w:ascii="Arial Narrow" w:hAnsi="Arial Narrow"/>
                <w:strike/>
                <w:sz w:val="20"/>
              </w:rPr>
              <w:t xml:space="preserve"> </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1514FA" w:rsidRDefault="001514FA" w:rsidP="00841C6C">
            <w:pPr>
              <w:keepNext/>
              <w:keepLines/>
              <w:rPr>
                <w:rFonts w:ascii="Arial Narrow" w:hAnsi="Arial Narrow"/>
                <w:i/>
                <w:sz w:val="20"/>
              </w:rPr>
            </w:pPr>
          </w:p>
          <w:p w:rsidR="001514FA" w:rsidRPr="00CD28F3" w:rsidRDefault="001514FA" w:rsidP="00841C6C">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1514FA" w:rsidRPr="00106BCF" w:rsidRDefault="001514FA" w:rsidP="00841C6C">
            <w:pPr>
              <w:keepNext/>
              <w:keepLines/>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1514FA" w:rsidRPr="00260CE3" w:rsidRDefault="001514FA" w:rsidP="00841C6C">
            <w:pPr>
              <w:keepNext/>
              <w:keepLines/>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247FD4">
              <w:rPr>
                <w:rFonts w:ascii="Arial Narrow" w:hAnsi="Arial Narrow"/>
                <w:sz w:val="20"/>
              </w:rPr>
            </w:r>
            <w:r w:rsidR="00247FD4">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Clinical criteria:</w:t>
            </w:r>
          </w:p>
          <w:p w:rsidR="001514FA" w:rsidRPr="00260CE3" w:rsidRDefault="001514FA" w:rsidP="00841C6C">
            <w:pPr>
              <w:keepNext/>
              <w:keepLines/>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371A38" w:rsidRDefault="001514FA" w:rsidP="00841C6C">
            <w:pPr>
              <w:keepNext/>
              <w:keepLines/>
              <w:rPr>
                <w:rFonts w:ascii="Arial Narrow" w:hAnsi="Arial Narrow"/>
                <w:strike/>
                <w:sz w:val="20"/>
              </w:rPr>
            </w:pPr>
            <w:r w:rsidRPr="00371A38">
              <w:rPr>
                <w:rFonts w:ascii="Arial Narrow" w:hAnsi="Arial Narrow"/>
                <w:sz w:val="20"/>
              </w:rPr>
              <w:t>Patient must have previously been issued with an authority prescription for this drug</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F719B1" w:rsidRDefault="001514FA" w:rsidP="00841C6C">
            <w:pPr>
              <w:keepNext/>
              <w:keepLines/>
              <w:rPr>
                <w:rFonts w:ascii="Arial Narrow" w:hAnsi="Arial Narrow"/>
                <w:b/>
                <w:sz w:val="20"/>
              </w:rPr>
            </w:pPr>
            <w:r w:rsidRPr="00260CE3">
              <w:rPr>
                <w:rFonts w:ascii="Arial Narrow" w:hAnsi="Arial Narrow"/>
                <w:b/>
                <w:sz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sz w:val="20"/>
              </w:rPr>
            </w:pPr>
            <w:r w:rsidRPr="00FE7A24">
              <w:rPr>
                <w:rFonts w:ascii="Arial Narrow" w:hAnsi="Arial Narrow"/>
                <w:sz w:val="20"/>
              </w:rPr>
              <w:t>Patient must be aged 12 years or older.</w:t>
            </w:r>
          </w:p>
        </w:tc>
      </w:tr>
      <w:tr w:rsidR="001514FA" w:rsidRPr="00260CE3" w:rsidTr="00841C6C">
        <w:trPr>
          <w:cantSplit/>
          <w:trHeight w:val="360"/>
        </w:trPr>
        <w:tc>
          <w:tcPr>
            <w:tcW w:w="2835" w:type="dxa"/>
            <w:tcBorders>
              <w:top w:val="single" w:sz="4" w:space="0" w:color="auto"/>
              <w:left w:val="single" w:sz="4" w:space="0" w:color="auto"/>
              <w:bottom w:val="single" w:sz="4" w:space="0" w:color="auto"/>
              <w:right w:val="single" w:sz="4" w:space="0" w:color="auto"/>
            </w:tcBorders>
          </w:tcPr>
          <w:p w:rsidR="001514FA" w:rsidRPr="00260CE3" w:rsidRDefault="001514FA" w:rsidP="00841C6C">
            <w:pPr>
              <w:keepNext/>
              <w:keepLines/>
              <w:rPr>
                <w:rFonts w:ascii="Arial Narrow" w:hAnsi="Arial Narrow"/>
                <w:b/>
                <w:sz w:val="20"/>
              </w:rPr>
            </w:pPr>
            <w:r w:rsidRPr="00260CE3">
              <w:rPr>
                <w:rFonts w:ascii="Arial Narrow" w:hAnsi="Arial Narrow"/>
                <w:b/>
                <w:sz w:val="20"/>
              </w:rPr>
              <w:t>Administrative Advice</w:t>
            </w:r>
          </w:p>
          <w:p w:rsidR="001514FA" w:rsidRPr="00260CE3" w:rsidRDefault="001514FA" w:rsidP="00841C6C">
            <w:pPr>
              <w:keepNext/>
              <w:keepLines/>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1514FA" w:rsidRPr="00371A38" w:rsidRDefault="001514FA" w:rsidP="00841C6C">
            <w:pPr>
              <w:keepNext/>
              <w:keepLines/>
              <w:rPr>
                <w:rFonts w:ascii="Arial Narrow" w:hAnsi="Arial Narrow"/>
                <w:sz w:val="20"/>
              </w:rPr>
            </w:pPr>
            <w:r w:rsidRPr="00371A38">
              <w:rPr>
                <w:rFonts w:ascii="Arial Narrow" w:hAnsi="Arial Narrow"/>
                <w:sz w:val="20"/>
              </w:rPr>
              <w:t>No</w:t>
            </w:r>
            <w:r w:rsidR="00371A38" w:rsidRPr="00371A38">
              <w:rPr>
                <w:rFonts w:ascii="Arial Narrow" w:hAnsi="Arial Narrow"/>
                <w:strike/>
                <w:sz w:val="20"/>
              </w:rPr>
              <w:t xml:space="preserve"> </w:t>
            </w:r>
            <w:r w:rsidRPr="00371A38">
              <w:rPr>
                <w:rFonts w:ascii="Arial Narrow" w:hAnsi="Arial Narrow"/>
                <w:sz w:val="20"/>
              </w:rPr>
              <w:t>increase to the maximum quantities will be authorised.</w:t>
            </w:r>
          </w:p>
          <w:p w:rsidR="00371A38" w:rsidRPr="00371A38" w:rsidRDefault="00371A38" w:rsidP="00841C6C">
            <w:pPr>
              <w:keepNext/>
              <w:keepLines/>
              <w:rPr>
                <w:rFonts w:ascii="Arial Narrow" w:hAnsi="Arial Narrow"/>
                <w:sz w:val="20"/>
              </w:rPr>
            </w:pPr>
          </w:p>
          <w:p w:rsidR="001514FA" w:rsidRPr="00260CE3" w:rsidRDefault="001514FA" w:rsidP="00841C6C">
            <w:pPr>
              <w:keepNext/>
              <w:keepLines/>
              <w:rPr>
                <w:rFonts w:ascii="Arial Narrow" w:hAnsi="Arial Narrow"/>
                <w:sz w:val="20"/>
              </w:rPr>
            </w:pPr>
            <w:r w:rsidRPr="00371A38">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A46763" w:rsidRPr="00BE6EB3" w:rsidRDefault="00A46763" w:rsidP="00BE6EB3">
      <w:pPr>
        <w:spacing w:after="120"/>
        <w:rPr>
          <w:rFonts w:asciiTheme="minorHAnsi" w:hAnsiTheme="minorHAnsi"/>
          <w:b/>
          <w:bCs/>
          <w:sz w:val="24"/>
          <w:szCs w:val="24"/>
          <w:highlight w:val="yellow"/>
        </w:rPr>
      </w:pPr>
    </w:p>
    <w:p w:rsidR="002735D0" w:rsidRPr="00762213" w:rsidRDefault="002735D0" w:rsidP="00762213">
      <w:pPr>
        <w:spacing w:before="240" w:after="120"/>
        <w:outlineLvl w:val="0"/>
        <w:rPr>
          <w:rFonts w:asciiTheme="minorHAnsi" w:hAnsiTheme="minorHAnsi"/>
          <w:b/>
          <w:bCs/>
          <w:sz w:val="28"/>
          <w:lang w:val="en-GB"/>
        </w:rPr>
      </w:pPr>
      <w:r w:rsidRPr="00762213">
        <w:rPr>
          <w:rFonts w:asciiTheme="minorHAnsi" w:hAnsiTheme="minorHAnsi"/>
          <w:b/>
          <w:bCs/>
          <w:sz w:val="28"/>
          <w:lang w:val="en-GB"/>
        </w:rPr>
        <w:t>9</w:t>
      </w:r>
      <w:r w:rsidRPr="00762213">
        <w:rPr>
          <w:rFonts w:asciiTheme="minorHAnsi" w:hAnsiTheme="minorHAnsi"/>
          <w:b/>
          <w:bCs/>
          <w:sz w:val="28"/>
          <w:lang w:val="en-GB"/>
        </w:rPr>
        <w:tab/>
        <w:t>Context for Decision</w:t>
      </w:r>
    </w:p>
    <w:p w:rsidR="002735D0" w:rsidRPr="000675EB" w:rsidRDefault="002735D0" w:rsidP="002735D0">
      <w:pPr>
        <w:widowControl/>
        <w:spacing w:line="276" w:lineRule="auto"/>
        <w:ind w:left="426"/>
        <w:rPr>
          <w:rFonts w:asciiTheme="minorHAnsi" w:eastAsiaTheme="minorHAnsi" w:hAnsiTheme="minorHAnsi"/>
          <w:snapToGrid/>
          <w:sz w:val="24"/>
          <w:szCs w:val="24"/>
        </w:rPr>
      </w:pPr>
    </w:p>
    <w:p w:rsidR="002735D0" w:rsidRPr="000675EB" w:rsidRDefault="002735D0" w:rsidP="000B634D">
      <w:pPr>
        <w:widowControl/>
        <w:spacing w:line="276" w:lineRule="auto"/>
        <w:rPr>
          <w:rFonts w:asciiTheme="minorHAnsi" w:eastAsiaTheme="minorHAnsi" w:hAnsiTheme="minorHAnsi"/>
          <w:snapToGrid/>
          <w:sz w:val="24"/>
          <w:szCs w:val="24"/>
        </w:rPr>
      </w:pPr>
      <w:r w:rsidRPr="000675EB">
        <w:rPr>
          <w:rFonts w:asciiTheme="minorHAnsi" w:eastAsiaTheme="minorHAnsi" w:hAnsiTheme="minorHAnsi"/>
          <w:snapToGrid/>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735D0" w:rsidRDefault="002735D0" w:rsidP="002735D0">
      <w:pPr>
        <w:widowControl/>
        <w:spacing w:after="200" w:line="276" w:lineRule="auto"/>
        <w:ind w:left="426"/>
        <w:rPr>
          <w:rFonts w:asciiTheme="minorHAnsi" w:eastAsiaTheme="minorHAnsi" w:hAnsiTheme="minorHAnsi"/>
          <w:snapToGrid/>
          <w:sz w:val="24"/>
          <w:szCs w:val="24"/>
        </w:rPr>
      </w:pPr>
    </w:p>
    <w:p w:rsidR="006E4049" w:rsidRPr="000675EB" w:rsidRDefault="006E4049" w:rsidP="002735D0">
      <w:pPr>
        <w:widowControl/>
        <w:spacing w:after="200" w:line="276" w:lineRule="auto"/>
        <w:ind w:left="426"/>
        <w:rPr>
          <w:rFonts w:asciiTheme="minorHAnsi" w:eastAsiaTheme="minorHAnsi" w:hAnsiTheme="minorHAnsi"/>
          <w:snapToGrid/>
          <w:sz w:val="24"/>
          <w:szCs w:val="24"/>
        </w:rPr>
      </w:pPr>
    </w:p>
    <w:p w:rsidR="002735D0" w:rsidRPr="00762213" w:rsidRDefault="002735D0" w:rsidP="00762213">
      <w:pPr>
        <w:spacing w:before="240" w:after="120"/>
        <w:outlineLvl w:val="0"/>
        <w:rPr>
          <w:rFonts w:asciiTheme="minorHAnsi" w:hAnsiTheme="minorHAnsi"/>
          <w:b/>
          <w:bCs/>
          <w:sz w:val="28"/>
          <w:lang w:val="en-GB"/>
        </w:rPr>
      </w:pPr>
      <w:r w:rsidRPr="00762213">
        <w:rPr>
          <w:rFonts w:asciiTheme="minorHAnsi" w:hAnsiTheme="minorHAnsi"/>
          <w:b/>
          <w:bCs/>
          <w:sz w:val="28"/>
          <w:lang w:val="en-GB"/>
        </w:rPr>
        <w:t>10</w:t>
      </w:r>
      <w:r w:rsidRPr="00762213">
        <w:rPr>
          <w:rFonts w:asciiTheme="minorHAnsi" w:hAnsiTheme="minorHAnsi"/>
          <w:b/>
          <w:bCs/>
          <w:sz w:val="28"/>
          <w:lang w:val="en-GB"/>
        </w:rPr>
        <w:tab/>
        <w:t xml:space="preserve"> Sponsor’s Comment</w:t>
      </w:r>
    </w:p>
    <w:p w:rsidR="002735D0" w:rsidRPr="002735D0" w:rsidRDefault="002735D0" w:rsidP="002735D0">
      <w:pPr>
        <w:widowControl/>
        <w:spacing w:line="276" w:lineRule="auto"/>
        <w:ind w:left="426"/>
        <w:rPr>
          <w:rFonts w:eastAsiaTheme="minorHAnsi"/>
          <w:bCs/>
          <w:snapToGrid/>
          <w:szCs w:val="22"/>
          <w:highlight w:val="yellow"/>
          <w:lang w:val="en-GB"/>
        </w:rPr>
      </w:pPr>
    </w:p>
    <w:p w:rsidR="002735D0" w:rsidRPr="000675EB" w:rsidRDefault="002735D0" w:rsidP="000B634D">
      <w:pPr>
        <w:widowControl/>
        <w:spacing w:after="120" w:line="276" w:lineRule="auto"/>
        <w:rPr>
          <w:rFonts w:asciiTheme="minorHAnsi" w:eastAsiaTheme="minorHAnsi" w:hAnsiTheme="minorHAnsi"/>
          <w:bCs/>
          <w:snapToGrid/>
          <w:sz w:val="24"/>
          <w:szCs w:val="24"/>
        </w:rPr>
      </w:pPr>
      <w:r w:rsidRPr="000675EB">
        <w:rPr>
          <w:rFonts w:asciiTheme="minorHAnsi" w:eastAsiaTheme="minorHAnsi" w:hAnsiTheme="minorHAnsi"/>
          <w:bCs/>
          <w:snapToGrid/>
          <w:sz w:val="24"/>
          <w:szCs w:val="24"/>
        </w:rPr>
        <w:t>The sponsor had no comment.</w:t>
      </w:r>
    </w:p>
    <w:p w:rsidR="00682C61" w:rsidRPr="00BE6EB3" w:rsidRDefault="00682C61" w:rsidP="007E046D">
      <w:pPr>
        <w:widowControl/>
        <w:ind w:left="360"/>
        <w:contextualSpacing/>
        <w:jc w:val="left"/>
        <w:rPr>
          <w:rFonts w:asciiTheme="minorHAnsi" w:hAnsiTheme="minorHAnsi"/>
          <w:sz w:val="24"/>
        </w:rPr>
      </w:pPr>
    </w:p>
    <w:sectPr w:rsidR="00682C61" w:rsidRPr="00BE6EB3" w:rsidSect="001A790A">
      <w:headerReference w:type="even" r:id="rId9"/>
      <w:headerReference w:type="default" r:id="rId10"/>
      <w:footerReference w:type="even" r:id="rId11"/>
      <w:footerReference w:type="default" r:id="rId12"/>
      <w:headerReference w:type="first" r:id="rId13"/>
      <w:footerReference w:type="first" r:id="rId14"/>
      <w:footnotePr>
        <w:numFmt w:val="lowerRoman"/>
      </w:footnotePr>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222849" w15:done="0"/>
  <w15:commentEx w15:paraId="14640050" w15:paraIdParent="69222849" w15:done="0"/>
  <w15:commentEx w15:paraId="418DBAAF" w15:done="0"/>
  <w15:commentEx w15:paraId="35DEA295" w15:done="0"/>
  <w15:commentEx w15:paraId="510A0570" w15:paraIdParent="35DEA295" w15:done="0"/>
  <w15:commentEx w15:paraId="7520DB97" w15:done="0"/>
  <w15:commentEx w15:paraId="4CB2466F" w15:paraIdParent="7520DB97" w15:done="0"/>
  <w15:commentEx w15:paraId="54F52227" w15:done="0"/>
  <w15:commentEx w15:paraId="26B37F82" w15:paraIdParent="54F52227" w15:done="0"/>
  <w15:commentEx w15:paraId="2049F0F2" w15:done="0"/>
  <w15:commentEx w15:paraId="26FB0595" w15:done="0"/>
  <w15:commentEx w15:paraId="6C1DCF8D" w15:done="0"/>
  <w15:commentEx w15:paraId="6FFCD994" w15:paraIdParent="6C1DCF8D" w15:done="0"/>
  <w15:commentEx w15:paraId="69AB9AF0" w15:done="0"/>
  <w15:commentEx w15:paraId="56FAA473" w15:paraIdParent="69AB9AF0" w15:done="0"/>
  <w15:commentEx w15:paraId="10F07A90" w15:done="0"/>
  <w15:commentEx w15:paraId="08D31425" w15:done="0"/>
  <w15:commentEx w15:paraId="1A37E247" w15:done="0"/>
  <w15:commentEx w15:paraId="48640B94" w15:paraIdParent="1A37E247" w15:done="0"/>
  <w15:commentEx w15:paraId="37BCA7A6" w15:done="0"/>
  <w15:commentEx w15:paraId="12523250" w15:paraIdParent="37BCA7A6" w15:done="0"/>
  <w15:commentEx w15:paraId="40CAEEA6" w15:done="0"/>
  <w15:commentEx w15:paraId="6A5602D0" w15:paraIdParent="40CAEE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FD4" w:rsidRDefault="00247FD4" w:rsidP="00124A51">
      <w:r>
        <w:separator/>
      </w:r>
    </w:p>
  </w:endnote>
  <w:endnote w:type="continuationSeparator" w:id="0">
    <w:p w:rsidR="00247FD4" w:rsidRDefault="00247FD4" w:rsidP="00124A51">
      <w:r>
        <w:continuationSeparator/>
      </w:r>
    </w:p>
  </w:endnote>
  <w:endnote w:type="continuationNotice" w:id="1">
    <w:p w:rsidR="00247FD4" w:rsidRDefault="00247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PMincho">
    <w:panose1 w:val="02020600040205080304"/>
    <w:charset w:val="80"/>
    <w:family w:val="roman"/>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Universal-GreekwithMathPi">
    <w:panose1 w:val="00000000000000000000"/>
    <w:charset w:val="00"/>
    <w:family w:val="auto"/>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D4" w:rsidRDefault="00247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D4" w:rsidRPr="00824BC8" w:rsidRDefault="00247FD4" w:rsidP="00824BC8">
    <w:pPr>
      <w:pStyle w:val="Footer"/>
      <w:jc w:val="center"/>
    </w:pPr>
    <w:r w:rsidRPr="00693685">
      <w:rPr>
        <w:rFonts w:asciiTheme="minorHAnsi" w:hAnsiTheme="minorHAnsi"/>
        <w:sz w:val="24"/>
        <w:szCs w:val="24"/>
      </w:rPr>
      <w:fldChar w:fldCharType="begin"/>
    </w:r>
    <w:r w:rsidRPr="00693685">
      <w:rPr>
        <w:rFonts w:asciiTheme="minorHAnsi" w:hAnsiTheme="minorHAnsi"/>
        <w:sz w:val="24"/>
        <w:szCs w:val="24"/>
      </w:rPr>
      <w:instrText xml:space="preserve"> PAGE   \* MERGEFORMAT </w:instrText>
    </w:r>
    <w:r w:rsidRPr="00693685">
      <w:rPr>
        <w:rFonts w:asciiTheme="minorHAnsi" w:hAnsiTheme="minorHAnsi"/>
        <w:sz w:val="24"/>
        <w:szCs w:val="24"/>
      </w:rPr>
      <w:fldChar w:fldCharType="separate"/>
    </w:r>
    <w:r w:rsidR="003D041A">
      <w:rPr>
        <w:rFonts w:asciiTheme="minorHAnsi" w:hAnsiTheme="minorHAnsi"/>
        <w:noProof/>
        <w:sz w:val="24"/>
        <w:szCs w:val="24"/>
      </w:rPr>
      <w:t>29</w:t>
    </w:r>
    <w:r w:rsidRPr="00693685">
      <w:rPr>
        <w:rFonts w:asciiTheme="minorHAnsi" w:hAnsiTheme="minorHAnsi"/>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D4" w:rsidRDefault="00247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FD4" w:rsidRDefault="00247FD4" w:rsidP="00124A51">
      <w:r>
        <w:separator/>
      </w:r>
    </w:p>
  </w:footnote>
  <w:footnote w:type="continuationSeparator" w:id="0">
    <w:p w:rsidR="00247FD4" w:rsidRDefault="00247FD4" w:rsidP="00124A51">
      <w:r>
        <w:continuationSeparator/>
      </w:r>
    </w:p>
  </w:footnote>
  <w:footnote w:type="continuationNotice" w:id="1">
    <w:p w:rsidR="00247FD4" w:rsidRDefault="00247FD4"/>
  </w:footnote>
  <w:footnote w:id="2">
    <w:p w:rsidR="00247FD4" w:rsidRPr="00A46F81" w:rsidRDefault="00247FD4" w:rsidP="00B54462">
      <w:pPr>
        <w:rPr>
          <w:rFonts w:asciiTheme="minorHAnsi" w:hAnsiTheme="minorHAnsi"/>
          <w:sz w:val="20"/>
        </w:rPr>
      </w:pPr>
      <w:r w:rsidRPr="00A46F81">
        <w:rPr>
          <w:rStyle w:val="FootnoteReference"/>
          <w:rFonts w:asciiTheme="minorHAnsi" w:hAnsiTheme="minorHAnsi"/>
          <w:sz w:val="18"/>
          <w:vertAlign w:val="baseline"/>
        </w:rPr>
        <w:footnoteRef/>
      </w:r>
      <w:r w:rsidRPr="00A46F81">
        <w:rPr>
          <w:rStyle w:val="FootnoteReference"/>
          <w:rFonts w:asciiTheme="minorHAnsi" w:hAnsiTheme="minorHAnsi"/>
          <w:sz w:val="18"/>
          <w:vertAlign w:val="baseline"/>
        </w:rPr>
        <w:t xml:space="preserve"> Berg AT, Berkovic SF, Brodie MJ, Buchhalter J, Cross JH, van Emde Boas W, et al. Revised terminology and concepts for organization of seizures and epilepsies: report of the ILAE Commission on Classification and Terminology, 2005-2009. Epilepsia. 2010;51(4):676-85.</w:t>
      </w:r>
    </w:p>
  </w:footnote>
  <w:footnote w:id="3">
    <w:p w:rsidR="00247FD4" w:rsidRPr="00A46F81" w:rsidRDefault="00247FD4" w:rsidP="00B54462">
      <w:pPr>
        <w:rPr>
          <w:rFonts w:asciiTheme="minorHAnsi" w:hAnsiTheme="minorHAnsi"/>
        </w:rPr>
      </w:pPr>
      <w:r w:rsidRPr="00A46F81">
        <w:rPr>
          <w:rStyle w:val="FootnoteReference"/>
          <w:rFonts w:asciiTheme="minorHAnsi" w:hAnsiTheme="minorHAnsi"/>
          <w:sz w:val="18"/>
        </w:rPr>
        <w:footnoteRef/>
      </w:r>
      <w:r w:rsidRPr="00A46F81">
        <w:rPr>
          <w:rFonts w:asciiTheme="minorHAnsi" w:hAnsiTheme="minorHAnsi"/>
          <w:sz w:val="18"/>
        </w:rPr>
        <w:t xml:space="preserve"> </w:t>
      </w:r>
      <w:r w:rsidRPr="00A46F81">
        <w:rPr>
          <w:rFonts w:asciiTheme="minorHAnsi" w:hAnsiTheme="minorHAnsi"/>
          <w:snapToGrid/>
          <w:sz w:val="18"/>
          <w:lang w:eastAsia="en-AU"/>
        </w:rPr>
        <w:t>Proposal for revised classification of epilepsies and epileptic syndromes. Commission on Classification and Terminology of the International League Against Epilepsy. Epilepsia. 1989;30(4):389-99.</w:t>
      </w:r>
    </w:p>
  </w:footnote>
  <w:footnote w:id="4">
    <w:p w:rsidR="00247FD4" w:rsidRPr="00A46F81" w:rsidRDefault="00247FD4" w:rsidP="001B0F98">
      <w:pPr>
        <w:pStyle w:val="FootnoteText"/>
        <w:rPr>
          <w:rFonts w:asciiTheme="minorHAnsi" w:hAnsiTheme="minorHAnsi"/>
          <w:szCs w:val="18"/>
        </w:rPr>
      </w:pPr>
      <w:r w:rsidRPr="00A46F81">
        <w:rPr>
          <w:rStyle w:val="FootnoteReference"/>
          <w:rFonts w:asciiTheme="minorHAnsi" w:hAnsiTheme="minorHAnsi"/>
          <w:sz w:val="18"/>
          <w:szCs w:val="18"/>
        </w:rPr>
        <w:footnoteRef/>
      </w:r>
      <w:r w:rsidRPr="00A46F81">
        <w:rPr>
          <w:rFonts w:asciiTheme="minorHAnsi" w:hAnsiTheme="minorHAnsi"/>
          <w:sz w:val="18"/>
          <w:szCs w:val="18"/>
        </w:rPr>
        <w:t xml:space="preserve"> FDA Centre for Drug Evaluation and Research Summary Review: Perampanel, 21 October 2012</w:t>
      </w:r>
    </w:p>
  </w:footnote>
  <w:footnote w:id="5">
    <w:p w:rsidR="00247FD4" w:rsidRDefault="00247FD4" w:rsidP="0044191B">
      <w:pPr>
        <w:widowControl/>
        <w:autoSpaceDE w:val="0"/>
        <w:autoSpaceDN w:val="0"/>
        <w:adjustRightInd w:val="0"/>
        <w:jc w:val="left"/>
      </w:pPr>
      <w:r>
        <w:rPr>
          <w:rStyle w:val="FootnoteReference"/>
        </w:rPr>
        <w:footnoteRef/>
      </w:r>
      <w:r>
        <w:t xml:space="preserve"> </w:t>
      </w:r>
      <w:r w:rsidRPr="0044191B">
        <w:rPr>
          <w:rFonts w:asciiTheme="minorHAnsi" w:hAnsiTheme="minorHAnsi" w:cs="AdvTT5235d5a9"/>
          <w:snapToGrid/>
          <w:color w:val="000000"/>
          <w:sz w:val="20"/>
          <w:lang w:eastAsia="en-AU"/>
        </w:rPr>
        <w:t xml:space="preserve">Laxer, K.D., Trinka, E., Hirsch, L.J., et al </w:t>
      </w:r>
      <w:r>
        <w:rPr>
          <w:rFonts w:asciiTheme="minorHAnsi" w:hAnsiTheme="minorHAnsi" w:cs="AdvTT5235d5a9"/>
          <w:snapToGrid/>
          <w:color w:val="000000"/>
          <w:sz w:val="20"/>
          <w:lang w:eastAsia="en-AU"/>
        </w:rPr>
        <w:t xml:space="preserve">(2014) </w:t>
      </w:r>
      <w:r w:rsidRPr="0044191B">
        <w:rPr>
          <w:rFonts w:asciiTheme="minorHAnsi" w:hAnsiTheme="minorHAnsi" w:cs="AdvTT5235d5a9"/>
          <w:snapToGrid/>
          <w:color w:val="000000"/>
          <w:sz w:val="20"/>
          <w:lang w:eastAsia="en-AU"/>
        </w:rPr>
        <w:t>The consequences of refractory epilepsy and its treatment</w:t>
      </w:r>
      <w:r>
        <w:rPr>
          <w:rFonts w:asciiTheme="minorHAnsi" w:hAnsiTheme="minorHAnsi" w:cs="AdvTT5235d5a9"/>
          <w:snapToGrid/>
          <w:color w:val="000000"/>
          <w:sz w:val="20"/>
          <w:lang w:eastAsia="en-AU"/>
        </w:rPr>
        <w:t xml:space="preserve">. </w:t>
      </w:r>
      <w:r w:rsidRPr="0044191B">
        <w:rPr>
          <w:rFonts w:asciiTheme="minorHAnsi" w:hAnsiTheme="minorHAnsi" w:cs="AdvTT5235d5a9"/>
          <w:i/>
          <w:snapToGrid/>
          <w:color w:val="000000"/>
          <w:sz w:val="20"/>
          <w:lang w:eastAsia="en-AU"/>
        </w:rPr>
        <w:t>Epilepsy and Behaviou</w:t>
      </w:r>
      <w:r>
        <w:rPr>
          <w:rFonts w:asciiTheme="minorHAnsi" w:hAnsiTheme="minorHAnsi" w:cs="AdvTT5235d5a9"/>
          <w:i/>
          <w:snapToGrid/>
          <w:color w:val="000000"/>
          <w:sz w:val="20"/>
          <w:lang w:eastAsia="en-AU"/>
        </w:rPr>
        <w:t xml:space="preserve">r, </w:t>
      </w:r>
      <w:r>
        <w:rPr>
          <w:rFonts w:asciiTheme="minorHAnsi" w:hAnsiTheme="minorHAnsi" w:cs="AdvTT5235d5a9"/>
          <w:snapToGrid/>
          <w:color w:val="000000"/>
          <w:sz w:val="20"/>
          <w:lang w:eastAsia="en-AU"/>
        </w:rPr>
        <w:t>p</w:t>
      </w:r>
      <w:r w:rsidRPr="0044191B">
        <w:rPr>
          <w:rFonts w:asciiTheme="minorHAnsi" w:hAnsiTheme="minorHAnsi" w:cs="AdvTT5235d5a9"/>
          <w:snapToGrid/>
          <w:color w:val="000000"/>
          <w:sz w:val="20"/>
          <w:lang w:eastAsia="en-AU"/>
        </w:rPr>
        <w:t>p 59-70</w:t>
      </w:r>
      <w:r>
        <w:rPr>
          <w:rFonts w:asciiTheme="minorHAnsi" w:hAnsiTheme="minorHAnsi" w:cs="AdvTT5235d5a9"/>
          <w:snapToGrid/>
          <w:color w:val="000000"/>
          <w:sz w:val="20"/>
          <w:lang w:eastAsia="en-AU"/>
        </w:rPr>
        <w:t>.</w:t>
      </w:r>
    </w:p>
    <w:p w:rsidR="00247FD4" w:rsidRDefault="00247FD4" w:rsidP="0044191B">
      <w:pPr>
        <w:pStyle w:val="FootnoteText"/>
      </w:pPr>
    </w:p>
  </w:footnote>
  <w:footnote w:id="6">
    <w:p w:rsidR="00247FD4" w:rsidRDefault="00247FD4" w:rsidP="00236FF1">
      <w:pPr>
        <w:widowControl/>
        <w:autoSpaceDE w:val="0"/>
        <w:autoSpaceDN w:val="0"/>
        <w:adjustRightInd w:val="0"/>
        <w:jc w:val="left"/>
      </w:pPr>
      <w:r>
        <w:rPr>
          <w:rStyle w:val="FootnoteReference"/>
        </w:rPr>
        <w:footnoteRef/>
      </w:r>
      <w:r>
        <w:t xml:space="preserve"> </w:t>
      </w:r>
      <w:r w:rsidRPr="0044191B">
        <w:rPr>
          <w:rFonts w:asciiTheme="minorHAnsi" w:hAnsiTheme="minorHAnsi" w:cs="AdvTT5235d5a9"/>
          <w:snapToGrid/>
          <w:color w:val="000000"/>
          <w:sz w:val="20"/>
          <w:lang w:eastAsia="en-AU"/>
        </w:rPr>
        <w:t xml:space="preserve">Laxer, K.D., Trinka, E., Hirsch, L.J., et al </w:t>
      </w:r>
      <w:r>
        <w:rPr>
          <w:rFonts w:asciiTheme="minorHAnsi" w:hAnsiTheme="minorHAnsi" w:cs="AdvTT5235d5a9"/>
          <w:snapToGrid/>
          <w:color w:val="000000"/>
          <w:sz w:val="20"/>
          <w:lang w:eastAsia="en-AU"/>
        </w:rPr>
        <w:t xml:space="preserve">(2014) </w:t>
      </w:r>
      <w:r w:rsidRPr="0044191B">
        <w:rPr>
          <w:rFonts w:asciiTheme="minorHAnsi" w:hAnsiTheme="minorHAnsi" w:cs="AdvTT5235d5a9"/>
          <w:snapToGrid/>
          <w:color w:val="000000"/>
          <w:sz w:val="20"/>
          <w:lang w:eastAsia="en-AU"/>
        </w:rPr>
        <w:t>The consequences of refractory epilepsy and its treatment</w:t>
      </w:r>
      <w:r>
        <w:rPr>
          <w:rFonts w:asciiTheme="minorHAnsi" w:hAnsiTheme="minorHAnsi" w:cs="AdvTT5235d5a9"/>
          <w:snapToGrid/>
          <w:color w:val="000000"/>
          <w:sz w:val="20"/>
          <w:lang w:eastAsia="en-AU"/>
        </w:rPr>
        <w:t xml:space="preserve">. </w:t>
      </w:r>
      <w:r w:rsidRPr="0044191B">
        <w:rPr>
          <w:rFonts w:asciiTheme="minorHAnsi" w:hAnsiTheme="minorHAnsi" w:cs="AdvTT5235d5a9"/>
          <w:i/>
          <w:snapToGrid/>
          <w:color w:val="000000"/>
          <w:sz w:val="20"/>
          <w:lang w:eastAsia="en-AU"/>
        </w:rPr>
        <w:t>Epilepsy and Behaviou</w:t>
      </w:r>
      <w:r>
        <w:rPr>
          <w:rFonts w:asciiTheme="minorHAnsi" w:hAnsiTheme="minorHAnsi" w:cs="AdvTT5235d5a9"/>
          <w:i/>
          <w:snapToGrid/>
          <w:color w:val="000000"/>
          <w:sz w:val="20"/>
          <w:lang w:eastAsia="en-AU"/>
        </w:rPr>
        <w:t xml:space="preserve">r, </w:t>
      </w:r>
      <w:r>
        <w:rPr>
          <w:rFonts w:asciiTheme="minorHAnsi" w:hAnsiTheme="minorHAnsi" w:cs="AdvTT5235d5a9"/>
          <w:snapToGrid/>
          <w:color w:val="000000"/>
          <w:sz w:val="20"/>
          <w:lang w:eastAsia="en-AU"/>
        </w:rPr>
        <w:t>p</w:t>
      </w:r>
      <w:r w:rsidRPr="0044191B">
        <w:rPr>
          <w:rFonts w:asciiTheme="minorHAnsi" w:hAnsiTheme="minorHAnsi" w:cs="AdvTT5235d5a9"/>
          <w:snapToGrid/>
          <w:color w:val="000000"/>
          <w:sz w:val="20"/>
          <w:lang w:eastAsia="en-AU"/>
        </w:rPr>
        <w:t>p 59-70</w:t>
      </w:r>
      <w:r>
        <w:rPr>
          <w:rFonts w:asciiTheme="minorHAnsi" w:hAnsiTheme="minorHAnsi" w:cs="AdvTT5235d5a9"/>
          <w:snapToGrid/>
          <w:color w:val="000000"/>
          <w:sz w:val="20"/>
          <w:lang w:eastAsia="en-AU"/>
        </w:rPr>
        <w:t>.</w:t>
      </w:r>
    </w:p>
    <w:p w:rsidR="00247FD4" w:rsidRDefault="00247F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D4" w:rsidRDefault="00247F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D4" w:rsidRPr="00824BC8" w:rsidRDefault="00247FD4" w:rsidP="00824BC8">
    <w:pPr>
      <w:widowControl/>
      <w:tabs>
        <w:tab w:val="center" w:pos="4153"/>
        <w:tab w:val="right" w:pos="8306"/>
      </w:tabs>
      <w:spacing w:after="120"/>
      <w:ind w:left="360"/>
      <w:jc w:val="center"/>
      <w:rPr>
        <w:rFonts w:asciiTheme="minorHAnsi" w:hAnsiTheme="minorHAnsi"/>
        <w:i/>
        <w:snapToGrid/>
        <w:color w:val="808080"/>
        <w:sz w:val="24"/>
        <w:szCs w:val="24"/>
      </w:rPr>
    </w:pPr>
    <w:r>
      <w:rPr>
        <w:rFonts w:asciiTheme="minorHAnsi" w:hAnsiTheme="minorHAnsi"/>
        <w:i/>
        <w:snapToGrid/>
        <w:color w:val="808080"/>
        <w:sz w:val="24"/>
        <w:szCs w:val="24"/>
      </w:rPr>
      <w:t xml:space="preserve">Public Summary Document </w:t>
    </w:r>
    <w:r w:rsidRPr="00824BC8">
      <w:rPr>
        <w:rFonts w:asciiTheme="minorHAnsi" w:hAnsiTheme="minorHAnsi"/>
        <w:i/>
        <w:snapToGrid/>
        <w:color w:val="808080"/>
        <w:sz w:val="24"/>
        <w:szCs w:val="24"/>
      </w:rPr>
      <w:t xml:space="preserve">– </w:t>
    </w:r>
    <w:r>
      <w:rPr>
        <w:rFonts w:asciiTheme="minorHAnsi" w:hAnsiTheme="minorHAnsi"/>
        <w:i/>
        <w:snapToGrid/>
        <w:color w:val="808080"/>
        <w:sz w:val="24"/>
        <w:szCs w:val="24"/>
      </w:rPr>
      <w:t>July 2017</w:t>
    </w:r>
    <w:r w:rsidRPr="00824BC8">
      <w:rPr>
        <w:rFonts w:asciiTheme="minorHAnsi" w:hAnsiTheme="minorHAnsi"/>
        <w:i/>
        <w:snapToGrid/>
        <w:color w:val="808080"/>
        <w:sz w:val="24"/>
        <w:szCs w:val="24"/>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D4" w:rsidRDefault="00247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A771D4"/>
    <w:multiLevelType w:val="hybridMultilevel"/>
    <w:tmpl w:val="4722331A"/>
    <w:lvl w:ilvl="0" w:tplc="1BFAC29A">
      <w:start w:val="5"/>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C477F8"/>
    <w:multiLevelType w:val="hybridMultilevel"/>
    <w:tmpl w:val="4B78BBF4"/>
    <w:lvl w:ilvl="0" w:tplc="FC1A08C2">
      <w:start w:val="1"/>
      <w:numFmt w:val="bullet"/>
      <w:lvlText w:val="•"/>
      <w:lvlJc w:val="left"/>
      <w:pPr>
        <w:tabs>
          <w:tab w:val="num" w:pos="720"/>
        </w:tabs>
        <w:ind w:left="720" w:hanging="360"/>
      </w:pPr>
      <w:rPr>
        <w:rFonts w:ascii="Arial" w:hAnsi="Arial" w:hint="default"/>
      </w:rPr>
    </w:lvl>
    <w:lvl w:ilvl="1" w:tplc="55F4DE68" w:tentative="1">
      <w:start w:val="1"/>
      <w:numFmt w:val="bullet"/>
      <w:lvlText w:val="•"/>
      <w:lvlJc w:val="left"/>
      <w:pPr>
        <w:tabs>
          <w:tab w:val="num" w:pos="1440"/>
        </w:tabs>
        <w:ind w:left="1440" w:hanging="360"/>
      </w:pPr>
      <w:rPr>
        <w:rFonts w:ascii="Arial" w:hAnsi="Arial" w:hint="default"/>
      </w:rPr>
    </w:lvl>
    <w:lvl w:ilvl="2" w:tplc="CF964A72" w:tentative="1">
      <w:start w:val="1"/>
      <w:numFmt w:val="bullet"/>
      <w:lvlText w:val="•"/>
      <w:lvlJc w:val="left"/>
      <w:pPr>
        <w:tabs>
          <w:tab w:val="num" w:pos="2160"/>
        </w:tabs>
        <w:ind w:left="2160" w:hanging="360"/>
      </w:pPr>
      <w:rPr>
        <w:rFonts w:ascii="Arial" w:hAnsi="Arial" w:hint="default"/>
      </w:rPr>
    </w:lvl>
    <w:lvl w:ilvl="3" w:tplc="50EE0A7A" w:tentative="1">
      <w:start w:val="1"/>
      <w:numFmt w:val="bullet"/>
      <w:lvlText w:val="•"/>
      <w:lvlJc w:val="left"/>
      <w:pPr>
        <w:tabs>
          <w:tab w:val="num" w:pos="2880"/>
        </w:tabs>
        <w:ind w:left="2880" w:hanging="360"/>
      </w:pPr>
      <w:rPr>
        <w:rFonts w:ascii="Arial" w:hAnsi="Arial" w:hint="default"/>
      </w:rPr>
    </w:lvl>
    <w:lvl w:ilvl="4" w:tplc="6AB0569E" w:tentative="1">
      <w:start w:val="1"/>
      <w:numFmt w:val="bullet"/>
      <w:lvlText w:val="•"/>
      <w:lvlJc w:val="left"/>
      <w:pPr>
        <w:tabs>
          <w:tab w:val="num" w:pos="3600"/>
        </w:tabs>
        <w:ind w:left="3600" w:hanging="360"/>
      </w:pPr>
      <w:rPr>
        <w:rFonts w:ascii="Arial" w:hAnsi="Arial" w:hint="default"/>
      </w:rPr>
    </w:lvl>
    <w:lvl w:ilvl="5" w:tplc="4948E4CC" w:tentative="1">
      <w:start w:val="1"/>
      <w:numFmt w:val="bullet"/>
      <w:lvlText w:val="•"/>
      <w:lvlJc w:val="left"/>
      <w:pPr>
        <w:tabs>
          <w:tab w:val="num" w:pos="4320"/>
        </w:tabs>
        <w:ind w:left="4320" w:hanging="360"/>
      </w:pPr>
      <w:rPr>
        <w:rFonts w:ascii="Arial" w:hAnsi="Arial" w:hint="default"/>
      </w:rPr>
    </w:lvl>
    <w:lvl w:ilvl="6" w:tplc="EE54949C" w:tentative="1">
      <w:start w:val="1"/>
      <w:numFmt w:val="bullet"/>
      <w:lvlText w:val="•"/>
      <w:lvlJc w:val="left"/>
      <w:pPr>
        <w:tabs>
          <w:tab w:val="num" w:pos="5040"/>
        </w:tabs>
        <w:ind w:left="5040" w:hanging="360"/>
      </w:pPr>
      <w:rPr>
        <w:rFonts w:ascii="Arial" w:hAnsi="Arial" w:hint="default"/>
      </w:rPr>
    </w:lvl>
    <w:lvl w:ilvl="7" w:tplc="A4280D06" w:tentative="1">
      <w:start w:val="1"/>
      <w:numFmt w:val="bullet"/>
      <w:lvlText w:val="•"/>
      <w:lvlJc w:val="left"/>
      <w:pPr>
        <w:tabs>
          <w:tab w:val="num" w:pos="5760"/>
        </w:tabs>
        <w:ind w:left="5760" w:hanging="360"/>
      </w:pPr>
      <w:rPr>
        <w:rFonts w:ascii="Arial" w:hAnsi="Arial" w:hint="default"/>
      </w:rPr>
    </w:lvl>
    <w:lvl w:ilvl="8" w:tplc="FF7E3B64" w:tentative="1">
      <w:start w:val="1"/>
      <w:numFmt w:val="bullet"/>
      <w:lvlText w:val="•"/>
      <w:lvlJc w:val="left"/>
      <w:pPr>
        <w:tabs>
          <w:tab w:val="num" w:pos="6480"/>
        </w:tabs>
        <w:ind w:left="6480" w:hanging="360"/>
      </w:pPr>
      <w:rPr>
        <w:rFonts w:ascii="Arial" w:hAnsi="Arial" w:hint="default"/>
      </w:rPr>
    </w:lvl>
  </w:abstractNum>
  <w:abstractNum w:abstractNumId="5">
    <w:nsid w:val="14150DEA"/>
    <w:multiLevelType w:val="hybridMultilevel"/>
    <w:tmpl w:val="1A2211C4"/>
    <w:lvl w:ilvl="0" w:tplc="421467F0">
      <w:start w:val="1"/>
      <w:numFmt w:val="decimal"/>
      <w:lvlText w:val="(%1)"/>
      <w:lvlJc w:val="left"/>
      <w:pPr>
        <w:ind w:left="1080" w:hanging="360"/>
      </w:pPr>
      <w:rPr>
        <w:rFonts w:hint="default"/>
      </w:rPr>
    </w:lvl>
    <w:lvl w:ilvl="1" w:tplc="22628C28">
      <w:start w:val="2"/>
      <w:numFmt w:val="bullet"/>
      <w:lvlText w:val="•"/>
      <w:lvlJc w:val="left"/>
      <w:pPr>
        <w:ind w:left="2160" w:hanging="720"/>
      </w:pPr>
      <w:rPr>
        <w:rFonts w:ascii="Calibri" w:eastAsiaTheme="minorHAnsi" w:hAnsi="Calibri"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17F2615C"/>
    <w:multiLevelType w:val="hybridMultilevel"/>
    <w:tmpl w:val="8132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0C6D58"/>
    <w:multiLevelType w:val="hybridMultilevel"/>
    <w:tmpl w:val="1C52BC36"/>
    <w:lvl w:ilvl="0" w:tplc="ECD07512">
      <w:start w:val="1"/>
      <w:numFmt w:val="bullet"/>
      <w:lvlText w:val="•"/>
      <w:lvlJc w:val="left"/>
      <w:pPr>
        <w:tabs>
          <w:tab w:val="num" w:pos="720"/>
        </w:tabs>
        <w:ind w:left="720" w:hanging="360"/>
      </w:pPr>
      <w:rPr>
        <w:rFonts w:ascii="Arial" w:hAnsi="Arial" w:hint="default"/>
      </w:rPr>
    </w:lvl>
    <w:lvl w:ilvl="1" w:tplc="968CF554" w:tentative="1">
      <w:start w:val="1"/>
      <w:numFmt w:val="bullet"/>
      <w:lvlText w:val="•"/>
      <w:lvlJc w:val="left"/>
      <w:pPr>
        <w:tabs>
          <w:tab w:val="num" w:pos="1440"/>
        </w:tabs>
        <w:ind w:left="1440" w:hanging="360"/>
      </w:pPr>
      <w:rPr>
        <w:rFonts w:ascii="Arial" w:hAnsi="Arial" w:hint="default"/>
      </w:rPr>
    </w:lvl>
    <w:lvl w:ilvl="2" w:tplc="2E3032AE" w:tentative="1">
      <w:start w:val="1"/>
      <w:numFmt w:val="bullet"/>
      <w:lvlText w:val="•"/>
      <w:lvlJc w:val="left"/>
      <w:pPr>
        <w:tabs>
          <w:tab w:val="num" w:pos="2160"/>
        </w:tabs>
        <w:ind w:left="2160" w:hanging="360"/>
      </w:pPr>
      <w:rPr>
        <w:rFonts w:ascii="Arial" w:hAnsi="Arial" w:hint="default"/>
      </w:rPr>
    </w:lvl>
    <w:lvl w:ilvl="3" w:tplc="C86A3F94" w:tentative="1">
      <w:start w:val="1"/>
      <w:numFmt w:val="bullet"/>
      <w:lvlText w:val="•"/>
      <w:lvlJc w:val="left"/>
      <w:pPr>
        <w:tabs>
          <w:tab w:val="num" w:pos="2880"/>
        </w:tabs>
        <w:ind w:left="2880" w:hanging="360"/>
      </w:pPr>
      <w:rPr>
        <w:rFonts w:ascii="Arial" w:hAnsi="Arial" w:hint="default"/>
      </w:rPr>
    </w:lvl>
    <w:lvl w:ilvl="4" w:tplc="7604F49C" w:tentative="1">
      <w:start w:val="1"/>
      <w:numFmt w:val="bullet"/>
      <w:lvlText w:val="•"/>
      <w:lvlJc w:val="left"/>
      <w:pPr>
        <w:tabs>
          <w:tab w:val="num" w:pos="3600"/>
        </w:tabs>
        <w:ind w:left="3600" w:hanging="360"/>
      </w:pPr>
      <w:rPr>
        <w:rFonts w:ascii="Arial" w:hAnsi="Arial" w:hint="default"/>
      </w:rPr>
    </w:lvl>
    <w:lvl w:ilvl="5" w:tplc="AE6E3B32" w:tentative="1">
      <w:start w:val="1"/>
      <w:numFmt w:val="bullet"/>
      <w:lvlText w:val="•"/>
      <w:lvlJc w:val="left"/>
      <w:pPr>
        <w:tabs>
          <w:tab w:val="num" w:pos="4320"/>
        </w:tabs>
        <w:ind w:left="4320" w:hanging="360"/>
      </w:pPr>
      <w:rPr>
        <w:rFonts w:ascii="Arial" w:hAnsi="Arial" w:hint="default"/>
      </w:rPr>
    </w:lvl>
    <w:lvl w:ilvl="6" w:tplc="5B80AF90" w:tentative="1">
      <w:start w:val="1"/>
      <w:numFmt w:val="bullet"/>
      <w:lvlText w:val="•"/>
      <w:lvlJc w:val="left"/>
      <w:pPr>
        <w:tabs>
          <w:tab w:val="num" w:pos="5040"/>
        </w:tabs>
        <w:ind w:left="5040" w:hanging="360"/>
      </w:pPr>
      <w:rPr>
        <w:rFonts w:ascii="Arial" w:hAnsi="Arial" w:hint="default"/>
      </w:rPr>
    </w:lvl>
    <w:lvl w:ilvl="7" w:tplc="A4586D62" w:tentative="1">
      <w:start w:val="1"/>
      <w:numFmt w:val="bullet"/>
      <w:lvlText w:val="•"/>
      <w:lvlJc w:val="left"/>
      <w:pPr>
        <w:tabs>
          <w:tab w:val="num" w:pos="5760"/>
        </w:tabs>
        <w:ind w:left="5760" w:hanging="360"/>
      </w:pPr>
      <w:rPr>
        <w:rFonts w:ascii="Arial" w:hAnsi="Arial" w:hint="default"/>
      </w:rPr>
    </w:lvl>
    <w:lvl w:ilvl="8" w:tplc="BE8CBC1C" w:tentative="1">
      <w:start w:val="1"/>
      <w:numFmt w:val="bullet"/>
      <w:lvlText w:val="•"/>
      <w:lvlJc w:val="left"/>
      <w:pPr>
        <w:tabs>
          <w:tab w:val="num" w:pos="6480"/>
        </w:tabs>
        <w:ind w:left="6480" w:hanging="360"/>
      </w:pPr>
      <w:rPr>
        <w:rFonts w:ascii="Arial" w:hAnsi="Arial" w:hint="default"/>
      </w:rPr>
    </w:lvl>
  </w:abstractNum>
  <w:abstractNum w:abstractNumId="8">
    <w:nsid w:val="1F633FEC"/>
    <w:multiLevelType w:val="hybridMultilevel"/>
    <w:tmpl w:val="050AA64A"/>
    <w:lvl w:ilvl="0" w:tplc="08F2AC5C">
      <w:start w:val="1"/>
      <w:numFmt w:val="bullet"/>
      <w:lvlText w:val="•"/>
      <w:lvlJc w:val="left"/>
      <w:pPr>
        <w:tabs>
          <w:tab w:val="num" w:pos="720"/>
        </w:tabs>
        <w:ind w:left="720" w:hanging="360"/>
      </w:pPr>
      <w:rPr>
        <w:rFonts w:ascii="Arial" w:hAnsi="Arial" w:hint="default"/>
      </w:rPr>
    </w:lvl>
    <w:lvl w:ilvl="1" w:tplc="C046BFD8" w:tentative="1">
      <w:start w:val="1"/>
      <w:numFmt w:val="bullet"/>
      <w:lvlText w:val="•"/>
      <w:lvlJc w:val="left"/>
      <w:pPr>
        <w:tabs>
          <w:tab w:val="num" w:pos="1440"/>
        </w:tabs>
        <w:ind w:left="1440" w:hanging="360"/>
      </w:pPr>
      <w:rPr>
        <w:rFonts w:ascii="Arial" w:hAnsi="Arial" w:hint="default"/>
      </w:rPr>
    </w:lvl>
    <w:lvl w:ilvl="2" w:tplc="58681D0A" w:tentative="1">
      <w:start w:val="1"/>
      <w:numFmt w:val="bullet"/>
      <w:lvlText w:val="•"/>
      <w:lvlJc w:val="left"/>
      <w:pPr>
        <w:tabs>
          <w:tab w:val="num" w:pos="2160"/>
        </w:tabs>
        <w:ind w:left="2160" w:hanging="360"/>
      </w:pPr>
      <w:rPr>
        <w:rFonts w:ascii="Arial" w:hAnsi="Arial" w:hint="default"/>
      </w:rPr>
    </w:lvl>
    <w:lvl w:ilvl="3" w:tplc="79D20160" w:tentative="1">
      <w:start w:val="1"/>
      <w:numFmt w:val="bullet"/>
      <w:lvlText w:val="•"/>
      <w:lvlJc w:val="left"/>
      <w:pPr>
        <w:tabs>
          <w:tab w:val="num" w:pos="2880"/>
        </w:tabs>
        <w:ind w:left="2880" w:hanging="360"/>
      </w:pPr>
      <w:rPr>
        <w:rFonts w:ascii="Arial" w:hAnsi="Arial" w:hint="default"/>
      </w:rPr>
    </w:lvl>
    <w:lvl w:ilvl="4" w:tplc="1646F78A" w:tentative="1">
      <w:start w:val="1"/>
      <w:numFmt w:val="bullet"/>
      <w:lvlText w:val="•"/>
      <w:lvlJc w:val="left"/>
      <w:pPr>
        <w:tabs>
          <w:tab w:val="num" w:pos="3600"/>
        </w:tabs>
        <w:ind w:left="3600" w:hanging="360"/>
      </w:pPr>
      <w:rPr>
        <w:rFonts w:ascii="Arial" w:hAnsi="Arial" w:hint="default"/>
      </w:rPr>
    </w:lvl>
    <w:lvl w:ilvl="5" w:tplc="F752B06E" w:tentative="1">
      <w:start w:val="1"/>
      <w:numFmt w:val="bullet"/>
      <w:lvlText w:val="•"/>
      <w:lvlJc w:val="left"/>
      <w:pPr>
        <w:tabs>
          <w:tab w:val="num" w:pos="4320"/>
        </w:tabs>
        <w:ind w:left="4320" w:hanging="360"/>
      </w:pPr>
      <w:rPr>
        <w:rFonts w:ascii="Arial" w:hAnsi="Arial" w:hint="default"/>
      </w:rPr>
    </w:lvl>
    <w:lvl w:ilvl="6" w:tplc="E0221758" w:tentative="1">
      <w:start w:val="1"/>
      <w:numFmt w:val="bullet"/>
      <w:lvlText w:val="•"/>
      <w:lvlJc w:val="left"/>
      <w:pPr>
        <w:tabs>
          <w:tab w:val="num" w:pos="5040"/>
        </w:tabs>
        <w:ind w:left="5040" w:hanging="360"/>
      </w:pPr>
      <w:rPr>
        <w:rFonts w:ascii="Arial" w:hAnsi="Arial" w:hint="default"/>
      </w:rPr>
    </w:lvl>
    <w:lvl w:ilvl="7" w:tplc="E528D5DA" w:tentative="1">
      <w:start w:val="1"/>
      <w:numFmt w:val="bullet"/>
      <w:lvlText w:val="•"/>
      <w:lvlJc w:val="left"/>
      <w:pPr>
        <w:tabs>
          <w:tab w:val="num" w:pos="5760"/>
        </w:tabs>
        <w:ind w:left="5760" w:hanging="360"/>
      </w:pPr>
      <w:rPr>
        <w:rFonts w:ascii="Arial" w:hAnsi="Arial" w:hint="default"/>
      </w:rPr>
    </w:lvl>
    <w:lvl w:ilvl="8" w:tplc="C5F01120" w:tentative="1">
      <w:start w:val="1"/>
      <w:numFmt w:val="bullet"/>
      <w:lvlText w:val="•"/>
      <w:lvlJc w:val="left"/>
      <w:pPr>
        <w:tabs>
          <w:tab w:val="num" w:pos="6480"/>
        </w:tabs>
        <w:ind w:left="6480" w:hanging="360"/>
      </w:pPr>
      <w:rPr>
        <w:rFonts w:ascii="Arial" w:hAnsi="Arial" w:hint="default"/>
      </w:rPr>
    </w:lvl>
  </w:abstractNum>
  <w:abstractNum w:abstractNumId="9">
    <w:nsid w:val="22373E45"/>
    <w:multiLevelType w:val="hybridMultilevel"/>
    <w:tmpl w:val="5DBC91E4"/>
    <w:lvl w:ilvl="0" w:tplc="47FE3F56">
      <w:start w:val="1"/>
      <w:numFmt w:val="bullet"/>
      <w:lvlText w:val="•"/>
      <w:lvlJc w:val="left"/>
      <w:pPr>
        <w:tabs>
          <w:tab w:val="num" w:pos="720"/>
        </w:tabs>
        <w:ind w:left="720" w:hanging="360"/>
      </w:pPr>
      <w:rPr>
        <w:rFonts w:ascii="Arial" w:hAnsi="Arial" w:hint="default"/>
      </w:rPr>
    </w:lvl>
    <w:lvl w:ilvl="1" w:tplc="347A97B6" w:tentative="1">
      <w:start w:val="1"/>
      <w:numFmt w:val="bullet"/>
      <w:lvlText w:val="•"/>
      <w:lvlJc w:val="left"/>
      <w:pPr>
        <w:tabs>
          <w:tab w:val="num" w:pos="1440"/>
        </w:tabs>
        <w:ind w:left="1440" w:hanging="360"/>
      </w:pPr>
      <w:rPr>
        <w:rFonts w:ascii="Arial" w:hAnsi="Arial" w:hint="default"/>
      </w:rPr>
    </w:lvl>
    <w:lvl w:ilvl="2" w:tplc="882432FE" w:tentative="1">
      <w:start w:val="1"/>
      <w:numFmt w:val="bullet"/>
      <w:lvlText w:val="•"/>
      <w:lvlJc w:val="left"/>
      <w:pPr>
        <w:tabs>
          <w:tab w:val="num" w:pos="2160"/>
        </w:tabs>
        <w:ind w:left="2160" w:hanging="360"/>
      </w:pPr>
      <w:rPr>
        <w:rFonts w:ascii="Arial" w:hAnsi="Arial" w:hint="default"/>
      </w:rPr>
    </w:lvl>
    <w:lvl w:ilvl="3" w:tplc="9EC0C9A8" w:tentative="1">
      <w:start w:val="1"/>
      <w:numFmt w:val="bullet"/>
      <w:lvlText w:val="•"/>
      <w:lvlJc w:val="left"/>
      <w:pPr>
        <w:tabs>
          <w:tab w:val="num" w:pos="2880"/>
        </w:tabs>
        <w:ind w:left="2880" w:hanging="360"/>
      </w:pPr>
      <w:rPr>
        <w:rFonts w:ascii="Arial" w:hAnsi="Arial" w:hint="default"/>
      </w:rPr>
    </w:lvl>
    <w:lvl w:ilvl="4" w:tplc="EFDEDE52" w:tentative="1">
      <w:start w:val="1"/>
      <w:numFmt w:val="bullet"/>
      <w:lvlText w:val="•"/>
      <w:lvlJc w:val="left"/>
      <w:pPr>
        <w:tabs>
          <w:tab w:val="num" w:pos="3600"/>
        </w:tabs>
        <w:ind w:left="3600" w:hanging="360"/>
      </w:pPr>
      <w:rPr>
        <w:rFonts w:ascii="Arial" w:hAnsi="Arial" w:hint="default"/>
      </w:rPr>
    </w:lvl>
    <w:lvl w:ilvl="5" w:tplc="A5D8FDB6" w:tentative="1">
      <w:start w:val="1"/>
      <w:numFmt w:val="bullet"/>
      <w:lvlText w:val="•"/>
      <w:lvlJc w:val="left"/>
      <w:pPr>
        <w:tabs>
          <w:tab w:val="num" w:pos="4320"/>
        </w:tabs>
        <w:ind w:left="4320" w:hanging="360"/>
      </w:pPr>
      <w:rPr>
        <w:rFonts w:ascii="Arial" w:hAnsi="Arial" w:hint="default"/>
      </w:rPr>
    </w:lvl>
    <w:lvl w:ilvl="6" w:tplc="B678BD52" w:tentative="1">
      <w:start w:val="1"/>
      <w:numFmt w:val="bullet"/>
      <w:lvlText w:val="•"/>
      <w:lvlJc w:val="left"/>
      <w:pPr>
        <w:tabs>
          <w:tab w:val="num" w:pos="5040"/>
        </w:tabs>
        <w:ind w:left="5040" w:hanging="360"/>
      </w:pPr>
      <w:rPr>
        <w:rFonts w:ascii="Arial" w:hAnsi="Arial" w:hint="default"/>
      </w:rPr>
    </w:lvl>
    <w:lvl w:ilvl="7" w:tplc="95DC8830" w:tentative="1">
      <w:start w:val="1"/>
      <w:numFmt w:val="bullet"/>
      <w:lvlText w:val="•"/>
      <w:lvlJc w:val="left"/>
      <w:pPr>
        <w:tabs>
          <w:tab w:val="num" w:pos="5760"/>
        </w:tabs>
        <w:ind w:left="5760" w:hanging="360"/>
      </w:pPr>
      <w:rPr>
        <w:rFonts w:ascii="Arial" w:hAnsi="Arial" w:hint="default"/>
      </w:rPr>
    </w:lvl>
    <w:lvl w:ilvl="8" w:tplc="44165380" w:tentative="1">
      <w:start w:val="1"/>
      <w:numFmt w:val="bullet"/>
      <w:lvlText w:val="•"/>
      <w:lvlJc w:val="left"/>
      <w:pPr>
        <w:tabs>
          <w:tab w:val="num" w:pos="6480"/>
        </w:tabs>
        <w:ind w:left="6480" w:hanging="360"/>
      </w:pPr>
      <w:rPr>
        <w:rFonts w:ascii="Arial" w:hAnsi="Arial"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E6825"/>
    <w:multiLevelType w:val="multilevel"/>
    <w:tmpl w:val="CD4684C6"/>
    <w:lvl w:ilvl="0">
      <w:start w:val="1"/>
      <w:numFmt w:val="decimal"/>
      <w:lvlText w:val="%1"/>
      <w:lvlJc w:val="left"/>
      <w:pPr>
        <w:ind w:left="432" w:hanging="432"/>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46162"/>
    <w:multiLevelType w:val="hybridMultilevel"/>
    <w:tmpl w:val="4C967E4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2C5C1E"/>
    <w:multiLevelType w:val="hybridMultilevel"/>
    <w:tmpl w:val="8F4C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340B3D33"/>
    <w:multiLevelType w:val="hybridMultilevel"/>
    <w:tmpl w:val="0506FFD8"/>
    <w:lvl w:ilvl="0" w:tplc="8910BC2E">
      <w:start w:val="1"/>
      <w:numFmt w:val="bullet"/>
      <w:lvlText w:val="•"/>
      <w:lvlJc w:val="left"/>
      <w:pPr>
        <w:tabs>
          <w:tab w:val="num" w:pos="720"/>
        </w:tabs>
        <w:ind w:left="720" w:hanging="360"/>
      </w:pPr>
      <w:rPr>
        <w:rFonts w:ascii="Arial" w:hAnsi="Arial" w:hint="default"/>
      </w:rPr>
    </w:lvl>
    <w:lvl w:ilvl="1" w:tplc="C9F6696A" w:tentative="1">
      <w:start w:val="1"/>
      <w:numFmt w:val="bullet"/>
      <w:lvlText w:val="•"/>
      <w:lvlJc w:val="left"/>
      <w:pPr>
        <w:tabs>
          <w:tab w:val="num" w:pos="1440"/>
        </w:tabs>
        <w:ind w:left="1440" w:hanging="360"/>
      </w:pPr>
      <w:rPr>
        <w:rFonts w:ascii="Arial" w:hAnsi="Arial" w:hint="default"/>
      </w:rPr>
    </w:lvl>
    <w:lvl w:ilvl="2" w:tplc="68981A5A" w:tentative="1">
      <w:start w:val="1"/>
      <w:numFmt w:val="bullet"/>
      <w:lvlText w:val="•"/>
      <w:lvlJc w:val="left"/>
      <w:pPr>
        <w:tabs>
          <w:tab w:val="num" w:pos="2160"/>
        </w:tabs>
        <w:ind w:left="2160" w:hanging="360"/>
      </w:pPr>
      <w:rPr>
        <w:rFonts w:ascii="Arial" w:hAnsi="Arial" w:hint="default"/>
      </w:rPr>
    </w:lvl>
    <w:lvl w:ilvl="3" w:tplc="4364AB4E" w:tentative="1">
      <w:start w:val="1"/>
      <w:numFmt w:val="bullet"/>
      <w:lvlText w:val="•"/>
      <w:lvlJc w:val="left"/>
      <w:pPr>
        <w:tabs>
          <w:tab w:val="num" w:pos="2880"/>
        </w:tabs>
        <w:ind w:left="2880" w:hanging="360"/>
      </w:pPr>
      <w:rPr>
        <w:rFonts w:ascii="Arial" w:hAnsi="Arial" w:hint="default"/>
      </w:rPr>
    </w:lvl>
    <w:lvl w:ilvl="4" w:tplc="3D4CE480" w:tentative="1">
      <w:start w:val="1"/>
      <w:numFmt w:val="bullet"/>
      <w:lvlText w:val="•"/>
      <w:lvlJc w:val="left"/>
      <w:pPr>
        <w:tabs>
          <w:tab w:val="num" w:pos="3600"/>
        </w:tabs>
        <w:ind w:left="3600" w:hanging="360"/>
      </w:pPr>
      <w:rPr>
        <w:rFonts w:ascii="Arial" w:hAnsi="Arial" w:hint="default"/>
      </w:rPr>
    </w:lvl>
    <w:lvl w:ilvl="5" w:tplc="B432970E" w:tentative="1">
      <w:start w:val="1"/>
      <w:numFmt w:val="bullet"/>
      <w:lvlText w:val="•"/>
      <w:lvlJc w:val="left"/>
      <w:pPr>
        <w:tabs>
          <w:tab w:val="num" w:pos="4320"/>
        </w:tabs>
        <w:ind w:left="4320" w:hanging="360"/>
      </w:pPr>
      <w:rPr>
        <w:rFonts w:ascii="Arial" w:hAnsi="Arial" w:hint="default"/>
      </w:rPr>
    </w:lvl>
    <w:lvl w:ilvl="6" w:tplc="6E706026" w:tentative="1">
      <w:start w:val="1"/>
      <w:numFmt w:val="bullet"/>
      <w:lvlText w:val="•"/>
      <w:lvlJc w:val="left"/>
      <w:pPr>
        <w:tabs>
          <w:tab w:val="num" w:pos="5040"/>
        </w:tabs>
        <w:ind w:left="5040" w:hanging="360"/>
      </w:pPr>
      <w:rPr>
        <w:rFonts w:ascii="Arial" w:hAnsi="Arial" w:hint="default"/>
      </w:rPr>
    </w:lvl>
    <w:lvl w:ilvl="7" w:tplc="16BED08A" w:tentative="1">
      <w:start w:val="1"/>
      <w:numFmt w:val="bullet"/>
      <w:lvlText w:val="•"/>
      <w:lvlJc w:val="left"/>
      <w:pPr>
        <w:tabs>
          <w:tab w:val="num" w:pos="5760"/>
        </w:tabs>
        <w:ind w:left="5760" w:hanging="360"/>
      </w:pPr>
      <w:rPr>
        <w:rFonts w:ascii="Arial" w:hAnsi="Arial" w:hint="default"/>
      </w:rPr>
    </w:lvl>
    <w:lvl w:ilvl="8" w:tplc="F486781C" w:tentative="1">
      <w:start w:val="1"/>
      <w:numFmt w:val="bullet"/>
      <w:lvlText w:val="•"/>
      <w:lvlJc w:val="left"/>
      <w:pPr>
        <w:tabs>
          <w:tab w:val="num" w:pos="6480"/>
        </w:tabs>
        <w:ind w:left="6480" w:hanging="360"/>
      </w:pPr>
      <w:rPr>
        <w:rFonts w:ascii="Arial" w:hAnsi="Arial" w:hint="default"/>
      </w:rPr>
    </w:lvl>
  </w:abstractNum>
  <w:abstractNum w:abstractNumId="16">
    <w:nsid w:val="349A3209"/>
    <w:multiLevelType w:val="hybridMultilevel"/>
    <w:tmpl w:val="89DE9F02"/>
    <w:lvl w:ilvl="0" w:tplc="FB909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0942EA9"/>
    <w:multiLevelType w:val="hybridMultilevel"/>
    <w:tmpl w:val="831A07C2"/>
    <w:lvl w:ilvl="0" w:tplc="E15E98D6">
      <w:start w:val="1"/>
      <w:numFmt w:val="bullet"/>
      <w:lvlText w:val="•"/>
      <w:lvlJc w:val="left"/>
      <w:pPr>
        <w:tabs>
          <w:tab w:val="num" w:pos="720"/>
        </w:tabs>
        <w:ind w:left="720" w:hanging="360"/>
      </w:pPr>
      <w:rPr>
        <w:rFonts w:ascii="Arial" w:hAnsi="Arial" w:hint="default"/>
      </w:rPr>
    </w:lvl>
    <w:lvl w:ilvl="1" w:tplc="AFDE6AF2" w:tentative="1">
      <w:start w:val="1"/>
      <w:numFmt w:val="bullet"/>
      <w:lvlText w:val="•"/>
      <w:lvlJc w:val="left"/>
      <w:pPr>
        <w:tabs>
          <w:tab w:val="num" w:pos="1440"/>
        </w:tabs>
        <w:ind w:left="1440" w:hanging="360"/>
      </w:pPr>
      <w:rPr>
        <w:rFonts w:ascii="Arial" w:hAnsi="Arial" w:hint="default"/>
      </w:rPr>
    </w:lvl>
    <w:lvl w:ilvl="2" w:tplc="4E56CE4C" w:tentative="1">
      <w:start w:val="1"/>
      <w:numFmt w:val="bullet"/>
      <w:lvlText w:val="•"/>
      <w:lvlJc w:val="left"/>
      <w:pPr>
        <w:tabs>
          <w:tab w:val="num" w:pos="2160"/>
        </w:tabs>
        <w:ind w:left="2160" w:hanging="360"/>
      </w:pPr>
      <w:rPr>
        <w:rFonts w:ascii="Arial" w:hAnsi="Arial" w:hint="default"/>
      </w:rPr>
    </w:lvl>
    <w:lvl w:ilvl="3" w:tplc="EF5E9B74" w:tentative="1">
      <w:start w:val="1"/>
      <w:numFmt w:val="bullet"/>
      <w:lvlText w:val="•"/>
      <w:lvlJc w:val="left"/>
      <w:pPr>
        <w:tabs>
          <w:tab w:val="num" w:pos="2880"/>
        </w:tabs>
        <w:ind w:left="2880" w:hanging="360"/>
      </w:pPr>
      <w:rPr>
        <w:rFonts w:ascii="Arial" w:hAnsi="Arial" w:hint="default"/>
      </w:rPr>
    </w:lvl>
    <w:lvl w:ilvl="4" w:tplc="2506C4DA" w:tentative="1">
      <w:start w:val="1"/>
      <w:numFmt w:val="bullet"/>
      <w:lvlText w:val="•"/>
      <w:lvlJc w:val="left"/>
      <w:pPr>
        <w:tabs>
          <w:tab w:val="num" w:pos="3600"/>
        </w:tabs>
        <w:ind w:left="3600" w:hanging="360"/>
      </w:pPr>
      <w:rPr>
        <w:rFonts w:ascii="Arial" w:hAnsi="Arial" w:hint="default"/>
      </w:rPr>
    </w:lvl>
    <w:lvl w:ilvl="5" w:tplc="97144EC8" w:tentative="1">
      <w:start w:val="1"/>
      <w:numFmt w:val="bullet"/>
      <w:lvlText w:val="•"/>
      <w:lvlJc w:val="left"/>
      <w:pPr>
        <w:tabs>
          <w:tab w:val="num" w:pos="4320"/>
        </w:tabs>
        <w:ind w:left="4320" w:hanging="360"/>
      </w:pPr>
      <w:rPr>
        <w:rFonts w:ascii="Arial" w:hAnsi="Arial" w:hint="default"/>
      </w:rPr>
    </w:lvl>
    <w:lvl w:ilvl="6" w:tplc="E2B26804" w:tentative="1">
      <w:start w:val="1"/>
      <w:numFmt w:val="bullet"/>
      <w:lvlText w:val="•"/>
      <w:lvlJc w:val="left"/>
      <w:pPr>
        <w:tabs>
          <w:tab w:val="num" w:pos="5040"/>
        </w:tabs>
        <w:ind w:left="5040" w:hanging="360"/>
      </w:pPr>
      <w:rPr>
        <w:rFonts w:ascii="Arial" w:hAnsi="Arial" w:hint="default"/>
      </w:rPr>
    </w:lvl>
    <w:lvl w:ilvl="7" w:tplc="D76A9A38" w:tentative="1">
      <w:start w:val="1"/>
      <w:numFmt w:val="bullet"/>
      <w:lvlText w:val="•"/>
      <w:lvlJc w:val="left"/>
      <w:pPr>
        <w:tabs>
          <w:tab w:val="num" w:pos="5760"/>
        </w:tabs>
        <w:ind w:left="5760" w:hanging="360"/>
      </w:pPr>
      <w:rPr>
        <w:rFonts w:ascii="Arial" w:hAnsi="Arial" w:hint="default"/>
      </w:rPr>
    </w:lvl>
    <w:lvl w:ilvl="8" w:tplc="C76C1EB2" w:tentative="1">
      <w:start w:val="1"/>
      <w:numFmt w:val="bullet"/>
      <w:lvlText w:val="•"/>
      <w:lvlJc w:val="left"/>
      <w:pPr>
        <w:tabs>
          <w:tab w:val="num" w:pos="6480"/>
        </w:tabs>
        <w:ind w:left="6480" w:hanging="360"/>
      </w:pPr>
      <w:rPr>
        <w:rFonts w:ascii="Arial" w:hAnsi="Arial" w:hint="default"/>
      </w:rPr>
    </w:lvl>
  </w:abstractNum>
  <w:abstractNum w:abstractNumId="18">
    <w:nsid w:val="4A4744BD"/>
    <w:multiLevelType w:val="hybridMultilevel"/>
    <w:tmpl w:val="C832D18A"/>
    <w:lvl w:ilvl="0" w:tplc="0C090001">
      <w:start w:val="1"/>
      <w:numFmt w:val="bullet"/>
      <w:lvlText w:val=""/>
      <w:lvlJc w:val="left"/>
      <w:pPr>
        <w:ind w:left="1080" w:hanging="360"/>
      </w:pPr>
      <w:rPr>
        <w:rFonts w:ascii="Symbol" w:hAnsi="Symbol" w:hint="default"/>
      </w:rPr>
    </w:lvl>
    <w:lvl w:ilvl="1" w:tplc="22628C28">
      <w:start w:val="2"/>
      <w:numFmt w:val="bullet"/>
      <w:lvlText w:val="•"/>
      <w:lvlJc w:val="left"/>
      <w:pPr>
        <w:ind w:left="2160" w:hanging="720"/>
      </w:pPr>
      <w:rPr>
        <w:rFonts w:ascii="Calibri" w:eastAsiaTheme="minorHAnsi" w:hAnsi="Calibri"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6745A32"/>
    <w:multiLevelType w:val="hybridMultilevel"/>
    <w:tmpl w:val="091CBB5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0696068"/>
    <w:multiLevelType w:val="hybridMultilevel"/>
    <w:tmpl w:val="6980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0A85F31"/>
    <w:multiLevelType w:val="hybridMultilevel"/>
    <w:tmpl w:val="30A46754"/>
    <w:lvl w:ilvl="0" w:tplc="A344DD22">
      <w:start w:val="1"/>
      <w:numFmt w:val="bullet"/>
      <w:lvlText w:val="•"/>
      <w:lvlJc w:val="left"/>
      <w:pPr>
        <w:tabs>
          <w:tab w:val="num" w:pos="720"/>
        </w:tabs>
        <w:ind w:left="720" w:hanging="360"/>
      </w:pPr>
      <w:rPr>
        <w:rFonts w:ascii="Arial" w:hAnsi="Arial" w:hint="default"/>
      </w:rPr>
    </w:lvl>
    <w:lvl w:ilvl="1" w:tplc="06985704" w:tentative="1">
      <w:start w:val="1"/>
      <w:numFmt w:val="bullet"/>
      <w:lvlText w:val="•"/>
      <w:lvlJc w:val="left"/>
      <w:pPr>
        <w:tabs>
          <w:tab w:val="num" w:pos="1440"/>
        </w:tabs>
        <w:ind w:left="1440" w:hanging="360"/>
      </w:pPr>
      <w:rPr>
        <w:rFonts w:ascii="Arial" w:hAnsi="Arial" w:hint="default"/>
      </w:rPr>
    </w:lvl>
    <w:lvl w:ilvl="2" w:tplc="C088B290" w:tentative="1">
      <w:start w:val="1"/>
      <w:numFmt w:val="bullet"/>
      <w:lvlText w:val="•"/>
      <w:lvlJc w:val="left"/>
      <w:pPr>
        <w:tabs>
          <w:tab w:val="num" w:pos="2160"/>
        </w:tabs>
        <w:ind w:left="2160" w:hanging="360"/>
      </w:pPr>
      <w:rPr>
        <w:rFonts w:ascii="Arial" w:hAnsi="Arial" w:hint="default"/>
      </w:rPr>
    </w:lvl>
    <w:lvl w:ilvl="3" w:tplc="AA2E40C4" w:tentative="1">
      <w:start w:val="1"/>
      <w:numFmt w:val="bullet"/>
      <w:lvlText w:val="•"/>
      <w:lvlJc w:val="left"/>
      <w:pPr>
        <w:tabs>
          <w:tab w:val="num" w:pos="2880"/>
        </w:tabs>
        <w:ind w:left="2880" w:hanging="360"/>
      </w:pPr>
      <w:rPr>
        <w:rFonts w:ascii="Arial" w:hAnsi="Arial" w:hint="default"/>
      </w:rPr>
    </w:lvl>
    <w:lvl w:ilvl="4" w:tplc="009E009C" w:tentative="1">
      <w:start w:val="1"/>
      <w:numFmt w:val="bullet"/>
      <w:lvlText w:val="•"/>
      <w:lvlJc w:val="left"/>
      <w:pPr>
        <w:tabs>
          <w:tab w:val="num" w:pos="3600"/>
        </w:tabs>
        <w:ind w:left="3600" w:hanging="360"/>
      </w:pPr>
      <w:rPr>
        <w:rFonts w:ascii="Arial" w:hAnsi="Arial" w:hint="default"/>
      </w:rPr>
    </w:lvl>
    <w:lvl w:ilvl="5" w:tplc="AD04EFD0" w:tentative="1">
      <w:start w:val="1"/>
      <w:numFmt w:val="bullet"/>
      <w:lvlText w:val="•"/>
      <w:lvlJc w:val="left"/>
      <w:pPr>
        <w:tabs>
          <w:tab w:val="num" w:pos="4320"/>
        </w:tabs>
        <w:ind w:left="4320" w:hanging="360"/>
      </w:pPr>
      <w:rPr>
        <w:rFonts w:ascii="Arial" w:hAnsi="Arial" w:hint="default"/>
      </w:rPr>
    </w:lvl>
    <w:lvl w:ilvl="6" w:tplc="8D72CE9A" w:tentative="1">
      <w:start w:val="1"/>
      <w:numFmt w:val="bullet"/>
      <w:lvlText w:val="•"/>
      <w:lvlJc w:val="left"/>
      <w:pPr>
        <w:tabs>
          <w:tab w:val="num" w:pos="5040"/>
        </w:tabs>
        <w:ind w:left="5040" w:hanging="360"/>
      </w:pPr>
      <w:rPr>
        <w:rFonts w:ascii="Arial" w:hAnsi="Arial" w:hint="default"/>
      </w:rPr>
    </w:lvl>
    <w:lvl w:ilvl="7" w:tplc="620E23D4" w:tentative="1">
      <w:start w:val="1"/>
      <w:numFmt w:val="bullet"/>
      <w:lvlText w:val="•"/>
      <w:lvlJc w:val="left"/>
      <w:pPr>
        <w:tabs>
          <w:tab w:val="num" w:pos="5760"/>
        </w:tabs>
        <w:ind w:left="5760" w:hanging="360"/>
      </w:pPr>
      <w:rPr>
        <w:rFonts w:ascii="Arial" w:hAnsi="Arial" w:hint="default"/>
      </w:rPr>
    </w:lvl>
    <w:lvl w:ilvl="8" w:tplc="C416FA30" w:tentative="1">
      <w:start w:val="1"/>
      <w:numFmt w:val="bullet"/>
      <w:lvlText w:val="•"/>
      <w:lvlJc w:val="left"/>
      <w:pPr>
        <w:tabs>
          <w:tab w:val="num" w:pos="6480"/>
        </w:tabs>
        <w:ind w:left="6480" w:hanging="360"/>
      </w:pPr>
      <w:rPr>
        <w:rFonts w:ascii="Arial" w:hAnsi="Arial" w:hint="default"/>
      </w:rPr>
    </w:lvl>
  </w:abstractNum>
  <w:abstractNum w:abstractNumId="26">
    <w:nsid w:val="63661864"/>
    <w:multiLevelType w:val="hybridMultilevel"/>
    <w:tmpl w:val="E7483EF0"/>
    <w:lvl w:ilvl="0" w:tplc="0EA64CCA">
      <w:start w:val="1"/>
      <w:numFmt w:val="bullet"/>
      <w:lvlText w:val="•"/>
      <w:lvlJc w:val="left"/>
      <w:pPr>
        <w:tabs>
          <w:tab w:val="num" w:pos="720"/>
        </w:tabs>
        <w:ind w:left="720" w:hanging="360"/>
      </w:pPr>
      <w:rPr>
        <w:rFonts w:ascii="Arial" w:hAnsi="Arial" w:hint="default"/>
      </w:rPr>
    </w:lvl>
    <w:lvl w:ilvl="1" w:tplc="4524CF7A" w:tentative="1">
      <w:start w:val="1"/>
      <w:numFmt w:val="bullet"/>
      <w:lvlText w:val="•"/>
      <w:lvlJc w:val="left"/>
      <w:pPr>
        <w:tabs>
          <w:tab w:val="num" w:pos="1440"/>
        </w:tabs>
        <w:ind w:left="1440" w:hanging="360"/>
      </w:pPr>
      <w:rPr>
        <w:rFonts w:ascii="Arial" w:hAnsi="Arial" w:hint="default"/>
      </w:rPr>
    </w:lvl>
    <w:lvl w:ilvl="2" w:tplc="192851E0" w:tentative="1">
      <w:start w:val="1"/>
      <w:numFmt w:val="bullet"/>
      <w:lvlText w:val="•"/>
      <w:lvlJc w:val="left"/>
      <w:pPr>
        <w:tabs>
          <w:tab w:val="num" w:pos="2160"/>
        </w:tabs>
        <w:ind w:left="2160" w:hanging="360"/>
      </w:pPr>
      <w:rPr>
        <w:rFonts w:ascii="Arial" w:hAnsi="Arial" w:hint="default"/>
      </w:rPr>
    </w:lvl>
    <w:lvl w:ilvl="3" w:tplc="673AAC02" w:tentative="1">
      <w:start w:val="1"/>
      <w:numFmt w:val="bullet"/>
      <w:lvlText w:val="•"/>
      <w:lvlJc w:val="left"/>
      <w:pPr>
        <w:tabs>
          <w:tab w:val="num" w:pos="2880"/>
        </w:tabs>
        <w:ind w:left="2880" w:hanging="360"/>
      </w:pPr>
      <w:rPr>
        <w:rFonts w:ascii="Arial" w:hAnsi="Arial" w:hint="default"/>
      </w:rPr>
    </w:lvl>
    <w:lvl w:ilvl="4" w:tplc="60BEBA78" w:tentative="1">
      <w:start w:val="1"/>
      <w:numFmt w:val="bullet"/>
      <w:lvlText w:val="•"/>
      <w:lvlJc w:val="left"/>
      <w:pPr>
        <w:tabs>
          <w:tab w:val="num" w:pos="3600"/>
        </w:tabs>
        <w:ind w:left="3600" w:hanging="360"/>
      </w:pPr>
      <w:rPr>
        <w:rFonts w:ascii="Arial" w:hAnsi="Arial" w:hint="default"/>
      </w:rPr>
    </w:lvl>
    <w:lvl w:ilvl="5" w:tplc="22B4C536" w:tentative="1">
      <w:start w:val="1"/>
      <w:numFmt w:val="bullet"/>
      <w:lvlText w:val="•"/>
      <w:lvlJc w:val="left"/>
      <w:pPr>
        <w:tabs>
          <w:tab w:val="num" w:pos="4320"/>
        </w:tabs>
        <w:ind w:left="4320" w:hanging="360"/>
      </w:pPr>
      <w:rPr>
        <w:rFonts w:ascii="Arial" w:hAnsi="Arial" w:hint="default"/>
      </w:rPr>
    </w:lvl>
    <w:lvl w:ilvl="6" w:tplc="606463F2" w:tentative="1">
      <w:start w:val="1"/>
      <w:numFmt w:val="bullet"/>
      <w:lvlText w:val="•"/>
      <w:lvlJc w:val="left"/>
      <w:pPr>
        <w:tabs>
          <w:tab w:val="num" w:pos="5040"/>
        </w:tabs>
        <w:ind w:left="5040" w:hanging="360"/>
      </w:pPr>
      <w:rPr>
        <w:rFonts w:ascii="Arial" w:hAnsi="Arial" w:hint="default"/>
      </w:rPr>
    </w:lvl>
    <w:lvl w:ilvl="7" w:tplc="A7642892" w:tentative="1">
      <w:start w:val="1"/>
      <w:numFmt w:val="bullet"/>
      <w:lvlText w:val="•"/>
      <w:lvlJc w:val="left"/>
      <w:pPr>
        <w:tabs>
          <w:tab w:val="num" w:pos="5760"/>
        </w:tabs>
        <w:ind w:left="5760" w:hanging="360"/>
      </w:pPr>
      <w:rPr>
        <w:rFonts w:ascii="Arial" w:hAnsi="Arial" w:hint="default"/>
      </w:rPr>
    </w:lvl>
    <w:lvl w:ilvl="8" w:tplc="D84C647E" w:tentative="1">
      <w:start w:val="1"/>
      <w:numFmt w:val="bullet"/>
      <w:lvlText w:val="•"/>
      <w:lvlJc w:val="left"/>
      <w:pPr>
        <w:tabs>
          <w:tab w:val="num" w:pos="6480"/>
        </w:tabs>
        <w:ind w:left="6480" w:hanging="360"/>
      </w:pPr>
      <w:rPr>
        <w:rFonts w:ascii="Arial" w:hAnsi="Arial" w:hint="default"/>
      </w:rPr>
    </w:lvl>
  </w:abstractNum>
  <w:abstractNum w:abstractNumId="27">
    <w:nsid w:val="641A1426"/>
    <w:multiLevelType w:val="hybridMultilevel"/>
    <w:tmpl w:val="5FD27448"/>
    <w:lvl w:ilvl="0" w:tplc="6330962E">
      <w:start w:val="1"/>
      <w:numFmt w:val="bullet"/>
      <w:lvlText w:val="•"/>
      <w:lvlJc w:val="left"/>
      <w:pPr>
        <w:tabs>
          <w:tab w:val="num" w:pos="720"/>
        </w:tabs>
        <w:ind w:left="720" w:hanging="360"/>
      </w:pPr>
      <w:rPr>
        <w:rFonts w:ascii="Arial" w:hAnsi="Arial" w:hint="default"/>
      </w:rPr>
    </w:lvl>
    <w:lvl w:ilvl="1" w:tplc="C65E9DEE" w:tentative="1">
      <w:start w:val="1"/>
      <w:numFmt w:val="bullet"/>
      <w:lvlText w:val="•"/>
      <w:lvlJc w:val="left"/>
      <w:pPr>
        <w:tabs>
          <w:tab w:val="num" w:pos="1440"/>
        </w:tabs>
        <w:ind w:left="1440" w:hanging="360"/>
      </w:pPr>
      <w:rPr>
        <w:rFonts w:ascii="Arial" w:hAnsi="Arial" w:hint="default"/>
      </w:rPr>
    </w:lvl>
    <w:lvl w:ilvl="2" w:tplc="33BAE718" w:tentative="1">
      <w:start w:val="1"/>
      <w:numFmt w:val="bullet"/>
      <w:lvlText w:val="•"/>
      <w:lvlJc w:val="left"/>
      <w:pPr>
        <w:tabs>
          <w:tab w:val="num" w:pos="2160"/>
        </w:tabs>
        <w:ind w:left="2160" w:hanging="360"/>
      </w:pPr>
      <w:rPr>
        <w:rFonts w:ascii="Arial" w:hAnsi="Arial" w:hint="default"/>
      </w:rPr>
    </w:lvl>
    <w:lvl w:ilvl="3" w:tplc="3B7A1C96" w:tentative="1">
      <w:start w:val="1"/>
      <w:numFmt w:val="bullet"/>
      <w:lvlText w:val="•"/>
      <w:lvlJc w:val="left"/>
      <w:pPr>
        <w:tabs>
          <w:tab w:val="num" w:pos="2880"/>
        </w:tabs>
        <w:ind w:left="2880" w:hanging="360"/>
      </w:pPr>
      <w:rPr>
        <w:rFonts w:ascii="Arial" w:hAnsi="Arial" w:hint="default"/>
      </w:rPr>
    </w:lvl>
    <w:lvl w:ilvl="4" w:tplc="F4424414" w:tentative="1">
      <w:start w:val="1"/>
      <w:numFmt w:val="bullet"/>
      <w:lvlText w:val="•"/>
      <w:lvlJc w:val="left"/>
      <w:pPr>
        <w:tabs>
          <w:tab w:val="num" w:pos="3600"/>
        </w:tabs>
        <w:ind w:left="3600" w:hanging="360"/>
      </w:pPr>
      <w:rPr>
        <w:rFonts w:ascii="Arial" w:hAnsi="Arial" w:hint="default"/>
      </w:rPr>
    </w:lvl>
    <w:lvl w:ilvl="5" w:tplc="1DD00A40" w:tentative="1">
      <w:start w:val="1"/>
      <w:numFmt w:val="bullet"/>
      <w:lvlText w:val="•"/>
      <w:lvlJc w:val="left"/>
      <w:pPr>
        <w:tabs>
          <w:tab w:val="num" w:pos="4320"/>
        </w:tabs>
        <w:ind w:left="4320" w:hanging="360"/>
      </w:pPr>
      <w:rPr>
        <w:rFonts w:ascii="Arial" w:hAnsi="Arial" w:hint="default"/>
      </w:rPr>
    </w:lvl>
    <w:lvl w:ilvl="6" w:tplc="72DCCE7A" w:tentative="1">
      <w:start w:val="1"/>
      <w:numFmt w:val="bullet"/>
      <w:lvlText w:val="•"/>
      <w:lvlJc w:val="left"/>
      <w:pPr>
        <w:tabs>
          <w:tab w:val="num" w:pos="5040"/>
        </w:tabs>
        <w:ind w:left="5040" w:hanging="360"/>
      </w:pPr>
      <w:rPr>
        <w:rFonts w:ascii="Arial" w:hAnsi="Arial" w:hint="default"/>
      </w:rPr>
    </w:lvl>
    <w:lvl w:ilvl="7" w:tplc="9AB0D26E" w:tentative="1">
      <w:start w:val="1"/>
      <w:numFmt w:val="bullet"/>
      <w:lvlText w:val="•"/>
      <w:lvlJc w:val="left"/>
      <w:pPr>
        <w:tabs>
          <w:tab w:val="num" w:pos="5760"/>
        </w:tabs>
        <w:ind w:left="5760" w:hanging="360"/>
      </w:pPr>
      <w:rPr>
        <w:rFonts w:ascii="Arial" w:hAnsi="Arial" w:hint="default"/>
      </w:rPr>
    </w:lvl>
    <w:lvl w:ilvl="8" w:tplc="75D8548C" w:tentative="1">
      <w:start w:val="1"/>
      <w:numFmt w:val="bullet"/>
      <w:lvlText w:val="•"/>
      <w:lvlJc w:val="left"/>
      <w:pPr>
        <w:tabs>
          <w:tab w:val="num" w:pos="6480"/>
        </w:tabs>
        <w:ind w:left="6480" w:hanging="360"/>
      </w:pPr>
      <w:rPr>
        <w:rFonts w:ascii="Arial" w:hAnsi="Arial" w:hint="default"/>
      </w:rPr>
    </w:lvl>
  </w:abstractNum>
  <w:abstractNum w:abstractNumId="28">
    <w:nsid w:val="683214AF"/>
    <w:multiLevelType w:val="hybridMultilevel"/>
    <w:tmpl w:val="61ECF1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784D033C"/>
    <w:multiLevelType w:val="multilevel"/>
    <w:tmpl w:val="91F62D0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A154A00"/>
    <w:multiLevelType w:val="hybridMultilevel"/>
    <w:tmpl w:val="72E2AC42"/>
    <w:lvl w:ilvl="0" w:tplc="047C7996">
      <w:start w:val="1"/>
      <w:numFmt w:val="bullet"/>
      <w:lvlText w:val="•"/>
      <w:lvlJc w:val="left"/>
      <w:pPr>
        <w:tabs>
          <w:tab w:val="num" w:pos="720"/>
        </w:tabs>
        <w:ind w:left="720" w:hanging="360"/>
      </w:pPr>
      <w:rPr>
        <w:rFonts w:ascii="Arial" w:hAnsi="Arial" w:hint="default"/>
      </w:rPr>
    </w:lvl>
    <w:lvl w:ilvl="1" w:tplc="F4CA936C" w:tentative="1">
      <w:start w:val="1"/>
      <w:numFmt w:val="bullet"/>
      <w:lvlText w:val="•"/>
      <w:lvlJc w:val="left"/>
      <w:pPr>
        <w:tabs>
          <w:tab w:val="num" w:pos="1440"/>
        </w:tabs>
        <w:ind w:left="1440" w:hanging="360"/>
      </w:pPr>
      <w:rPr>
        <w:rFonts w:ascii="Arial" w:hAnsi="Arial" w:hint="default"/>
      </w:rPr>
    </w:lvl>
    <w:lvl w:ilvl="2" w:tplc="13B0B59E" w:tentative="1">
      <w:start w:val="1"/>
      <w:numFmt w:val="bullet"/>
      <w:lvlText w:val="•"/>
      <w:lvlJc w:val="left"/>
      <w:pPr>
        <w:tabs>
          <w:tab w:val="num" w:pos="2160"/>
        </w:tabs>
        <w:ind w:left="2160" w:hanging="360"/>
      </w:pPr>
      <w:rPr>
        <w:rFonts w:ascii="Arial" w:hAnsi="Arial" w:hint="default"/>
      </w:rPr>
    </w:lvl>
    <w:lvl w:ilvl="3" w:tplc="E3C6B1BC" w:tentative="1">
      <w:start w:val="1"/>
      <w:numFmt w:val="bullet"/>
      <w:lvlText w:val="•"/>
      <w:lvlJc w:val="left"/>
      <w:pPr>
        <w:tabs>
          <w:tab w:val="num" w:pos="2880"/>
        </w:tabs>
        <w:ind w:left="2880" w:hanging="360"/>
      </w:pPr>
      <w:rPr>
        <w:rFonts w:ascii="Arial" w:hAnsi="Arial" w:hint="default"/>
      </w:rPr>
    </w:lvl>
    <w:lvl w:ilvl="4" w:tplc="24E0F9B8" w:tentative="1">
      <w:start w:val="1"/>
      <w:numFmt w:val="bullet"/>
      <w:lvlText w:val="•"/>
      <w:lvlJc w:val="left"/>
      <w:pPr>
        <w:tabs>
          <w:tab w:val="num" w:pos="3600"/>
        </w:tabs>
        <w:ind w:left="3600" w:hanging="360"/>
      </w:pPr>
      <w:rPr>
        <w:rFonts w:ascii="Arial" w:hAnsi="Arial" w:hint="default"/>
      </w:rPr>
    </w:lvl>
    <w:lvl w:ilvl="5" w:tplc="BBD21678" w:tentative="1">
      <w:start w:val="1"/>
      <w:numFmt w:val="bullet"/>
      <w:lvlText w:val="•"/>
      <w:lvlJc w:val="left"/>
      <w:pPr>
        <w:tabs>
          <w:tab w:val="num" w:pos="4320"/>
        </w:tabs>
        <w:ind w:left="4320" w:hanging="360"/>
      </w:pPr>
      <w:rPr>
        <w:rFonts w:ascii="Arial" w:hAnsi="Arial" w:hint="default"/>
      </w:rPr>
    </w:lvl>
    <w:lvl w:ilvl="6" w:tplc="74F450BA" w:tentative="1">
      <w:start w:val="1"/>
      <w:numFmt w:val="bullet"/>
      <w:lvlText w:val="•"/>
      <w:lvlJc w:val="left"/>
      <w:pPr>
        <w:tabs>
          <w:tab w:val="num" w:pos="5040"/>
        </w:tabs>
        <w:ind w:left="5040" w:hanging="360"/>
      </w:pPr>
      <w:rPr>
        <w:rFonts w:ascii="Arial" w:hAnsi="Arial" w:hint="default"/>
      </w:rPr>
    </w:lvl>
    <w:lvl w:ilvl="7" w:tplc="5ED6A250" w:tentative="1">
      <w:start w:val="1"/>
      <w:numFmt w:val="bullet"/>
      <w:lvlText w:val="•"/>
      <w:lvlJc w:val="left"/>
      <w:pPr>
        <w:tabs>
          <w:tab w:val="num" w:pos="5760"/>
        </w:tabs>
        <w:ind w:left="5760" w:hanging="360"/>
      </w:pPr>
      <w:rPr>
        <w:rFonts w:ascii="Arial" w:hAnsi="Arial" w:hint="default"/>
      </w:rPr>
    </w:lvl>
    <w:lvl w:ilvl="8" w:tplc="7C621DEC" w:tentative="1">
      <w:start w:val="1"/>
      <w:numFmt w:val="bullet"/>
      <w:lvlText w:val="•"/>
      <w:lvlJc w:val="left"/>
      <w:pPr>
        <w:tabs>
          <w:tab w:val="num" w:pos="6480"/>
        </w:tabs>
        <w:ind w:left="6480" w:hanging="360"/>
      </w:pPr>
      <w:rPr>
        <w:rFonts w:ascii="Arial" w:hAnsi="Arial" w:hint="default"/>
      </w:rPr>
    </w:lvl>
  </w:abstractNum>
  <w:abstractNum w:abstractNumId="31">
    <w:nsid w:val="7B374564"/>
    <w:multiLevelType w:val="hybridMultilevel"/>
    <w:tmpl w:val="BD4A71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2"/>
  </w:num>
  <w:num w:numId="2">
    <w:abstractNumId w:val="2"/>
  </w:num>
  <w:num w:numId="3">
    <w:abstractNumId w:val="29"/>
  </w:num>
  <w:num w:numId="4">
    <w:abstractNumId w:val="19"/>
  </w:num>
  <w:num w:numId="5">
    <w:abstractNumId w:val="12"/>
  </w:num>
  <w:num w:numId="6">
    <w:abstractNumId w:val="23"/>
  </w:num>
  <w:num w:numId="7">
    <w:abstractNumId w:val="18"/>
  </w:num>
  <w:num w:numId="8">
    <w:abstractNumId w:val="28"/>
  </w:num>
  <w:num w:numId="9">
    <w:abstractNumId w:val="6"/>
  </w:num>
  <w:num w:numId="10">
    <w:abstractNumId w:val="21"/>
  </w:num>
  <w:num w:numId="11">
    <w:abstractNumId w:val="13"/>
  </w:num>
  <w:num w:numId="12">
    <w:abstractNumId w:val="5"/>
  </w:num>
  <w:num w:numId="13">
    <w:abstractNumId w:val="24"/>
  </w:num>
  <w:num w:numId="14">
    <w:abstractNumId w:val="14"/>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
  </w:num>
  <w:num w:numId="19">
    <w:abstractNumId w:val="0"/>
  </w:num>
  <w:num w:numId="20">
    <w:abstractNumId w:val="10"/>
  </w:num>
  <w:num w:numId="21">
    <w:abstractNumId w:val="4"/>
  </w:num>
  <w:num w:numId="22">
    <w:abstractNumId w:val="15"/>
  </w:num>
  <w:num w:numId="23">
    <w:abstractNumId w:val="30"/>
  </w:num>
  <w:num w:numId="24">
    <w:abstractNumId w:val="7"/>
  </w:num>
  <w:num w:numId="25">
    <w:abstractNumId w:val="17"/>
  </w:num>
  <w:num w:numId="26">
    <w:abstractNumId w:val="9"/>
  </w:num>
  <w:num w:numId="27">
    <w:abstractNumId w:val="1"/>
  </w:num>
  <w:num w:numId="28">
    <w:abstractNumId w:val="27"/>
  </w:num>
  <w:num w:numId="29">
    <w:abstractNumId w:val="11"/>
  </w:num>
  <w:num w:numId="30">
    <w:abstractNumId w:val="26"/>
  </w:num>
  <w:num w:numId="31">
    <w:abstractNumId w:val="8"/>
  </w:num>
  <w:num w:numId="32">
    <w:abstractNumId w:val="31"/>
  </w:num>
  <w:num w:numId="33">
    <w:abstractNumId w:val="25"/>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sa Lerrel Pridham">
    <w15:presenceInfo w15:providerId="AD" w15:userId="S-1-5-21-1390582872-192029990-4074164785-24384"/>
  </w15:person>
  <w15:person w15:author="Mafalda Dias">
    <w15:presenceInfo w15:providerId="AD" w15:userId="S-1-5-21-1390582872-192029990-4074164785-349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numFmt w:val="lowerRoman"/>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Lees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2et9fa6pwevberpz95dpryv0wsavzaavwa&quot;&gt;Perampanel 2017 March&lt;record-ids&gt;&lt;item&gt;1&lt;/item&gt;&lt;item&gt;15&lt;/item&gt;&lt;item&gt;16&lt;/item&gt;&lt;item&gt;18&lt;/item&gt;&lt;item&gt;19&lt;/item&gt;&lt;item&gt;20&lt;/item&gt;&lt;item&gt;21&lt;/item&gt;&lt;item&gt;29&lt;/item&gt;&lt;item&gt;31&lt;/item&gt;&lt;item&gt;40&lt;/item&gt;&lt;item&gt;41&lt;/item&gt;&lt;item&gt;42&lt;/item&gt;&lt;item&gt;43&lt;/item&gt;&lt;item&gt;44&lt;/item&gt;&lt;item&gt;45&lt;/item&gt;&lt;item&gt;47&lt;/item&gt;&lt;item&gt;49&lt;/item&gt;&lt;item&gt;50&lt;/item&gt;&lt;item&gt;51&lt;/item&gt;&lt;item&gt;52&lt;/item&gt;&lt;/record-ids&gt;&lt;/item&gt;&lt;/Libraries&gt;"/>
  </w:docVars>
  <w:rsids>
    <w:rsidRoot w:val="00E65E79"/>
    <w:rsid w:val="00000790"/>
    <w:rsid w:val="0000110B"/>
    <w:rsid w:val="000021FC"/>
    <w:rsid w:val="000031A4"/>
    <w:rsid w:val="00003B20"/>
    <w:rsid w:val="00007B3B"/>
    <w:rsid w:val="00007B72"/>
    <w:rsid w:val="0001111D"/>
    <w:rsid w:val="00013247"/>
    <w:rsid w:val="000143BB"/>
    <w:rsid w:val="0001536C"/>
    <w:rsid w:val="00015532"/>
    <w:rsid w:val="00015886"/>
    <w:rsid w:val="000162EF"/>
    <w:rsid w:val="00021206"/>
    <w:rsid w:val="0002225F"/>
    <w:rsid w:val="00022A0A"/>
    <w:rsid w:val="00023763"/>
    <w:rsid w:val="00024ADE"/>
    <w:rsid w:val="00026A38"/>
    <w:rsid w:val="000312AE"/>
    <w:rsid w:val="00031DF6"/>
    <w:rsid w:val="00032FEC"/>
    <w:rsid w:val="00033434"/>
    <w:rsid w:val="00033EBD"/>
    <w:rsid w:val="00040895"/>
    <w:rsid w:val="00041C05"/>
    <w:rsid w:val="0004231D"/>
    <w:rsid w:val="00043340"/>
    <w:rsid w:val="00043C37"/>
    <w:rsid w:val="00045059"/>
    <w:rsid w:val="0004513E"/>
    <w:rsid w:val="000459EF"/>
    <w:rsid w:val="00045A1D"/>
    <w:rsid w:val="000479AC"/>
    <w:rsid w:val="00050520"/>
    <w:rsid w:val="00051D55"/>
    <w:rsid w:val="000531A3"/>
    <w:rsid w:val="000546D7"/>
    <w:rsid w:val="000561E2"/>
    <w:rsid w:val="00057EAA"/>
    <w:rsid w:val="00063352"/>
    <w:rsid w:val="00066B5E"/>
    <w:rsid w:val="000675EB"/>
    <w:rsid w:val="00071248"/>
    <w:rsid w:val="00071677"/>
    <w:rsid w:val="000720B9"/>
    <w:rsid w:val="0007390D"/>
    <w:rsid w:val="00073FC3"/>
    <w:rsid w:val="00075585"/>
    <w:rsid w:val="00075EAE"/>
    <w:rsid w:val="00077606"/>
    <w:rsid w:val="00080810"/>
    <w:rsid w:val="000812CA"/>
    <w:rsid w:val="000819C3"/>
    <w:rsid w:val="00084177"/>
    <w:rsid w:val="000868EE"/>
    <w:rsid w:val="00087A41"/>
    <w:rsid w:val="00090C7E"/>
    <w:rsid w:val="00094820"/>
    <w:rsid w:val="000A25F6"/>
    <w:rsid w:val="000A3525"/>
    <w:rsid w:val="000A5290"/>
    <w:rsid w:val="000B0FCB"/>
    <w:rsid w:val="000B19E1"/>
    <w:rsid w:val="000B1A29"/>
    <w:rsid w:val="000B1FB6"/>
    <w:rsid w:val="000B3783"/>
    <w:rsid w:val="000B4E62"/>
    <w:rsid w:val="000B5B91"/>
    <w:rsid w:val="000B634D"/>
    <w:rsid w:val="000B6393"/>
    <w:rsid w:val="000B783F"/>
    <w:rsid w:val="000C4D3F"/>
    <w:rsid w:val="000D1BFC"/>
    <w:rsid w:val="000D49BA"/>
    <w:rsid w:val="000D5C1B"/>
    <w:rsid w:val="000D79FE"/>
    <w:rsid w:val="000E0FCC"/>
    <w:rsid w:val="000E140D"/>
    <w:rsid w:val="000E2C1E"/>
    <w:rsid w:val="000E382B"/>
    <w:rsid w:val="000E3B2C"/>
    <w:rsid w:val="000E59E1"/>
    <w:rsid w:val="000E7777"/>
    <w:rsid w:val="000F0A05"/>
    <w:rsid w:val="000F384C"/>
    <w:rsid w:val="000F5964"/>
    <w:rsid w:val="000F7760"/>
    <w:rsid w:val="00100F8A"/>
    <w:rsid w:val="001012BC"/>
    <w:rsid w:val="001033EA"/>
    <w:rsid w:val="001051BB"/>
    <w:rsid w:val="00105FA1"/>
    <w:rsid w:val="0011032E"/>
    <w:rsid w:val="00112492"/>
    <w:rsid w:val="001125CC"/>
    <w:rsid w:val="001136D8"/>
    <w:rsid w:val="00114B30"/>
    <w:rsid w:val="001151F4"/>
    <w:rsid w:val="00116D11"/>
    <w:rsid w:val="00121799"/>
    <w:rsid w:val="001222FC"/>
    <w:rsid w:val="00122E24"/>
    <w:rsid w:val="0012492C"/>
    <w:rsid w:val="00124A51"/>
    <w:rsid w:val="00125470"/>
    <w:rsid w:val="001265AE"/>
    <w:rsid w:val="00126621"/>
    <w:rsid w:val="001301E9"/>
    <w:rsid w:val="001371B7"/>
    <w:rsid w:val="0013751F"/>
    <w:rsid w:val="00137645"/>
    <w:rsid w:val="00137A1F"/>
    <w:rsid w:val="0014015A"/>
    <w:rsid w:val="00140E99"/>
    <w:rsid w:val="00141680"/>
    <w:rsid w:val="001418D9"/>
    <w:rsid w:val="0014285E"/>
    <w:rsid w:val="001429C5"/>
    <w:rsid w:val="00142EFB"/>
    <w:rsid w:val="00144E96"/>
    <w:rsid w:val="001456B0"/>
    <w:rsid w:val="00145AE0"/>
    <w:rsid w:val="00145F97"/>
    <w:rsid w:val="001514FA"/>
    <w:rsid w:val="00151556"/>
    <w:rsid w:val="00152337"/>
    <w:rsid w:val="00152F61"/>
    <w:rsid w:val="00156D1C"/>
    <w:rsid w:val="00157130"/>
    <w:rsid w:val="00161A84"/>
    <w:rsid w:val="00162110"/>
    <w:rsid w:val="00162913"/>
    <w:rsid w:val="00162991"/>
    <w:rsid w:val="00162EF0"/>
    <w:rsid w:val="00163EFF"/>
    <w:rsid w:val="0016446D"/>
    <w:rsid w:val="001661FB"/>
    <w:rsid w:val="00167B0E"/>
    <w:rsid w:val="001728AB"/>
    <w:rsid w:val="0017519E"/>
    <w:rsid w:val="00176370"/>
    <w:rsid w:val="001775B4"/>
    <w:rsid w:val="00177B7B"/>
    <w:rsid w:val="00184009"/>
    <w:rsid w:val="001843C2"/>
    <w:rsid w:val="00185226"/>
    <w:rsid w:val="00185789"/>
    <w:rsid w:val="0019063F"/>
    <w:rsid w:val="00190E75"/>
    <w:rsid w:val="00191ADA"/>
    <w:rsid w:val="00195222"/>
    <w:rsid w:val="001971A6"/>
    <w:rsid w:val="001975D8"/>
    <w:rsid w:val="001A18AD"/>
    <w:rsid w:val="001A790A"/>
    <w:rsid w:val="001A79EC"/>
    <w:rsid w:val="001A7CAB"/>
    <w:rsid w:val="001B0F98"/>
    <w:rsid w:val="001B2D68"/>
    <w:rsid w:val="001B31BF"/>
    <w:rsid w:val="001B3443"/>
    <w:rsid w:val="001B36A8"/>
    <w:rsid w:val="001B3FE8"/>
    <w:rsid w:val="001B6188"/>
    <w:rsid w:val="001B630B"/>
    <w:rsid w:val="001B6DAF"/>
    <w:rsid w:val="001B7183"/>
    <w:rsid w:val="001C00EE"/>
    <w:rsid w:val="001C1030"/>
    <w:rsid w:val="001C34E5"/>
    <w:rsid w:val="001C60A6"/>
    <w:rsid w:val="001C6E66"/>
    <w:rsid w:val="001C7094"/>
    <w:rsid w:val="001C7C5C"/>
    <w:rsid w:val="001D112E"/>
    <w:rsid w:val="001D3F0D"/>
    <w:rsid w:val="001D4F8C"/>
    <w:rsid w:val="001E0801"/>
    <w:rsid w:val="001E1FAF"/>
    <w:rsid w:val="001E238E"/>
    <w:rsid w:val="001E3E2C"/>
    <w:rsid w:val="001E52EB"/>
    <w:rsid w:val="001E68E6"/>
    <w:rsid w:val="001E73B2"/>
    <w:rsid w:val="001E740C"/>
    <w:rsid w:val="001E7474"/>
    <w:rsid w:val="001F1235"/>
    <w:rsid w:val="001F1843"/>
    <w:rsid w:val="001F1CB3"/>
    <w:rsid w:val="001F7109"/>
    <w:rsid w:val="001F7361"/>
    <w:rsid w:val="001F7EB1"/>
    <w:rsid w:val="00200505"/>
    <w:rsid w:val="002025FE"/>
    <w:rsid w:val="00205299"/>
    <w:rsid w:val="00205C15"/>
    <w:rsid w:val="0020753F"/>
    <w:rsid w:val="002100A9"/>
    <w:rsid w:val="002105C1"/>
    <w:rsid w:val="0021192C"/>
    <w:rsid w:val="002126E8"/>
    <w:rsid w:val="002146C8"/>
    <w:rsid w:val="0021479E"/>
    <w:rsid w:val="002159E3"/>
    <w:rsid w:val="002173C3"/>
    <w:rsid w:val="002177EB"/>
    <w:rsid w:val="002217B7"/>
    <w:rsid w:val="00221CBB"/>
    <w:rsid w:val="00223B49"/>
    <w:rsid w:val="00224DD4"/>
    <w:rsid w:val="002309CC"/>
    <w:rsid w:val="002312BF"/>
    <w:rsid w:val="00236FF1"/>
    <w:rsid w:val="00237FFC"/>
    <w:rsid w:val="00242572"/>
    <w:rsid w:val="00243E36"/>
    <w:rsid w:val="00244735"/>
    <w:rsid w:val="00244AE7"/>
    <w:rsid w:val="00247FD4"/>
    <w:rsid w:val="0025286F"/>
    <w:rsid w:val="00253FAA"/>
    <w:rsid w:val="0025534B"/>
    <w:rsid w:val="0025578A"/>
    <w:rsid w:val="00255BB7"/>
    <w:rsid w:val="00255E1B"/>
    <w:rsid w:val="002570C5"/>
    <w:rsid w:val="00260708"/>
    <w:rsid w:val="002607F5"/>
    <w:rsid w:val="00261DC2"/>
    <w:rsid w:val="0026216C"/>
    <w:rsid w:val="0026288E"/>
    <w:rsid w:val="00262A87"/>
    <w:rsid w:val="00263232"/>
    <w:rsid w:val="00263BEB"/>
    <w:rsid w:val="00264854"/>
    <w:rsid w:val="002721A3"/>
    <w:rsid w:val="002723B0"/>
    <w:rsid w:val="002735D0"/>
    <w:rsid w:val="00273FDF"/>
    <w:rsid w:val="00275C5A"/>
    <w:rsid w:val="00276C60"/>
    <w:rsid w:val="00277CF7"/>
    <w:rsid w:val="0028438A"/>
    <w:rsid w:val="00287D8A"/>
    <w:rsid w:val="002926EF"/>
    <w:rsid w:val="002949FC"/>
    <w:rsid w:val="00294AD0"/>
    <w:rsid w:val="002A147A"/>
    <w:rsid w:val="002A14AB"/>
    <w:rsid w:val="002A351A"/>
    <w:rsid w:val="002A4752"/>
    <w:rsid w:val="002A6017"/>
    <w:rsid w:val="002A637A"/>
    <w:rsid w:val="002A6D69"/>
    <w:rsid w:val="002A790C"/>
    <w:rsid w:val="002B1C1F"/>
    <w:rsid w:val="002B432F"/>
    <w:rsid w:val="002B4BD6"/>
    <w:rsid w:val="002B4D20"/>
    <w:rsid w:val="002B6CCE"/>
    <w:rsid w:val="002C1C5D"/>
    <w:rsid w:val="002C27C1"/>
    <w:rsid w:val="002C7B6F"/>
    <w:rsid w:val="002D5123"/>
    <w:rsid w:val="002E0698"/>
    <w:rsid w:val="002E1844"/>
    <w:rsid w:val="002E18C6"/>
    <w:rsid w:val="002E27C7"/>
    <w:rsid w:val="002E4AFC"/>
    <w:rsid w:val="002E7DEF"/>
    <w:rsid w:val="002F28FC"/>
    <w:rsid w:val="002F345D"/>
    <w:rsid w:val="002F35CC"/>
    <w:rsid w:val="002F3CD6"/>
    <w:rsid w:val="002F6198"/>
    <w:rsid w:val="00301017"/>
    <w:rsid w:val="00304576"/>
    <w:rsid w:val="00304C7F"/>
    <w:rsid w:val="00307000"/>
    <w:rsid w:val="0030786C"/>
    <w:rsid w:val="0031031A"/>
    <w:rsid w:val="00311013"/>
    <w:rsid w:val="00315498"/>
    <w:rsid w:val="00315F81"/>
    <w:rsid w:val="003164AE"/>
    <w:rsid w:val="00320A76"/>
    <w:rsid w:val="00320B96"/>
    <w:rsid w:val="00323EFE"/>
    <w:rsid w:val="003243B5"/>
    <w:rsid w:val="003247A8"/>
    <w:rsid w:val="00324AF6"/>
    <w:rsid w:val="0032570A"/>
    <w:rsid w:val="00333A15"/>
    <w:rsid w:val="003348B6"/>
    <w:rsid w:val="00335B54"/>
    <w:rsid w:val="00336087"/>
    <w:rsid w:val="003366C9"/>
    <w:rsid w:val="00336E34"/>
    <w:rsid w:val="00341472"/>
    <w:rsid w:val="003428BC"/>
    <w:rsid w:val="003468DD"/>
    <w:rsid w:val="00346E20"/>
    <w:rsid w:val="0034756E"/>
    <w:rsid w:val="003501B5"/>
    <w:rsid w:val="00350BA8"/>
    <w:rsid w:val="00355C94"/>
    <w:rsid w:val="0035620E"/>
    <w:rsid w:val="00357A58"/>
    <w:rsid w:val="00360356"/>
    <w:rsid w:val="0036356D"/>
    <w:rsid w:val="00363841"/>
    <w:rsid w:val="003651F4"/>
    <w:rsid w:val="003666FE"/>
    <w:rsid w:val="003668AC"/>
    <w:rsid w:val="0036699F"/>
    <w:rsid w:val="00367838"/>
    <w:rsid w:val="00371189"/>
    <w:rsid w:val="00371A38"/>
    <w:rsid w:val="00373490"/>
    <w:rsid w:val="00373927"/>
    <w:rsid w:val="00373E2C"/>
    <w:rsid w:val="0038231A"/>
    <w:rsid w:val="0038365C"/>
    <w:rsid w:val="00385846"/>
    <w:rsid w:val="00386F12"/>
    <w:rsid w:val="00390841"/>
    <w:rsid w:val="00393F75"/>
    <w:rsid w:val="00394A12"/>
    <w:rsid w:val="00394C1F"/>
    <w:rsid w:val="00396354"/>
    <w:rsid w:val="00396FD0"/>
    <w:rsid w:val="0039720E"/>
    <w:rsid w:val="003A0955"/>
    <w:rsid w:val="003A11D8"/>
    <w:rsid w:val="003A1A7A"/>
    <w:rsid w:val="003A2C74"/>
    <w:rsid w:val="003B2ACE"/>
    <w:rsid w:val="003B3768"/>
    <w:rsid w:val="003B3BCE"/>
    <w:rsid w:val="003B60C0"/>
    <w:rsid w:val="003C1420"/>
    <w:rsid w:val="003C37C4"/>
    <w:rsid w:val="003C4DC6"/>
    <w:rsid w:val="003C4F47"/>
    <w:rsid w:val="003C5422"/>
    <w:rsid w:val="003C6571"/>
    <w:rsid w:val="003D041A"/>
    <w:rsid w:val="003D1828"/>
    <w:rsid w:val="003D1D23"/>
    <w:rsid w:val="003D2422"/>
    <w:rsid w:val="003D291C"/>
    <w:rsid w:val="003D30C8"/>
    <w:rsid w:val="003D31B8"/>
    <w:rsid w:val="003D34D8"/>
    <w:rsid w:val="003D43EE"/>
    <w:rsid w:val="003D59CF"/>
    <w:rsid w:val="003E00BA"/>
    <w:rsid w:val="003E0FCC"/>
    <w:rsid w:val="003E3314"/>
    <w:rsid w:val="003E35AD"/>
    <w:rsid w:val="003E4559"/>
    <w:rsid w:val="003E60E1"/>
    <w:rsid w:val="003F4156"/>
    <w:rsid w:val="003F5E3B"/>
    <w:rsid w:val="003F5E5F"/>
    <w:rsid w:val="003F66A1"/>
    <w:rsid w:val="003F6965"/>
    <w:rsid w:val="003F7A7B"/>
    <w:rsid w:val="00400B04"/>
    <w:rsid w:val="0040378F"/>
    <w:rsid w:val="004102AF"/>
    <w:rsid w:val="00410BA0"/>
    <w:rsid w:val="00410EC7"/>
    <w:rsid w:val="00414476"/>
    <w:rsid w:val="00414C42"/>
    <w:rsid w:val="0041663B"/>
    <w:rsid w:val="00416DBA"/>
    <w:rsid w:val="004170B0"/>
    <w:rsid w:val="00417C87"/>
    <w:rsid w:val="00420B9F"/>
    <w:rsid w:val="004216B6"/>
    <w:rsid w:val="004218E7"/>
    <w:rsid w:val="00421D71"/>
    <w:rsid w:val="00425CB2"/>
    <w:rsid w:val="00430806"/>
    <w:rsid w:val="004319F8"/>
    <w:rsid w:val="00437BB7"/>
    <w:rsid w:val="0044191B"/>
    <w:rsid w:val="004423C8"/>
    <w:rsid w:val="004443A7"/>
    <w:rsid w:val="004464EB"/>
    <w:rsid w:val="00451922"/>
    <w:rsid w:val="00454FE7"/>
    <w:rsid w:val="00455D45"/>
    <w:rsid w:val="004619E2"/>
    <w:rsid w:val="00462DD1"/>
    <w:rsid w:val="0046340F"/>
    <w:rsid w:val="00463A27"/>
    <w:rsid w:val="00464595"/>
    <w:rsid w:val="00465185"/>
    <w:rsid w:val="00467929"/>
    <w:rsid w:val="00470A79"/>
    <w:rsid w:val="00472359"/>
    <w:rsid w:val="00472BF6"/>
    <w:rsid w:val="004730AB"/>
    <w:rsid w:val="004738B2"/>
    <w:rsid w:val="0047456A"/>
    <w:rsid w:val="00474A35"/>
    <w:rsid w:val="00474BBA"/>
    <w:rsid w:val="00474CF2"/>
    <w:rsid w:val="0047531E"/>
    <w:rsid w:val="0047539C"/>
    <w:rsid w:val="004753C2"/>
    <w:rsid w:val="004777C7"/>
    <w:rsid w:val="00482F0F"/>
    <w:rsid w:val="00485984"/>
    <w:rsid w:val="00485AB5"/>
    <w:rsid w:val="004867E2"/>
    <w:rsid w:val="00491B3A"/>
    <w:rsid w:val="0049221E"/>
    <w:rsid w:val="0049305F"/>
    <w:rsid w:val="004972EA"/>
    <w:rsid w:val="00497F10"/>
    <w:rsid w:val="004A0DA1"/>
    <w:rsid w:val="004A187F"/>
    <w:rsid w:val="004A3009"/>
    <w:rsid w:val="004A5E7A"/>
    <w:rsid w:val="004A6597"/>
    <w:rsid w:val="004A7338"/>
    <w:rsid w:val="004B07FC"/>
    <w:rsid w:val="004B0CF3"/>
    <w:rsid w:val="004B2ABD"/>
    <w:rsid w:val="004B2F18"/>
    <w:rsid w:val="004B3DDB"/>
    <w:rsid w:val="004B44FD"/>
    <w:rsid w:val="004B5BD1"/>
    <w:rsid w:val="004B5CFC"/>
    <w:rsid w:val="004C02BC"/>
    <w:rsid w:val="004C1A39"/>
    <w:rsid w:val="004C3A38"/>
    <w:rsid w:val="004C4AED"/>
    <w:rsid w:val="004C7BBA"/>
    <w:rsid w:val="004D0E31"/>
    <w:rsid w:val="004D11FF"/>
    <w:rsid w:val="004D1EBE"/>
    <w:rsid w:val="004D45ED"/>
    <w:rsid w:val="004D5710"/>
    <w:rsid w:val="004E0EB8"/>
    <w:rsid w:val="004E1753"/>
    <w:rsid w:val="004E2ADC"/>
    <w:rsid w:val="004E49D8"/>
    <w:rsid w:val="004E6A37"/>
    <w:rsid w:val="004F0B03"/>
    <w:rsid w:val="004F1D02"/>
    <w:rsid w:val="004F2679"/>
    <w:rsid w:val="004F2B72"/>
    <w:rsid w:val="004F3CA6"/>
    <w:rsid w:val="004F7D32"/>
    <w:rsid w:val="0050073F"/>
    <w:rsid w:val="005017F4"/>
    <w:rsid w:val="00505742"/>
    <w:rsid w:val="00506529"/>
    <w:rsid w:val="00506E16"/>
    <w:rsid w:val="00506EBB"/>
    <w:rsid w:val="0050727C"/>
    <w:rsid w:val="00511D49"/>
    <w:rsid w:val="0051234A"/>
    <w:rsid w:val="005152B5"/>
    <w:rsid w:val="005200A6"/>
    <w:rsid w:val="00521319"/>
    <w:rsid w:val="00523C28"/>
    <w:rsid w:val="00526627"/>
    <w:rsid w:val="005272A8"/>
    <w:rsid w:val="00532445"/>
    <w:rsid w:val="00532D4C"/>
    <w:rsid w:val="0053530C"/>
    <w:rsid w:val="00535409"/>
    <w:rsid w:val="0054428C"/>
    <w:rsid w:val="00544B2E"/>
    <w:rsid w:val="005464E4"/>
    <w:rsid w:val="00552E2A"/>
    <w:rsid w:val="00555109"/>
    <w:rsid w:val="00555C49"/>
    <w:rsid w:val="00556804"/>
    <w:rsid w:val="005614D3"/>
    <w:rsid w:val="0056276A"/>
    <w:rsid w:val="00564B8F"/>
    <w:rsid w:val="00565B27"/>
    <w:rsid w:val="0056696F"/>
    <w:rsid w:val="00575C82"/>
    <w:rsid w:val="00576972"/>
    <w:rsid w:val="00577717"/>
    <w:rsid w:val="005801E9"/>
    <w:rsid w:val="00580F44"/>
    <w:rsid w:val="0058248D"/>
    <w:rsid w:val="00583699"/>
    <w:rsid w:val="00583761"/>
    <w:rsid w:val="005854B2"/>
    <w:rsid w:val="00590996"/>
    <w:rsid w:val="00595C9E"/>
    <w:rsid w:val="005A132A"/>
    <w:rsid w:val="005A6AAC"/>
    <w:rsid w:val="005A7009"/>
    <w:rsid w:val="005B1954"/>
    <w:rsid w:val="005B24CE"/>
    <w:rsid w:val="005B30B0"/>
    <w:rsid w:val="005B5857"/>
    <w:rsid w:val="005B5F6B"/>
    <w:rsid w:val="005B6525"/>
    <w:rsid w:val="005B7B5B"/>
    <w:rsid w:val="005C1B83"/>
    <w:rsid w:val="005C346B"/>
    <w:rsid w:val="005C3D53"/>
    <w:rsid w:val="005C628C"/>
    <w:rsid w:val="005C74BE"/>
    <w:rsid w:val="005D18AD"/>
    <w:rsid w:val="005D5944"/>
    <w:rsid w:val="005D62D7"/>
    <w:rsid w:val="005D7E3E"/>
    <w:rsid w:val="005E1A53"/>
    <w:rsid w:val="005E7AFC"/>
    <w:rsid w:val="005F2706"/>
    <w:rsid w:val="005F6A8F"/>
    <w:rsid w:val="006048D7"/>
    <w:rsid w:val="00606443"/>
    <w:rsid w:val="00607669"/>
    <w:rsid w:val="00607D16"/>
    <w:rsid w:val="00612F97"/>
    <w:rsid w:val="00613961"/>
    <w:rsid w:val="00613F4F"/>
    <w:rsid w:val="00614704"/>
    <w:rsid w:val="00616802"/>
    <w:rsid w:val="00617E12"/>
    <w:rsid w:val="00621477"/>
    <w:rsid w:val="0062231E"/>
    <w:rsid w:val="006237B7"/>
    <w:rsid w:val="0062454D"/>
    <w:rsid w:val="00626BE7"/>
    <w:rsid w:val="00630533"/>
    <w:rsid w:val="00630570"/>
    <w:rsid w:val="00631D6B"/>
    <w:rsid w:val="0063479F"/>
    <w:rsid w:val="00634D8E"/>
    <w:rsid w:val="0063559E"/>
    <w:rsid w:val="006358A6"/>
    <w:rsid w:val="00636132"/>
    <w:rsid w:val="006364A1"/>
    <w:rsid w:val="00637019"/>
    <w:rsid w:val="006378C2"/>
    <w:rsid w:val="00637995"/>
    <w:rsid w:val="00637BFD"/>
    <w:rsid w:val="00641DE3"/>
    <w:rsid w:val="00643D87"/>
    <w:rsid w:val="006441EA"/>
    <w:rsid w:val="006471CC"/>
    <w:rsid w:val="0065079F"/>
    <w:rsid w:val="00650876"/>
    <w:rsid w:val="0065168B"/>
    <w:rsid w:val="006517E3"/>
    <w:rsid w:val="00651E20"/>
    <w:rsid w:val="006533F5"/>
    <w:rsid w:val="00654925"/>
    <w:rsid w:val="00655EF5"/>
    <w:rsid w:val="00655F39"/>
    <w:rsid w:val="00656B77"/>
    <w:rsid w:val="006605EE"/>
    <w:rsid w:val="00660A92"/>
    <w:rsid w:val="00663AC9"/>
    <w:rsid w:val="006669F2"/>
    <w:rsid w:val="00673245"/>
    <w:rsid w:val="006733BC"/>
    <w:rsid w:val="00673C02"/>
    <w:rsid w:val="00674E42"/>
    <w:rsid w:val="00676515"/>
    <w:rsid w:val="006779DF"/>
    <w:rsid w:val="00677EDB"/>
    <w:rsid w:val="00682112"/>
    <w:rsid w:val="00682C61"/>
    <w:rsid w:val="0069046F"/>
    <w:rsid w:val="006913F4"/>
    <w:rsid w:val="0069289B"/>
    <w:rsid w:val="006932AD"/>
    <w:rsid w:val="00693880"/>
    <w:rsid w:val="00694F44"/>
    <w:rsid w:val="00695733"/>
    <w:rsid w:val="006A04BD"/>
    <w:rsid w:val="006A2166"/>
    <w:rsid w:val="006A3765"/>
    <w:rsid w:val="006A75F7"/>
    <w:rsid w:val="006B0F1A"/>
    <w:rsid w:val="006B22B0"/>
    <w:rsid w:val="006B42F3"/>
    <w:rsid w:val="006C0E42"/>
    <w:rsid w:val="006C2A8E"/>
    <w:rsid w:val="006C56E9"/>
    <w:rsid w:val="006D013A"/>
    <w:rsid w:val="006D10A8"/>
    <w:rsid w:val="006D1F95"/>
    <w:rsid w:val="006D34B8"/>
    <w:rsid w:val="006D3C7D"/>
    <w:rsid w:val="006D3DA2"/>
    <w:rsid w:val="006D46E2"/>
    <w:rsid w:val="006D67AD"/>
    <w:rsid w:val="006D7E08"/>
    <w:rsid w:val="006E0A26"/>
    <w:rsid w:val="006E186B"/>
    <w:rsid w:val="006E1B06"/>
    <w:rsid w:val="006E1C3A"/>
    <w:rsid w:val="006E4049"/>
    <w:rsid w:val="006E5A2F"/>
    <w:rsid w:val="006E79B7"/>
    <w:rsid w:val="006F0C13"/>
    <w:rsid w:val="006F3941"/>
    <w:rsid w:val="006F3B2F"/>
    <w:rsid w:val="006F63A5"/>
    <w:rsid w:val="006F6C1F"/>
    <w:rsid w:val="006F78EF"/>
    <w:rsid w:val="0070053A"/>
    <w:rsid w:val="0070122F"/>
    <w:rsid w:val="0070276E"/>
    <w:rsid w:val="00705B57"/>
    <w:rsid w:val="007106EC"/>
    <w:rsid w:val="00710DC4"/>
    <w:rsid w:val="00711A36"/>
    <w:rsid w:val="00712F06"/>
    <w:rsid w:val="007139A3"/>
    <w:rsid w:val="00713BA1"/>
    <w:rsid w:val="007154E6"/>
    <w:rsid w:val="00716C84"/>
    <w:rsid w:val="007172AD"/>
    <w:rsid w:val="00720239"/>
    <w:rsid w:val="00721291"/>
    <w:rsid w:val="007232E9"/>
    <w:rsid w:val="007242C1"/>
    <w:rsid w:val="007265FB"/>
    <w:rsid w:val="00726C21"/>
    <w:rsid w:val="0073496C"/>
    <w:rsid w:val="00735073"/>
    <w:rsid w:val="00735115"/>
    <w:rsid w:val="00735328"/>
    <w:rsid w:val="0073685B"/>
    <w:rsid w:val="007372AD"/>
    <w:rsid w:val="00743405"/>
    <w:rsid w:val="00745370"/>
    <w:rsid w:val="007474AD"/>
    <w:rsid w:val="007536EB"/>
    <w:rsid w:val="00753D1A"/>
    <w:rsid w:val="00754C7A"/>
    <w:rsid w:val="007617A1"/>
    <w:rsid w:val="00761802"/>
    <w:rsid w:val="00761B67"/>
    <w:rsid w:val="0076201C"/>
    <w:rsid w:val="00762213"/>
    <w:rsid w:val="00762EF6"/>
    <w:rsid w:val="00763D83"/>
    <w:rsid w:val="00765B4C"/>
    <w:rsid w:val="00767029"/>
    <w:rsid w:val="00770C98"/>
    <w:rsid w:val="00771378"/>
    <w:rsid w:val="00773295"/>
    <w:rsid w:val="007753A7"/>
    <w:rsid w:val="00781ABB"/>
    <w:rsid w:val="0078535B"/>
    <w:rsid w:val="00785AE7"/>
    <w:rsid w:val="00785D1A"/>
    <w:rsid w:val="00790517"/>
    <w:rsid w:val="00794077"/>
    <w:rsid w:val="00797974"/>
    <w:rsid w:val="00797D9D"/>
    <w:rsid w:val="007A16F2"/>
    <w:rsid w:val="007A2FAB"/>
    <w:rsid w:val="007A30D5"/>
    <w:rsid w:val="007A3257"/>
    <w:rsid w:val="007A6288"/>
    <w:rsid w:val="007A6837"/>
    <w:rsid w:val="007B0724"/>
    <w:rsid w:val="007B2430"/>
    <w:rsid w:val="007B251D"/>
    <w:rsid w:val="007B36B7"/>
    <w:rsid w:val="007B4402"/>
    <w:rsid w:val="007B441C"/>
    <w:rsid w:val="007B77D1"/>
    <w:rsid w:val="007C125C"/>
    <w:rsid w:val="007C15C2"/>
    <w:rsid w:val="007C2B28"/>
    <w:rsid w:val="007C51D4"/>
    <w:rsid w:val="007D0B38"/>
    <w:rsid w:val="007D16C0"/>
    <w:rsid w:val="007D5F3F"/>
    <w:rsid w:val="007D7184"/>
    <w:rsid w:val="007E046D"/>
    <w:rsid w:val="007E45AB"/>
    <w:rsid w:val="007E51D9"/>
    <w:rsid w:val="007E578B"/>
    <w:rsid w:val="007E67C6"/>
    <w:rsid w:val="007F1017"/>
    <w:rsid w:val="007F1D3A"/>
    <w:rsid w:val="007F24DA"/>
    <w:rsid w:val="007F291E"/>
    <w:rsid w:val="007F42EA"/>
    <w:rsid w:val="007F4A3F"/>
    <w:rsid w:val="007F619C"/>
    <w:rsid w:val="007F6DC4"/>
    <w:rsid w:val="007F7B24"/>
    <w:rsid w:val="00805142"/>
    <w:rsid w:val="00807A8B"/>
    <w:rsid w:val="00810969"/>
    <w:rsid w:val="00811C4A"/>
    <w:rsid w:val="00812149"/>
    <w:rsid w:val="00816303"/>
    <w:rsid w:val="0081632C"/>
    <w:rsid w:val="008166EF"/>
    <w:rsid w:val="00817ED6"/>
    <w:rsid w:val="00823DC6"/>
    <w:rsid w:val="00824290"/>
    <w:rsid w:val="00824481"/>
    <w:rsid w:val="00824923"/>
    <w:rsid w:val="00824BC8"/>
    <w:rsid w:val="00824FCC"/>
    <w:rsid w:val="008264EB"/>
    <w:rsid w:val="008323B2"/>
    <w:rsid w:val="00832F13"/>
    <w:rsid w:val="00840CA2"/>
    <w:rsid w:val="00840F00"/>
    <w:rsid w:val="00841021"/>
    <w:rsid w:val="00841C6C"/>
    <w:rsid w:val="008432C4"/>
    <w:rsid w:val="00846CA8"/>
    <w:rsid w:val="00850401"/>
    <w:rsid w:val="00852214"/>
    <w:rsid w:val="00852236"/>
    <w:rsid w:val="00854CE7"/>
    <w:rsid w:val="00856E9A"/>
    <w:rsid w:val="00857D13"/>
    <w:rsid w:val="0086085C"/>
    <w:rsid w:val="008637F9"/>
    <w:rsid w:val="00864AE8"/>
    <w:rsid w:val="00870271"/>
    <w:rsid w:val="00870861"/>
    <w:rsid w:val="0087247A"/>
    <w:rsid w:val="00876CFA"/>
    <w:rsid w:val="00876F3C"/>
    <w:rsid w:val="00880CB3"/>
    <w:rsid w:val="00881D2E"/>
    <w:rsid w:val="00882874"/>
    <w:rsid w:val="00883714"/>
    <w:rsid w:val="00883787"/>
    <w:rsid w:val="00884692"/>
    <w:rsid w:val="00885548"/>
    <w:rsid w:val="00885B75"/>
    <w:rsid w:val="008963A5"/>
    <w:rsid w:val="008971EF"/>
    <w:rsid w:val="008A028F"/>
    <w:rsid w:val="008A08E2"/>
    <w:rsid w:val="008A0DAA"/>
    <w:rsid w:val="008A3C3E"/>
    <w:rsid w:val="008A4970"/>
    <w:rsid w:val="008A5C27"/>
    <w:rsid w:val="008A79DE"/>
    <w:rsid w:val="008B1F58"/>
    <w:rsid w:val="008B2A12"/>
    <w:rsid w:val="008B7D7E"/>
    <w:rsid w:val="008C331D"/>
    <w:rsid w:val="008C449D"/>
    <w:rsid w:val="008C7ECB"/>
    <w:rsid w:val="008D2F2F"/>
    <w:rsid w:val="008D32E6"/>
    <w:rsid w:val="008D61B0"/>
    <w:rsid w:val="008D7DE3"/>
    <w:rsid w:val="008E1A65"/>
    <w:rsid w:val="008E1B9E"/>
    <w:rsid w:val="008E2E5E"/>
    <w:rsid w:val="008E4DC6"/>
    <w:rsid w:val="008E5440"/>
    <w:rsid w:val="008F262C"/>
    <w:rsid w:val="008F48EB"/>
    <w:rsid w:val="008F4F0B"/>
    <w:rsid w:val="008F6207"/>
    <w:rsid w:val="008F627C"/>
    <w:rsid w:val="008F722B"/>
    <w:rsid w:val="009010C2"/>
    <w:rsid w:val="0090130C"/>
    <w:rsid w:val="0090361A"/>
    <w:rsid w:val="00903A0A"/>
    <w:rsid w:val="00904515"/>
    <w:rsid w:val="0090522C"/>
    <w:rsid w:val="009062A5"/>
    <w:rsid w:val="00911272"/>
    <w:rsid w:val="00912E36"/>
    <w:rsid w:val="00914CDE"/>
    <w:rsid w:val="00914D48"/>
    <w:rsid w:val="00917472"/>
    <w:rsid w:val="009221F8"/>
    <w:rsid w:val="009225C6"/>
    <w:rsid w:val="00922E64"/>
    <w:rsid w:val="0092486A"/>
    <w:rsid w:val="00925029"/>
    <w:rsid w:val="00927298"/>
    <w:rsid w:val="00927951"/>
    <w:rsid w:val="00937F60"/>
    <w:rsid w:val="00944EBD"/>
    <w:rsid w:val="00945D81"/>
    <w:rsid w:val="00947E36"/>
    <w:rsid w:val="009524ED"/>
    <w:rsid w:val="009530DB"/>
    <w:rsid w:val="00953941"/>
    <w:rsid w:val="00954494"/>
    <w:rsid w:val="00960289"/>
    <w:rsid w:val="00961AF9"/>
    <w:rsid w:val="00962CB9"/>
    <w:rsid w:val="00962DE5"/>
    <w:rsid w:val="00964312"/>
    <w:rsid w:val="00964460"/>
    <w:rsid w:val="00964E19"/>
    <w:rsid w:val="009663C9"/>
    <w:rsid w:val="00972C5E"/>
    <w:rsid w:val="00974073"/>
    <w:rsid w:val="00974609"/>
    <w:rsid w:val="00975752"/>
    <w:rsid w:val="00977599"/>
    <w:rsid w:val="00977D2D"/>
    <w:rsid w:val="0098002F"/>
    <w:rsid w:val="00982926"/>
    <w:rsid w:val="00983E57"/>
    <w:rsid w:val="00985386"/>
    <w:rsid w:val="00986EA6"/>
    <w:rsid w:val="00987351"/>
    <w:rsid w:val="0099185F"/>
    <w:rsid w:val="00994BEA"/>
    <w:rsid w:val="00996B1A"/>
    <w:rsid w:val="00997606"/>
    <w:rsid w:val="0099777E"/>
    <w:rsid w:val="009A1997"/>
    <w:rsid w:val="009A2FE3"/>
    <w:rsid w:val="009A5C3D"/>
    <w:rsid w:val="009A637D"/>
    <w:rsid w:val="009B002A"/>
    <w:rsid w:val="009B1F30"/>
    <w:rsid w:val="009B2403"/>
    <w:rsid w:val="009B3E26"/>
    <w:rsid w:val="009B5B4A"/>
    <w:rsid w:val="009D05B6"/>
    <w:rsid w:val="009D0A82"/>
    <w:rsid w:val="009D13BC"/>
    <w:rsid w:val="009D3979"/>
    <w:rsid w:val="009D5B91"/>
    <w:rsid w:val="009D5D58"/>
    <w:rsid w:val="009E1C88"/>
    <w:rsid w:val="009E1D05"/>
    <w:rsid w:val="009E3862"/>
    <w:rsid w:val="009E4C07"/>
    <w:rsid w:val="009E5DDE"/>
    <w:rsid w:val="009F0614"/>
    <w:rsid w:val="009F1E6A"/>
    <w:rsid w:val="009F4484"/>
    <w:rsid w:val="00A00870"/>
    <w:rsid w:val="00A03D43"/>
    <w:rsid w:val="00A04380"/>
    <w:rsid w:val="00A05DCC"/>
    <w:rsid w:val="00A13948"/>
    <w:rsid w:val="00A14AD5"/>
    <w:rsid w:val="00A17B78"/>
    <w:rsid w:val="00A202CF"/>
    <w:rsid w:val="00A22898"/>
    <w:rsid w:val="00A241AA"/>
    <w:rsid w:val="00A268AB"/>
    <w:rsid w:val="00A269AA"/>
    <w:rsid w:val="00A26BB7"/>
    <w:rsid w:val="00A27AEC"/>
    <w:rsid w:val="00A3018C"/>
    <w:rsid w:val="00A3054B"/>
    <w:rsid w:val="00A3289D"/>
    <w:rsid w:val="00A33D64"/>
    <w:rsid w:val="00A35D16"/>
    <w:rsid w:val="00A37412"/>
    <w:rsid w:val="00A4079F"/>
    <w:rsid w:val="00A40F05"/>
    <w:rsid w:val="00A43C59"/>
    <w:rsid w:val="00A44944"/>
    <w:rsid w:val="00A44ADB"/>
    <w:rsid w:val="00A46763"/>
    <w:rsid w:val="00A46D24"/>
    <w:rsid w:val="00A46F81"/>
    <w:rsid w:val="00A478E4"/>
    <w:rsid w:val="00A50CF2"/>
    <w:rsid w:val="00A50ECD"/>
    <w:rsid w:val="00A52729"/>
    <w:rsid w:val="00A531C0"/>
    <w:rsid w:val="00A53675"/>
    <w:rsid w:val="00A54E9F"/>
    <w:rsid w:val="00A56B6A"/>
    <w:rsid w:val="00A578DC"/>
    <w:rsid w:val="00A602DD"/>
    <w:rsid w:val="00A645DC"/>
    <w:rsid w:val="00A6725B"/>
    <w:rsid w:val="00A71FAA"/>
    <w:rsid w:val="00A722AE"/>
    <w:rsid w:val="00A746FF"/>
    <w:rsid w:val="00A753B8"/>
    <w:rsid w:val="00A81031"/>
    <w:rsid w:val="00A823E2"/>
    <w:rsid w:val="00A824DD"/>
    <w:rsid w:val="00A83BB8"/>
    <w:rsid w:val="00A83FE1"/>
    <w:rsid w:val="00A86E8B"/>
    <w:rsid w:val="00A90D0A"/>
    <w:rsid w:val="00A93072"/>
    <w:rsid w:val="00AA0A07"/>
    <w:rsid w:val="00AA2C13"/>
    <w:rsid w:val="00AA39B4"/>
    <w:rsid w:val="00AA7FB4"/>
    <w:rsid w:val="00AB000A"/>
    <w:rsid w:val="00AB042A"/>
    <w:rsid w:val="00AB07CF"/>
    <w:rsid w:val="00AB3430"/>
    <w:rsid w:val="00AB4506"/>
    <w:rsid w:val="00AB78C9"/>
    <w:rsid w:val="00AB7CFA"/>
    <w:rsid w:val="00AC13CE"/>
    <w:rsid w:val="00AC1905"/>
    <w:rsid w:val="00AC3D0F"/>
    <w:rsid w:val="00AC5268"/>
    <w:rsid w:val="00AC53ED"/>
    <w:rsid w:val="00AD1687"/>
    <w:rsid w:val="00AD3ECA"/>
    <w:rsid w:val="00AD4D2D"/>
    <w:rsid w:val="00AD63E8"/>
    <w:rsid w:val="00AD71FA"/>
    <w:rsid w:val="00AD73CE"/>
    <w:rsid w:val="00AE48C4"/>
    <w:rsid w:val="00AE5440"/>
    <w:rsid w:val="00AE548C"/>
    <w:rsid w:val="00AF08E4"/>
    <w:rsid w:val="00AF0E6F"/>
    <w:rsid w:val="00AF44CF"/>
    <w:rsid w:val="00B00224"/>
    <w:rsid w:val="00B01EC5"/>
    <w:rsid w:val="00B03080"/>
    <w:rsid w:val="00B04782"/>
    <w:rsid w:val="00B05250"/>
    <w:rsid w:val="00B06403"/>
    <w:rsid w:val="00B070DB"/>
    <w:rsid w:val="00B075CD"/>
    <w:rsid w:val="00B13482"/>
    <w:rsid w:val="00B13A20"/>
    <w:rsid w:val="00B16339"/>
    <w:rsid w:val="00B2033D"/>
    <w:rsid w:val="00B27C8D"/>
    <w:rsid w:val="00B3274C"/>
    <w:rsid w:val="00B358BD"/>
    <w:rsid w:val="00B35D6A"/>
    <w:rsid w:val="00B3766A"/>
    <w:rsid w:val="00B4054C"/>
    <w:rsid w:val="00B409E6"/>
    <w:rsid w:val="00B41832"/>
    <w:rsid w:val="00B41FC6"/>
    <w:rsid w:val="00B42851"/>
    <w:rsid w:val="00B4737C"/>
    <w:rsid w:val="00B47F19"/>
    <w:rsid w:val="00B51701"/>
    <w:rsid w:val="00B51A88"/>
    <w:rsid w:val="00B54462"/>
    <w:rsid w:val="00B54B5B"/>
    <w:rsid w:val="00B5562E"/>
    <w:rsid w:val="00B55DBB"/>
    <w:rsid w:val="00B56C92"/>
    <w:rsid w:val="00B57000"/>
    <w:rsid w:val="00B57089"/>
    <w:rsid w:val="00B574F7"/>
    <w:rsid w:val="00B608CF"/>
    <w:rsid w:val="00B60939"/>
    <w:rsid w:val="00B60AFD"/>
    <w:rsid w:val="00B61805"/>
    <w:rsid w:val="00B62715"/>
    <w:rsid w:val="00B646C6"/>
    <w:rsid w:val="00B6669F"/>
    <w:rsid w:val="00B70C79"/>
    <w:rsid w:val="00B716F8"/>
    <w:rsid w:val="00B72195"/>
    <w:rsid w:val="00B724C0"/>
    <w:rsid w:val="00B73A9D"/>
    <w:rsid w:val="00B77A3A"/>
    <w:rsid w:val="00B80DC5"/>
    <w:rsid w:val="00B81691"/>
    <w:rsid w:val="00B81761"/>
    <w:rsid w:val="00B818A4"/>
    <w:rsid w:val="00B81B7F"/>
    <w:rsid w:val="00B82142"/>
    <w:rsid w:val="00B82350"/>
    <w:rsid w:val="00B83537"/>
    <w:rsid w:val="00B845AF"/>
    <w:rsid w:val="00B85C85"/>
    <w:rsid w:val="00B8649C"/>
    <w:rsid w:val="00B92D0B"/>
    <w:rsid w:val="00B94559"/>
    <w:rsid w:val="00B946B8"/>
    <w:rsid w:val="00B94945"/>
    <w:rsid w:val="00B96AC0"/>
    <w:rsid w:val="00BA5F35"/>
    <w:rsid w:val="00BB277C"/>
    <w:rsid w:val="00BB42EB"/>
    <w:rsid w:val="00BB67B3"/>
    <w:rsid w:val="00BB6F62"/>
    <w:rsid w:val="00BC5277"/>
    <w:rsid w:val="00BC57AC"/>
    <w:rsid w:val="00BC6FF2"/>
    <w:rsid w:val="00BC7774"/>
    <w:rsid w:val="00BD25A1"/>
    <w:rsid w:val="00BD4F09"/>
    <w:rsid w:val="00BD588C"/>
    <w:rsid w:val="00BD770B"/>
    <w:rsid w:val="00BE2180"/>
    <w:rsid w:val="00BE4275"/>
    <w:rsid w:val="00BE6EB3"/>
    <w:rsid w:val="00BE7DC2"/>
    <w:rsid w:val="00BF057F"/>
    <w:rsid w:val="00BF1A8F"/>
    <w:rsid w:val="00BF1D0F"/>
    <w:rsid w:val="00BF23ED"/>
    <w:rsid w:val="00BF2433"/>
    <w:rsid w:val="00BF3B06"/>
    <w:rsid w:val="00BF54D0"/>
    <w:rsid w:val="00BF5F2F"/>
    <w:rsid w:val="00BF61C9"/>
    <w:rsid w:val="00BF7473"/>
    <w:rsid w:val="00C00E06"/>
    <w:rsid w:val="00C023B5"/>
    <w:rsid w:val="00C04146"/>
    <w:rsid w:val="00C0574C"/>
    <w:rsid w:val="00C108D8"/>
    <w:rsid w:val="00C11CF9"/>
    <w:rsid w:val="00C14082"/>
    <w:rsid w:val="00C149E8"/>
    <w:rsid w:val="00C1791E"/>
    <w:rsid w:val="00C211B9"/>
    <w:rsid w:val="00C221C9"/>
    <w:rsid w:val="00C22793"/>
    <w:rsid w:val="00C229B5"/>
    <w:rsid w:val="00C22C18"/>
    <w:rsid w:val="00C23818"/>
    <w:rsid w:val="00C25418"/>
    <w:rsid w:val="00C25D9C"/>
    <w:rsid w:val="00C31649"/>
    <w:rsid w:val="00C33671"/>
    <w:rsid w:val="00C35563"/>
    <w:rsid w:val="00C35D44"/>
    <w:rsid w:val="00C40385"/>
    <w:rsid w:val="00C468E0"/>
    <w:rsid w:val="00C47F2A"/>
    <w:rsid w:val="00C53DE1"/>
    <w:rsid w:val="00C55453"/>
    <w:rsid w:val="00C56E86"/>
    <w:rsid w:val="00C65576"/>
    <w:rsid w:val="00C66165"/>
    <w:rsid w:val="00C6763E"/>
    <w:rsid w:val="00C70726"/>
    <w:rsid w:val="00C7358E"/>
    <w:rsid w:val="00C73D63"/>
    <w:rsid w:val="00C75111"/>
    <w:rsid w:val="00C76467"/>
    <w:rsid w:val="00C765A0"/>
    <w:rsid w:val="00C807AB"/>
    <w:rsid w:val="00C80B64"/>
    <w:rsid w:val="00C8213F"/>
    <w:rsid w:val="00C83D84"/>
    <w:rsid w:val="00C84104"/>
    <w:rsid w:val="00C85624"/>
    <w:rsid w:val="00C8797A"/>
    <w:rsid w:val="00C87F6A"/>
    <w:rsid w:val="00C90469"/>
    <w:rsid w:val="00C9171C"/>
    <w:rsid w:val="00C9173D"/>
    <w:rsid w:val="00C91AED"/>
    <w:rsid w:val="00C938CF"/>
    <w:rsid w:val="00CA0E4D"/>
    <w:rsid w:val="00CA3C02"/>
    <w:rsid w:val="00CA5245"/>
    <w:rsid w:val="00CA6563"/>
    <w:rsid w:val="00CA7B09"/>
    <w:rsid w:val="00CB0E78"/>
    <w:rsid w:val="00CB3897"/>
    <w:rsid w:val="00CB4F1C"/>
    <w:rsid w:val="00CB5B1A"/>
    <w:rsid w:val="00CB74A3"/>
    <w:rsid w:val="00CC126D"/>
    <w:rsid w:val="00CC238E"/>
    <w:rsid w:val="00CC2447"/>
    <w:rsid w:val="00CC3517"/>
    <w:rsid w:val="00CC57AD"/>
    <w:rsid w:val="00CD1250"/>
    <w:rsid w:val="00CD1945"/>
    <w:rsid w:val="00CD29A2"/>
    <w:rsid w:val="00CD6ADC"/>
    <w:rsid w:val="00CD6F19"/>
    <w:rsid w:val="00CE023F"/>
    <w:rsid w:val="00CE6274"/>
    <w:rsid w:val="00CE7640"/>
    <w:rsid w:val="00CF2B3A"/>
    <w:rsid w:val="00CF456B"/>
    <w:rsid w:val="00CF4BF2"/>
    <w:rsid w:val="00CF5A22"/>
    <w:rsid w:val="00CF5DE8"/>
    <w:rsid w:val="00CF5FEC"/>
    <w:rsid w:val="00D00275"/>
    <w:rsid w:val="00D00A1E"/>
    <w:rsid w:val="00D00FCE"/>
    <w:rsid w:val="00D0262E"/>
    <w:rsid w:val="00D04C42"/>
    <w:rsid w:val="00D06FD4"/>
    <w:rsid w:val="00D0711B"/>
    <w:rsid w:val="00D071A5"/>
    <w:rsid w:val="00D110BD"/>
    <w:rsid w:val="00D12AF5"/>
    <w:rsid w:val="00D13C5C"/>
    <w:rsid w:val="00D144B6"/>
    <w:rsid w:val="00D1737C"/>
    <w:rsid w:val="00D17D6C"/>
    <w:rsid w:val="00D20C0D"/>
    <w:rsid w:val="00D24BE1"/>
    <w:rsid w:val="00D26CDA"/>
    <w:rsid w:val="00D27A34"/>
    <w:rsid w:val="00D30357"/>
    <w:rsid w:val="00D31FEF"/>
    <w:rsid w:val="00D33954"/>
    <w:rsid w:val="00D350DC"/>
    <w:rsid w:val="00D41E1E"/>
    <w:rsid w:val="00D43A4B"/>
    <w:rsid w:val="00D448A9"/>
    <w:rsid w:val="00D52F88"/>
    <w:rsid w:val="00D546BB"/>
    <w:rsid w:val="00D57CED"/>
    <w:rsid w:val="00D61531"/>
    <w:rsid w:val="00D624D8"/>
    <w:rsid w:val="00D636B9"/>
    <w:rsid w:val="00D6471B"/>
    <w:rsid w:val="00D67E28"/>
    <w:rsid w:val="00D71667"/>
    <w:rsid w:val="00D739AF"/>
    <w:rsid w:val="00D744A9"/>
    <w:rsid w:val="00D76A44"/>
    <w:rsid w:val="00D81DC8"/>
    <w:rsid w:val="00D826A3"/>
    <w:rsid w:val="00D850BD"/>
    <w:rsid w:val="00D8521B"/>
    <w:rsid w:val="00D85D6C"/>
    <w:rsid w:val="00D85D9B"/>
    <w:rsid w:val="00D87432"/>
    <w:rsid w:val="00D93753"/>
    <w:rsid w:val="00D93CD5"/>
    <w:rsid w:val="00D9440C"/>
    <w:rsid w:val="00D97B32"/>
    <w:rsid w:val="00DA0CC2"/>
    <w:rsid w:val="00DA31DA"/>
    <w:rsid w:val="00DA3A12"/>
    <w:rsid w:val="00DA453F"/>
    <w:rsid w:val="00DA48CD"/>
    <w:rsid w:val="00DA4A13"/>
    <w:rsid w:val="00DA6098"/>
    <w:rsid w:val="00DA6944"/>
    <w:rsid w:val="00DA77A5"/>
    <w:rsid w:val="00DB0189"/>
    <w:rsid w:val="00DB057F"/>
    <w:rsid w:val="00DB2644"/>
    <w:rsid w:val="00DB4C89"/>
    <w:rsid w:val="00DB7AD7"/>
    <w:rsid w:val="00DC5501"/>
    <w:rsid w:val="00DC63BB"/>
    <w:rsid w:val="00DD111F"/>
    <w:rsid w:val="00DD2072"/>
    <w:rsid w:val="00DD3DBB"/>
    <w:rsid w:val="00DD3F28"/>
    <w:rsid w:val="00DD4537"/>
    <w:rsid w:val="00DD4E15"/>
    <w:rsid w:val="00DD7003"/>
    <w:rsid w:val="00DE1362"/>
    <w:rsid w:val="00DE2FF8"/>
    <w:rsid w:val="00DE4AFF"/>
    <w:rsid w:val="00DE4FCB"/>
    <w:rsid w:val="00DE7258"/>
    <w:rsid w:val="00DF23D9"/>
    <w:rsid w:val="00DF2AD7"/>
    <w:rsid w:val="00DF55C9"/>
    <w:rsid w:val="00E016EA"/>
    <w:rsid w:val="00E03284"/>
    <w:rsid w:val="00E033F4"/>
    <w:rsid w:val="00E10149"/>
    <w:rsid w:val="00E1206D"/>
    <w:rsid w:val="00E1616E"/>
    <w:rsid w:val="00E16372"/>
    <w:rsid w:val="00E172B0"/>
    <w:rsid w:val="00E20ED6"/>
    <w:rsid w:val="00E21016"/>
    <w:rsid w:val="00E21358"/>
    <w:rsid w:val="00E2249B"/>
    <w:rsid w:val="00E2354F"/>
    <w:rsid w:val="00E24CF5"/>
    <w:rsid w:val="00E2771E"/>
    <w:rsid w:val="00E329E4"/>
    <w:rsid w:val="00E35428"/>
    <w:rsid w:val="00E37569"/>
    <w:rsid w:val="00E41E30"/>
    <w:rsid w:val="00E469F4"/>
    <w:rsid w:val="00E47B2C"/>
    <w:rsid w:val="00E50881"/>
    <w:rsid w:val="00E55219"/>
    <w:rsid w:val="00E55424"/>
    <w:rsid w:val="00E57522"/>
    <w:rsid w:val="00E57EC7"/>
    <w:rsid w:val="00E60144"/>
    <w:rsid w:val="00E6035A"/>
    <w:rsid w:val="00E61FB1"/>
    <w:rsid w:val="00E64022"/>
    <w:rsid w:val="00E65614"/>
    <w:rsid w:val="00E65E79"/>
    <w:rsid w:val="00E67416"/>
    <w:rsid w:val="00E70FED"/>
    <w:rsid w:val="00E718B6"/>
    <w:rsid w:val="00E72A0B"/>
    <w:rsid w:val="00E73581"/>
    <w:rsid w:val="00E73777"/>
    <w:rsid w:val="00E82E6F"/>
    <w:rsid w:val="00E83BDF"/>
    <w:rsid w:val="00E83BF3"/>
    <w:rsid w:val="00E87251"/>
    <w:rsid w:val="00E9095D"/>
    <w:rsid w:val="00E90B34"/>
    <w:rsid w:val="00E92CE2"/>
    <w:rsid w:val="00E92D38"/>
    <w:rsid w:val="00E95C63"/>
    <w:rsid w:val="00E95D7E"/>
    <w:rsid w:val="00E97B46"/>
    <w:rsid w:val="00EA3864"/>
    <w:rsid w:val="00EA4BA6"/>
    <w:rsid w:val="00EB28CA"/>
    <w:rsid w:val="00EB3C1E"/>
    <w:rsid w:val="00EB3F59"/>
    <w:rsid w:val="00EB4AA8"/>
    <w:rsid w:val="00EB5911"/>
    <w:rsid w:val="00EC00C9"/>
    <w:rsid w:val="00EC15CA"/>
    <w:rsid w:val="00EC1F42"/>
    <w:rsid w:val="00EC5EBF"/>
    <w:rsid w:val="00EC793F"/>
    <w:rsid w:val="00EC7F81"/>
    <w:rsid w:val="00ED00C8"/>
    <w:rsid w:val="00ED20B7"/>
    <w:rsid w:val="00ED3BB8"/>
    <w:rsid w:val="00EE07D3"/>
    <w:rsid w:val="00EE4CA7"/>
    <w:rsid w:val="00EF1049"/>
    <w:rsid w:val="00EF46D3"/>
    <w:rsid w:val="00EF5DD8"/>
    <w:rsid w:val="00EF724B"/>
    <w:rsid w:val="00F037F9"/>
    <w:rsid w:val="00F04E55"/>
    <w:rsid w:val="00F058C9"/>
    <w:rsid w:val="00F067A2"/>
    <w:rsid w:val="00F07613"/>
    <w:rsid w:val="00F10969"/>
    <w:rsid w:val="00F1104B"/>
    <w:rsid w:val="00F132D0"/>
    <w:rsid w:val="00F21EA9"/>
    <w:rsid w:val="00F23E4B"/>
    <w:rsid w:val="00F241B6"/>
    <w:rsid w:val="00F24837"/>
    <w:rsid w:val="00F2575F"/>
    <w:rsid w:val="00F258EB"/>
    <w:rsid w:val="00F25DF7"/>
    <w:rsid w:val="00F25E17"/>
    <w:rsid w:val="00F261CD"/>
    <w:rsid w:val="00F26929"/>
    <w:rsid w:val="00F301EF"/>
    <w:rsid w:val="00F32013"/>
    <w:rsid w:val="00F338FF"/>
    <w:rsid w:val="00F33DE9"/>
    <w:rsid w:val="00F35BC5"/>
    <w:rsid w:val="00F3619A"/>
    <w:rsid w:val="00F40DBD"/>
    <w:rsid w:val="00F419BE"/>
    <w:rsid w:val="00F42C00"/>
    <w:rsid w:val="00F46CB6"/>
    <w:rsid w:val="00F46EA4"/>
    <w:rsid w:val="00F47EB0"/>
    <w:rsid w:val="00F5018C"/>
    <w:rsid w:val="00F52403"/>
    <w:rsid w:val="00F55E73"/>
    <w:rsid w:val="00F64DF3"/>
    <w:rsid w:val="00F66242"/>
    <w:rsid w:val="00F668BE"/>
    <w:rsid w:val="00F725BB"/>
    <w:rsid w:val="00F7391B"/>
    <w:rsid w:val="00F75DB2"/>
    <w:rsid w:val="00F80E5D"/>
    <w:rsid w:val="00F82246"/>
    <w:rsid w:val="00F82DF0"/>
    <w:rsid w:val="00F851CE"/>
    <w:rsid w:val="00F85AFA"/>
    <w:rsid w:val="00F90E9E"/>
    <w:rsid w:val="00F90EF4"/>
    <w:rsid w:val="00F914B1"/>
    <w:rsid w:val="00F97A78"/>
    <w:rsid w:val="00FA02F0"/>
    <w:rsid w:val="00FA0E95"/>
    <w:rsid w:val="00FA642B"/>
    <w:rsid w:val="00FA6EFC"/>
    <w:rsid w:val="00FA7158"/>
    <w:rsid w:val="00FA797D"/>
    <w:rsid w:val="00FB21E7"/>
    <w:rsid w:val="00FB2FCB"/>
    <w:rsid w:val="00FC04B7"/>
    <w:rsid w:val="00FC0D59"/>
    <w:rsid w:val="00FC1074"/>
    <w:rsid w:val="00FC1884"/>
    <w:rsid w:val="00FC3C23"/>
    <w:rsid w:val="00FC59E0"/>
    <w:rsid w:val="00FC7873"/>
    <w:rsid w:val="00FC7C2B"/>
    <w:rsid w:val="00FC7DB9"/>
    <w:rsid w:val="00FD0FDF"/>
    <w:rsid w:val="00FD2100"/>
    <w:rsid w:val="00FD34A1"/>
    <w:rsid w:val="00FD446D"/>
    <w:rsid w:val="00FD45D3"/>
    <w:rsid w:val="00FD4B3D"/>
    <w:rsid w:val="00FD58AA"/>
    <w:rsid w:val="00FD6CC2"/>
    <w:rsid w:val="00FE37FE"/>
    <w:rsid w:val="00FE70B2"/>
    <w:rsid w:val="00FF1619"/>
    <w:rsid w:val="00FF2A85"/>
    <w:rsid w:val="00FF3DCF"/>
    <w:rsid w:val="00FF5AA3"/>
    <w:rsid w:val="00FF61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9"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aliases w:val="H3,Heading h3,h3,Don 3,Heading 3x,p3 Char"/>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Caption Char1,c"/>
    <w:basedOn w:val="TableHeading"/>
    <w:next w:val="Normal"/>
    <w:link w:val="CaptionChar"/>
    <w:uiPriority w:val="35"/>
    <w:unhideWhenUsed/>
    <w:qFormat/>
    <w:rsid w:val="000B4E62"/>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c Char"/>
    <w:link w:val="Caption"/>
    <w:uiPriority w:val="35"/>
    <w:rsid w:val="000B4E62"/>
    <w:rPr>
      <w:rFonts w:ascii="Arial Narrow" w:eastAsiaTheme="minorHAnsi" w:hAnsi="Arial Narrow" w:cstheme="minorBidi"/>
      <w:b/>
      <w:szCs w:val="22"/>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BC6FF2"/>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05-NormalBodyTextChar"/>
    <w:qFormat/>
    <w:rsid w:val="00E2771E"/>
    <w:rPr>
      <w:rFonts w:ascii="Arial Narrow" w:eastAsia="MS PMincho" w:hAnsi="Arial Narrow"/>
      <w:b/>
      <w:sz w:val="20"/>
      <w:szCs w:val="16"/>
      <w:lang w:eastAsia="en-US"/>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uiPriority w:val="9"/>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B96AC0"/>
    <w:pPr>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Lines/>
      <w:spacing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824BC8"/>
    <w:pPr>
      <w:numPr>
        <w:numId w:val="3"/>
      </w:numPr>
      <w:outlineLvl w:val="0"/>
    </w:pPr>
    <w:rPr>
      <w:rFonts w:asciiTheme="minorHAnsi" w:hAnsiTheme="minorHAnsi" w:cs="Arial"/>
      <w:b/>
      <w:snapToGrid w:val="0"/>
      <w:sz w:val="32"/>
      <w:szCs w:val="22"/>
      <w:lang w:eastAsia="en-US"/>
    </w:rPr>
  </w:style>
  <w:style w:type="paragraph" w:customStyle="1" w:styleId="TableNotes">
    <w:name w:val="TableNotes"/>
    <w:basedOn w:val="Normal"/>
    <w:link w:val="TableNotesChar"/>
    <w:qFormat/>
    <w:rsid w:val="00506EBB"/>
    <w:pPr>
      <w:keepNext/>
      <w:widowControl/>
      <w:tabs>
        <w:tab w:val="left" w:pos="1559"/>
      </w:tabs>
      <w:spacing w:after="240"/>
      <w:contextualSpacing/>
      <w:jc w:val="left"/>
    </w:pPr>
    <w:rPr>
      <w:rFonts w:ascii="Calibri" w:eastAsia="SimSun" w:hAnsi="Calibri" w:cs="Times New Roman"/>
      <w:snapToGrid/>
      <w:sz w:val="16"/>
      <w:lang w:eastAsia="zh-CN"/>
    </w:rPr>
  </w:style>
  <w:style w:type="character" w:customStyle="1" w:styleId="TableNotesChar">
    <w:name w:val="TableNotes Char"/>
    <w:link w:val="TableNotes"/>
    <w:rsid w:val="00506EBB"/>
    <w:rPr>
      <w:rFonts w:ascii="Calibri" w:eastAsia="SimSun" w:hAnsi="Calibri"/>
      <w:sz w:val="16"/>
      <w:lang w:eastAsia="zh-CN"/>
    </w:rPr>
  </w:style>
  <w:style w:type="character" w:styleId="Emphasis">
    <w:name w:val="Emphasis"/>
    <w:basedOn w:val="DefaultParagraphFont"/>
    <w:uiPriority w:val="20"/>
    <w:qFormat/>
    <w:rsid w:val="00467929"/>
    <w:rPr>
      <w:i/>
      <w:iCs/>
    </w:rPr>
  </w:style>
  <w:style w:type="character" w:customStyle="1" w:styleId="inline-comment-marker">
    <w:name w:val="inline-comment-marker"/>
    <w:basedOn w:val="DefaultParagraphFont"/>
    <w:rsid w:val="00467929"/>
  </w:style>
  <w:style w:type="character" w:customStyle="1" w:styleId="ListParagraphChar">
    <w:name w:val="List Paragraph Char"/>
    <w:aliases w:val="BulletPoints Char"/>
    <w:link w:val="ListParagraph"/>
    <w:uiPriority w:val="72"/>
    <w:rsid w:val="00BC6FF2"/>
    <w:rPr>
      <w:rFonts w:ascii="Arial" w:hAnsi="Arial" w:cs="Arial"/>
      <w:snapToGrid w:val="0"/>
      <w:sz w:val="22"/>
      <w:lang w:eastAsia="en-US"/>
    </w:rPr>
  </w:style>
  <w:style w:type="table" w:customStyle="1" w:styleId="TableGrid1">
    <w:name w:val="Table Grid1"/>
    <w:basedOn w:val="TableNormal"/>
    <w:next w:val="TableGrid"/>
    <w:uiPriority w:val="59"/>
    <w:rsid w:val="00B05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uiPriority w:val="7"/>
    <w:qFormat/>
    <w:rsid w:val="00B724C0"/>
    <w:pPr>
      <w:snapToGrid w:val="0"/>
      <w:ind w:left="720" w:hanging="720"/>
    </w:pPr>
    <w:rPr>
      <w:rFonts w:ascii="Arial" w:hAnsi="Arial" w:cs="Arial"/>
      <w:b/>
      <w:sz w:val="22"/>
      <w:szCs w:val="22"/>
      <w:lang w:eastAsia="en-US"/>
    </w:rPr>
  </w:style>
  <w:style w:type="paragraph" w:styleId="FootnoteText">
    <w:name w:val="footnote text"/>
    <w:basedOn w:val="Normal"/>
    <w:link w:val="FootnoteTextChar"/>
    <w:unhideWhenUsed/>
    <w:rsid w:val="004619E2"/>
    <w:rPr>
      <w:sz w:val="20"/>
    </w:rPr>
  </w:style>
  <w:style w:type="character" w:customStyle="1" w:styleId="FootnoteTextChar">
    <w:name w:val="Footnote Text Char"/>
    <w:basedOn w:val="DefaultParagraphFont"/>
    <w:link w:val="FootnoteText"/>
    <w:rsid w:val="004619E2"/>
    <w:rPr>
      <w:rFonts w:ascii="Arial" w:hAnsi="Arial" w:cs="Arial"/>
      <w:snapToGrid w:val="0"/>
      <w:lang w:eastAsia="en-US"/>
    </w:rPr>
  </w:style>
  <w:style w:type="character" w:styleId="FootnoteReference">
    <w:name w:val="footnote reference"/>
    <w:basedOn w:val="DefaultParagraphFont"/>
    <w:unhideWhenUsed/>
    <w:rsid w:val="004619E2"/>
    <w:rPr>
      <w:vertAlign w:val="superscript"/>
    </w:rPr>
  </w:style>
  <w:style w:type="character" w:customStyle="1" w:styleId="tgc">
    <w:name w:val="_tgc"/>
    <w:basedOn w:val="DefaultParagraphFont"/>
    <w:rsid w:val="00BB42EB"/>
  </w:style>
  <w:style w:type="paragraph" w:customStyle="1" w:styleId="StyleCaptionIBCaptionMedicalCaptionCaptionCharMedicalCapti">
    <w:name w:val="Style CaptionIB CaptionMedical CaptionCaption CharMedical Capti..."/>
    <w:basedOn w:val="Normal"/>
    <w:rsid w:val="00C6763E"/>
    <w:pPr>
      <w:widowControl/>
      <w:spacing w:before="120" w:after="120"/>
      <w:jc w:val="left"/>
    </w:pPr>
    <w:rPr>
      <w:rFonts w:ascii="Calibri" w:eastAsia="SimSun" w:hAnsi="Calibri" w:cs="Times New Roman"/>
      <w:b/>
      <w:bCs/>
      <w:snapToGrid/>
      <w:sz w:val="24"/>
    </w:rPr>
  </w:style>
  <w:style w:type="paragraph" w:customStyle="1" w:styleId="TableorfigureAbbreviationsandSource">
    <w:name w:val="Table or figure Abbreviations and Source"/>
    <w:next w:val="Normal"/>
    <w:qFormat/>
    <w:rsid w:val="00D850BD"/>
    <w:pPr>
      <w:spacing w:after="240"/>
      <w:contextualSpacing/>
    </w:pPr>
    <w:rPr>
      <w:rFonts w:ascii="Calibri" w:eastAsia="Calibri" w:hAnsi="Calibri"/>
      <w:sz w:val="16"/>
      <w:szCs w:val="22"/>
      <w:lang w:eastAsia="zh-CN"/>
    </w:rPr>
  </w:style>
  <w:style w:type="character" w:customStyle="1" w:styleId="TableTextChar0">
    <w:name w:val="TableText Char"/>
    <w:link w:val="TableText0"/>
    <w:rsid w:val="00B96AC0"/>
    <w:rPr>
      <w:rFonts w:ascii="Arial Narrow" w:hAnsi="Arial Narrow" w:cs="Arial Narrow"/>
      <w:lang w:eastAsia="en-US"/>
    </w:rPr>
  </w:style>
  <w:style w:type="paragraph" w:customStyle="1" w:styleId="05-NormalBodyText">
    <w:name w:val="05 - Normal Body Text"/>
    <w:basedOn w:val="BodyText"/>
    <w:link w:val="05-NormalBodyTextChar"/>
    <w:qFormat/>
    <w:rsid w:val="0001111D"/>
    <w:pPr>
      <w:widowControl/>
      <w:spacing w:after="120"/>
    </w:pPr>
    <w:rPr>
      <w:rFonts w:asciiTheme="minorHAnsi" w:eastAsia="MS PMincho" w:hAnsiTheme="minorHAnsi" w:cs="Times New Roman"/>
      <w:snapToGrid/>
      <w:szCs w:val="24"/>
    </w:rPr>
  </w:style>
  <w:style w:type="character" w:customStyle="1" w:styleId="05-NormalBodyTextChar">
    <w:name w:val="05 - Normal Body Text Char"/>
    <w:link w:val="05-NormalBodyText"/>
    <w:rsid w:val="0001111D"/>
    <w:rPr>
      <w:rFonts w:asciiTheme="minorHAnsi" w:eastAsia="MS PMincho" w:hAnsiTheme="minorHAnsi"/>
      <w:sz w:val="22"/>
      <w:szCs w:val="24"/>
      <w:lang w:eastAsia="en-US"/>
    </w:rPr>
  </w:style>
  <w:style w:type="character" w:styleId="Strong">
    <w:name w:val="Strong"/>
    <w:basedOn w:val="DefaultParagraphFont"/>
    <w:uiPriority w:val="22"/>
    <w:qFormat/>
    <w:rsid w:val="0001111D"/>
    <w:rPr>
      <w:b/>
      <w:bCs/>
    </w:rPr>
  </w:style>
  <w:style w:type="character" w:customStyle="1" w:styleId="Heading1Char">
    <w:name w:val="Heading 1 Char"/>
    <w:basedOn w:val="DefaultParagraphFont"/>
    <w:link w:val="Heading1"/>
    <w:uiPriority w:val="1"/>
    <w:rsid w:val="00EC5EBF"/>
    <w:rPr>
      <w:rFonts w:ascii="Arial Bold" w:hAnsi="Arial Bold" w:cs="Arial"/>
      <w:b/>
      <w:caps/>
      <w:snapToGrid w:val="0"/>
      <w:sz w:val="22"/>
      <w:lang w:eastAsia="en-US"/>
    </w:rPr>
  </w:style>
  <w:style w:type="character" w:customStyle="1" w:styleId="Heading3Char">
    <w:name w:val="Heading 3 Char"/>
    <w:aliases w:val="H3 Char,Heading h3 Char,h3 Char,Don 3 Char,Heading 3x Char,p3 Char Char"/>
    <w:basedOn w:val="DefaultParagraphFont"/>
    <w:link w:val="Heading3"/>
    <w:uiPriority w:val="1"/>
    <w:rsid w:val="00EC5EBF"/>
    <w:rPr>
      <w:rFonts w:ascii="Arial" w:hAnsi="Arial" w:cs="Arial"/>
      <w:snapToGrid w:val="0"/>
      <w:sz w:val="22"/>
      <w:u w:val="single"/>
      <w:lang w:eastAsia="en-US"/>
    </w:rPr>
  </w:style>
  <w:style w:type="paragraph" w:customStyle="1" w:styleId="V50Heading2nonumbers">
    <w:name w:val="V5.0 Heading 2 no numbers"/>
    <w:basedOn w:val="Heading2"/>
    <w:qFormat/>
    <w:rsid w:val="00EC5EBF"/>
    <w:pPr>
      <w:keepNext/>
      <w:keepLines/>
      <w:widowControl/>
      <w:spacing w:before="240" w:after="120"/>
      <w:ind w:left="578" w:hanging="578"/>
    </w:pPr>
    <w:rPr>
      <w:rFonts w:asciiTheme="minorHAnsi" w:eastAsiaTheme="majorEastAsia" w:hAnsiTheme="minorHAnsi" w:cstheme="majorBidi"/>
      <w:i/>
      <w:snapToGrid/>
      <w:sz w:val="28"/>
      <w:szCs w:val="28"/>
    </w:rPr>
  </w:style>
  <w:style w:type="paragraph" w:customStyle="1" w:styleId="V50Instructions">
    <w:name w:val="V5.0 Instructions"/>
    <w:basedOn w:val="Normal"/>
    <w:link w:val="V50InstructionsChar"/>
    <w:qFormat/>
    <w:rsid w:val="00EC5EBF"/>
    <w:pPr>
      <w:widowControl/>
      <w:spacing w:before="120" w:after="160"/>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uiPriority w:val="5"/>
    <w:rsid w:val="00EC5EBF"/>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EC5EBF"/>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EC5EBF"/>
    <w:rPr>
      <w:rFonts w:ascii="Arial" w:hAnsi="Arial" w:cs="Arial"/>
      <w:b/>
      <w:bCs/>
      <w:i/>
      <w:snapToGrid w:val="0"/>
      <w:sz w:val="22"/>
      <w:szCs w:val="22"/>
      <w:lang w:eastAsia="en-US"/>
    </w:rPr>
  </w:style>
  <w:style w:type="paragraph" w:customStyle="1" w:styleId="V50Heading1nonumbers">
    <w:name w:val="V5.0 Heading 1 no numbers"/>
    <w:basedOn w:val="Heading1"/>
    <w:qFormat/>
    <w:rsid w:val="00EC5EBF"/>
    <w:pPr>
      <w:keepNext/>
      <w:keepLines/>
      <w:widowControl/>
      <w:spacing w:before="400" w:after="120"/>
      <w:ind w:left="0" w:firstLine="0"/>
    </w:pPr>
    <w:rPr>
      <w:rFonts w:asciiTheme="minorHAnsi" w:eastAsiaTheme="majorEastAsia" w:hAnsiTheme="minorHAnsi" w:cstheme="majorBidi"/>
      <w:caps w:val="0"/>
      <w:snapToGrid/>
      <w:sz w:val="32"/>
      <w:szCs w:val="28"/>
    </w:rPr>
  </w:style>
  <w:style w:type="paragraph" w:customStyle="1" w:styleId="V50TableText">
    <w:name w:val="V5.0 TableText"/>
    <w:link w:val="V50TableTextChar"/>
    <w:qFormat/>
    <w:rsid w:val="00EC5EBF"/>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EC5EBF"/>
    <w:rPr>
      <w:b/>
      <w:color w:val="4BACC6" w:themeColor="accent5"/>
    </w:rPr>
  </w:style>
  <w:style w:type="paragraph" w:customStyle="1" w:styleId="V50InstructionsBullets">
    <w:name w:val="V5.0 Instructions Bullets"/>
    <w:basedOn w:val="V50Instructions"/>
    <w:qFormat/>
    <w:rsid w:val="00EC5EBF"/>
    <w:pPr>
      <w:numPr>
        <w:numId w:val="4"/>
      </w:numPr>
      <w:tabs>
        <w:tab w:val="num" w:pos="0"/>
      </w:tabs>
      <w:spacing w:before="0" w:after="0"/>
      <w:ind w:left="714" w:hanging="357"/>
    </w:pPr>
  </w:style>
  <w:style w:type="table" w:customStyle="1" w:styleId="TableGridLight1">
    <w:name w:val="Table Grid Light1"/>
    <w:basedOn w:val="TableNormal"/>
    <w:uiPriority w:val="40"/>
    <w:rsid w:val="00EC5EB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C5EB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EC5EBF"/>
    <w:pPr>
      <w:keepNext/>
      <w:widowControl/>
      <w:spacing w:before="40" w:after="40"/>
    </w:pPr>
    <w:rPr>
      <w:rFonts w:ascii="Arial Narrow" w:eastAsiaTheme="minorHAnsi" w:hAnsi="Arial Narrow" w:cstheme="minorBidi"/>
      <w:snapToGrid/>
      <w:sz w:val="20"/>
      <w:szCs w:val="22"/>
    </w:rPr>
  </w:style>
  <w:style w:type="paragraph" w:customStyle="1" w:styleId="TableFigNoteLast">
    <w:name w:val="TableFigNote Last"/>
    <w:basedOn w:val="Normal"/>
    <w:qFormat/>
    <w:rsid w:val="00EC5EBF"/>
    <w:pPr>
      <w:widowControl/>
      <w:spacing w:after="360"/>
    </w:pPr>
    <w:rPr>
      <w:rFonts w:asciiTheme="minorHAnsi" w:eastAsiaTheme="minorHAnsi" w:hAnsiTheme="minorHAnsi" w:cstheme="minorBidi"/>
      <w:snapToGrid/>
      <w:sz w:val="18"/>
      <w:szCs w:val="22"/>
    </w:rPr>
  </w:style>
  <w:style w:type="paragraph" w:customStyle="1" w:styleId="TableHeading">
    <w:name w:val="Table Heading"/>
    <w:basedOn w:val="Normal"/>
    <w:qFormat/>
    <w:rsid w:val="00EC5EBF"/>
    <w:pPr>
      <w:keepNext/>
      <w:widowControl/>
      <w:spacing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EC5EBF"/>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EC5EBF"/>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EC5EBF"/>
    <w:pPr>
      <w:keepNext/>
    </w:pPr>
    <w:rPr>
      <w:b/>
    </w:rPr>
  </w:style>
  <w:style w:type="character" w:customStyle="1" w:styleId="V50TablenameChar">
    <w:name w:val="V5.0 Table name Char"/>
    <w:basedOn w:val="DefaultParagraphFont"/>
    <w:link w:val="V50Tablename"/>
    <w:rsid w:val="00EC5EBF"/>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EC5EBF"/>
    <w:pPr>
      <w:spacing w:after="120"/>
      <w:contextualSpacing/>
      <w:jc w:val="both"/>
    </w:pPr>
    <w:rPr>
      <w:sz w:val="18"/>
      <w:szCs w:val="18"/>
    </w:rPr>
  </w:style>
  <w:style w:type="character" w:customStyle="1" w:styleId="V50TablenoteChar">
    <w:name w:val="V5.0 Tablenote Char"/>
    <w:basedOn w:val="DefaultParagraphFont"/>
    <w:link w:val="V50Tablenote"/>
    <w:rsid w:val="00EC5EBF"/>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EC5EBF"/>
    <w:rPr>
      <w:rFonts w:ascii="Arial Narrow" w:hAnsi="Arial Narrow" w:cs="Arial"/>
      <w:snapToGrid w:val="0"/>
      <w:sz w:val="18"/>
      <w:lang w:eastAsia="en-US"/>
    </w:rPr>
  </w:style>
  <w:style w:type="paragraph" w:customStyle="1" w:styleId="oldTablefooter">
    <w:name w:val="old Table footer"/>
    <w:basedOn w:val="Normal"/>
    <w:link w:val="oldTablefooterChar"/>
    <w:qFormat/>
    <w:rsid w:val="00EC5EBF"/>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EC5EBF"/>
    <w:rPr>
      <w:rFonts w:asciiTheme="minorHAnsi" w:eastAsiaTheme="minorHAnsi" w:hAnsiTheme="minorHAnsi" w:cs="Arial"/>
      <w:sz w:val="18"/>
      <w:szCs w:val="18"/>
      <w:lang w:val="en-US" w:eastAsia="en-US"/>
    </w:rPr>
  </w:style>
  <w:style w:type="character" w:customStyle="1" w:styleId="SubtitleChar">
    <w:name w:val="Subtitle Char"/>
    <w:link w:val="Subtitle"/>
    <w:uiPriority w:val="9"/>
    <w:rsid w:val="00EC5EBF"/>
  </w:style>
  <w:style w:type="paragraph" w:styleId="Subtitle">
    <w:name w:val="Subtitle"/>
    <w:basedOn w:val="Normal"/>
    <w:link w:val="SubtitleChar"/>
    <w:uiPriority w:val="9"/>
    <w:rsid w:val="00EC5EBF"/>
    <w:pPr>
      <w:widowControl/>
    </w:pPr>
    <w:rPr>
      <w:rFonts w:ascii="Times New Roman" w:hAnsi="Times New Roman" w:cs="Times New Roman"/>
      <w:snapToGrid/>
      <w:sz w:val="20"/>
      <w:lang w:eastAsia="en-AU"/>
    </w:rPr>
  </w:style>
  <w:style w:type="character" w:customStyle="1" w:styleId="SubtitleChar1">
    <w:name w:val="Subtitle Char1"/>
    <w:basedOn w:val="DefaultParagraphFont"/>
    <w:uiPriority w:val="9"/>
    <w:rsid w:val="00EC5EBF"/>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Style1">
    <w:name w:val="Style1"/>
    <w:basedOn w:val="Normal"/>
    <w:rsid w:val="00EC5EBF"/>
  </w:style>
  <w:style w:type="numbering" w:customStyle="1" w:styleId="Headings">
    <w:name w:val="Headings"/>
    <w:uiPriority w:val="99"/>
    <w:rsid w:val="00EC5EBF"/>
    <w:pPr>
      <w:numPr>
        <w:numId w:val="5"/>
      </w:numPr>
    </w:pPr>
  </w:style>
  <w:style w:type="character" w:styleId="FollowedHyperlink">
    <w:name w:val="FollowedHyperlink"/>
    <w:basedOn w:val="DefaultParagraphFont"/>
    <w:semiHidden/>
    <w:unhideWhenUsed/>
    <w:rsid w:val="00EC5EBF"/>
    <w:rPr>
      <w:color w:val="800080" w:themeColor="followedHyperlink"/>
      <w:u w:val="single"/>
    </w:rPr>
  </w:style>
  <w:style w:type="paragraph" w:customStyle="1" w:styleId="BulletLast">
    <w:name w:val="Bullet Last"/>
    <w:basedOn w:val="Normal"/>
    <w:qFormat/>
    <w:rsid w:val="00EC5EBF"/>
    <w:pPr>
      <w:widowControl/>
      <w:numPr>
        <w:numId w:val="6"/>
      </w:numPr>
      <w:spacing w:after="240"/>
      <w:ind w:left="357" w:hanging="357"/>
    </w:pPr>
    <w:rPr>
      <w:rFonts w:asciiTheme="minorHAnsi" w:eastAsiaTheme="minorHAnsi" w:hAnsiTheme="minorHAnsi" w:cstheme="minorBidi"/>
      <w:snapToGrid/>
      <w:szCs w:val="22"/>
    </w:rPr>
  </w:style>
  <w:style w:type="paragraph" w:customStyle="1" w:styleId="TableFigNote">
    <w:name w:val="TableFigNote"/>
    <w:basedOn w:val="Normal"/>
    <w:qFormat/>
    <w:rsid w:val="00EC5EBF"/>
    <w:pPr>
      <w:widowControl/>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EC5EBF"/>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C5EBF"/>
    <w:pPr>
      <w:widowControl/>
      <w:spacing w:after="160" w:line="240" w:lineRule="exact"/>
    </w:pPr>
    <w:rPr>
      <w:rFonts w:ascii="Verdana" w:eastAsia="MS Mincho" w:hAnsi="Verdana" w:cs="Verdana"/>
      <w:snapToGrid/>
      <w:sz w:val="20"/>
      <w:lang w:val="en-US"/>
    </w:rPr>
  </w:style>
  <w:style w:type="paragraph" w:customStyle="1" w:styleId="tabletext00">
    <w:name w:val="tabletext0"/>
    <w:basedOn w:val="Normal"/>
    <w:rsid w:val="00EC5EBF"/>
    <w:pPr>
      <w:widowControl/>
      <w:spacing w:before="100" w:beforeAutospacing="1" w:after="100" w:afterAutospacing="1"/>
    </w:pPr>
    <w:rPr>
      <w:rFonts w:ascii="Times New Roman" w:hAnsi="Times New Roman" w:cs="Times New Roman"/>
      <w:snapToGrid/>
      <w:sz w:val="24"/>
      <w:szCs w:val="24"/>
      <w:lang w:eastAsia="en-AU"/>
    </w:rPr>
  </w:style>
  <w:style w:type="table" w:customStyle="1" w:styleId="TableGrid11">
    <w:name w:val="Table Grid11"/>
    <w:basedOn w:val="TableNormal"/>
    <w:next w:val="TableGrid"/>
    <w:uiPriority w:val="59"/>
    <w:rsid w:val="00EC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BodyCopy-noSpaceAfter">
    <w:name w:val="AU Body Copy - no Space After"/>
    <w:basedOn w:val="Normal"/>
    <w:rsid w:val="00F914B1"/>
    <w:pPr>
      <w:widowControl/>
      <w:jc w:val="left"/>
    </w:pPr>
    <w:rPr>
      <w:rFonts w:ascii="Times New Roman" w:hAnsi="Times New Roman" w:cs="Times New Roman"/>
      <w:snapToGrid/>
      <w:sz w:val="24"/>
    </w:rPr>
  </w:style>
  <w:style w:type="paragraph" w:customStyle="1" w:styleId="EndNoteBibliographyTitle">
    <w:name w:val="EndNote Bibliography Title"/>
    <w:basedOn w:val="Normal"/>
    <w:link w:val="EndNoteBibliographyTitleChar"/>
    <w:rsid w:val="00F914B1"/>
    <w:pPr>
      <w:jc w:val="center"/>
    </w:pPr>
    <w:rPr>
      <w:noProof/>
      <w:lang w:val="en-US"/>
    </w:rPr>
  </w:style>
  <w:style w:type="character" w:customStyle="1" w:styleId="EndNoteBibliographyTitleChar">
    <w:name w:val="EndNote Bibliography Title Char"/>
    <w:basedOn w:val="DefaultParagraphFont"/>
    <w:link w:val="EndNoteBibliographyTitle"/>
    <w:rsid w:val="00F914B1"/>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914B1"/>
    <w:pPr>
      <w:jc w:val="right"/>
    </w:pPr>
    <w:rPr>
      <w:noProof/>
      <w:lang w:val="en-US"/>
    </w:rPr>
  </w:style>
  <w:style w:type="character" w:customStyle="1" w:styleId="EndNoteBibliographyChar">
    <w:name w:val="EndNote Bibliography Char"/>
    <w:basedOn w:val="DefaultParagraphFont"/>
    <w:link w:val="EndNoteBibliography"/>
    <w:rsid w:val="00F914B1"/>
    <w:rPr>
      <w:rFonts w:ascii="Arial" w:hAnsi="Arial" w:cs="Arial"/>
      <w:noProof/>
      <w:snapToGrid w:val="0"/>
      <w:sz w:val="22"/>
      <w:lang w:val="en-US" w:eastAsia="en-US"/>
    </w:rPr>
  </w:style>
  <w:style w:type="character" w:customStyle="1" w:styleId="TabletextcentredChar">
    <w:name w:val="Table text centred Char"/>
    <w:link w:val="Tabletextcentred"/>
    <w:locked/>
    <w:rsid w:val="00F914B1"/>
    <w:rPr>
      <w:rFonts w:ascii="Arial" w:eastAsia="SimSun" w:hAnsi="Arial"/>
      <w:sz w:val="18"/>
    </w:rPr>
  </w:style>
  <w:style w:type="paragraph" w:customStyle="1" w:styleId="Tabletextcentred">
    <w:name w:val="Table text centred"/>
    <w:basedOn w:val="Normal"/>
    <w:link w:val="TabletextcentredChar"/>
    <w:qFormat/>
    <w:rsid w:val="00F914B1"/>
    <w:pPr>
      <w:keepNext/>
      <w:keepLines/>
      <w:widowControl/>
      <w:tabs>
        <w:tab w:val="left" w:pos="900"/>
      </w:tabs>
      <w:spacing w:before="40" w:after="40"/>
      <w:jc w:val="center"/>
    </w:pPr>
    <w:rPr>
      <w:rFonts w:eastAsia="SimSun" w:cs="Times New Roman"/>
      <w:snapToGrid/>
      <w:sz w:val="18"/>
      <w:lang w:eastAsia="en-AU"/>
    </w:rPr>
  </w:style>
  <w:style w:type="paragraph" w:customStyle="1" w:styleId="TableBody10ptCV">
    <w:name w:val="Table Body 10pt CV"/>
    <w:basedOn w:val="Normal"/>
    <w:qFormat/>
    <w:rsid w:val="00F914B1"/>
    <w:pPr>
      <w:widowControl/>
      <w:jc w:val="left"/>
    </w:pPr>
    <w:rPr>
      <w:rFonts w:ascii="Calibri" w:hAnsi="Calibri" w:cs="Times New Roman"/>
      <w:snapToGrid/>
      <w:sz w:val="20"/>
      <w:szCs w:val="24"/>
      <w:lang w:val="nb-NO" w:eastAsia="zh-CN"/>
    </w:rPr>
  </w:style>
  <w:style w:type="character" w:customStyle="1" w:styleId="apple-converted-space">
    <w:name w:val="apple-converted-space"/>
    <w:basedOn w:val="DefaultParagraphFont"/>
    <w:rsid w:val="0016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iPriority="9"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4B3DDB"/>
    <w:pPr>
      <w:outlineLvl w:val="1"/>
    </w:pPr>
    <w:rPr>
      <w:b/>
    </w:rPr>
  </w:style>
  <w:style w:type="paragraph" w:styleId="Heading3">
    <w:name w:val="heading 3"/>
    <w:aliases w:val="H3,Heading h3,h3,Don 3,Heading 3x,p3 Char"/>
    <w:basedOn w:val="Normal"/>
    <w:next w:val="Normal"/>
    <w:link w:val="Heading3Char"/>
    <w:qFormat/>
    <w:rsid w:val="001F7361"/>
    <w:pPr>
      <w:outlineLvl w:val="2"/>
    </w:pPr>
    <w:rPr>
      <w:u w:val="single"/>
    </w:rPr>
  </w:style>
  <w:style w:type="paragraph" w:styleId="Heading4">
    <w:name w:val="heading 4"/>
    <w:aliases w:val="Heading 1 - Body"/>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Caption Char1,c"/>
    <w:basedOn w:val="TableHeading"/>
    <w:next w:val="Normal"/>
    <w:link w:val="CaptionChar"/>
    <w:uiPriority w:val="35"/>
    <w:unhideWhenUsed/>
    <w:qFormat/>
    <w:rsid w:val="000B4E62"/>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c Char"/>
    <w:link w:val="Caption"/>
    <w:uiPriority w:val="35"/>
    <w:rsid w:val="000B4E62"/>
    <w:rPr>
      <w:rFonts w:ascii="Arial Narrow" w:eastAsiaTheme="minorHAnsi" w:hAnsi="Arial Narrow" w:cstheme="minorBidi"/>
      <w:b/>
      <w:szCs w:val="22"/>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BC6FF2"/>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basedOn w:val="05-NormalBodyTextChar"/>
    <w:qFormat/>
    <w:rsid w:val="00E2771E"/>
    <w:rPr>
      <w:rFonts w:ascii="Arial Narrow" w:eastAsia="MS PMincho" w:hAnsi="Arial Narrow"/>
      <w:b/>
      <w:sz w:val="20"/>
      <w:szCs w:val="16"/>
      <w:lang w:eastAsia="en-US"/>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uiPriority w:val="9"/>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B96AC0"/>
    <w:pPr>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Lines/>
      <w:spacing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824BC8"/>
    <w:pPr>
      <w:numPr>
        <w:numId w:val="3"/>
      </w:numPr>
      <w:outlineLvl w:val="0"/>
    </w:pPr>
    <w:rPr>
      <w:rFonts w:asciiTheme="minorHAnsi" w:hAnsiTheme="minorHAnsi" w:cs="Arial"/>
      <w:b/>
      <w:snapToGrid w:val="0"/>
      <w:sz w:val="32"/>
      <w:szCs w:val="22"/>
      <w:lang w:eastAsia="en-US"/>
    </w:rPr>
  </w:style>
  <w:style w:type="paragraph" w:customStyle="1" w:styleId="TableNotes">
    <w:name w:val="TableNotes"/>
    <w:basedOn w:val="Normal"/>
    <w:link w:val="TableNotesChar"/>
    <w:qFormat/>
    <w:rsid w:val="00506EBB"/>
    <w:pPr>
      <w:keepNext/>
      <w:widowControl/>
      <w:tabs>
        <w:tab w:val="left" w:pos="1559"/>
      </w:tabs>
      <w:spacing w:after="240"/>
      <w:contextualSpacing/>
      <w:jc w:val="left"/>
    </w:pPr>
    <w:rPr>
      <w:rFonts w:ascii="Calibri" w:eastAsia="SimSun" w:hAnsi="Calibri" w:cs="Times New Roman"/>
      <w:snapToGrid/>
      <w:sz w:val="16"/>
      <w:lang w:eastAsia="zh-CN"/>
    </w:rPr>
  </w:style>
  <w:style w:type="character" w:customStyle="1" w:styleId="TableNotesChar">
    <w:name w:val="TableNotes Char"/>
    <w:link w:val="TableNotes"/>
    <w:rsid w:val="00506EBB"/>
    <w:rPr>
      <w:rFonts w:ascii="Calibri" w:eastAsia="SimSun" w:hAnsi="Calibri"/>
      <w:sz w:val="16"/>
      <w:lang w:eastAsia="zh-CN"/>
    </w:rPr>
  </w:style>
  <w:style w:type="character" w:styleId="Emphasis">
    <w:name w:val="Emphasis"/>
    <w:basedOn w:val="DefaultParagraphFont"/>
    <w:uiPriority w:val="20"/>
    <w:qFormat/>
    <w:rsid w:val="00467929"/>
    <w:rPr>
      <w:i/>
      <w:iCs/>
    </w:rPr>
  </w:style>
  <w:style w:type="character" w:customStyle="1" w:styleId="inline-comment-marker">
    <w:name w:val="inline-comment-marker"/>
    <w:basedOn w:val="DefaultParagraphFont"/>
    <w:rsid w:val="00467929"/>
  </w:style>
  <w:style w:type="character" w:customStyle="1" w:styleId="ListParagraphChar">
    <w:name w:val="List Paragraph Char"/>
    <w:aliases w:val="BulletPoints Char"/>
    <w:link w:val="ListParagraph"/>
    <w:uiPriority w:val="72"/>
    <w:rsid w:val="00BC6FF2"/>
    <w:rPr>
      <w:rFonts w:ascii="Arial" w:hAnsi="Arial" w:cs="Arial"/>
      <w:snapToGrid w:val="0"/>
      <w:sz w:val="22"/>
      <w:lang w:eastAsia="en-US"/>
    </w:rPr>
  </w:style>
  <w:style w:type="table" w:customStyle="1" w:styleId="TableGrid1">
    <w:name w:val="Table Grid1"/>
    <w:basedOn w:val="TableNormal"/>
    <w:next w:val="TableGrid"/>
    <w:uiPriority w:val="59"/>
    <w:rsid w:val="00B05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uiPriority w:val="7"/>
    <w:qFormat/>
    <w:rsid w:val="00B724C0"/>
    <w:pPr>
      <w:snapToGrid w:val="0"/>
      <w:ind w:left="720" w:hanging="720"/>
    </w:pPr>
    <w:rPr>
      <w:rFonts w:ascii="Arial" w:hAnsi="Arial" w:cs="Arial"/>
      <w:b/>
      <w:sz w:val="22"/>
      <w:szCs w:val="22"/>
      <w:lang w:eastAsia="en-US"/>
    </w:rPr>
  </w:style>
  <w:style w:type="paragraph" w:styleId="FootnoteText">
    <w:name w:val="footnote text"/>
    <w:basedOn w:val="Normal"/>
    <w:link w:val="FootnoteTextChar"/>
    <w:unhideWhenUsed/>
    <w:rsid w:val="004619E2"/>
    <w:rPr>
      <w:sz w:val="20"/>
    </w:rPr>
  </w:style>
  <w:style w:type="character" w:customStyle="1" w:styleId="FootnoteTextChar">
    <w:name w:val="Footnote Text Char"/>
    <w:basedOn w:val="DefaultParagraphFont"/>
    <w:link w:val="FootnoteText"/>
    <w:rsid w:val="004619E2"/>
    <w:rPr>
      <w:rFonts w:ascii="Arial" w:hAnsi="Arial" w:cs="Arial"/>
      <w:snapToGrid w:val="0"/>
      <w:lang w:eastAsia="en-US"/>
    </w:rPr>
  </w:style>
  <w:style w:type="character" w:styleId="FootnoteReference">
    <w:name w:val="footnote reference"/>
    <w:basedOn w:val="DefaultParagraphFont"/>
    <w:unhideWhenUsed/>
    <w:rsid w:val="004619E2"/>
    <w:rPr>
      <w:vertAlign w:val="superscript"/>
    </w:rPr>
  </w:style>
  <w:style w:type="character" w:customStyle="1" w:styleId="tgc">
    <w:name w:val="_tgc"/>
    <w:basedOn w:val="DefaultParagraphFont"/>
    <w:rsid w:val="00BB42EB"/>
  </w:style>
  <w:style w:type="paragraph" w:customStyle="1" w:styleId="StyleCaptionIBCaptionMedicalCaptionCaptionCharMedicalCapti">
    <w:name w:val="Style CaptionIB CaptionMedical CaptionCaption CharMedical Capti..."/>
    <w:basedOn w:val="Normal"/>
    <w:rsid w:val="00C6763E"/>
    <w:pPr>
      <w:widowControl/>
      <w:spacing w:before="120" w:after="120"/>
      <w:jc w:val="left"/>
    </w:pPr>
    <w:rPr>
      <w:rFonts w:ascii="Calibri" w:eastAsia="SimSun" w:hAnsi="Calibri" w:cs="Times New Roman"/>
      <w:b/>
      <w:bCs/>
      <w:snapToGrid/>
      <w:sz w:val="24"/>
    </w:rPr>
  </w:style>
  <w:style w:type="paragraph" w:customStyle="1" w:styleId="TableorfigureAbbreviationsandSource">
    <w:name w:val="Table or figure Abbreviations and Source"/>
    <w:next w:val="Normal"/>
    <w:qFormat/>
    <w:rsid w:val="00D850BD"/>
    <w:pPr>
      <w:spacing w:after="240"/>
      <w:contextualSpacing/>
    </w:pPr>
    <w:rPr>
      <w:rFonts w:ascii="Calibri" w:eastAsia="Calibri" w:hAnsi="Calibri"/>
      <w:sz w:val="16"/>
      <w:szCs w:val="22"/>
      <w:lang w:eastAsia="zh-CN"/>
    </w:rPr>
  </w:style>
  <w:style w:type="character" w:customStyle="1" w:styleId="TableTextChar0">
    <w:name w:val="TableText Char"/>
    <w:link w:val="TableText0"/>
    <w:rsid w:val="00B96AC0"/>
    <w:rPr>
      <w:rFonts w:ascii="Arial Narrow" w:hAnsi="Arial Narrow" w:cs="Arial Narrow"/>
      <w:lang w:eastAsia="en-US"/>
    </w:rPr>
  </w:style>
  <w:style w:type="paragraph" w:customStyle="1" w:styleId="05-NormalBodyText">
    <w:name w:val="05 - Normal Body Text"/>
    <w:basedOn w:val="BodyText"/>
    <w:link w:val="05-NormalBodyTextChar"/>
    <w:qFormat/>
    <w:rsid w:val="0001111D"/>
    <w:pPr>
      <w:widowControl/>
      <w:spacing w:after="120"/>
    </w:pPr>
    <w:rPr>
      <w:rFonts w:asciiTheme="minorHAnsi" w:eastAsia="MS PMincho" w:hAnsiTheme="minorHAnsi" w:cs="Times New Roman"/>
      <w:snapToGrid/>
      <w:szCs w:val="24"/>
    </w:rPr>
  </w:style>
  <w:style w:type="character" w:customStyle="1" w:styleId="05-NormalBodyTextChar">
    <w:name w:val="05 - Normal Body Text Char"/>
    <w:link w:val="05-NormalBodyText"/>
    <w:rsid w:val="0001111D"/>
    <w:rPr>
      <w:rFonts w:asciiTheme="minorHAnsi" w:eastAsia="MS PMincho" w:hAnsiTheme="minorHAnsi"/>
      <w:sz w:val="22"/>
      <w:szCs w:val="24"/>
      <w:lang w:eastAsia="en-US"/>
    </w:rPr>
  </w:style>
  <w:style w:type="character" w:styleId="Strong">
    <w:name w:val="Strong"/>
    <w:basedOn w:val="DefaultParagraphFont"/>
    <w:uiPriority w:val="22"/>
    <w:qFormat/>
    <w:rsid w:val="0001111D"/>
    <w:rPr>
      <w:b/>
      <w:bCs/>
    </w:rPr>
  </w:style>
  <w:style w:type="character" w:customStyle="1" w:styleId="Heading1Char">
    <w:name w:val="Heading 1 Char"/>
    <w:basedOn w:val="DefaultParagraphFont"/>
    <w:link w:val="Heading1"/>
    <w:uiPriority w:val="1"/>
    <w:rsid w:val="00EC5EBF"/>
    <w:rPr>
      <w:rFonts w:ascii="Arial Bold" w:hAnsi="Arial Bold" w:cs="Arial"/>
      <w:b/>
      <w:caps/>
      <w:snapToGrid w:val="0"/>
      <w:sz w:val="22"/>
      <w:lang w:eastAsia="en-US"/>
    </w:rPr>
  </w:style>
  <w:style w:type="character" w:customStyle="1" w:styleId="Heading3Char">
    <w:name w:val="Heading 3 Char"/>
    <w:aliases w:val="H3 Char,Heading h3 Char,h3 Char,Don 3 Char,Heading 3x Char,p3 Char Char"/>
    <w:basedOn w:val="DefaultParagraphFont"/>
    <w:link w:val="Heading3"/>
    <w:uiPriority w:val="1"/>
    <w:rsid w:val="00EC5EBF"/>
    <w:rPr>
      <w:rFonts w:ascii="Arial" w:hAnsi="Arial" w:cs="Arial"/>
      <w:snapToGrid w:val="0"/>
      <w:sz w:val="22"/>
      <w:u w:val="single"/>
      <w:lang w:eastAsia="en-US"/>
    </w:rPr>
  </w:style>
  <w:style w:type="paragraph" w:customStyle="1" w:styleId="V50Heading2nonumbers">
    <w:name w:val="V5.0 Heading 2 no numbers"/>
    <w:basedOn w:val="Heading2"/>
    <w:qFormat/>
    <w:rsid w:val="00EC5EBF"/>
    <w:pPr>
      <w:keepNext/>
      <w:keepLines/>
      <w:widowControl/>
      <w:spacing w:before="240" w:after="120"/>
      <w:ind w:left="578" w:hanging="578"/>
    </w:pPr>
    <w:rPr>
      <w:rFonts w:asciiTheme="minorHAnsi" w:eastAsiaTheme="majorEastAsia" w:hAnsiTheme="minorHAnsi" w:cstheme="majorBidi"/>
      <w:i/>
      <w:snapToGrid/>
      <w:sz w:val="28"/>
      <w:szCs w:val="28"/>
    </w:rPr>
  </w:style>
  <w:style w:type="paragraph" w:customStyle="1" w:styleId="V50Instructions">
    <w:name w:val="V5.0 Instructions"/>
    <w:basedOn w:val="Normal"/>
    <w:link w:val="V50InstructionsChar"/>
    <w:qFormat/>
    <w:rsid w:val="00EC5EBF"/>
    <w:pPr>
      <w:widowControl/>
      <w:spacing w:before="120" w:after="160"/>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w:basedOn w:val="DefaultParagraphFont"/>
    <w:link w:val="Heading4"/>
    <w:uiPriority w:val="5"/>
    <w:rsid w:val="00EC5EBF"/>
    <w:rPr>
      <w:rFonts w:ascii="Arial" w:hAnsi="Arial" w:cs="Arial"/>
      <w:b/>
      <w:bCs/>
      <w:i/>
      <w:snapToGrid w:val="0"/>
      <w:sz w:val="26"/>
      <w:szCs w:val="28"/>
      <w:lang w:eastAsia="en-US"/>
    </w:rPr>
  </w:style>
  <w:style w:type="character" w:customStyle="1" w:styleId="Heading5Char">
    <w:name w:val="Heading 5 Char"/>
    <w:aliases w:val="Heading 2 - Body Char"/>
    <w:basedOn w:val="DefaultParagraphFont"/>
    <w:link w:val="Heading5"/>
    <w:uiPriority w:val="7"/>
    <w:rsid w:val="00EC5EBF"/>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uiPriority w:val="7"/>
    <w:rsid w:val="00EC5EBF"/>
    <w:rPr>
      <w:rFonts w:ascii="Arial" w:hAnsi="Arial" w:cs="Arial"/>
      <w:b/>
      <w:bCs/>
      <w:i/>
      <w:snapToGrid w:val="0"/>
      <w:sz w:val="22"/>
      <w:szCs w:val="22"/>
      <w:lang w:eastAsia="en-US"/>
    </w:rPr>
  </w:style>
  <w:style w:type="paragraph" w:customStyle="1" w:styleId="V50Heading1nonumbers">
    <w:name w:val="V5.0 Heading 1 no numbers"/>
    <w:basedOn w:val="Heading1"/>
    <w:qFormat/>
    <w:rsid w:val="00EC5EBF"/>
    <w:pPr>
      <w:keepNext/>
      <w:keepLines/>
      <w:widowControl/>
      <w:spacing w:before="400" w:after="120"/>
      <w:ind w:left="0" w:firstLine="0"/>
    </w:pPr>
    <w:rPr>
      <w:rFonts w:asciiTheme="minorHAnsi" w:eastAsiaTheme="majorEastAsia" w:hAnsiTheme="minorHAnsi" w:cstheme="majorBidi"/>
      <w:caps w:val="0"/>
      <w:snapToGrid/>
      <w:sz w:val="32"/>
      <w:szCs w:val="28"/>
    </w:rPr>
  </w:style>
  <w:style w:type="paragraph" w:customStyle="1" w:styleId="V50TableText">
    <w:name w:val="V5.0 TableText"/>
    <w:link w:val="V50TableTextChar"/>
    <w:qFormat/>
    <w:rsid w:val="00EC5EBF"/>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EC5EBF"/>
    <w:rPr>
      <w:b/>
      <w:color w:val="4BACC6" w:themeColor="accent5"/>
    </w:rPr>
  </w:style>
  <w:style w:type="paragraph" w:customStyle="1" w:styleId="V50InstructionsBullets">
    <w:name w:val="V5.0 Instructions Bullets"/>
    <w:basedOn w:val="V50Instructions"/>
    <w:qFormat/>
    <w:rsid w:val="00EC5EBF"/>
    <w:pPr>
      <w:numPr>
        <w:numId w:val="4"/>
      </w:numPr>
      <w:tabs>
        <w:tab w:val="num" w:pos="0"/>
      </w:tabs>
      <w:spacing w:before="0" w:after="0"/>
      <w:ind w:left="714" w:hanging="357"/>
    </w:pPr>
  </w:style>
  <w:style w:type="table" w:customStyle="1" w:styleId="TableGridLight1">
    <w:name w:val="Table Grid Light1"/>
    <w:basedOn w:val="TableNormal"/>
    <w:uiPriority w:val="40"/>
    <w:rsid w:val="00EC5EB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C5EBF"/>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EC5EBF"/>
    <w:pPr>
      <w:keepNext/>
      <w:widowControl/>
      <w:spacing w:before="40" w:after="40"/>
    </w:pPr>
    <w:rPr>
      <w:rFonts w:ascii="Arial Narrow" w:eastAsiaTheme="minorHAnsi" w:hAnsi="Arial Narrow" w:cstheme="minorBidi"/>
      <w:snapToGrid/>
      <w:sz w:val="20"/>
      <w:szCs w:val="22"/>
    </w:rPr>
  </w:style>
  <w:style w:type="paragraph" w:customStyle="1" w:styleId="TableFigNoteLast">
    <w:name w:val="TableFigNote Last"/>
    <w:basedOn w:val="Normal"/>
    <w:qFormat/>
    <w:rsid w:val="00EC5EBF"/>
    <w:pPr>
      <w:widowControl/>
      <w:spacing w:after="360"/>
    </w:pPr>
    <w:rPr>
      <w:rFonts w:asciiTheme="minorHAnsi" w:eastAsiaTheme="minorHAnsi" w:hAnsiTheme="minorHAnsi" w:cstheme="minorBidi"/>
      <w:snapToGrid/>
      <w:sz w:val="18"/>
      <w:szCs w:val="22"/>
    </w:rPr>
  </w:style>
  <w:style w:type="paragraph" w:customStyle="1" w:styleId="TableHeading">
    <w:name w:val="Table Heading"/>
    <w:basedOn w:val="Normal"/>
    <w:qFormat/>
    <w:rsid w:val="00EC5EBF"/>
    <w:pPr>
      <w:keepNext/>
      <w:widowControl/>
      <w:spacing w:after="60"/>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EC5EBF"/>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EC5EBF"/>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EC5EBF"/>
    <w:pPr>
      <w:keepNext/>
    </w:pPr>
    <w:rPr>
      <w:b/>
    </w:rPr>
  </w:style>
  <w:style w:type="character" w:customStyle="1" w:styleId="V50TablenameChar">
    <w:name w:val="V5.0 Table name Char"/>
    <w:basedOn w:val="DefaultParagraphFont"/>
    <w:link w:val="V50Tablename"/>
    <w:rsid w:val="00EC5EBF"/>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EC5EBF"/>
    <w:pPr>
      <w:spacing w:after="120"/>
      <w:contextualSpacing/>
      <w:jc w:val="both"/>
    </w:pPr>
    <w:rPr>
      <w:sz w:val="18"/>
      <w:szCs w:val="18"/>
    </w:rPr>
  </w:style>
  <w:style w:type="character" w:customStyle="1" w:styleId="V50TablenoteChar">
    <w:name w:val="V5.0 Tablenote Char"/>
    <w:basedOn w:val="DefaultParagraphFont"/>
    <w:link w:val="V50Tablenote"/>
    <w:rsid w:val="00EC5EBF"/>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EC5EBF"/>
    <w:rPr>
      <w:rFonts w:ascii="Arial Narrow" w:hAnsi="Arial Narrow" w:cs="Arial"/>
      <w:snapToGrid w:val="0"/>
      <w:sz w:val="18"/>
      <w:lang w:eastAsia="en-US"/>
    </w:rPr>
  </w:style>
  <w:style w:type="paragraph" w:customStyle="1" w:styleId="oldTablefooter">
    <w:name w:val="old Table footer"/>
    <w:basedOn w:val="Normal"/>
    <w:link w:val="oldTablefooterChar"/>
    <w:qFormat/>
    <w:rsid w:val="00EC5EBF"/>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EC5EBF"/>
    <w:rPr>
      <w:rFonts w:asciiTheme="minorHAnsi" w:eastAsiaTheme="minorHAnsi" w:hAnsiTheme="minorHAnsi" w:cs="Arial"/>
      <w:sz w:val="18"/>
      <w:szCs w:val="18"/>
      <w:lang w:val="en-US" w:eastAsia="en-US"/>
    </w:rPr>
  </w:style>
  <w:style w:type="character" w:customStyle="1" w:styleId="SubtitleChar">
    <w:name w:val="Subtitle Char"/>
    <w:link w:val="Subtitle"/>
    <w:uiPriority w:val="9"/>
    <w:rsid w:val="00EC5EBF"/>
  </w:style>
  <w:style w:type="paragraph" w:styleId="Subtitle">
    <w:name w:val="Subtitle"/>
    <w:basedOn w:val="Normal"/>
    <w:link w:val="SubtitleChar"/>
    <w:uiPriority w:val="9"/>
    <w:rsid w:val="00EC5EBF"/>
    <w:pPr>
      <w:widowControl/>
    </w:pPr>
    <w:rPr>
      <w:rFonts w:ascii="Times New Roman" w:hAnsi="Times New Roman" w:cs="Times New Roman"/>
      <w:snapToGrid/>
      <w:sz w:val="20"/>
      <w:lang w:eastAsia="en-AU"/>
    </w:rPr>
  </w:style>
  <w:style w:type="character" w:customStyle="1" w:styleId="SubtitleChar1">
    <w:name w:val="Subtitle Char1"/>
    <w:basedOn w:val="DefaultParagraphFont"/>
    <w:uiPriority w:val="9"/>
    <w:rsid w:val="00EC5EBF"/>
    <w:rPr>
      <w:rFonts w:asciiTheme="minorHAnsi" w:eastAsiaTheme="minorEastAsia" w:hAnsiTheme="minorHAnsi" w:cstheme="minorBidi"/>
      <w:snapToGrid w:val="0"/>
      <w:color w:val="5A5A5A" w:themeColor="text1" w:themeTint="A5"/>
      <w:spacing w:val="15"/>
      <w:sz w:val="22"/>
      <w:szCs w:val="22"/>
      <w:lang w:eastAsia="en-US"/>
    </w:rPr>
  </w:style>
  <w:style w:type="paragraph" w:customStyle="1" w:styleId="Style1">
    <w:name w:val="Style1"/>
    <w:basedOn w:val="Normal"/>
    <w:rsid w:val="00EC5EBF"/>
  </w:style>
  <w:style w:type="numbering" w:customStyle="1" w:styleId="Headings">
    <w:name w:val="Headings"/>
    <w:uiPriority w:val="99"/>
    <w:rsid w:val="00EC5EBF"/>
    <w:pPr>
      <w:numPr>
        <w:numId w:val="5"/>
      </w:numPr>
    </w:pPr>
  </w:style>
  <w:style w:type="character" w:styleId="FollowedHyperlink">
    <w:name w:val="FollowedHyperlink"/>
    <w:basedOn w:val="DefaultParagraphFont"/>
    <w:semiHidden/>
    <w:unhideWhenUsed/>
    <w:rsid w:val="00EC5EBF"/>
    <w:rPr>
      <w:color w:val="800080" w:themeColor="followedHyperlink"/>
      <w:u w:val="single"/>
    </w:rPr>
  </w:style>
  <w:style w:type="paragraph" w:customStyle="1" w:styleId="BulletLast">
    <w:name w:val="Bullet Last"/>
    <w:basedOn w:val="Normal"/>
    <w:qFormat/>
    <w:rsid w:val="00EC5EBF"/>
    <w:pPr>
      <w:widowControl/>
      <w:numPr>
        <w:numId w:val="6"/>
      </w:numPr>
      <w:spacing w:after="240"/>
      <w:ind w:left="357" w:hanging="357"/>
    </w:pPr>
    <w:rPr>
      <w:rFonts w:asciiTheme="minorHAnsi" w:eastAsiaTheme="minorHAnsi" w:hAnsiTheme="minorHAnsi" w:cstheme="minorBidi"/>
      <w:snapToGrid/>
      <w:szCs w:val="22"/>
    </w:rPr>
  </w:style>
  <w:style w:type="paragraph" w:customStyle="1" w:styleId="TableFigNote">
    <w:name w:val="TableFigNote"/>
    <w:basedOn w:val="Normal"/>
    <w:qFormat/>
    <w:rsid w:val="00EC5EBF"/>
    <w:pPr>
      <w:widowControl/>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EC5EBF"/>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C5EBF"/>
    <w:pPr>
      <w:widowControl/>
      <w:spacing w:after="160" w:line="240" w:lineRule="exact"/>
    </w:pPr>
    <w:rPr>
      <w:rFonts w:ascii="Verdana" w:eastAsia="MS Mincho" w:hAnsi="Verdana" w:cs="Verdana"/>
      <w:snapToGrid/>
      <w:sz w:val="20"/>
      <w:lang w:val="en-US"/>
    </w:rPr>
  </w:style>
  <w:style w:type="paragraph" w:customStyle="1" w:styleId="tabletext00">
    <w:name w:val="tabletext0"/>
    <w:basedOn w:val="Normal"/>
    <w:rsid w:val="00EC5EBF"/>
    <w:pPr>
      <w:widowControl/>
      <w:spacing w:before="100" w:beforeAutospacing="1" w:after="100" w:afterAutospacing="1"/>
    </w:pPr>
    <w:rPr>
      <w:rFonts w:ascii="Times New Roman" w:hAnsi="Times New Roman" w:cs="Times New Roman"/>
      <w:snapToGrid/>
      <w:sz w:val="24"/>
      <w:szCs w:val="24"/>
      <w:lang w:eastAsia="en-AU"/>
    </w:rPr>
  </w:style>
  <w:style w:type="table" w:customStyle="1" w:styleId="TableGrid11">
    <w:name w:val="Table Grid11"/>
    <w:basedOn w:val="TableNormal"/>
    <w:next w:val="TableGrid"/>
    <w:uiPriority w:val="59"/>
    <w:rsid w:val="00EC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5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BodyCopy-noSpaceAfter">
    <w:name w:val="AU Body Copy - no Space After"/>
    <w:basedOn w:val="Normal"/>
    <w:rsid w:val="00F914B1"/>
    <w:pPr>
      <w:widowControl/>
      <w:jc w:val="left"/>
    </w:pPr>
    <w:rPr>
      <w:rFonts w:ascii="Times New Roman" w:hAnsi="Times New Roman" w:cs="Times New Roman"/>
      <w:snapToGrid/>
      <w:sz w:val="24"/>
    </w:rPr>
  </w:style>
  <w:style w:type="paragraph" w:customStyle="1" w:styleId="EndNoteBibliographyTitle">
    <w:name w:val="EndNote Bibliography Title"/>
    <w:basedOn w:val="Normal"/>
    <w:link w:val="EndNoteBibliographyTitleChar"/>
    <w:rsid w:val="00F914B1"/>
    <w:pPr>
      <w:jc w:val="center"/>
    </w:pPr>
    <w:rPr>
      <w:noProof/>
      <w:lang w:val="en-US"/>
    </w:rPr>
  </w:style>
  <w:style w:type="character" w:customStyle="1" w:styleId="EndNoteBibliographyTitleChar">
    <w:name w:val="EndNote Bibliography Title Char"/>
    <w:basedOn w:val="DefaultParagraphFont"/>
    <w:link w:val="EndNoteBibliographyTitle"/>
    <w:rsid w:val="00F914B1"/>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F914B1"/>
    <w:pPr>
      <w:jc w:val="right"/>
    </w:pPr>
    <w:rPr>
      <w:noProof/>
      <w:lang w:val="en-US"/>
    </w:rPr>
  </w:style>
  <w:style w:type="character" w:customStyle="1" w:styleId="EndNoteBibliographyChar">
    <w:name w:val="EndNote Bibliography Char"/>
    <w:basedOn w:val="DefaultParagraphFont"/>
    <w:link w:val="EndNoteBibliography"/>
    <w:rsid w:val="00F914B1"/>
    <w:rPr>
      <w:rFonts w:ascii="Arial" w:hAnsi="Arial" w:cs="Arial"/>
      <w:noProof/>
      <w:snapToGrid w:val="0"/>
      <w:sz w:val="22"/>
      <w:lang w:val="en-US" w:eastAsia="en-US"/>
    </w:rPr>
  </w:style>
  <w:style w:type="character" w:customStyle="1" w:styleId="TabletextcentredChar">
    <w:name w:val="Table text centred Char"/>
    <w:link w:val="Tabletextcentred"/>
    <w:locked/>
    <w:rsid w:val="00F914B1"/>
    <w:rPr>
      <w:rFonts w:ascii="Arial" w:eastAsia="SimSun" w:hAnsi="Arial"/>
      <w:sz w:val="18"/>
    </w:rPr>
  </w:style>
  <w:style w:type="paragraph" w:customStyle="1" w:styleId="Tabletextcentred">
    <w:name w:val="Table text centred"/>
    <w:basedOn w:val="Normal"/>
    <w:link w:val="TabletextcentredChar"/>
    <w:qFormat/>
    <w:rsid w:val="00F914B1"/>
    <w:pPr>
      <w:keepNext/>
      <w:keepLines/>
      <w:widowControl/>
      <w:tabs>
        <w:tab w:val="left" w:pos="900"/>
      </w:tabs>
      <w:spacing w:before="40" w:after="40"/>
      <w:jc w:val="center"/>
    </w:pPr>
    <w:rPr>
      <w:rFonts w:eastAsia="SimSun" w:cs="Times New Roman"/>
      <w:snapToGrid/>
      <w:sz w:val="18"/>
      <w:lang w:eastAsia="en-AU"/>
    </w:rPr>
  </w:style>
  <w:style w:type="paragraph" w:customStyle="1" w:styleId="TableBody10ptCV">
    <w:name w:val="Table Body 10pt CV"/>
    <w:basedOn w:val="Normal"/>
    <w:qFormat/>
    <w:rsid w:val="00F914B1"/>
    <w:pPr>
      <w:widowControl/>
      <w:jc w:val="left"/>
    </w:pPr>
    <w:rPr>
      <w:rFonts w:ascii="Calibri" w:hAnsi="Calibri" w:cs="Times New Roman"/>
      <w:snapToGrid/>
      <w:sz w:val="20"/>
      <w:szCs w:val="24"/>
      <w:lang w:val="nb-NO" w:eastAsia="zh-CN"/>
    </w:rPr>
  </w:style>
  <w:style w:type="character" w:customStyle="1" w:styleId="apple-converted-space">
    <w:name w:val="apple-converted-space"/>
    <w:basedOn w:val="DefaultParagraphFont"/>
    <w:rsid w:val="0016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0184">
      <w:bodyDiv w:val="1"/>
      <w:marLeft w:val="0"/>
      <w:marRight w:val="0"/>
      <w:marTop w:val="0"/>
      <w:marBottom w:val="0"/>
      <w:divBdr>
        <w:top w:val="none" w:sz="0" w:space="0" w:color="auto"/>
        <w:left w:val="none" w:sz="0" w:space="0" w:color="auto"/>
        <w:bottom w:val="none" w:sz="0" w:space="0" w:color="auto"/>
        <w:right w:val="none" w:sz="0" w:space="0" w:color="auto"/>
      </w:divBdr>
    </w:div>
    <w:div w:id="96483317">
      <w:bodyDiv w:val="1"/>
      <w:marLeft w:val="0"/>
      <w:marRight w:val="0"/>
      <w:marTop w:val="0"/>
      <w:marBottom w:val="0"/>
      <w:divBdr>
        <w:top w:val="none" w:sz="0" w:space="0" w:color="auto"/>
        <w:left w:val="none" w:sz="0" w:space="0" w:color="auto"/>
        <w:bottom w:val="none" w:sz="0" w:space="0" w:color="auto"/>
        <w:right w:val="none" w:sz="0" w:space="0" w:color="auto"/>
      </w:divBdr>
    </w:div>
    <w:div w:id="159152793">
      <w:bodyDiv w:val="1"/>
      <w:marLeft w:val="0"/>
      <w:marRight w:val="0"/>
      <w:marTop w:val="0"/>
      <w:marBottom w:val="0"/>
      <w:divBdr>
        <w:top w:val="none" w:sz="0" w:space="0" w:color="auto"/>
        <w:left w:val="none" w:sz="0" w:space="0" w:color="auto"/>
        <w:bottom w:val="none" w:sz="0" w:space="0" w:color="auto"/>
        <w:right w:val="none" w:sz="0" w:space="0" w:color="auto"/>
      </w:divBdr>
      <w:divsChild>
        <w:div w:id="546185222">
          <w:marLeft w:val="360"/>
          <w:marRight w:val="0"/>
          <w:marTop w:val="200"/>
          <w:marBottom w:val="0"/>
          <w:divBdr>
            <w:top w:val="none" w:sz="0" w:space="0" w:color="auto"/>
            <w:left w:val="none" w:sz="0" w:space="0" w:color="auto"/>
            <w:bottom w:val="none" w:sz="0" w:space="0" w:color="auto"/>
            <w:right w:val="none" w:sz="0" w:space="0" w:color="auto"/>
          </w:divBdr>
        </w:div>
      </w:divsChild>
    </w:div>
    <w:div w:id="163277642">
      <w:bodyDiv w:val="1"/>
      <w:marLeft w:val="0"/>
      <w:marRight w:val="0"/>
      <w:marTop w:val="0"/>
      <w:marBottom w:val="0"/>
      <w:divBdr>
        <w:top w:val="none" w:sz="0" w:space="0" w:color="auto"/>
        <w:left w:val="none" w:sz="0" w:space="0" w:color="auto"/>
        <w:bottom w:val="none" w:sz="0" w:space="0" w:color="auto"/>
        <w:right w:val="none" w:sz="0" w:space="0" w:color="auto"/>
      </w:divBdr>
    </w:div>
    <w:div w:id="179705758">
      <w:bodyDiv w:val="1"/>
      <w:marLeft w:val="0"/>
      <w:marRight w:val="0"/>
      <w:marTop w:val="0"/>
      <w:marBottom w:val="0"/>
      <w:divBdr>
        <w:top w:val="none" w:sz="0" w:space="0" w:color="auto"/>
        <w:left w:val="none" w:sz="0" w:space="0" w:color="auto"/>
        <w:bottom w:val="none" w:sz="0" w:space="0" w:color="auto"/>
        <w:right w:val="none" w:sz="0" w:space="0" w:color="auto"/>
      </w:divBdr>
    </w:div>
    <w:div w:id="346492898">
      <w:bodyDiv w:val="1"/>
      <w:marLeft w:val="0"/>
      <w:marRight w:val="0"/>
      <w:marTop w:val="0"/>
      <w:marBottom w:val="0"/>
      <w:divBdr>
        <w:top w:val="none" w:sz="0" w:space="0" w:color="auto"/>
        <w:left w:val="none" w:sz="0" w:space="0" w:color="auto"/>
        <w:bottom w:val="none" w:sz="0" w:space="0" w:color="auto"/>
        <w:right w:val="none" w:sz="0" w:space="0" w:color="auto"/>
      </w:divBdr>
    </w:div>
    <w:div w:id="358821624">
      <w:bodyDiv w:val="1"/>
      <w:marLeft w:val="0"/>
      <w:marRight w:val="0"/>
      <w:marTop w:val="0"/>
      <w:marBottom w:val="0"/>
      <w:divBdr>
        <w:top w:val="none" w:sz="0" w:space="0" w:color="auto"/>
        <w:left w:val="none" w:sz="0" w:space="0" w:color="auto"/>
        <w:bottom w:val="none" w:sz="0" w:space="0" w:color="auto"/>
        <w:right w:val="none" w:sz="0" w:space="0" w:color="auto"/>
      </w:divBdr>
    </w:div>
    <w:div w:id="406539224">
      <w:bodyDiv w:val="1"/>
      <w:marLeft w:val="0"/>
      <w:marRight w:val="0"/>
      <w:marTop w:val="0"/>
      <w:marBottom w:val="0"/>
      <w:divBdr>
        <w:top w:val="none" w:sz="0" w:space="0" w:color="auto"/>
        <w:left w:val="none" w:sz="0" w:space="0" w:color="auto"/>
        <w:bottom w:val="none" w:sz="0" w:space="0" w:color="auto"/>
        <w:right w:val="none" w:sz="0" w:space="0" w:color="auto"/>
      </w:divBdr>
    </w:div>
    <w:div w:id="408578116">
      <w:bodyDiv w:val="1"/>
      <w:marLeft w:val="0"/>
      <w:marRight w:val="0"/>
      <w:marTop w:val="0"/>
      <w:marBottom w:val="0"/>
      <w:divBdr>
        <w:top w:val="none" w:sz="0" w:space="0" w:color="auto"/>
        <w:left w:val="none" w:sz="0" w:space="0" w:color="auto"/>
        <w:bottom w:val="none" w:sz="0" w:space="0" w:color="auto"/>
        <w:right w:val="none" w:sz="0" w:space="0" w:color="auto"/>
      </w:divBdr>
      <w:divsChild>
        <w:div w:id="1482232947">
          <w:marLeft w:val="360"/>
          <w:marRight w:val="0"/>
          <w:marTop w:val="200"/>
          <w:marBottom w:val="0"/>
          <w:divBdr>
            <w:top w:val="none" w:sz="0" w:space="0" w:color="auto"/>
            <w:left w:val="none" w:sz="0" w:space="0" w:color="auto"/>
            <w:bottom w:val="none" w:sz="0" w:space="0" w:color="auto"/>
            <w:right w:val="none" w:sz="0" w:space="0" w:color="auto"/>
          </w:divBdr>
        </w:div>
        <w:div w:id="1426268456">
          <w:marLeft w:val="360"/>
          <w:marRight w:val="0"/>
          <w:marTop w:val="200"/>
          <w:marBottom w:val="0"/>
          <w:divBdr>
            <w:top w:val="none" w:sz="0" w:space="0" w:color="auto"/>
            <w:left w:val="none" w:sz="0" w:space="0" w:color="auto"/>
            <w:bottom w:val="none" w:sz="0" w:space="0" w:color="auto"/>
            <w:right w:val="none" w:sz="0" w:space="0" w:color="auto"/>
          </w:divBdr>
        </w:div>
      </w:divsChild>
    </w:div>
    <w:div w:id="410926932">
      <w:bodyDiv w:val="1"/>
      <w:marLeft w:val="0"/>
      <w:marRight w:val="0"/>
      <w:marTop w:val="0"/>
      <w:marBottom w:val="0"/>
      <w:divBdr>
        <w:top w:val="none" w:sz="0" w:space="0" w:color="auto"/>
        <w:left w:val="none" w:sz="0" w:space="0" w:color="auto"/>
        <w:bottom w:val="none" w:sz="0" w:space="0" w:color="auto"/>
        <w:right w:val="none" w:sz="0" w:space="0" w:color="auto"/>
      </w:divBdr>
      <w:divsChild>
        <w:div w:id="134614584">
          <w:marLeft w:val="360"/>
          <w:marRight w:val="0"/>
          <w:marTop w:val="200"/>
          <w:marBottom w:val="0"/>
          <w:divBdr>
            <w:top w:val="none" w:sz="0" w:space="0" w:color="auto"/>
            <w:left w:val="none" w:sz="0" w:space="0" w:color="auto"/>
            <w:bottom w:val="none" w:sz="0" w:space="0" w:color="auto"/>
            <w:right w:val="none" w:sz="0" w:space="0" w:color="auto"/>
          </w:divBdr>
        </w:div>
      </w:divsChild>
    </w:div>
    <w:div w:id="431365666">
      <w:bodyDiv w:val="1"/>
      <w:marLeft w:val="0"/>
      <w:marRight w:val="0"/>
      <w:marTop w:val="0"/>
      <w:marBottom w:val="0"/>
      <w:divBdr>
        <w:top w:val="none" w:sz="0" w:space="0" w:color="auto"/>
        <w:left w:val="none" w:sz="0" w:space="0" w:color="auto"/>
        <w:bottom w:val="none" w:sz="0" w:space="0" w:color="auto"/>
        <w:right w:val="none" w:sz="0" w:space="0" w:color="auto"/>
      </w:divBdr>
    </w:div>
    <w:div w:id="438140695">
      <w:bodyDiv w:val="1"/>
      <w:marLeft w:val="0"/>
      <w:marRight w:val="0"/>
      <w:marTop w:val="0"/>
      <w:marBottom w:val="0"/>
      <w:divBdr>
        <w:top w:val="none" w:sz="0" w:space="0" w:color="auto"/>
        <w:left w:val="none" w:sz="0" w:space="0" w:color="auto"/>
        <w:bottom w:val="none" w:sz="0" w:space="0" w:color="auto"/>
        <w:right w:val="none" w:sz="0" w:space="0" w:color="auto"/>
      </w:divBdr>
    </w:div>
    <w:div w:id="527330934">
      <w:bodyDiv w:val="1"/>
      <w:marLeft w:val="0"/>
      <w:marRight w:val="0"/>
      <w:marTop w:val="0"/>
      <w:marBottom w:val="0"/>
      <w:divBdr>
        <w:top w:val="none" w:sz="0" w:space="0" w:color="auto"/>
        <w:left w:val="none" w:sz="0" w:space="0" w:color="auto"/>
        <w:bottom w:val="none" w:sz="0" w:space="0" w:color="auto"/>
        <w:right w:val="none" w:sz="0" w:space="0" w:color="auto"/>
      </w:divBdr>
    </w:div>
    <w:div w:id="590360783">
      <w:bodyDiv w:val="1"/>
      <w:marLeft w:val="0"/>
      <w:marRight w:val="0"/>
      <w:marTop w:val="0"/>
      <w:marBottom w:val="0"/>
      <w:divBdr>
        <w:top w:val="none" w:sz="0" w:space="0" w:color="auto"/>
        <w:left w:val="none" w:sz="0" w:space="0" w:color="auto"/>
        <w:bottom w:val="none" w:sz="0" w:space="0" w:color="auto"/>
        <w:right w:val="none" w:sz="0" w:space="0" w:color="auto"/>
      </w:divBdr>
    </w:div>
    <w:div w:id="684597801">
      <w:bodyDiv w:val="1"/>
      <w:marLeft w:val="0"/>
      <w:marRight w:val="0"/>
      <w:marTop w:val="0"/>
      <w:marBottom w:val="0"/>
      <w:divBdr>
        <w:top w:val="none" w:sz="0" w:space="0" w:color="auto"/>
        <w:left w:val="none" w:sz="0" w:space="0" w:color="auto"/>
        <w:bottom w:val="none" w:sz="0" w:space="0" w:color="auto"/>
        <w:right w:val="none" w:sz="0" w:space="0" w:color="auto"/>
      </w:divBdr>
    </w:div>
    <w:div w:id="758720258">
      <w:bodyDiv w:val="1"/>
      <w:marLeft w:val="0"/>
      <w:marRight w:val="0"/>
      <w:marTop w:val="0"/>
      <w:marBottom w:val="0"/>
      <w:divBdr>
        <w:top w:val="none" w:sz="0" w:space="0" w:color="auto"/>
        <w:left w:val="none" w:sz="0" w:space="0" w:color="auto"/>
        <w:bottom w:val="none" w:sz="0" w:space="0" w:color="auto"/>
        <w:right w:val="none" w:sz="0" w:space="0" w:color="auto"/>
      </w:divBdr>
      <w:divsChild>
        <w:div w:id="850797812">
          <w:marLeft w:val="360"/>
          <w:marRight w:val="0"/>
          <w:marTop w:val="200"/>
          <w:marBottom w:val="0"/>
          <w:divBdr>
            <w:top w:val="none" w:sz="0" w:space="0" w:color="auto"/>
            <w:left w:val="none" w:sz="0" w:space="0" w:color="auto"/>
            <w:bottom w:val="none" w:sz="0" w:space="0" w:color="auto"/>
            <w:right w:val="none" w:sz="0" w:space="0" w:color="auto"/>
          </w:divBdr>
        </w:div>
        <w:div w:id="62720759">
          <w:marLeft w:val="360"/>
          <w:marRight w:val="0"/>
          <w:marTop w:val="200"/>
          <w:marBottom w:val="0"/>
          <w:divBdr>
            <w:top w:val="none" w:sz="0" w:space="0" w:color="auto"/>
            <w:left w:val="none" w:sz="0" w:space="0" w:color="auto"/>
            <w:bottom w:val="none" w:sz="0" w:space="0" w:color="auto"/>
            <w:right w:val="none" w:sz="0" w:space="0" w:color="auto"/>
          </w:divBdr>
        </w:div>
      </w:divsChild>
    </w:div>
    <w:div w:id="789906225">
      <w:bodyDiv w:val="1"/>
      <w:marLeft w:val="0"/>
      <w:marRight w:val="0"/>
      <w:marTop w:val="0"/>
      <w:marBottom w:val="0"/>
      <w:divBdr>
        <w:top w:val="none" w:sz="0" w:space="0" w:color="auto"/>
        <w:left w:val="none" w:sz="0" w:space="0" w:color="auto"/>
        <w:bottom w:val="none" w:sz="0" w:space="0" w:color="auto"/>
        <w:right w:val="none" w:sz="0" w:space="0" w:color="auto"/>
      </w:divBdr>
    </w:div>
    <w:div w:id="815877700">
      <w:bodyDiv w:val="1"/>
      <w:marLeft w:val="0"/>
      <w:marRight w:val="0"/>
      <w:marTop w:val="0"/>
      <w:marBottom w:val="0"/>
      <w:divBdr>
        <w:top w:val="none" w:sz="0" w:space="0" w:color="auto"/>
        <w:left w:val="none" w:sz="0" w:space="0" w:color="auto"/>
        <w:bottom w:val="none" w:sz="0" w:space="0" w:color="auto"/>
        <w:right w:val="none" w:sz="0" w:space="0" w:color="auto"/>
      </w:divBdr>
      <w:divsChild>
        <w:div w:id="1184393471">
          <w:marLeft w:val="360"/>
          <w:marRight w:val="0"/>
          <w:marTop w:val="200"/>
          <w:marBottom w:val="0"/>
          <w:divBdr>
            <w:top w:val="none" w:sz="0" w:space="0" w:color="auto"/>
            <w:left w:val="none" w:sz="0" w:space="0" w:color="auto"/>
            <w:bottom w:val="none" w:sz="0" w:space="0" w:color="auto"/>
            <w:right w:val="none" w:sz="0" w:space="0" w:color="auto"/>
          </w:divBdr>
        </w:div>
      </w:divsChild>
    </w:div>
    <w:div w:id="944730143">
      <w:bodyDiv w:val="1"/>
      <w:marLeft w:val="0"/>
      <w:marRight w:val="0"/>
      <w:marTop w:val="0"/>
      <w:marBottom w:val="0"/>
      <w:divBdr>
        <w:top w:val="none" w:sz="0" w:space="0" w:color="auto"/>
        <w:left w:val="none" w:sz="0" w:space="0" w:color="auto"/>
        <w:bottom w:val="none" w:sz="0" w:space="0" w:color="auto"/>
        <w:right w:val="none" w:sz="0" w:space="0" w:color="auto"/>
      </w:divBdr>
    </w:div>
    <w:div w:id="1020084037">
      <w:bodyDiv w:val="1"/>
      <w:marLeft w:val="0"/>
      <w:marRight w:val="0"/>
      <w:marTop w:val="0"/>
      <w:marBottom w:val="0"/>
      <w:divBdr>
        <w:top w:val="none" w:sz="0" w:space="0" w:color="auto"/>
        <w:left w:val="none" w:sz="0" w:space="0" w:color="auto"/>
        <w:bottom w:val="none" w:sz="0" w:space="0" w:color="auto"/>
        <w:right w:val="none" w:sz="0" w:space="0" w:color="auto"/>
      </w:divBdr>
      <w:divsChild>
        <w:div w:id="1908688904">
          <w:marLeft w:val="360"/>
          <w:marRight w:val="0"/>
          <w:marTop w:val="200"/>
          <w:marBottom w:val="0"/>
          <w:divBdr>
            <w:top w:val="none" w:sz="0" w:space="0" w:color="auto"/>
            <w:left w:val="none" w:sz="0" w:space="0" w:color="auto"/>
            <w:bottom w:val="none" w:sz="0" w:space="0" w:color="auto"/>
            <w:right w:val="none" w:sz="0" w:space="0" w:color="auto"/>
          </w:divBdr>
        </w:div>
        <w:div w:id="1898468084">
          <w:marLeft w:val="360"/>
          <w:marRight w:val="0"/>
          <w:marTop w:val="200"/>
          <w:marBottom w:val="0"/>
          <w:divBdr>
            <w:top w:val="none" w:sz="0" w:space="0" w:color="auto"/>
            <w:left w:val="none" w:sz="0" w:space="0" w:color="auto"/>
            <w:bottom w:val="none" w:sz="0" w:space="0" w:color="auto"/>
            <w:right w:val="none" w:sz="0" w:space="0" w:color="auto"/>
          </w:divBdr>
        </w:div>
        <w:div w:id="938564372">
          <w:marLeft w:val="360"/>
          <w:marRight w:val="0"/>
          <w:marTop w:val="200"/>
          <w:marBottom w:val="0"/>
          <w:divBdr>
            <w:top w:val="none" w:sz="0" w:space="0" w:color="auto"/>
            <w:left w:val="none" w:sz="0" w:space="0" w:color="auto"/>
            <w:bottom w:val="none" w:sz="0" w:space="0" w:color="auto"/>
            <w:right w:val="none" w:sz="0" w:space="0" w:color="auto"/>
          </w:divBdr>
        </w:div>
      </w:divsChild>
    </w:div>
    <w:div w:id="1023168676">
      <w:bodyDiv w:val="1"/>
      <w:marLeft w:val="0"/>
      <w:marRight w:val="0"/>
      <w:marTop w:val="0"/>
      <w:marBottom w:val="0"/>
      <w:divBdr>
        <w:top w:val="none" w:sz="0" w:space="0" w:color="auto"/>
        <w:left w:val="none" w:sz="0" w:space="0" w:color="auto"/>
        <w:bottom w:val="none" w:sz="0" w:space="0" w:color="auto"/>
        <w:right w:val="none" w:sz="0" w:space="0" w:color="auto"/>
      </w:divBdr>
    </w:div>
    <w:div w:id="1035734805">
      <w:bodyDiv w:val="1"/>
      <w:marLeft w:val="0"/>
      <w:marRight w:val="0"/>
      <w:marTop w:val="0"/>
      <w:marBottom w:val="0"/>
      <w:divBdr>
        <w:top w:val="none" w:sz="0" w:space="0" w:color="auto"/>
        <w:left w:val="none" w:sz="0" w:space="0" w:color="auto"/>
        <w:bottom w:val="none" w:sz="0" w:space="0" w:color="auto"/>
        <w:right w:val="none" w:sz="0" w:space="0" w:color="auto"/>
      </w:divBdr>
      <w:divsChild>
        <w:div w:id="1197081578">
          <w:marLeft w:val="360"/>
          <w:marRight w:val="0"/>
          <w:marTop w:val="200"/>
          <w:marBottom w:val="0"/>
          <w:divBdr>
            <w:top w:val="none" w:sz="0" w:space="0" w:color="auto"/>
            <w:left w:val="none" w:sz="0" w:space="0" w:color="auto"/>
            <w:bottom w:val="none" w:sz="0" w:space="0" w:color="auto"/>
            <w:right w:val="none" w:sz="0" w:space="0" w:color="auto"/>
          </w:divBdr>
        </w:div>
      </w:divsChild>
    </w:div>
    <w:div w:id="1056780335">
      <w:bodyDiv w:val="1"/>
      <w:marLeft w:val="0"/>
      <w:marRight w:val="0"/>
      <w:marTop w:val="0"/>
      <w:marBottom w:val="0"/>
      <w:divBdr>
        <w:top w:val="none" w:sz="0" w:space="0" w:color="auto"/>
        <w:left w:val="none" w:sz="0" w:space="0" w:color="auto"/>
        <w:bottom w:val="none" w:sz="0" w:space="0" w:color="auto"/>
        <w:right w:val="none" w:sz="0" w:space="0" w:color="auto"/>
      </w:divBdr>
    </w:div>
    <w:div w:id="1084650278">
      <w:bodyDiv w:val="1"/>
      <w:marLeft w:val="0"/>
      <w:marRight w:val="0"/>
      <w:marTop w:val="0"/>
      <w:marBottom w:val="0"/>
      <w:divBdr>
        <w:top w:val="none" w:sz="0" w:space="0" w:color="auto"/>
        <w:left w:val="none" w:sz="0" w:space="0" w:color="auto"/>
        <w:bottom w:val="none" w:sz="0" w:space="0" w:color="auto"/>
        <w:right w:val="none" w:sz="0" w:space="0" w:color="auto"/>
      </w:divBdr>
    </w:div>
    <w:div w:id="1086459551">
      <w:bodyDiv w:val="1"/>
      <w:marLeft w:val="0"/>
      <w:marRight w:val="0"/>
      <w:marTop w:val="0"/>
      <w:marBottom w:val="0"/>
      <w:divBdr>
        <w:top w:val="none" w:sz="0" w:space="0" w:color="auto"/>
        <w:left w:val="none" w:sz="0" w:space="0" w:color="auto"/>
        <w:bottom w:val="none" w:sz="0" w:space="0" w:color="auto"/>
        <w:right w:val="none" w:sz="0" w:space="0" w:color="auto"/>
      </w:divBdr>
    </w:div>
    <w:div w:id="1123573650">
      <w:bodyDiv w:val="1"/>
      <w:marLeft w:val="0"/>
      <w:marRight w:val="0"/>
      <w:marTop w:val="0"/>
      <w:marBottom w:val="0"/>
      <w:divBdr>
        <w:top w:val="none" w:sz="0" w:space="0" w:color="auto"/>
        <w:left w:val="none" w:sz="0" w:space="0" w:color="auto"/>
        <w:bottom w:val="none" w:sz="0" w:space="0" w:color="auto"/>
        <w:right w:val="none" w:sz="0" w:space="0" w:color="auto"/>
      </w:divBdr>
    </w:div>
    <w:div w:id="1207912755">
      <w:bodyDiv w:val="1"/>
      <w:marLeft w:val="0"/>
      <w:marRight w:val="0"/>
      <w:marTop w:val="0"/>
      <w:marBottom w:val="0"/>
      <w:divBdr>
        <w:top w:val="none" w:sz="0" w:space="0" w:color="auto"/>
        <w:left w:val="none" w:sz="0" w:space="0" w:color="auto"/>
        <w:bottom w:val="none" w:sz="0" w:space="0" w:color="auto"/>
        <w:right w:val="none" w:sz="0" w:space="0" w:color="auto"/>
      </w:divBdr>
    </w:div>
    <w:div w:id="1340624357">
      <w:bodyDiv w:val="1"/>
      <w:marLeft w:val="0"/>
      <w:marRight w:val="0"/>
      <w:marTop w:val="0"/>
      <w:marBottom w:val="0"/>
      <w:divBdr>
        <w:top w:val="none" w:sz="0" w:space="0" w:color="auto"/>
        <w:left w:val="none" w:sz="0" w:space="0" w:color="auto"/>
        <w:bottom w:val="none" w:sz="0" w:space="0" w:color="auto"/>
        <w:right w:val="none" w:sz="0" w:space="0" w:color="auto"/>
      </w:divBdr>
    </w:div>
    <w:div w:id="1413896049">
      <w:bodyDiv w:val="1"/>
      <w:marLeft w:val="0"/>
      <w:marRight w:val="0"/>
      <w:marTop w:val="0"/>
      <w:marBottom w:val="0"/>
      <w:divBdr>
        <w:top w:val="none" w:sz="0" w:space="0" w:color="auto"/>
        <w:left w:val="none" w:sz="0" w:space="0" w:color="auto"/>
        <w:bottom w:val="none" w:sz="0" w:space="0" w:color="auto"/>
        <w:right w:val="none" w:sz="0" w:space="0" w:color="auto"/>
      </w:divBdr>
      <w:divsChild>
        <w:div w:id="1804344631">
          <w:marLeft w:val="360"/>
          <w:marRight w:val="0"/>
          <w:marTop w:val="200"/>
          <w:marBottom w:val="0"/>
          <w:divBdr>
            <w:top w:val="none" w:sz="0" w:space="0" w:color="auto"/>
            <w:left w:val="none" w:sz="0" w:space="0" w:color="auto"/>
            <w:bottom w:val="none" w:sz="0" w:space="0" w:color="auto"/>
            <w:right w:val="none" w:sz="0" w:space="0" w:color="auto"/>
          </w:divBdr>
        </w:div>
      </w:divsChild>
    </w:div>
    <w:div w:id="1433696418">
      <w:bodyDiv w:val="1"/>
      <w:marLeft w:val="0"/>
      <w:marRight w:val="0"/>
      <w:marTop w:val="0"/>
      <w:marBottom w:val="0"/>
      <w:divBdr>
        <w:top w:val="none" w:sz="0" w:space="0" w:color="auto"/>
        <w:left w:val="none" w:sz="0" w:space="0" w:color="auto"/>
        <w:bottom w:val="none" w:sz="0" w:space="0" w:color="auto"/>
        <w:right w:val="none" w:sz="0" w:space="0" w:color="auto"/>
      </w:divBdr>
    </w:div>
    <w:div w:id="1481310813">
      <w:bodyDiv w:val="1"/>
      <w:marLeft w:val="0"/>
      <w:marRight w:val="0"/>
      <w:marTop w:val="0"/>
      <w:marBottom w:val="0"/>
      <w:divBdr>
        <w:top w:val="none" w:sz="0" w:space="0" w:color="auto"/>
        <w:left w:val="none" w:sz="0" w:space="0" w:color="auto"/>
        <w:bottom w:val="none" w:sz="0" w:space="0" w:color="auto"/>
        <w:right w:val="none" w:sz="0" w:space="0" w:color="auto"/>
      </w:divBdr>
    </w:div>
    <w:div w:id="1696465960">
      <w:bodyDiv w:val="1"/>
      <w:marLeft w:val="0"/>
      <w:marRight w:val="0"/>
      <w:marTop w:val="0"/>
      <w:marBottom w:val="0"/>
      <w:divBdr>
        <w:top w:val="none" w:sz="0" w:space="0" w:color="auto"/>
        <w:left w:val="none" w:sz="0" w:space="0" w:color="auto"/>
        <w:bottom w:val="none" w:sz="0" w:space="0" w:color="auto"/>
        <w:right w:val="none" w:sz="0" w:space="0" w:color="auto"/>
      </w:divBdr>
    </w:div>
    <w:div w:id="1715353212">
      <w:bodyDiv w:val="1"/>
      <w:marLeft w:val="0"/>
      <w:marRight w:val="0"/>
      <w:marTop w:val="0"/>
      <w:marBottom w:val="0"/>
      <w:divBdr>
        <w:top w:val="none" w:sz="0" w:space="0" w:color="auto"/>
        <w:left w:val="none" w:sz="0" w:space="0" w:color="auto"/>
        <w:bottom w:val="none" w:sz="0" w:space="0" w:color="auto"/>
        <w:right w:val="none" w:sz="0" w:space="0" w:color="auto"/>
      </w:divBdr>
    </w:div>
    <w:div w:id="1726685705">
      <w:bodyDiv w:val="1"/>
      <w:marLeft w:val="0"/>
      <w:marRight w:val="0"/>
      <w:marTop w:val="0"/>
      <w:marBottom w:val="0"/>
      <w:divBdr>
        <w:top w:val="none" w:sz="0" w:space="0" w:color="auto"/>
        <w:left w:val="none" w:sz="0" w:space="0" w:color="auto"/>
        <w:bottom w:val="none" w:sz="0" w:space="0" w:color="auto"/>
        <w:right w:val="none" w:sz="0" w:space="0" w:color="auto"/>
      </w:divBdr>
    </w:div>
    <w:div w:id="1734549050">
      <w:bodyDiv w:val="1"/>
      <w:marLeft w:val="0"/>
      <w:marRight w:val="0"/>
      <w:marTop w:val="0"/>
      <w:marBottom w:val="0"/>
      <w:divBdr>
        <w:top w:val="none" w:sz="0" w:space="0" w:color="auto"/>
        <w:left w:val="none" w:sz="0" w:space="0" w:color="auto"/>
        <w:bottom w:val="none" w:sz="0" w:space="0" w:color="auto"/>
        <w:right w:val="none" w:sz="0" w:space="0" w:color="auto"/>
      </w:divBdr>
    </w:div>
    <w:div w:id="1739159982">
      <w:bodyDiv w:val="1"/>
      <w:marLeft w:val="0"/>
      <w:marRight w:val="0"/>
      <w:marTop w:val="0"/>
      <w:marBottom w:val="0"/>
      <w:divBdr>
        <w:top w:val="none" w:sz="0" w:space="0" w:color="auto"/>
        <w:left w:val="none" w:sz="0" w:space="0" w:color="auto"/>
        <w:bottom w:val="none" w:sz="0" w:space="0" w:color="auto"/>
        <w:right w:val="none" w:sz="0" w:space="0" w:color="auto"/>
      </w:divBdr>
    </w:div>
    <w:div w:id="1768427645">
      <w:bodyDiv w:val="1"/>
      <w:marLeft w:val="0"/>
      <w:marRight w:val="0"/>
      <w:marTop w:val="0"/>
      <w:marBottom w:val="0"/>
      <w:divBdr>
        <w:top w:val="none" w:sz="0" w:space="0" w:color="auto"/>
        <w:left w:val="none" w:sz="0" w:space="0" w:color="auto"/>
        <w:bottom w:val="none" w:sz="0" w:space="0" w:color="auto"/>
        <w:right w:val="none" w:sz="0" w:space="0" w:color="auto"/>
      </w:divBdr>
      <w:divsChild>
        <w:div w:id="2082364158">
          <w:marLeft w:val="360"/>
          <w:marRight w:val="0"/>
          <w:marTop w:val="200"/>
          <w:marBottom w:val="0"/>
          <w:divBdr>
            <w:top w:val="none" w:sz="0" w:space="0" w:color="auto"/>
            <w:left w:val="none" w:sz="0" w:space="0" w:color="auto"/>
            <w:bottom w:val="none" w:sz="0" w:space="0" w:color="auto"/>
            <w:right w:val="none" w:sz="0" w:space="0" w:color="auto"/>
          </w:divBdr>
        </w:div>
      </w:divsChild>
    </w:div>
    <w:div w:id="1826235478">
      <w:bodyDiv w:val="1"/>
      <w:marLeft w:val="0"/>
      <w:marRight w:val="0"/>
      <w:marTop w:val="0"/>
      <w:marBottom w:val="0"/>
      <w:divBdr>
        <w:top w:val="none" w:sz="0" w:space="0" w:color="auto"/>
        <w:left w:val="none" w:sz="0" w:space="0" w:color="auto"/>
        <w:bottom w:val="none" w:sz="0" w:space="0" w:color="auto"/>
        <w:right w:val="none" w:sz="0" w:space="0" w:color="auto"/>
      </w:divBdr>
    </w:div>
    <w:div w:id="1837958998">
      <w:bodyDiv w:val="1"/>
      <w:marLeft w:val="0"/>
      <w:marRight w:val="0"/>
      <w:marTop w:val="0"/>
      <w:marBottom w:val="0"/>
      <w:divBdr>
        <w:top w:val="none" w:sz="0" w:space="0" w:color="auto"/>
        <w:left w:val="none" w:sz="0" w:space="0" w:color="auto"/>
        <w:bottom w:val="none" w:sz="0" w:space="0" w:color="auto"/>
        <w:right w:val="none" w:sz="0" w:space="0" w:color="auto"/>
      </w:divBdr>
    </w:div>
    <w:div w:id="1897932017">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09477914">
      <w:bodyDiv w:val="1"/>
      <w:marLeft w:val="0"/>
      <w:marRight w:val="0"/>
      <w:marTop w:val="0"/>
      <w:marBottom w:val="0"/>
      <w:divBdr>
        <w:top w:val="none" w:sz="0" w:space="0" w:color="auto"/>
        <w:left w:val="none" w:sz="0" w:space="0" w:color="auto"/>
        <w:bottom w:val="none" w:sz="0" w:space="0" w:color="auto"/>
        <w:right w:val="none" w:sz="0" w:space="0" w:color="auto"/>
      </w:divBdr>
      <w:divsChild>
        <w:div w:id="757335307">
          <w:marLeft w:val="360"/>
          <w:marRight w:val="0"/>
          <w:marTop w:val="200"/>
          <w:marBottom w:val="0"/>
          <w:divBdr>
            <w:top w:val="none" w:sz="0" w:space="0" w:color="auto"/>
            <w:left w:val="none" w:sz="0" w:space="0" w:color="auto"/>
            <w:bottom w:val="none" w:sz="0" w:space="0" w:color="auto"/>
            <w:right w:val="none" w:sz="0" w:space="0" w:color="auto"/>
          </w:divBdr>
        </w:div>
      </w:divsChild>
    </w:div>
    <w:div w:id="2048985806">
      <w:bodyDiv w:val="1"/>
      <w:marLeft w:val="0"/>
      <w:marRight w:val="0"/>
      <w:marTop w:val="0"/>
      <w:marBottom w:val="0"/>
      <w:divBdr>
        <w:top w:val="none" w:sz="0" w:space="0" w:color="auto"/>
        <w:left w:val="none" w:sz="0" w:space="0" w:color="auto"/>
        <w:bottom w:val="none" w:sz="0" w:space="0" w:color="auto"/>
        <w:right w:val="none" w:sz="0" w:space="0" w:color="auto"/>
      </w:divBdr>
    </w:div>
    <w:div w:id="2067215692">
      <w:bodyDiv w:val="1"/>
      <w:marLeft w:val="0"/>
      <w:marRight w:val="0"/>
      <w:marTop w:val="0"/>
      <w:marBottom w:val="0"/>
      <w:divBdr>
        <w:top w:val="none" w:sz="0" w:space="0" w:color="auto"/>
        <w:left w:val="none" w:sz="0" w:space="0" w:color="auto"/>
        <w:bottom w:val="none" w:sz="0" w:space="0" w:color="auto"/>
        <w:right w:val="none" w:sz="0" w:space="0" w:color="auto"/>
      </w:divBdr>
    </w:div>
    <w:div w:id="2119788558">
      <w:bodyDiv w:val="1"/>
      <w:marLeft w:val="0"/>
      <w:marRight w:val="0"/>
      <w:marTop w:val="0"/>
      <w:marBottom w:val="0"/>
      <w:divBdr>
        <w:top w:val="none" w:sz="0" w:space="0" w:color="auto"/>
        <w:left w:val="none" w:sz="0" w:space="0" w:color="auto"/>
        <w:bottom w:val="none" w:sz="0" w:space="0" w:color="auto"/>
        <w:right w:val="none" w:sz="0" w:space="0" w:color="auto"/>
      </w:divBdr>
    </w:div>
    <w:div w:id="212854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135B4-984B-451E-B377-AD4623DB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10086</Words>
  <Characters>60253</Characters>
  <Application>Microsoft Office Word</Application>
  <DocSecurity>0</DocSecurity>
  <Lines>502</Lines>
  <Paragraphs>140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2017-10-16T02:35:00Z</dcterms:created>
  <dcterms:modified xsi:type="dcterms:W3CDTF">2017-10-16T03:12:00Z</dcterms:modified>
</cp:coreProperties>
</file>