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20" w:rsidRDefault="00BB005C" w:rsidP="007F2C1C">
      <w:pPr>
        <w:ind w:left="992" w:hanging="992"/>
        <w:jc w:val="left"/>
        <w:outlineLvl w:val="0"/>
        <w:rPr>
          <w:b/>
          <w:sz w:val="36"/>
          <w:szCs w:val="36"/>
        </w:rPr>
      </w:pPr>
      <w:r>
        <w:rPr>
          <w:b/>
          <w:sz w:val="36"/>
          <w:szCs w:val="36"/>
        </w:rPr>
        <w:t>6.03</w:t>
      </w:r>
      <w:r w:rsidR="00CC3220" w:rsidRPr="002A4503">
        <w:rPr>
          <w:b/>
          <w:sz w:val="36"/>
          <w:szCs w:val="36"/>
        </w:rPr>
        <w:tab/>
      </w:r>
      <w:r w:rsidR="00CC3220" w:rsidRPr="003B6B75">
        <w:rPr>
          <w:b/>
          <w:sz w:val="36"/>
          <w:szCs w:val="36"/>
        </w:rPr>
        <w:t>PEMBROLIZUMAB</w:t>
      </w:r>
      <w:proofErr w:type="gramStart"/>
      <w:r w:rsidR="00CC3220" w:rsidRPr="003B6B75">
        <w:rPr>
          <w:b/>
          <w:sz w:val="36"/>
          <w:szCs w:val="36"/>
        </w:rPr>
        <w:t>,</w:t>
      </w:r>
      <w:proofErr w:type="gramEnd"/>
      <w:r w:rsidR="00CC3220" w:rsidRPr="003B6B75">
        <w:rPr>
          <w:b/>
          <w:sz w:val="36"/>
          <w:szCs w:val="36"/>
        </w:rPr>
        <w:br/>
        <w:t xml:space="preserve">Powder for I.V. infusion, 50 mg and 100 mg vials, </w:t>
      </w:r>
      <w:r w:rsidR="003B6B75" w:rsidRPr="003B6B75">
        <w:rPr>
          <w:b/>
          <w:sz w:val="36"/>
          <w:szCs w:val="36"/>
        </w:rPr>
        <w:br/>
      </w:r>
      <w:proofErr w:type="spellStart"/>
      <w:r w:rsidR="00CC3220" w:rsidRPr="003B6B75">
        <w:rPr>
          <w:b/>
          <w:sz w:val="36"/>
          <w:szCs w:val="36"/>
        </w:rPr>
        <w:t>Keytruda</w:t>
      </w:r>
      <w:proofErr w:type="spellEnd"/>
      <w:r w:rsidR="00CC3220" w:rsidRPr="003B6B75">
        <w:rPr>
          <w:b/>
          <w:sz w:val="36"/>
          <w:szCs w:val="36"/>
        </w:rPr>
        <w:t>®, Merck, Sharp &amp; Dohme (Australia) Pty Limited</w:t>
      </w:r>
    </w:p>
    <w:p w:rsidR="00CC3220" w:rsidRPr="00D24DAD" w:rsidRDefault="00CC3220" w:rsidP="009C0DF6">
      <w:pPr>
        <w:pStyle w:val="Heading1"/>
        <w:ind w:left="709" w:hanging="709"/>
      </w:pPr>
      <w:bookmarkStart w:id="0" w:name="_Toc413139271"/>
      <w:bookmarkStart w:id="1" w:name="_Toc482711236"/>
      <w:r w:rsidRPr="00D24DAD">
        <w:t>Purpose of Application</w:t>
      </w:r>
      <w:bookmarkEnd w:id="0"/>
      <w:bookmarkEnd w:id="1"/>
    </w:p>
    <w:p w:rsidR="00801A4C" w:rsidRDefault="00CC3220" w:rsidP="00801A4C">
      <w:pPr>
        <w:pStyle w:val="ListParagraph"/>
        <w:numPr>
          <w:ilvl w:val="1"/>
          <w:numId w:val="3"/>
        </w:numPr>
        <w:spacing w:before="0" w:after="120"/>
      </w:pPr>
      <w:r>
        <w:t xml:space="preserve">The submission requested a </w:t>
      </w:r>
      <w:r w:rsidRPr="004B3DDB">
        <w:t>Section 100</w:t>
      </w:r>
      <w:r>
        <w:t xml:space="preserve"> – </w:t>
      </w:r>
      <w:r w:rsidR="00A73628">
        <w:t>Efficient Funding of Chemotherapy listing (</w:t>
      </w:r>
      <w:r>
        <w:t>private and public hospital</w:t>
      </w:r>
      <w:r w:rsidR="00A73628">
        <w:t>)</w:t>
      </w:r>
      <w:r>
        <w:t xml:space="preserve"> for </w:t>
      </w:r>
      <w:proofErr w:type="spellStart"/>
      <w:r>
        <w:t>pembrolizumab</w:t>
      </w:r>
      <w:proofErr w:type="spellEnd"/>
      <w:r>
        <w:t xml:space="preserve"> for the treatment of relapsed or refractory classical Hodgkin’s Lymphoma (</w:t>
      </w:r>
      <w:proofErr w:type="spellStart"/>
      <w:r>
        <w:t>rrcHL</w:t>
      </w:r>
      <w:proofErr w:type="spellEnd"/>
      <w:r>
        <w:t xml:space="preserve">) in patients who have progressed following autologous stem cell transplant (ASCT), or who are ineligible for ASCT and have progressed on at least two prior systemic therapies. </w:t>
      </w:r>
    </w:p>
    <w:p w:rsidR="00175B20" w:rsidRDefault="00175B20" w:rsidP="00175B20">
      <w:pPr>
        <w:pStyle w:val="Caption"/>
      </w:pPr>
      <w:r>
        <w:t xml:space="preserve">Table </w:t>
      </w:r>
      <w:r>
        <w:rPr>
          <w:noProof/>
        </w:rPr>
        <w:t>1</w:t>
      </w:r>
      <w:r w:rsidRPr="008203ED">
        <w:t>: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696"/>
        <w:gridCol w:w="7320"/>
      </w:tblGrid>
      <w:tr w:rsidR="00CC3220" w:rsidRPr="00691913" w:rsidTr="00340B7C">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CC3220" w:rsidRPr="00691913" w:rsidRDefault="00CC3220" w:rsidP="009C0DF6">
            <w:pPr>
              <w:pStyle w:val="TableText"/>
            </w:pPr>
            <w:r w:rsidRPr="00691913">
              <w:t>Component</w:t>
            </w:r>
          </w:p>
        </w:tc>
        <w:tc>
          <w:tcPr>
            <w:tcW w:w="7320" w:type="dxa"/>
            <w:shd w:val="clear" w:color="auto" w:fill="auto"/>
          </w:tcPr>
          <w:p w:rsidR="00CC3220" w:rsidRPr="00691913" w:rsidRDefault="00CC3220" w:rsidP="009C0DF6">
            <w:pPr>
              <w:pStyle w:val="TableText"/>
            </w:pPr>
            <w:r w:rsidRPr="00691913">
              <w:t>Description</w:t>
            </w:r>
          </w:p>
        </w:tc>
      </w:tr>
      <w:tr w:rsidR="00CC3220" w:rsidRPr="00117898" w:rsidTr="00340B7C">
        <w:trPr>
          <w:cantSplit/>
        </w:trPr>
        <w:tc>
          <w:tcPr>
            <w:tcW w:w="1696" w:type="dxa"/>
            <w:shd w:val="clear" w:color="auto" w:fill="auto"/>
          </w:tcPr>
          <w:p w:rsidR="00CC3220" w:rsidRPr="00117898" w:rsidRDefault="00CC3220" w:rsidP="009C0DF6">
            <w:pPr>
              <w:pStyle w:val="TableText"/>
            </w:pPr>
            <w:r w:rsidRPr="00117898">
              <w:t>Population</w:t>
            </w:r>
          </w:p>
        </w:tc>
        <w:tc>
          <w:tcPr>
            <w:tcW w:w="7320" w:type="dxa"/>
            <w:shd w:val="clear" w:color="auto" w:fill="auto"/>
          </w:tcPr>
          <w:p w:rsidR="00E84514" w:rsidRPr="00117898" w:rsidRDefault="00CC3220" w:rsidP="009C0DF6">
            <w:pPr>
              <w:pStyle w:val="TableText"/>
            </w:pPr>
            <w:r w:rsidRPr="00117898">
              <w:t xml:space="preserve">Patients with relapsed or refractory classical Hodgkin's Lymphoma following autologous stem cell transplant (ASCT) failure, </w:t>
            </w:r>
          </w:p>
          <w:p w:rsidR="00E84514" w:rsidRPr="00117898" w:rsidRDefault="00CC3220" w:rsidP="009C0DF6">
            <w:pPr>
              <w:pStyle w:val="TableText"/>
            </w:pPr>
            <w:r w:rsidRPr="00117898">
              <w:t xml:space="preserve">or </w:t>
            </w:r>
          </w:p>
          <w:p w:rsidR="00CC3220" w:rsidRPr="00117898" w:rsidRDefault="00E84514" w:rsidP="009C0DF6">
            <w:pPr>
              <w:pStyle w:val="TableText"/>
            </w:pPr>
            <w:r w:rsidRPr="00117898">
              <w:t xml:space="preserve">Patients with relapsed or refractory classical Hodgkin's Lymphoma </w:t>
            </w:r>
            <w:r w:rsidR="00CC3220" w:rsidRPr="00117898">
              <w:t>who are ineligible for ASCT due to age or co-morbidities</w:t>
            </w:r>
            <w:r w:rsidRPr="00117898">
              <w:t xml:space="preserve"> and have progressed on at least two prior systemic therapies.</w:t>
            </w:r>
          </w:p>
        </w:tc>
      </w:tr>
      <w:tr w:rsidR="00CC3220" w:rsidRPr="00117898" w:rsidTr="00340B7C">
        <w:trPr>
          <w:cantSplit/>
        </w:trPr>
        <w:tc>
          <w:tcPr>
            <w:tcW w:w="1696" w:type="dxa"/>
            <w:shd w:val="clear" w:color="auto" w:fill="auto"/>
          </w:tcPr>
          <w:p w:rsidR="00CC3220" w:rsidRPr="00117898" w:rsidRDefault="00CC3220" w:rsidP="009C0DF6">
            <w:pPr>
              <w:pStyle w:val="TableText"/>
            </w:pPr>
            <w:r w:rsidRPr="00117898">
              <w:t>Intervention</w:t>
            </w:r>
          </w:p>
        </w:tc>
        <w:tc>
          <w:tcPr>
            <w:tcW w:w="7320" w:type="dxa"/>
            <w:shd w:val="clear" w:color="auto" w:fill="auto"/>
          </w:tcPr>
          <w:p w:rsidR="00CC3220" w:rsidRPr="00117898" w:rsidRDefault="00CC3220" w:rsidP="009C0DF6">
            <w:pPr>
              <w:pStyle w:val="TableText"/>
            </w:pPr>
            <w:proofErr w:type="spellStart"/>
            <w:r w:rsidRPr="00117898">
              <w:t>Pembrolizumab</w:t>
            </w:r>
            <w:proofErr w:type="spellEnd"/>
            <w:r w:rsidRPr="00117898">
              <w:t xml:space="preserve"> 200mg intravenous every 3 weeks</w:t>
            </w:r>
            <w:r w:rsidR="00EC1FBC">
              <w:t>.</w:t>
            </w:r>
          </w:p>
        </w:tc>
      </w:tr>
      <w:tr w:rsidR="00CC3220" w:rsidRPr="00117898" w:rsidTr="00340B7C">
        <w:trPr>
          <w:cantSplit/>
        </w:trPr>
        <w:tc>
          <w:tcPr>
            <w:tcW w:w="1696" w:type="dxa"/>
            <w:shd w:val="clear" w:color="auto" w:fill="auto"/>
          </w:tcPr>
          <w:p w:rsidR="00CC3220" w:rsidRPr="00117898" w:rsidRDefault="00CC3220" w:rsidP="009C0DF6">
            <w:pPr>
              <w:pStyle w:val="TableText"/>
            </w:pPr>
            <w:r w:rsidRPr="00117898">
              <w:t>Comparator</w:t>
            </w:r>
          </w:p>
        </w:tc>
        <w:tc>
          <w:tcPr>
            <w:tcW w:w="7320" w:type="dxa"/>
            <w:shd w:val="clear" w:color="auto" w:fill="auto"/>
          </w:tcPr>
          <w:p w:rsidR="00CC3220" w:rsidRPr="00117898" w:rsidRDefault="00CC3220" w:rsidP="009C0DF6">
            <w:pPr>
              <w:pStyle w:val="TableText"/>
            </w:pPr>
            <w:proofErr w:type="spellStart"/>
            <w:r w:rsidRPr="00117898">
              <w:t>Brentuximab</w:t>
            </w:r>
            <w:proofErr w:type="spellEnd"/>
            <w:r w:rsidRPr="00117898">
              <w:t xml:space="preserve"> </w:t>
            </w:r>
            <w:proofErr w:type="spellStart"/>
            <w:r w:rsidRPr="00117898">
              <w:t>vedotin</w:t>
            </w:r>
            <w:proofErr w:type="spellEnd"/>
            <w:r w:rsidRPr="00117898">
              <w:t xml:space="preserve"> (BV) 1.8mg/kg every 3 weeks as the main comparator. Gemcitabine/</w:t>
            </w:r>
            <w:proofErr w:type="spellStart"/>
            <w:r w:rsidRPr="00117898">
              <w:t>vinorelbine</w:t>
            </w:r>
            <w:proofErr w:type="spellEnd"/>
            <w:r w:rsidRPr="00117898">
              <w:t xml:space="preserve"> as a secondary comparator.</w:t>
            </w:r>
          </w:p>
        </w:tc>
      </w:tr>
      <w:tr w:rsidR="00CC3220" w:rsidRPr="00117898" w:rsidTr="00340B7C">
        <w:trPr>
          <w:cantSplit/>
        </w:trPr>
        <w:tc>
          <w:tcPr>
            <w:tcW w:w="1696" w:type="dxa"/>
            <w:shd w:val="clear" w:color="auto" w:fill="auto"/>
          </w:tcPr>
          <w:p w:rsidR="00CC3220" w:rsidRPr="00117898" w:rsidRDefault="00CC3220" w:rsidP="009C0DF6">
            <w:pPr>
              <w:pStyle w:val="TableText"/>
            </w:pPr>
            <w:r w:rsidRPr="00117898">
              <w:t>Outcomes</w:t>
            </w:r>
          </w:p>
        </w:tc>
        <w:tc>
          <w:tcPr>
            <w:tcW w:w="7320" w:type="dxa"/>
            <w:shd w:val="clear" w:color="auto" w:fill="auto"/>
          </w:tcPr>
          <w:p w:rsidR="00CC3220" w:rsidRPr="00117898" w:rsidRDefault="00CC3220" w:rsidP="009C0DF6">
            <w:pPr>
              <w:pStyle w:val="TableText"/>
            </w:pPr>
            <w:r w:rsidRPr="00117898">
              <w:t>Quality of life (</w:t>
            </w:r>
            <w:proofErr w:type="spellStart"/>
            <w:r w:rsidRPr="00117898">
              <w:t>QoL</w:t>
            </w:r>
            <w:proofErr w:type="spellEnd"/>
            <w:r w:rsidRPr="00117898">
              <w:t>), progression free survival (PFS), overall survival (OS) and safety</w:t>
            </w:r>
            <w:r w:rsidR="00EC1FBC">
              <w:t>.</w:t>
            </w:r>
          </w:p>
        </w:tc>
      </w:tr>
      <w:tr w:rsidR="00CC3220" w:rsidRPr="00117898" w:rsidTr="00340B7C">
        <w:trPr>
          <w:cantSplit/>
        </w:trPr>
        <w:tc>
          <w:tcPr>
            <w:tcW w:w="1696" w:type="dxa"/>
            <w:shd w:val="clear" w:color="auto" w:fill="auto"/>
          </w:tcPr>
          <w:p w:rsidR="00CC3220" w:rsidRPr="00117898" w:rsidRDefault="00CC3220" w:rsidP="009C0DF6">
            <w:pPr>
              <w:pStyle w:val="TableText"/>
            </w:pPr>
            <w:r w:rsidRPr="00117898">
              <w:t>Clinical claim</w:t>
            </w:r>
          </w:p>
        </w:tc>
        <w:tc>
          <w:tcPr>
            <w:tcW w:w="7320" w:type="dxa"/>
            <w:shd w:val="clear" w:color="auto" w:fill="auto"/>
          </w:tcPr>
          <w:p w:rsidR="00CC3220" w:rsidRPr="00117898" w:rsidRDefault="00CC3220" w:rsidP="009C0DF6">
            <w:pPr>
              <w:pStyle w:val="TableText"/>
            </w:pPr>
            <w:r w:rsidRPr="00117898">
              <w:t xml:space="preserve">The submission claimed that, in classical Hodgkin's Lymphoma patients, who have relapsed or are refractory following ASCT, </w:t>
            </w:r>
            <w:proofErr w:type="spellStart"/>
            <w:r w:rsidRPr="00117898">
              <w:t>pembrolizumab</w:t>
            </w:r>
            <w:proofErr w:type="spellEnd"/>
            <w:r w:rsidRPr="00117898">
              <w:t xml:space="preserve"> is more effective than BV at improving progression free survival (PFS) and extending overall survival (OS), with an improved safety profile</w:t>
            </w:r>
            <w:r w:rsidR="002A31F9" w:rsidRPr="00117898">
              <w:t>.</w:t>
            </w:r>
          </w:p>
        </w:tc>
      </w:tr>
    </w:tbl>
    <w:p w:rsidR="00CC3220" w:rsidRPr="008D6076" w:rsidRDefault="00CC3220" w:rsidP="009C0DF6">
      <w:pPr>
        <w:pStyle w:val="TableFooter"/>
        <w:widowControl/>
      </w:pPr>
      <w:r w:rsidRPr="008D6076">
        <w:t>Source: compiled during the evaluation</w:t>
      </w:r>
      <w:r w:rsidR="008D6076">
        <w:t xml:space="preserve"> from the submission</w:t>
      </w:r>
    </w:p>
    <w:p w:rsidR="00CC3220" w:rsidRDefault="00CC3220" w:rsidP="009C0DF6">
      <w:pPr>
        <w:pStyle w:val="Heading1"/>
        <w:ind w:left="709" w:hanging="709"/>
      </w:pPr>
      <w:bookmarkStart w:id="2" w:name="_Toc413139272"/>
      <w:bookmarkStart w:id="3" w:name="_Toc482711237"/>
      <w:r w:rsidRPr="00040BFC">
        <w:t>Requested listing</w:t>
      </w:r>
      <w:bookmarkEnd w:id="2"/>
      <w:bookmarkEnd w:id="3"/>
    </w:p>
    <w:p w:rsidR="003715D6" w:rsidRPr="00262141" w:rsidRDefault="003715D6" w:rsidP="009C0DF6">
      <w:pPr>
        <w:pStyle w:val="NoSpacing"/>
        <w:widowControl/>
        <w:rPr>
          <w:rFonts w:asciiTheme="minorHAnsi" w:eastAsiaTheme="minorHAnsi" w:hAnsiTheme="minorHAnsi" w:cstheme="minorBidi"/>
          <w:snapToGrid/>
          <w:sz w:val="24"/>
          <w:szCs w:val="22"/>
        </w:rPr>
      </w:pPr>
      <w:r w:rsidRPr="00262141">
        <w:rPr>
          <w:rFonts w:asciiTheme="minorHAnsi" w:eastAsiaTheme="minorHAnsi" w:hAnsiTheme="minorHAnsi" w:cstheme="minorBidi"/>
          <w:snapToGrid/>
          <w:sz w:val="24"/>
          <w:szCs w:val="22"/>
        </w:rPr>
        <w:t xml:space="preserve">An abbreviated version of the requested restriction is below. Suggestions and </w:t>
      </w:r>
      <w:r w:rsidR="00FE05F2" w:rsidRPr="00262141">
        <w:rPr>
          <w:rFonts w:asciiTheme="minorHAnsi" w:eastAsiaTheme="minorHAnsi" w:hAnsiTheme="minorHAnsi" w:cstheme="minorBidi"/>
          <w:snapToGrid/>
          <w:sz w:val="24"/>
          <w:szCs w:val="22"/>
        </w:rPr>
        <w:t>additions proposed</w:t>
      </w:r>
      <w:r w:rsidRPr="00262141">
        <w:rPr>
          <w:rFonts w:asciiTheme="minorHAnsi" w:eastAsiaTheme="minorHAnsi" w:hAnsiTheme="minorHAnsi" w:cstheme="minorBidi"/>
          <w:snapToGrid/>
          <w:sz w:val="24"/>
          <w:szCs w:val="22"/>
        </w:rPr>
        <w:t xml:space="preserve"> by the Secretariat to the requested listing are added in italics.</w:t>
      </w:r>
    </w:p>
    <w:p w:rsidR="003715D6" w:rsidRDefault="003715D6" w:rsidP="009C0DF6">
      <w:pPr>
        <w:pStyle w:val="NoSpacing"/>
        <w:widowControl/>
        <w:rPr>
          <w:szCs w:val="22"/>
          <w:u w:val="single"/>
          <w:lang w:val="en-GB" w:eastAsia="en-AU"/>
        </w:rPr>
      </w:pPr>
    </w:p>
    <w:p w:rsidR="00801A4C" w:rsidRDefault="00801A4C" w:rsidP="009C0DF6">
      <w:pPr>
        <w:pStyle w:val="NoSpacing"/>
        <w:widowControl/>
        <w:rPr>
          <w:szCs w:val="22"/>
          <w:u w:val="single"/>
          <w:lang w:val="en-GB" w:eastAsia="en-AU"/>
        </w:rPr>
      </w:pPr>
    </w:p>
    <w:p w:rsidR="00801A4C" w:rsidRDefault="00801A4C" w:rsidP="009C0DF6">
      <w:pPr>
        <w:pStyle w:val="NoSpacing"/>
        <w:widowControl/>
        <w:rPr>
          <w:szCs w:val="22"/>
          <w:u w:val="single"/>
          <w:lang w:val="en-GB" w:eastAsia="en-AU"/>
        </w:rPr>
      </w:pPr>
    </w:p>
    <w:p w:rsidR="00CA3EF7" w:rsidRPr="00995091" w:rsidRDefault="00CA3EF7" w:rsidP="009C0DF6">
      <w:pPr>
        <w:pStyle w:val="NoSpacing"/>
        <w:widowControl/>
        <w:rPr>
          <w:rFonts w:ascii="Calibri" w:hAnsi="Calibri"/>
          <w:sz w:val="24"/>
          <w:szCs w:val="24"/>
          <w:u w:val="single"/>
          <w:lang w:val="en-GB" w:eastAsia="en-AU"/>
        </w:rPr>
      </w:pPr>
      <w:r w:rsidRPr="00995091">
        <w:rPr>
          <w:rFonts w:ascii="Calibri" w:hAnsi="Calibri"/>
          <w:sz w:val="24"/>
          <w:szCs w:val="24"/>
          <w:u w:val="single"/>
          <w:lang w:val="en-GB" w:eastAsia="en-AU"/>
        </w:rPr>
        <w:t>ASCT</w:t>
      </w:r>
      <w:r w:rsidR="00BF4BCC" w:rsidRPr="00995091">
        <w:rPr>
          <w:rFonts w:ascii="Calibri" w:hAnsi="Calibri"/>
          <w:sz w:val="24"/>
          <w:szCs w:val="24"/>
          <w:u w:val="single"/>
          <w:lang w:val="en-GB" w:eastAsia="en-AU"/>
        </w:rPr>
        <w:t xml:space="preserve"> </w:t>
      </w:r>
      <w:r w:rsidRPr="00995091">
        <w:rPr>
          <w:rFonts w:ascii="Calibri" w:hAnsi="Calibri"/>
          <w:sz w:val="24"/>
          <w:szCs w:val="24"/>
          <w:u w:val="single"/>
          <w:lang w:val="en-GB" w:eastAsia="en-AU"/>
        </w:rPr>
        <w:t>naïve:</w:t>
      </w:r>
    </w:p>
    <w:p w:rsidR="00CA3EF7" w:rsidRPr="00FF044C" w:rsidRDefault="00CA3EF7" w:rsidP="009C0DF6">
      <w:pPr>
        <w:pStyle w:val="NoSpacing"/>
        <w:widowControl/>
      </w:pPr>
    </w:p>
    <w:tbl>
      <w:tblPr>
        <w:tblW w:w="9077" w:type="dxa"/>
        <w:tblInd w:w="108" w:type="dxa"/>
        <w:tblLayout w:type="fixed"/>
        <w:tblLook w:val="0000" w:firstRow="0" w:lastRow="0" w:firstColumn="0" w:lastColumn="0" w:noHBand="0" w:noVBand="0"/>
      </w:tblPr>
      <w:tblGrid>
        <w:gridCol w:w="2410"/>
        <w:gridCol w:w="992"/>
        <w:gridCol w:w="851"/>
        <w:gridCol w:w="1417"/>
        <w:gridCol w:w="1134"/>
        <w:gridCol w:w="2273"/>
      </w:tblGrid>
      <w:tr w:rsidR="00AE5453" w:rsidRPr="00FF044C" w:rsidTr="00893139">
        <w:trPr>
          <w:cantSplit/>
          <w:trHeight w:val="471"/>
        </w:trPr>
        <w:tc>
          <w:tcPr>
            <w:tcW w:w="2410" w:type="dxa"/>
            <w:tcBorders>
              <w:bottom w:val="single" w:sz="4" w:space="0" w:color="auto"/>
            </w:tcBorders>
          </w:tcPr>
          <w:p w:rsidR="00AE5453" w:rsidRPr="00FF044C" w:rsidRDefault="00AE5453" w:rsidP="009C0DF6">
            <w:pPr>
              <w:keepNext/>
              <w:spacing w:before="0" w:after="0"/>
              <w:ind w:left="-108"/>
              <w:jc w:val="left"/>
              <w:rPr>
                <w:rFonts w:ascii="Arial Narrow" w:hAnsi="Arial Narrow"/>
                <w:sz w:val="20"/>
              </w:rPr>
            </w:pPr>
            <w:r w:rsidRPr="00FF044C">
              <w:rPr>
                <w:rFonts w:ascii="Arial Narrow" w:hAnsi="Arial Narrow"/>
                <w:sz w:val="20"/>
              </w:rPr>
              <w:t>Name, Restriction,</w:t>
            </w:r>
          </w:p>
          <w:p w:rsidR="00AE5453" w:rsidRPr="00FF044C" w:rsidRDefault="00AE5453" w:rsidP="009C0DF6">
            <w:pPr>
              <w:keepNext/>
              <w:spacing w:before="0" w:after="0"/>
              <w:ind w:left="-108"/>
              <w:jc w:val="left"/>
              <w:rPr>
                <w:rFonts w:ascii="Arial Narrow" w:hAnsi="Arial Narrow"/>
                <w:sz w:val="20"/>
              </w:rPr>
            </w:pPr>
            <w:r w:rsidRPr="00FF044C">
              <w:rPr>
                <w:rFonts w:ascii="Arial Narrow" w:hAnsi="Arial Narrow"/>
                <w:sz w:val="20"/>
              </w:rPr>
              <w:t>Manner of administration and form</w:t>
            </w:r>
          </w:p>
        </w:tc>
        <w:tc>
          <w:tcPr>
            <w:tcW w:w="992" w:type="dxa"/>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Max.</w:t>
            </w:r>
          </w:p>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Amount</w:t>
            </w:r>
          </w:p>
        </w:tc>
        <w:tc>
          <w:tcPr>
            <w:tcW w:w="851" w:type="dxa"/>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 xml:space="preserve">№.of </w:t>
            </w:r>
            <w:proofErr w:type="spellStart"/>
            <w:r w:rsidRPr="00FF044C">
              <w:rPr>
                <w:rFonts w:ascii="Arial Narrow" w:hAnsi="Arial Narrow"/>
                <w:sz w:val="20"/>
              </w:rPr>
              <w:t>Rpts</w:t>
            </w:r>
            <w:proofErr w:type="spellEnd"/>
          </w:p>
        </w:tc>
        <w:tc>
          <w:tcPr>
            <w:tcW w:w="1417" w:type="dxa"/>
            <w:tcBorders>
              <w:bottom w:val="single" w:sz="4" w:space="0" w:color="auto"/>
            </w:tcBorders>
          </w:tcPr>
          <w:p w:rsidR="00AE5453" w:rsidRPr="00FF044C" w:rsidRDefault="00AE5453" w:rsidP="009C0DF6">
            <w:pPr>
              <w:keepNext/>
              <w:spacing w:before="0" w:after="0"/>
              <w:ind w:left="-108"/>
              <w:rPr>
                <w:rFonts w:ascii="Arial Narrow" w:hAnsi="Arial Narrow"/>
                <w:sz w:val="20"/>
              </w:rPr>
            </w:pPr>
            <w:r w:rsidRPr="003F278A">
              <w:rPr>
                <w:rFonts w:ascii="Arial Narrow" w:hAnsi="Arial Narrow"/>
                <w:sz w:val="20"/>
              </w:rPr>
              <w:t xml:space="preserve">Dispensed price for maximum </w:t>
            </w:r>
            <w:r>
              <w:rPr>
                <w:rFonts w:ascii="Arial Narrow" w:hAnsi="Arial Narrow"/>
                <w:sz w:val="20"/>
              </w:rPr>
              <w:t>amount (DPMA</w:t>
            </w:r>
            <w:r w:rsidRPr="003F278A">
              <w:rPr>
                <w:rFonts w:ascii="Arial Narrow" w:hAnsi="Arial Narrow"/>
                <w:sz w:val="20"/>
              </w:rPr>
              <w:t>)</w:t>
            </w:r>
          </w:p>
        </w:tc>
        <w:tc>
          <w:tcPr>
            <w:tcW w:w="3407" w:type="dxa"/>
            <w:gridSpan w:val="2"/>
            <w:tcBorders>
              <w:bottom w:val="single" w:sz="4" w:space="0" w:color="auto"/>
            </w:tcBorders>
          </w:tcPr>
          <w:p w:rsidR="00AE5453" w:rsidRPr="00FF044C" w:rsidRDefault="00AE5453" w:rsidP="009C0DF6">
            <w:pPr>
              <w:keepNext/>
              <w:spacing w:before="0" w:after="0"/>
              <w:jc w:val="center"/>
              <w:rPr>
                <w:rFonts w:ascii="Arial Narrow" w:hAnsi="Arial Narrow"/>
                <w:sz w:val="20"/>
              </w:rPr>
            </w:pPr>
            <w:r w:rsidRPr="00FF044C">
              <w:rPr>
                <w:rFonts w:ascii="Arial Narrow" w:hAnsi="Arial Narrow"/>
                <w:sz w:val="20"/>
              </w:rPr>
              <w:t>P</w:t>
            </w:r>
            <w:r>
              <w:rPr>
                <w:rFonts w:ascii="Arial Narrow" w:hAnsi="Arial Narrow"/>
                <w:sz w:val="20"/>
              </w:rPr>
              <w:t xml:space="preserve">roprietary  Name and        </w:t>
            </w:r>
            <w:r w:rsidRPr="00FF044C">
              <w:rPr>
                <w:rFonts w:ascii="Arial Narrow" w:hAnsi="Arial Narrow"/>
                <w:sz w:val="20"/>
              </w:rPr>
              <w:t xml:space="preserve"> </w:t>
            </w:r>
            <w:r w:rsidR="00EC1FBC">
              <w:rPr>
                <w:rFonts w:ascii="Arial Narrow" w:hAnsi="Arial Narrow"/>
                <w:sz w:val="20"/>
              </w:rPr>
              <w:br/>
            </w:r>
            <w:r w:rsidRPr="00FF044C">
              <w:rPr>
                <w:rFonts w:ascii="Arial Narrow" w:hAnsi="Arial Narrow"/>
                <w:sz w:val="20"/>
              </w:rPr>
              <w:t>Manufacturer</w:t>
            </w:r>
          </w:p>
        </w:tc>
      </w:tr>
      <w:tr w:rsidR="00AE5453" w:rsidRPr="00FF044C" w:rsidTr="00893139">
        <w:trPr>
          <w:cantSplit/>
          <w:trHeight w:val="577"/>
        </w:trPr>
        <w:tc>
          <w:tcPr>
            <w:tcW w:w="2410" w:type="dxa"/>
            <w:vAlign w:val="center"/>
          </w:tcPr>
          <w:p w:rsidR="00AE5453" w:rsidRPr="00FF044C" w:rsidRDefault="00AE5453" w:rsidP="009C0DF6">
            <w:pPr>
              <w:keepNext/>
              <w:spacing w:before="0" w:after="0"/>
              <w:ind w:left="-108"/>
              <w:jc w:val="center"/>
              <w:rPr>
                <w:rFonts w:ascii="Arial Narrow" w:hAnsi="Arial Narrow"/>
                <w:sz w:val="20"/>
              </w:rPr>
            </w:pPr>
            <w:r>
              <w:rPr>
                <w:rFonts w:ascii="Arial Narrow" w:hAnsi="Arial Narrow"/>
                <w:sz w:val="20"/>
              </w:rPr>
              <w:t>PEMBROLIZUMAB</w:t>
            </w:r>
          </w:p>
          <w:p w:rsidR="00AE5453" w:rsidRPr="00FF044C" w:rsidRDefault="00AE5453" w:rsidP="009C0DF6">
            <w:pPr>
              <w:keepNext/>
              <w:spacing w:before="0" w:after="0"/>
              <w:ind w:left="-108"/>
              <w:jc w:val="center"/>
              <w:rPr>
                <w:rFonts w:ascii="Arial Narrow" w:hAnsi="Arial Narrow"/>
                <w:sz w:val="20"/>
              </w:rPr>
            </w:pPr>
            <w:r w:rsidRPr="005C2075">
              <w:rPr>
                <w:rFonts w:ascii="Arial Narrow" w:hAnsi="Arial Narrow"/>
                <w:sz w:val="20"/>
              </w:rPr>
              <w:t>100mg vial for infusion, 1</w:t>
            </w:r>
          </w:p>
        </w:tc>
        <w:tc>
          <w:tcPr>
            <w:tcW w:w="992" w:type="dxa"/>
            <w:vAlign w:val="center"/>
          </w:tcPr>
          <w:p w:rsidR="00AE5453" w:rsidRPr="00FF044C" w:rsidRDefault="00AE5453" w:rsidP="009C0DF6">
            <w:pPr>
              <w:keepNext/>
              <w:spacing w:before="0" w:after="0"/>
              <w:rPr>
                <w:rFonts w:ascii="Arial Narrow" w:hAnsi="Arial Narrow"/>
                <w:strike/>
                <w:sz w:val="20"/>
              </w:rPr>
            </w:pPr>
            <w:r w:rsidRPr="00FF044C">
              <w:rPr>
                <w:rFonts w:ascii="Arial Narrow" w:hAnsi="Arial Narrow"/>
                <w:sz w:val="20"/>
              </w:rPr>
              <w:t>200 mg</w:t>
            </w:r>
          </w:p>
        </w:tc>
        <w:tc>
          <w:tcPr>
            <w:tcW w:w="851" w:type="dxa"/>
            <w:vAlign w:val="center"/>
          </w:tcPr>
          <w:p w:rsidR="00AE5453" w:rsidRPr="00FF044C" w:rsidRDefault="00AE5453" w:rsidP="009C0DF6">
            <w:pPr>
              <w:keepNext/>
              <w:spacing w:before="0" w:after="0"/>
              <w:ind w:left="-108"/>
              <w:jc w:val="center"/>
              <w:rPr>
                <w:rFonts w:ascii="Arial Narrow" w:hAnsi="Arial Narrow"/>
                <w:sz w:val="20"/>
              </w:rPr>
            </w:pPr>
            <w:r>
              <w:rPr>
                <w:rFonts w:ascii="Arial Narrow" w:hAnsi="Arial Narrow"/>
                <w:sz w:val="20"/>
              </w:rPr>
              <w:t>5</w:t>
            </w:r>
          </w:p>
        </w:tc>
        <w:tc>
          <w:tcPr>
            <w:tcW w:w="1417" w:type="dxa"/>
            <w:vAlign w:val="center"/>
          </w:tcPr>
          <w:p w:rsidR="00AE5453" w:rsidRPr="00AE5453" w:rsidRDefault="00AE5453" w:rsidP="009C0DF6">
            <w:pPr>
              <w:keepNext/>
              <w:spacing w:before="0" w:after="0"/>
              <w:ind w:left="-108"/>
              <w:rPr>
                <w:rFonts w:ascii="Arial Narrow" w:hAnsi="Arial Narrow"/>
                <w:i/>
                <w:sz w:val="20"/>
              </w:rPr>
            </w:pPr>
            <w:r w:rsidRPr="00AE5453">
              <w:rPr>
                <w:rFonts w:ascii="Arial Narrow" w:hAnsi="Arial Narrow"/>
                <w:i/>
                <w:sz w:val="20"/>
              </w:rPr>
              <w:t>To be confirmed</w:t>
            </w:r>
          </w:p>
        </w:tc>
        <w:tc>
          <w:tcPr>
            <w:tcW w:w="1134" w:type="dxa"/>
            <w:vAlign w:val="center"/>
          </w:tcPr>
          <w:p w:rsidR="00AE5453" w:rsidRPr="00FF044C" w:rsidRDefault="00AE5453" w:rsidP="009C0DF6">
            <w:pPr>
              <w:keepNext/>
              <w:spacing w:before="0" w:after="0"/>
              <w:rPr>
                <w:rFonts w:ascii="Arial Narrow" w:hAnsi="Arial Narrow"/>
                <w:sz w:val="20"/>
              </w:rPr>
            </w:pPr>
            <w:proofErr w:type="spellStart"/>
            <w:r>
              <w:rPr>
                <w:rFonts w:ascii="Arial Narrow" w:hAnsi="Arial Narrow"/>
                <w:sz w:val="20"/>
              </w:rPr>
              <w:t>Keytruda</w:t>
            </w:r>
            <w:proofErr w:type="spellEnd"/>
            <w:r w:rsidRPr="00FF044C">
              <w:rPr>
                <w:rFonts w:ascii="Arial Narrow" w:hAnsi="Arial Narrow"/>
                <w:sz w:val="20"/>
                <w:vertAlign w:val="superscript"/>
              </w:rPr>
              <w:t>®</w:t>
            </w:r>
          </w:p>
        </w:tc>
        <w:tc>
          <w:tcPr>
            <w:tcW w:w="2273" w:type="dxa"/>
            <w:vAlign w:val="center"/>
          </w:tcPr>
          <w:p w:rsidR="00AE5453" w:rsidRPr="00FF044C" w:rsidRDefault="00AE5453" w:rsidP="009C0DF6">
            <w:pPr>
              <w:keepNext/>
              <w:spacing w:before="0" w:after="0"/>
              <w:rPr>
                <w:rFonts w:ascii="Arial Narrow" w:hAnsi="Arial Narrow"/>
                <w:sz w:val="20"/>
              </w:rPr>
            </w:pPr>
            <w:r>
              <w:rPr>
                <w:rFonts w:ascii="Arial Narrow" w:hAnsi="Arial Narrow"/>
                <w:sz w:val="20"/>
              </w:rPr>
              <w:t>M</w:t>
            </w:r>
            <w:r w:rsidR="009C0DF6">
              <w:rPr>
                <w:rFonts w:ascii="Arial Narrow" w:hAnsi="Arial Narrow"/>
                <w:sz w:val="20"/>
              </w:rPr>
              <w:t>e</w:t>
            </w:r>
            <w:r>
              <w:rPr>
                <w:rFonts w:ascii="Arial Narrow" w:hAnsi="Arial Narrow"/>
                <w:sz w:val="20"/>
              </w:rPr>
              <w:t>rck Sharp and Dohme Pty Ltd</w:t>
            </w:r>
          </w:p>
        </w:tc>
      </w:tr>
      <w:tr w:rsidR="00CA3EF7" w:rsidRPr="00FF044C" w:rsidTr="00893139">
        <w:trPr>
          <w:cantSplit/>
          <w:trHeight w:val="360"/>
        </w:trPr>
        <w:tc>
          <w:tcPr>
            <w:tcW w:w="2410" w:type="dxa"/>
            <w:tcBorders>
              <w:bottom w:val="single" w:sz="4" w:space="0" w:color="auto"/>
            </w:tcBorders>
          </w:tcPr>
          <w:p w:rsidR="00801A4C" w:rsidRPr="00FF044C" w:rsidRDefault="00801A4C" w:rsidP="009C0DF6">
            <w:pPr>
              <w:spacing w:before="0" w:after="0"/>
              <w:rPr>
                <w:rFonts w:ascii="Arial Narrow" w:hAnsi="Arial Narrow"/>
                <w:b/>
                <w:sz w:val="20"/>
              </w:rPr>
            </w:pPr>
          </w:p>
        </w:tc>
        <w:tc>
          <w:tcPr>
            <w:tcW w:w="6667" w:type="dxa"/>
            <w:gridSpan w:val="5"/>
            <w:tcBorders>
              <w:bottom w:val="single" w:sz="4" w:space="0" w:color="auto"/>
            </w:tcBorders>
          </w:tcPr>
          <w:p w:rsidR="00CA3EF7" w:rsidRPr="00FF044C" w:rsidRDefault="00CA3EF7" w:rsidP="009C0DF6">
            <w:pPr>
              <w:spacing w:before="0" w:after="0"/>
              <w:rPr>
                <w:rFonts w:ascii="Arial Narrow" w:hAnsi="Arial Narrow"/>
                <w:sz w:val="20"/>
              </w:rPr>
            </w:pPr>
          </w:p>
        </w:tc>
      </w:tr>
      <w:tr w:rsidR="00CA3EF7" w:rsidRPr="00FF044C" w:rsidTr="00B51393">
        <w:trPr>
          <w:cantSplit/>
          <w:trHeight w:val="360"/>
        </w:trPr>
        <w:tc>
          <w:tcPr>
            <w:tcW w:w="2410" w:type="dxa"/>
            <w:tcBorders>
              <w:top w:val="single" w:sz="4" w:space="0" w:color="auto"/>
              <w:left w:val="single" w:sz="4" w:space="0" w:color="auto"/>
              <w:bottom w:val="single" w:sz="4" w:space="0" w:color="auto"/>
              <w:right w:val="single" w:sz="4" w:space="0" w:color="auto"/>
            </w:tcBorders>
          </w:tcPr>
          <w:p w:rsidR="00CA3EF7" w:rsidRPr="00FF044C" w:rsidRDefault="00CA3EF7" w:rsidP="00EC1FBC">
            <w:pPr>
              <w:spacing w:before="0" w:after="0"/>
              <w:jc w:val="left"/>
              <w:rPr>
                <w:rFonts w:ascii="Arial Narrow" w:hAnsi="Arial Narrow"/>
                <w:b/>
                <w:sz w:val="20"/>
              </w:rPr>
            </w:pPr>
            <w:r w:rsidRPr="00FF044C">
              <w:rPr>
                <w:rFonts w:ascii="Arial Narrow" w:hAnsi="Arial Narrow"/>
                <w:b/>
                <w:sz w:val="20"/>
              </w:rPr>
              <w:lastRenderedPageBreak/>
              <w:t>Category / Program</w:t>
            </w:r>
          </w:p>
        </w:tc>
        <w:tc>
          <w:tcPr>
            <w:tcW w:w="6667" w:type="dxa"/>
            <w:gridSpan w:val="5"/>
            <w:tcBorders>
              <w:top w:val="single" w:sz="4" w:space="0" w:color="auto"/>
              <w:left w:val="single" w:sz="4" w:space="0" w:color="auto"/>
              <w:bottom w:val="single" w:sz="4" w:space="0" w:color="auto"/>
              <w:right w:val="single" w:sz="4" w:space="0" w:color="auto"/>
            </w:tcBorders>
          </w:tcPr>
          <w:p w:rsidR="00CA3EF7" w:rsidRPr="00FF044C" w:rsidRDefault="00CA3EF7" w:rsidP="00EC1FBC">
            <w:pPr>
              <w:spacing w:before="0" w:after="0"/>
              <w:jc w:val="left"/>
              <w:rPr>
                <w:rFonts w:ascii="Arial Narrow" w:hAnsi="Arial Narrow"/>
                <w:sz w:val="20"/>
              </w:rPr>
            </w:pPr>
            <w:r w:rsidRPr="00FF044C">
              <w:rPr>
                <w:rFonts w:ascii="Arial Narrow" w:hAnsi="Arial Narrow"/>
                <w:sz w:val="20"/>
              </w:rPr>
              <w:t>Section 100 – Efficient Funding of Chemotherapy</w:t>
            </w:r>
          </w:p>
        </w:tc>
      </w:tr>
      <w:tr w:rsidR="00CA3EF7" w:rsidRPr="00FF044C" w:rsidTr="00B51393">
        <w:trPr>
          <w:cantSplit/>
          <w:trHeight w:val="582"/>
        </w:trPr>
        <w:tc>
          <w:tcPr>
            <w:tcW w:w="2410" w:type="dxa"/>
            <w:tcBorders>
              <w:top w:val="single" w:sz="4" w:space="0" w:color="auto"/>
              <w:left w:val="single" w:sz="4" w:space="0" w:color="auto"/>
              <w:bottom w:val="single" w:sz="4" w:space="0" w:color="auto"/>
              <w:right w:val="single" w:sz="4" w:space="0" w:color="auto"/>
            </w:tcBorders>
          </w:tcPr>
          <w:p w:rsidR="00CA3EF7" w:rsidRPr="00FF044C" w:rsidRDefault="00CA3EF7" w:rsidP="00EC1FBC">
            <w:pPr>
              <w:spacing w:before="0" w:after="0"/>
              <w:jc w:val="left"/>
              <w:rPr>
                <w:rFonts w:ascii="Arial Narrow" w:hAnsi="Arial Narrow"/>
                <w:b/>
                <w:sz w:val="20"/>
              </w:rPr>
            </w:pPr>
            <w:r w:rsidRPr="00FF044C">
              <w:rPr>
                <w:rFonts w:ascii="Arial Narrow" w:hAnsi="Arial Narrow"/>
                <w:b/>
                <w:sz w:val="20"/>
              </w:rPr>
              <w:t>Prescriber type:</w:t>
            </w:r>
          </w:p>
        </w:tc>
        <w:tc>
          <w:tcPr>
            <w:tcW w:w="6667" w:type="dxa"/>
            <w:gridSpan w:val="5"/>
            <w:tcBorders>
              <w:top w:val="single" w:sz="4" w:space="0" w:color="auto"/>
              <w:left w:val="single" w:sz="4" w:space="0" w:color="auto"/>
              <w:bottom w:val="single" w:sz="4" w:space="0" w:color="auto"/>
              <w:right w:val="single" w:sz="4" w:space="0" w:color="auto"/>
            </w:tcBorders>
          </w:tcPr>
          <w:p w:rsidR="00CA3EF7" w:rsidRPr="00FF044C" w:rsidRDefault="00CA3EF7" w:rsidP="009C0DF6">
            <w:pPr>
              <w:spacing w:before="0" w:after="0"/>
              <w:jc w:val="left"/>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Dental  </w:t>
            </w: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Medical Practitioners  </w:t>
            </w: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Nurse practitioners  </w:t>
            </w: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Optometrists</w:t>
            </w:r>
          </w:p>
          <w:p w:rsidR="00CA3EF7" w:rsidRPr="00FF044C" w:rsidRDefault="00CA3EF7" w:rsidP="009C0DF6">
            <w:pPr>
              <w:spacing w:before="0" w:after="0"/>
              <w:jc w:val="left"/>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Midwives</w:t>
            </w:r>
          </w:p>
        </w:tc>
      </w:tr>
      <w:tr w:rsidR="00CA3EF7" w:rsidRPr="00FF044C" w:rsidTr="00B51393">
        <w:trPr>
          <w:cantSplit/>
          <w:trHeight w:val="360"/>
        </w:trPr>
        <w:tc>
          <w:tcPr>
            <w:tcW w:w="2410" w:type="dxa"/>
            <w:tcBorders>
              <w:top w:val="single" w:sz="4" w:space="0" w:color="auto"/>
              <w:left w:val="single" w:sz="4" w:space="0" w:color="auto"/>
              <w:bottom w:val="single" w:sz="4" w:space="0" w:color="auto"/>
              <w:right w:val="single" w:sz="4" w:space="0" w:color="auto"/>
            </w:tcBorders>
          </w:tcPr>
          <w:p w:rsidR="00CA3EF7" w:rsidRPr="00FF044C" w:rsidRDefault="00CA3EF7" w:rsidP="009C0DF6">
            <w:pPr>
              <w:spacing w:before="0" w:after="0"/>
              <w:jc w:val="left"/>
              <w:rPr>
                <w:rFonts w:ascii="Arial Narrow" w:hAnsi="Arial Narrow"/>
                <w:i/>
                <w:sz w:val="20"/>
              </w:rPr>
            </w:pPr>
            <w:r w:rsidRPr="00FF044C">
              <w:rPr>
                <w:rFonts w:ascii="Arial Narrow" w:hAnsi="Arial Narrow"/>
                <w:b/>
                <w:sz w:val="20"/>
              </w:rPr>
              <w:t>Treatment phase:</w:t>
            </w:r>
          </w:p>
        </w:tc>
        <w:tc>
          <w:tcPr>
            <w:tcW w:w="6667" w:type="dxa"/>
            <w:gridSpan w:val="5"/>
            <w:tcBorders>
              <w:top w:val="single" w:sz="4" w:space="0" w:color="auto"/>
              <w:left w:val="single" w:sz="4" w:space="0" w:color="auto"/>
              <w:bottom w:val="single" w:sz="4" w:space="0" w:color="auto"/>
              <w:right w:val="single" w:sz="4" w:space="0" w:color="auto"/>
            </w:tcBorders>
          </w:tcPr>
          <w:p w:rsidR="00CA3EF7" w:rsidRPr="009231FB" w:rsidRDefault="00CA3EF7" w:rsidP="009C0DF6">
            <w:pPr>
              <w:spacing w:before="0" w:after="0"/>
              <w:jc w:val="left"/>
              <w:rPr>
                <w:rFonts w:ascii="Arial Narrow" w:hAnsi="Arial Narrow"/>
                <w:sz w:val="20"/>
              </w:rPr>
            </w:pPr>
            <w:r w:rsidRPr="009231FB">
              <w:rPr>
                <w:rFonts w:ascii="Arial Narrow" w:hAnsi="Arial Narrow"/>
                <w:sz w:val="20"/>
              </w:rPr>
              <w:t>Initial treatment</w:t>
            </w:r>
          </w:p>
        </w:tc>
      </w:tr>
      <w:tr w:rsidR="00CA3EF7" w:rsidRPr="00FF044C" w:rsidTr="00EC1FBC">
        <w:trPr>
          <w:cantSplit/>
          <w:trHeight w:val="427"/>
        </w:trPr>
        <w:tc>
          <w:tcPr>
            <w:tcW w:w="2410" w:type="dxa"/>
            <w:tcBorders>
              <w:top w:val="single" w:sz="4" w:space="0" w:color="auto"/>
              <w:left w:val="single" w:sz="4" w:space="0" w:color="auto"/>
              <w:bottom w:val="single" w:sz="4" w:space="0" w:color="auto"/>
              <w:right w:val="single" w:sz="4" w:space="0" w:color="auto"/>
            </w:tcBorders>
          </w:tcPr>
          <w:p w:rsidR="00CA3EF7" w:rsidRPr="00FF044C" w:rsidRDefault="00CA3EF7" w:rsidP="009C0DF6">
            <w:pPr>
              <w:spacing w:before="0" w:after="0"/>
              <w:jc w:val="left"/>
              <w:rPr>
                <w:rFonts w:ascii="Arial Narrow" w:hAnsi="Arial Narrow"/>
                <w:i/>
                <w:sz w:val="20"/>
              </w:rPr>
            </w:pPr>
            <w:r w:rsidRPr="00FF044C">
              <w:rPr>
                <w:rFonts w:ascii="Arial Narrow" w:hAnsi="Arial Narrow"/>
                <w:b/>
                <w:sz w:val="20"/>
              </w:rPr>
              <w:t>Restriction Level / Method:</w:t>
            </w:r>
          </w:p>
        </w:tc>
        <w:tc>
          <w:tcPr>
            <w:tcW w:w="6667" w:type="dxa"/>
            <w:gridSpan w:val="5"/>
            <w:tcBorders>
              <w:top w:val="single" w:sz="4" w:space="0" w:color="auto"/>
              <w:left w:val="single" w:sz="4" w:space="0" w:color="auto"/>
              <w:bottom w:val="single" w:sz="4" w:space="0" w:color="auto"/>
              <w:right w:val="single" w:sz="4" w:space="0" w:color="auto"/>
            </w:tcBorders>
          </w:tcPr>
          <w:p w:rsidR="00CA3EF7" w:rsidRPr="00FF044C" w:rsidRDefault="00CA3EF7" w:rsidP="009C0DF6">
            <w:pPr>
              <w:spacing w:before="0" w:after="0"/>
              <w:jc w:val="left"/>
              <w:rPr>
                <w:rFonts w:ascii="Arial Narrow" w:hAnsi="Arial Narrow"/>
                <w:sz w:val="20"/>
              </w:rPr>
            </w:pP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In Writing</w:t>
            </w:r>
          </w:p>
        </w:tc>
      </w:tr>
      <w:tr w:rsidR="00CA3EF7" w:rsidRPr="00FF044C" w:rsidTr="00B51393">
        <w:trPr>
          <w:cantSplit/>
          <w:trHeight w:val="360"/>
        </w:trPr>
        <w:tc>
          <w:tcPr>
            <w:tcW w:w="2410" w:type="dxa"/>
            <w:tcBorders>
              <w:top w:val="single" w:sz="4" w:space="0" w:color="auto"/>
              <w:left w:val="single" w:sz="4" w:space="0" w:color="auto"/>
              <w:bottom w:val="single" w:sz="4" w:space="0" w:color="auto"/>
              <w:right w:val="single" w:sz="4" w:space="0" w:color="auto"/>
            </w:tcBorders>
          </w:tcPr>
          <w:p w:rsidR="00CA3EF7" w:rsidRPr="00FF044C" w:rsidRDefault="00CA3EF7" w:rsidP="00EC1FBC">
            <w:pPr>
              <w:spacing w:before="0" w:after="0"/>
              <w:jc w:val="left"/>
              <w:rPr>
                <w:rFonts w:ascii="Arial Narrow" w:hAnsi="Arial Narrow"/>
                <w:sz w:val="20"/>
              </w:rPr>
            </w:pPr>
            <w:r w:rsidRPr="00FF044C">
              <w:rPr>
                <w:rFonts w:ascii="Arial Narrow" w:hAnsi="Arial Narrow"/>
                <w:b/>
                <w:sz w:val="20"/>
              </w:rPr>
              <w:t>Clinical criteria:</w:t>
            </w:r>
          </w:p>
        </w:tc>
        <w:tc>
          <w:tcPr>
            <w:tcW w:w="6667" w:type="dxa"/>
            <w:gridSpan w:val="5"/>
            <w:tcBorders>
              <w:top w:val="single" w:sz="4" w:space="0" w:color="auto"/>
              <w:left w:val="single" w:sz="4" w:space="0" w:color="auto"/>
              <w:bottom w:val="single" w:sz="4" w:space="0" w:color="auto"/>
              <w:right w:val="single" w:sz="4" w:space="0" w:color="auto"/>
            </w:tcBorders>
          </w:tcPr>
          <w:p w:rsidR="00CA3EF7" w:rsidRPr="00785AB1" w:rsidRDefault="00CA3EF7" w:rsidP="00C94979">
            <w:pPr>
              <w:spacing w:before="0" w:after="0"/>
              <w:jc w:val="left"/>
              <w:rPr>
                <w:rFonts w:ascii="Arial Narrow" w:hAnsi="Arial Narrow"/>
                <w:i/>
                <w:sz w:val="20"/>
              </w:rPr>
            </w:pPr>
            <w:r w:rsidRPr="000010B2">
              <w:rPr>
                <w:rFonts w:ascii="Arial Narrow" w:hAnsi="Arial Narrow"/>
                <w:i/>
                <w:iCs/>
                <w:sz w:val="20"/>
              </w:rPr>
              <w:t>P</w:t>
            </w:r>
            <w:r w:rsidRPr="000010B2">
              <w:rPr>
                <w:rFonts w:ascii="Arial Narrow" w:hAnsi="Arial Narrow"/>
                <w:i/>
                <w:sz w:val="20"/>
              </w:rPr>
              <w:t>atient must not have undergone an autologous stem cell trans</w:t>
            </w:r>
            <w:r w:rsidR="00785AB1">
              <w:rPr>
                <w:rFonts w:ascii="Arial Narrow" w:hAnsi="Arial Narrow"/>
                <w:i/>
                <w:sz w:val="20"/>
              </w:rPr>
              <w:t xml:space="preserve">plant (ASCT) for this condition </w:t>
            </w:r>
            <w:r w:rsidRPr="000010B2">
              <w:rPr>
                <w:rFonts w:ascii="Arial Narrow" w:hAnsi="Arial Narrow"/>
                <w:i/>
                <w:sz w:val="20"/>
              </w:rPr>
              <w:t>AND</w:t>
            </w:r>
            <w:r w:rsidRPr="000010B2">
              <w:rPr>
                <w:rFonts w:ascii="Arial Narrow" w:hAnsi="Arial Narrow"/>
                <w:i/>
                <w:sz w:val="20"/>
              </w:rPr>
              <w:br/>
              <w:t>Patient must not be suitable for ASCT for this condition; OR</w:t>
            </w:r>
          </w:p>
          <w:p w:rsidR="00CA3EF7" w:rsidRPr="000010B2" w:rsidRDefault="00CA3EF7" w:rsidP="00C94979">
            <w:pPr>
              <w:spacing w:before="0" w:after="0"/>
              <w:jc w:val="left"/>
              <w:rPr>
                <w:rFonts w:ascii="Arial Narrow" w:hAnsi="Arial Narrow"/>
                <w:i/>
                <w:sz w:val="20"/>
              </w:rPr>
            </w:pPr>
            <w:r w:rsidRPr="000010B2">
              <w:rPr>
                <w:rFonts w:ascii="Arial Narrow" w:hAnsi="Arial Narrow"/>
                <w:i/>
                <w:sz w:val="20"/>
              </w:rPr>
              <w:t xml:space="preserve">Patient must not be suitable for treatment with multi-agent </w:t>
            </w:r>
            <w:r w:rsidR="00785AB1">
              <w:rPr>
                <w:rFonts w:ascii="Arial Narrow" w:hAnsi="Arial Narrow"/>
                <w:i/>
                <w:sz w:val="20"/>
              </w:rPr>
              <w:t xml:space="preserve">chemotherapy for this condition </w:t>
            </w:r>
            <w:r w:rsidRPr="000010B2">
              <w:rPr>
                <w:rFonts w:ascii="Arial Narrow" w:hAnsi="Arial Narrow"/>
                <w:i/>
                <w:sz w:val="20"/>
              </w:rPr>
              <w:t>AND</w:t>
            </w:r>
          </w:p>
          <w:p w:rsidR="00CA3EF7" w:rsidRPr="000010B2" w:rsidRDefault="00CA3EF7" w:rsidP="009C0DF6">
            <w:pPr>
              <w:spacing w:before="0" w:after="0"/>
              <w:jc w:val="left"/>
              <w:rPr>
                <w:rFonts w:ascii="Arial Narrow" w:hAnsi="Arial Narrow"/>
                <w:i/>
                <w:sz w:val="20"/>
              </w:rPr>
            </w:pPr>
            <w:r w:rsidRPr="000010B2">
              <w:rPr>
                <w:rFonts w:ascii="Arial Narrow" w:hAnsi="Arial Narrow"/>
                <w:i/>
                <w:sz w:val="20"/>
              </w:rPr>
              <w:t>Patient must have experienced a relapsed CD30+ Hodgkin lymphoma following at least two prior treatments for this condition; OR</w:t>
            </w:r>
          </w:p>
          <w:p w:rsidR="00CA3EF7" w:rsidRDefault="00CA3EF7" w:rsidP="009C0DF6">
            <w:pPr>
              <w:spacing w:before="0" w:after="0"/>
              <w:jc w:val="left"/>
              <w:rPr>
                <w:rFonts w:ascii="Arial Narrow" w:hAnsi="Arial Narrow"/>
                <w:sz w:val="20"/>
              </w:rPr>
            </w:pPr>
            <w:r w:rsidRPr="000010B2">
              <w:rPr>
                <w:rFonts w:ascii="Arial Narrow" w:hAnsi="Arial Narrow"/>
                <w:i/>
                <w:sz w:val="20"/>
              </w:rPr>
              <w:t>Patient  must have experienced a refractory CD30+ Hodgkin lymphoma following at least two prior treatments for this condition</w:t>
            </w:r>
            <w:r w:rsidR="00785AB1">
              <w:rPr>
                <w:rFonts w:ascii="Arial Narrow" w:hAnsi="Arial Narrow"/>
                <w:i/>
                <w:sz w:val="20"/>
              </w:rPr>
              <w:t xml:space="preserve"> </w:t>
            </w:r>
            <w:r w:rsidRPr="000010B2">
              <w:rPr>
                <w:rFonts w:ascii="Arial Narrow" w:hAnsi="Arial Narrow"/>
                <w:i/>
                <w:sz w:val="20"/>
              </w:rPr>
              <w:t>AND</w:t>
            </w:r>
            <w:r>
              <w:rPr>
                <w:rFonts w:ascii="Arial Narrow" w:hAnsi="Arial Narrow"/>
                <w:i/>
                <w:sz w:val="20"/>
              </w:rPr>
              <w:br/>
            </w:r>
            <w:r w:rsidRPr="000010B2">
              <w:rPr>
                <w:rFonts w:ascii="Arial Narrow" w:hAnsi="Arial Narrow"/>
                <w:sz w:val="20"/>
              </w:rPr>
              <w:t>Patient must not have received prior treatment with a PD</w:t>
            </w:r>
            <w:r w:rsidR="00785AB1">
              <w:rPr>
                <w:rFonts w:ascii="Arial Narrow" w:hAnsi="Arial Narrow"/>
                <w:sz w:val="20"/>
              </w:rPr>
              <w:t xml:space="preserve">-1 inhibitor for this condition </w:t>
            </w:r>
            <w:r>
              <w:rPr>
                <w:rFonts w:ascii="Arial Narrow" w:hAnsi="Arial Narrow"/>
                <w:sz w:val="20"/>
              </w:rPr>
              <w:t>AND</w:t>
            </w:r>
          </w:p>
          <w:p w:rsidR="00CA3EF7" w:rsidRPr="000010B2" w:rsidRDefault="00CA3EF7" w:rsidP="009C0DF6">
            <w:pPr>
              <w:spacing w:before="0" w:after="0"/>
              <w:jc w:val="left"/>
              <w:rPr>
                <w:rFonts w:ascii="Arial Narrow" w:hAnsi="Arial Narrow"/>
                <w:i/>
                <w:sz w:val="20"/>
              </w:rPr>
            </w:pPr>
            <w:r w:rsidRPr="00D04AF5">
              <w:rPr>
                <w:rFonts w:ascii="Arial Narrow" w:hAnsi="Arial Narrow"/>
                <w:sz w:val="20"/>
              </w:rPr>
              <w:t>The treatment must be the sole PBS-subsidised therapy for this condition</w:t>
            </w:r>
          </w:p>
        </w:tc>
      </w:tr>
      <w:tr w:rsidR="00CA3EF7" w:rsidRPr="00FF044C" w:rsidTr="00B51393">
        <w:trPr>
          <w:cantSplit/>
          <w:trHeight w:val="360"/>
        </w:trPr>
        <w:tc>
          <w:tcPr>
            <w:tcW w:w="2410" w:type="dxa"/>
            <w:tcBorders>
              <w:top w:val="single" w:sz="4" w:space="0" w:color="auto"/>
              <w:left w:val="single" w:sz="4" w:space="0" w:color="auto"/>
              <w:bottom w:val="single" w:sz="4" w:space="0" w:color="auto"/>
              <w:right w:val="single" w:sz="4" w:space="0" w:color="auto"/>
            </w:tcBorders>
          </w:tcPr>
          <w:p w:rsidR="00CA3EF7" w:rsidRPr="00FF044C" w:rsidRDefault="00CA3EF7" w:rsidP="00EC1FBC">
            <w:pPr>
              <w:spacing w:before="0" w:after="0"/>
              <w:jc w:val="left"/>
              <w:rPr>
                <w:rFonts w:ascii="Arial Narrow" w:hAnsi="Arial Narrow"/>
                <w:sz w:val="20"/>
              </w:rPr>
            </w:pPr>
            <w:r w:rsidRPr="00FF044C">
              <w:rPr>
                <w:rFonts w:ascii="Arial Narrow" w:hAnsi="Arial Narrow"/>
                <w:b/>
                <w:sz w:val="20"/>
              </w:rPr>
              <w:t>Prescriber Instructions</w:t>
            </w:r>
          </w:p>
        </w:tc>
        <w:tc>
          <w:tcPr>
            <w:tcW w:w="6667" w:type="dxa"/>
            <w:gridSpan w:val="5"/>
            <w:tcBorders>
              <w:top w:val="single" w:sz="4" w:space="0" w:color="auto"/>
              <w:left w:val="single" w:sz="4" w:space="0" w:color="auto"/>
              <w:bottom w:val="single" w:sz="4" w:space="0" w:color="auto"/>
              <w:right w:val="single" w:sz="4" w:space="0" w:color="auto"/>
            </w:tcBorders>
          </w:tcPr>
          <w:p w:rsidR="00CA3EF7" w:rsidRPr="00D3493C" w:rsidRDefault="00CA3EF7" w:rsidP="009C0DF6">
            <w:pPr>
              <w:keepNext/>
              <w:keepLines/>
              <w:spacing w:before="0" w:after="0"/>
              <w:jc w:val="left"/>
              <w:rPr>
                <w:rFonts w:ascii="Arial Narrow" w:hAnsi="Arial Narrow"/>
                <w:sz w:val="20"/>
              </w:rPr>
            </w:pPr>
            <w:r w:rsidRPr="00D3493C">
              <w:rPr>
                <w:rFonts w:ascii="Arial Narrow" w:hAnsi="Arial Narrow"/>
                <w:sz w:val="20"/>
              </w:rPr>
              <w:t xml:space="preserve">Applications for authorisation of initial treatment must be in writing and must include: </w:t>
            </w:r>
          </w:p>
          <w:p w:rsidR="00CA3EF7" w:rsidRPr="00D3493C" w:rsidRDefault="00CA3EF7" w:rsidP="009C0DF6">
            <w:pPr>
              <w:keepNext/>
              <w:keepLines/>
              <w:spacing w:before="0" w:after="0"/>
              <w:jc w:val="left"/>
              <w:rPr>
                <w:rFonts w:ascii="Arial Narrow" w:hAnsi="Arial Narrow"/>
                <w:sz w:val="20"/>
              </w:rPr>
            </w:pPr>
            <w:r w:rsidRPr="00D3493C">
              <w:rPr>
                <w:rFonts w:ascii="Arial Narrow" w:hAnsi="Arial Narrow"/>
                <w:sz w:val="20"/>
              </w:rPr>
              <w:t xml:space="preserve">(a) a completed authority prescription form; </w:t>
            </w:r>
          </w:p>
          <w:p w:rsidR="00CA3EF7" w:rsidRPr="000010B2" w:rsidRDefault="00CA3EF7" w:rsidP="009C0DF6">
            <w:pPr>
              <w:keepNext/>
              <w:keepLines/>
              <w:spacing w:before="0" w:after="0"/>
              <w:jc w:val="left"/>
              <w:rPr>
                <w:rFonts w:ascii="Arial Narrow" w:hAnsi="Arial Narrow"/>
                <w:i/>
                <w:sz w:val="20"/>
              </w:rPr>
            </w:pPr>
            <w:r w:rsidRPr="00D3493C">
              <w:rPr>
                <w:rFonts w:ascii="Arial Narrow" w:hAnsi="Arial Narrow"/>
                <w:sz w:val="20"/>
              </w:rPr>
              <w:t xml:space="preserve">(b) a completed Hodgkin lymphoma </w:t>
            </w:r>
            <w:proofErr w:type="spellStart"/>
            <w:r w:rsidRPr="00D3493C">
              <w:rPr>
                <w:rFonts w:ascii="Arial Narrow" w:hAnsi="Arial Narrow"/>
                <w:sz w:val="20"/>
              </w:rPr>
              <w:t>pembrolizumab</w:t>
            </w:r>
            <w:proofErr w:type="spellEnd"/>
            <w:r w:rsidRPr="00D3493C">
              <w:rPr>
                <w:rFonts w:ascii="Arial Narrow" w:hAnsi="Arial Narrow"/>
                <w:sz w:val="20"/>
              </w:rPr>
              <w:t xml:space="preserve"> PBS Authority Application</w:t>
            </w:r>
            <w:r w:rsidRPr="00C952AB">
              <w:rPr>
                <w:rFonts w:ascii="Arial Narrow" w:hAnsi="Arial Narrow"/>
                <w:i/>
                <w:sz w:val="20"/>
              </w:rPr>
              <w:t xml:space="preserve">; </w:t>
            </w:r>
            <w:r w:rsidRPr="000010B2">
              <w:rPr>
                <w:rFonts w:ascii="Arial Narrow" w:hAnsi="Arial Narrow"/>
                <w:i/>
                <w:sz w:val="20"/>
              </w:rPr>
              <w:t>and</w:t>
            </w:r>
          </w:p>
          <w:p w:rsidR="00CA3EF7" w:rsidRPr="00D3493C" w:rsidRDefault="00CA3EF7" w:rsidP="009C0DF6">
            <w:pPr>
              <w:keepNext/>
              <w:keepLines/>
              <w:spacing w:before="0" w:after="0"/>
              <w:jc w:val="left"/>
              <w:rPr>
                <w:rFonts w:ascii="Arial Narrow" w:hAnsi="Arial Narrow"/>
                <w:i/>
                <w:sz w:val="20"/>
              </w:rPr>
            </w:pPr>
            <w:r w:rsidRPr="000010B2">
              <w:rPr>
                <w:rFonts w:ascii="Arial Narrow" w:hAnsi="Arial Narrow"/>
                <w:i/>
                <w:sz w:val="20"/>
              </w:rPr>
              <w:t xml:space="preserve">(c) </w:t>
            </w:r>
            <w:proofErr w:type="gramStart"/>
            <w:r w:rsidRPr="000010B2">
              <w:rPr>
                <w:rFonts w:ascii="Arial Narrow" w:hAnsi="Arial Narrow"/>
                <w:i/>
                <w:sz w:val="20"/>
              </w:rPr>
              <w:t>a</w:t>
            </w:r>
            <w:proofErr w:type="gramEnd"/>
            <w:r w:rsidRPr="000010B2">
              <w:rPr>
                <w:rFonts w:ascii="Arial Narrow" w:hAnsi="Arial Narrow"/>
                <w:i/>
                <w:sz w:val="20"/>
              </w:rPr>
              <w:t xml:space="preserve"> signed patient acknowledgement form.</w:t>
            </w:r>
          </w:p>
        </w:tc>
      </w:tr>
    </w:tbl>
    <w:p w:rsidR="00CA3EF7" w:rsidRPr="00FF044C" w:rsidRDefault="00CA3EF7" w:rsidP="009C0DF6"/>
    <w:tbl>
      <w:tblPr>
        <w:tblW w:w="8931" w:type="dxa"/>
        <w:tblInd w:w="108" w:type="dxa"/>
        <w:tblLayout w:type="fixed"/>
        <w:tblLook w:val="0000" w:firstRow="0" w:lastRow="0" w:firstColumn="0" w:lastColumn="0" w:noHBand="0" w:noVBand="0"/>
      </w:tblPr>
      <w:tblGrid>
        <w:gridCol w:w="2410"/>
        <w:gridCol w:w="851"/>
        <w:gridCol w:w="708"/>
        <w:gridCol w:w="1843"/>
        <w:gridCol w:w="1134"/>
        <w:gridCol w:w="1985"/>
      </w:tblGrid>
      <w:tr w:rsidR="00AE5453" w:rsidRPr="00FF044C" w:rsidTr="00893139">
        <w:trPr>
          <w:cantSplit/>
          <w:trHeight w:val="471"/>
        </w:trPr>
        <w:tc>
          <w:tcPr>
            <w:tcW w:w="2410" w:type="dxa"/>
            <w:tcBorders>
              <w:bottom w:val="single" w:sz="4" w:space="0" w:color="auto"/>
            </w:tcBorders>
          </w:tcPr>
          <w:p w:rsidR="00AE5453" w:rsidRPr="00FF044C" w:rsidRDefault="00AE5453" w:rsidP="009C0DF6">
            <w:pPr>
              <w:keepNext/>
              <w:spacing w:before="0" w:after="0"/>
              <w:ind w:left="-108"/>
              <w:rPr>
                <w:rFonts w:ascii="Arial Narrow" w:hAnsi="Arial Narrow"/>
                <w:sz w:val="20"/>
              </w:rPr>
            </w:pPr>
            <w:r w:rsidRPr="00FF044C">
              <w:rPr>
                <w:rFonts w:ascii="Arial Narrow" w:hAnsi="Arial Narrow"/>
                <w:sz w:val="20"/>
              </w:rPr>
              <w:t>Name, Restriction,</w:t>
            </w:r>
          </w:p>
          <w:p w:rsidR="00AE5453" w:rsidRPr="00FF044C" w:rsidRDefault="00AE5453" w:rsidP="009C0DF6">
            <w:pPr>
              <w:keepNext/>
              <w:spacing w:before="0" w:after="0"/>
              <w:ind w:left="-108"/>
              <w:rPr>
                <w:rFonts w:ascii="Arial Narrow" w:hAnsi="Arial Narrow"/>
                <w:sz w:val="20"/>
              </w:rPr>
            </w:pPr>
            <w:r w:rsidRPr="00FF044C">
              <w:rPr>
                <w:rFonts w:ascii="Arial Narrow" w:hAnsi="Arial Narrow"/>
                <w:sz w:val="20"/>
              </w:rPr>
              <w:t>Manner of administration and form</w:t>
            </w:r>
          </w:p>
        </w:tc>
        <w:tc>
          <w:tcPr>
            <w:tcW w:w="851" w:type="dxa"/>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Max.</w:t>
            </w:r>
          </w:p>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Amount</w:t>
            </w:r>
          </w:p>
        </w:tc>
        <w:tc>
          <w:tcPr>
            <w:tcW w:w="708" w:type="dxa"/>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 xml:space="preserve">№.of </w:t>
            </w:r>
            <w:proofErr w:type="spellStart"/>
            <w:r w:rsidRPr="00FF044C">
              <w:rPr>
                <w:rFonts w:ascii="Arial Narrow" w:hAnsi="Arial Narrow"/>
                <w:sz w:val="20"/>
              </w:rPr>
              <w:t>Rpts</w:t>
            </w:r>
            <w:proofErr w:type="spellEnd"/>
          </w:p>
        </w:tc>
        <w:tc>
          <w:tcPr>
            <w:tcW w:w="1843" w:type="dxa"/>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3F278A">
              <w:rPr>
                <w:rFonts w:ascii="Arial Narrow" w:hAnsi="Arial Narrow"/>
                <w:sz w:val="20"/>
              </w:rPr>
              <w:t xml:space="preserve">Dispensed price for maximum </w:t>
            </w:r>
            <w:r>
              <w:rPr>
                <w:rFonts w:ascii="Arial Narrow" w:hAnsi="Arial Narrow"/>
                <w:sz w:val="20"/>
              </w:rPr>
              <w:t>amount (DPMA</w:t>
            </w:r>
            <w:r w:rsidRPr="003F278A">
              <w:rPr>
                <w:rFonts w:ascii="Arial Narrow" w:hAnsi="Arial Narrow"/>
                <w:sz w:val="20"/>
              </w:rPr>
              <w:t>)</w:t>
            </w:r>
          </w:p>
        </w:tc>
        <w:tc>
          <w:tcPr>
            <w:tcW w:w="3119" w:type="dxa"/>
            <w:gridSpan w:val="2"/>
            <w:tcBorders>
              <w:bottom w:val="single" w:sz="4" w:space="0" w:color="auto"/>
            </w:tcBorders>
          </w:tcPr>
          <w:p w:rsidR="00AE5453" w:rsidRPr="00FF044C" w:rsidRDefault="00AE5453" w:rsidP="00EC1FBC">
            <w:pPr>
              <w:keepNext/>
              <w:spacing w:before="0" w:after="0"/>
              <w:jc w:val="center"/>
              <w:rPr>
                <w:rFonts w:ascii="Arial Narrow" w:hAnsi="Arial Narrow"/>
                <w:sz w:val="20"/>
              </w:rPr>
            </w:pPr>
            <w:r w:rsidRPr="00FF044C">
              <w:rPr>
                <w:rFonts w:ascii="Arial Narrow" w:hAnsi="Arial Narrow"/>
                <w:sz w:val="20"/>
              </w:rPr>
              <w:t>Propriet</w:t>
            </w:r>
            <w:r>
              <w:rPr>
                <w:rFonts w:ascii="Arial Narrow" w:hAnsi="Arial Narrow"/>
                <w:sz w:val="20"/>
              </w:rPr>
              <w:t xml:space="preserve">ary Name and           </w:t>
            </w:r>
            <w:r>
              <w:rPr>
                <w:rFonts w:ascii="Arial Narrow" w:hAnsi="Arial Narrow"/>
                <w:sz w:val="20"/>
              </w:rPr>
              <w:br/>
              <w:t xml:space="preserve">     </w:t>
            </w:r>
            <w:r w:rsidRPr="00FF044C">
              <w:rPr>
                <w:rFonts w:ascii="Arial Narrow" w:hAnsi="Arial Narrow"/>
                <w:sz w:val="20"/>
              </w:rPr>
              <w:t>Manufacturer</w:t>
            </w:r>
          </w:p>
        </w:tc>
      </w:tr>
      <w:tr w:rsidR="00AE5453" w:rsidRPr="00FF044C" w:rsidTr="00893139">
        <w:trPr>
          <w:cantSplit/>
          <w:trHeight w:val="577"/>
        </w:trPr>
        <w:tc>
          <w:tcPr>
            <w:tcW w:w="2410" w:type="dxa"/>
            <w:tcBorders>
              <w:top w:val="single" w:sz="4" w:space="0" w:color="auto"/>
            </w:tcBorders>
            <w:vAlign w:val="center"/>
          </w:tcPr>
          <w:p w:rsidR="00AE5453" w:rsidRPr="00FF044C" w:rsidRDefault="00AE5453" w:rsidP="009C0DF6">
            <w:pPr>
              <w:keepNext/>
              <w:spacing w:before="0" w:after="0"/>
              <w:ind w:left="-108"/>
              <w:jc w:val="left"/>
              <w:rPr>
                <w:rFonts w:ascii="Arial Narrow" w:hAnsi="Arial Narrow"/>
                <w:sz w:val="20"/>
              </w:rPr>
            </w:pPr>
            <w:r>
              <w:rPr>
                <w:rFonts w:ascii="Arial Narrow" w:hAnsi="Arial Narrow"/>
                <w:sz w:val="20"/>
              </w:rPr>
              <w:t>PEMBROLIZUMAB</w:t>
            </w:r>
          </w:p>
          <w:p w:rsidR="00AE5453" w:rsidRPr="00FF044C" w:rsidRDefault="00AE5453" w:rsidP="009C0DF6">
            <w:pPr>
              <w:keepNext/>
              <w:spacing w:before="0" w:after="0"/>
              <w:ind w:left="-108"/>
              <w:rPr>
                <w:rFonts w:ascii="Arial Narrow" w:hAnsi="Arial Narrow"/>
                <w:sz w:val="20"/>
              </w:rPr>
            </w:pPr>
            <w:r w:rsidRPr="005C2075">
              <w:rPr>
                <w:rFonts w:ascii="Arial Narrow" w:hAnsi="Arial Narrow"/>
                <w:sz w:val="20"/>
              </w:rPr>
              <w:t>100mg vial for infusion, 1</w:t>
            </w:r>
          </w:p>
        </w:tc>
        <w:tc>
          <w:tcPr>
            <w:tcW w:w="851" w:type="dxa"/>
            <w:tcBorders>
              <w:top w:val="single" w:sz="4" w:space="0" w:color="auto"/>
            </w:tcBorders>
            <w:vAlign w:val="center"/>
          </w:tcPr>
          <w:p w:rsidR="00AE5453" w:rsidRPr="00FF044C" w:rsidRDefault="00AE5453" w:rsidP="009C0DF6">
            <w:pPr>
              <w:keepNext/>
              <w:spacing w:before="0" w:after="0"/>
              <w:ind w:left="-108"/>
              <w:rPr>
                <w:rFonts w:ascii="Arial Narrow" w:hAnsi="Arial Narrow"/>
                <w:sz w:val="20"/>
              </w:rPr>
            </w:pPr>
          </w:p>
          <w:p w:rsidR="00AE5453" w:rsidRPr="00FF044C" w:rsidRDefault="00AE5453" w:rsidP="009C0DF6">
            <w:pPr>
              <w:keepNext/>
              <w:spacing w:before="0" w:after="0"/>
              <w:ind w:left="-108"/>
              <w:rPr>
                <w:rFonts w:ascii="Arial Narrow" w:hAnsi="Arial Narrow"/>
                <w:sz w:val="20"/>
              </w:rPr>
            </w:pPr>
            <w:r w:rsidRPr="00FF044C">
              <w:rPr>
                <w:rFonts w:ascii="Arial Narrow" w:hAnsi="Arial Narrow"/>
                <w:sz w:val="20"/>
              </w:rPr>
              <w:t>200 mg</w:t>
            </w:r>
          </w:p>
        </w:tc>
        <w:tc>
          <w:tcPr>
            <w:tcW w:w="708" w:type="dxa"/>
            <w:tcBorders>
              <w:top w:val="single" w:sz="4" w:space="0" w:color="auto"/>
            </w:tcBorders>
            <w:vAlign w:val="center"/>
          </w:tcPr>
          <w:p w:rsidR="00B51393" w:rsidRDefault="00B51393" w:rsidP="009C0DF6">
            <w:pPr>
              <w:keepNext/>
              <w:spacing w:before="0" w:after="0"/>
              <w:ind w:left="-108"/>
              <w:rPr>
                <w:rFonts w:ascii="Arial Narrow" w:hAnsi="Arial Narrow"/>
                <w:sz w:val="20"/>
              </w:rPr>
            </w:pPr>
          </w:p>
          <w:p w:rsidR="00AE5453" w:rsidRPr="00FF044C" w:rsidRDefault="00AE5453" w:rsidP="009C0DF6">
            <w:pPr>
              <w:keepNext/>
              <w:spacing w:before="0" w:after="0"/>
              <w:ind w:left="-108"/>
              <w:rPr>
                <w:rFonts w:ascii="Arial Narrow" w:hAnsi="Arial Narrow"/>
                <w:sz w:val="20"/>
              </w:rPr>
            </w:pPr>
            <w:r>
              <w:rPr>
                <w:rFonts w:ascii="Arial Narrow" w:hAnsi="Arial Narrow"/>
                <w:sz w:val="20"/>
              </w:rPr>
              <w:t>7</w:t>
            </w:r>
          </w:p>
        </w:tc>
        <w:tc>
          <w:tcPr>
            <w:tcW w:w="1843" w:type="dxa"/>
            <w:tcBorders>
              <w:top w:val="single" w:sz="4" w:space="0" w:color="auto"/>
            </w:tcBorders>
            <w:vAlign w:val="center"/>
          </w:tcPr>
          <w:p w:rsidR="00AE5453" w:rsidRPr="00FF044C" w:rsidRDefault="00AE5453" w:rsidP="009C0DF6">
            <w:pPr>
              <w:keepNext/>
              <w:spacing w:before="0" w:after="0"/>
              <w:ind w:left="-108"/>
              <w:rPr>
                <w:rFonts w:ascii="Arial Narrow" w:hAnsi="Arial Narrow"/>
                <w:sz w:val="20"/>
              </w:rPr>
            </w:pPr>
            <w:r w:rsidRPr="00AE5453">
              <w:rPr>
                <w:rFonts w:ascii="Arial Narrow" w:hAnsi="Arial Narrow"/>
                <w:i/>
                <w:sz w:val="20"/>
              </w:rPr>
              <w:t>To be confirmed</w:t>
            </w:r>
          </w:p>
        </w:tc>
        <w:tc>
          <w:tcPr>
            <w:tcW w:w="1134" w:type="dxa"/>
            <w:tcBorders>
              <w:top w:val="single" w:sz="4" w:space="0" w:color="auto"/>
            </w:tcBorders>
            <w:vAlign w:val="center"/>
          </w:tcPr>
          <w:p w:rsidR="00AE5453" w:rsidRPr="00FF044C" w:rsidRDefault="00AE5453" w:rsidP="009C0DF6">
            <w:pPr>
              <w:keepNext/>
              <w:spacing w:before="0" w:after="0"/>
              <w:rPr>
                <w:rFonts w:ascii="Arial Narrow" w:hAnsi="Arial Narrow"/>
                <w:sz w:val="20"/>
              </w:rPr>
            </w:pPr>
            <w:proofErr w:type="spellStart"/>
            <w:r>
              <w:rPr>
                <w:rFonts w:ascii="Arial Narrow" w:hAnsi="Arial Narrow"/>
                <w:sz w:val="20"/>
              </w:rPr>
              <w:t>Keytruda</w:t>
            </w:r>
            <w:proofErr w:type="spellEnd"/>
            <w:r w:rsidRPr="00FF044C">
              <w:rPr>
                <w:rFonts w:ascii="Arial Narrow" w:hAnsi="Arial Narrow"/>
                <w:sz w:val="20"/>
                <w:vertAlign w:val="superscript"/>
              </w:rPr>
              <w:t>®</w:t>
            </w:r>
          </w:p>
        </w:tc>
        <w:tc>
          <w:tcPr>
            <w:tcW w:w="1985" w:type="dxa"/>
            <w:tcBorders>
              <w:top w:val="single" w:sz="4" w:space="0" w:color="auto"/>
            </w:tcBorders>
            <w:vAlign w:val="center"/>
          </w:tcPr>
          <w:p w:rsidR="00AE5453" w:rsidRPr="00FF044C" w:rsidRDefault="009C0DF6" w:rsidP="009C0DF6">
            <w:pPr>
              <w:keepNext/>
              <w:spacing w:before="0" w:after="0"/>
              <w:jc w:val="center"/>
              <w:rPr>
                <w:rFonts w:ascii="Arial Narrow" w:hAnsi="Arial Narrow"/>
                <w:sz w:val="20"/>
              </w:rPr>
            </w:pPr>
            <w:r>
              <w:rPr>
                <w:rFonts w:ascii="Arial Narrow" w:hAnsi="Arial Narrow"/>
                <w:sz w:val="20"/>
              </w:rPr>
              <w:t>Me</w:t>
            </w:r>
            <w:r w:rsidR="00AE5453">
              <w:rPr>
                <w:rFonts w:ascii="Arial Narrow" w:hAnsi="Arial Narrow"/>
                <w:sz w:val="20"/>
              </w:rPr>
              <w:t>rck Sharp and Dohme Pty Ltd</w:t>
            </w:r>
          </w:p>
        </w:tc>
      </w:tr>
      <w:tr w:rsidR="00AE5453" w:rsidRPr="00FF044C" w:rsidTr="00AE5453">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5453" w:rsidRPr="00FF044C" w:rsidRDefault="00AE5453" w:rsidP="00EC1FBC">
            <w:pPr>
              <w:spacing w:before="0" w:after="0"/>
              <w:rPr>
                <w:rFonts w:ascii="Arial Narrow" w:hAnsi="Arial Narrow"/>
                <w:b/>
                <w:sz w:val="20"/>
              </w:rPr>
            </w:pPr>
            <w:r w:rsidRPr="00FF044C">
              <w:rPr>
                <w:rFonts w:ascii="Arial Narrow" w:hAnsi="Arial Narrow"/>
                <w:b/>
                <w:sz w:val="20"/>
              </w:rPr>
              <w:t>Category / Program</w:t>
            </w:r>
          </w:p>
        </w:tc>
        <w:tc>
          <w:tcPr>
            <w:tcW w:w="6521" w:type="dxa"/>
            <w:gridSpan w:val="5"/>
            <w:tcBorders>
              <w:top w:val="single" w:sz="4" w:space="0" w:color="auto"/>
              <w:left w:val="single" w:sz="4" w:space="0" w:color="auto"/>
              <w:bottom w:val="single" w:sz="4" w:space="0" w:color="auto"/>
              <w:right w:val="single" w:sz="4" w:space="0" w:color="auto"/>
            </w:tcBorders>
          </w:tcPr>
          <w:p w:rsidR="00AE5453" w:rsidRPr="00FF044C" w:rsidRDefault="00AE5453" w:rsidP="00EC1FBC">
            <w:pPr>
              <w:spacing w:before="0" w:after="0"/>
              <w:rPr>
                <w:rFonts w:ascii="Arial Narrow" w:hAnsi="Arial Narrow"/>
                <w:sz w:val="20"/>
              </w:rPr>
            </w:pPr>
            <w:r w:rsidRPr="00FF044C">
              <w:rPr>
                <w:rFonts w:ascii="Arial Narrow" w:hAnsi="Arial Narrow"/>
                <w:sz w:val="20"/>
              </w:rPr>
              <w:t>Section 100 – Efficient Funding of Chemotherapy</w:t>
            </w:r>
          </w:p>
        </w:tc>
      </w:tr>
      <w:tr w:rsidR="00AE5453" w:rsidRPr="00FF044C" w:rsidTr="00AE5453">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5453" w:rsidRPr="00FF044C" w:rsidRDefault="00AE5453" w:rsidP="009C0DF6">
            <w:pPr>
              <w:spacing w:before="0" w:after="0"/>
              <w:rPr>
                <w:rFonts w:ascii="Arial Narrow" w:hAnsi="Arial Narrow"/>
                <w:i/>
                <w:sz w:val="20"/>
              </w:rPr>
            </w:pPr>
            <w:r w:rsidRPr="00FF044C">
              <w:rPr>
                <w:rFonts w:ascii="Arial Narrow" w:hAnsi="Arial Narrow"/>
                <w:b/>
                <w:sz w:val="20"/>
              </w:rPr>
              <w:t>Treatment phase:</w:t>
            </w:r>
          </w:p>
        </w:tc>
        <w:tc>
          <w:tcPr>
            <w:tcW w:w="6521" w:type="dxa"/>
            <w:gridSpan w:val="5"/>
            <w:tcBorders>
              <w:top w:val="single" w:sz="4" w:space="0" w:color="auto"/>
              <w:left w:val="single" w:sz="4" w:space="0" w:color="auto"/>
              <w:bottom w:val="single" w:sz="4" w:space="0" w:color="auto"/>
              <w:right w:val="single" w:sz="4" w:space="0" w:color="auto"/>
            </w:tcBorders>
            <w:vAlign w:val="center"/>
          </w:tcPr>
          <w:p w:rsidR="00AE5453" w:rsidRPr="00FF044C" w:rsidRDefault="00AE5453" w:rsidP="009C0DF6">
            <w:pPr>
              <w:spacing w:before="0" w:after="0"/>
              <w:rPr>
                <w:rFonts w:ascii="Arial Narrow" w:hAnsi="Arial Narrow"/>
                <w:sz w:val="20"/>
              </w:rPr>
            </w:pPr>
            <w:r w:rsidRPr="00FF044C">
              <w:rPr>
                <w:rFonts w:ascii="Arial Narrow" w:hAnsi="Arial Narrow"/>
                <w:sz w:val="20"/>
              </w:rPr>
              <w:t>Continuing treatment</w:t>
            </w:r>
          </w:p>
        </w:tc>
      </w:tr>
      <w:tr w:rsidR="00AE5453" w:rsidRPr="00FF044C" w:rsidTr="00AE5453">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5453" w:rsidRPr="00FF044C" w:rsidRDefault="00AE5453" w:rsidP="009C0DF6">
            <w:pPr>
              <w:spacing w:before="0" w:after="0"/>
              <w:rPr>
                <w:rFonts w:ascii="Arial Narrow" w:hAnsi="Arial Narrow"/>
                <w:i/>
                <w:sz w:val="20"/>
              </w:rPr>
            </w:pPr>
            <w:r w:rsidRPr="00FF044C">
              <w:rPr>
                <w:rFonts w:ascii="Arial Narrow" w:hAnsi="Arial Narrow"/>
                <w:b/>
                <w:sz w:val="20"/>
              </w:rPr>
              <w:t>Restriction Level / Method:</w:t>
            </w:r>
          </w:p>
        </w:tc>
        <w:tc>
          <w:tcPr>
            <w:tcW w:w="6521" w:type="dxa"/>
            <w:gridSpan w:val="5"/>
            <w:tcBorders>
              <w:top w:val="single" w:sz="4" w:space="0" w:color="auto"/>
              <w:left w:val="single" w:sz="4" w:space="0" w:color="auto"/>
              <w:bottom w:val="single" w:sz="4" w:space="0" w:color="auto"/>
              <w:right w:val="single" w:sz="4" w:space="0" w:color="auto"/>
            </w:tcBorders>
          </w:tcPr>
          <w:p w:rsidR="00AE5453" w:rsidRPr="00FF044C" w:rsidRDefault="00AE5453" w:rsidP="00EC1FBC">
            <w:pPr>
              <w:spacing w:before="0" w:after="0"/>
              <w:rPr>
                <w:rFonts w:ascii="Arial Narrow" w:hAnsi="Arial Narrow"/>
                <w:sz w:val="20"/>
              </w:rPr>
            </w:pP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Authority Required - Telephone</w:t>
            </w:r>
          </w:p>
        </w:tc>
      </w:tr>
      <w:tr w:rsidR="00AE5453" w:rsidRPr="009231FB" w:rsidTr="00AE5453">
        <w:trPr>
          <w:cantSplit/>
          <w:trHeight w:val="360"/>
        </w:trPr>
        <w:tc>
          <w:tcPr>
            <w:tcW w:w="2410" w:type="dxa"/>
            <w:tcBorders>
              <w:top w:val="single" w:sz="4" w:space="0" w:color="auto"/>
              <w:left w:val="single" w:sz="4" w:space="0" w:color="auto"/>
              <w:bottom w:val="single" w:sz="4" w:space="0" w:color="auto"/>
              <w:right w:val="single" w:sz="4" w:space="0" w:color="auto"/>
            </w:tcBorders>
          </w:tcPr>
          <w:p w:rsidR="00AE5453" w:rsidRPr="00FF044C" w:rsidRDefault="00AE5453" w:rsidP="00EC1FBC">
            <w:pPr>
              <w:spacing w:before="0" w:after="0"/>
              <w:rPr>
                <w:rFonts w:ascii="Arial Narrow" w:hAnsi="Arial Narrow"/>
                <w:sz w:val="20"/>
              </w:rPr>
            </w:pPr>
            <w:r w:rsidRPr="00FF044C">
              <w:rPr>
                <w:rFonts w:ascii="Arial Narrow" w:hAnsi="Arial Narrow"/>
                <w:b/>
                <w:sz w:val="20"/>
              </w:rPr>
              <w:t>Clinical criteria:</w:t>
            </w:r>
          </w:p>
        </w:tc>
        <w:tc>
          <w:tcPr>
            <w:tcW w:w="6521" w:type="dxa"/>
            <w:gridSpan w:val="5"/>
            <w:tcBorders>
              <w:top w:val="single" w:sz="4" w:space="0" w:color="auto"/>
              <w:left w:val="single" w:sz="4" w:space="0" w:color="auto"/>
              <w:bottom w:val="single" w:sz="4" w:space="0" w:color="auto"/>
              <w:right w:val="single" w:sz="4" w:space="0" w:color="auto"/>
            </w:tcBorders>
          </w:tcPr>
          <w:p w:rsidR="00AE5453" w:rsidRPr="00C952AB" w:rsidRDefault="00AE5453" w:rsidP="009C0DF6">
            <w:pPr>
              <w:spacing w:before="0" w:after="0"/>
              <w:rPr>
                <w:rFonts w:ascii="Arial Narrow" w:hAnsi="Arial Narrow"/>
                <w:i/>
                <w:sz w:val="20"/>
              </w:rPr>
            </w:pPr>
            <w:r w:rsidRPr="00C952AB">
              <w:rPr>
                <w:rFonts w:ascii="Arial Narrow" w:hAnsi="Arial Narrow"/>
                <w:i/>
                <w:sz w:val="20"/>
              </w:rPr>
              <w:t>Patient must not have undergone an autologous stem cell transplant (ASCT) for this condition,</w:t>
            </w:r>
          </w:p>
          <w:p w:rsidR="00AE5453" w:rsidRPr="00C952AB" w:rsidRDefault="00AE5453" w:rsidP="009C0DF6">
            <w:pPr>
              <w:spacing w:before="0" w:after="0"/>
              <w:rPr>
                <w:rFonts w:ascii="Arial Narrow" w:hAnsi="Arial Narrow"/>
                <w:i/>
                <w:sz w:val="20"/>
              </w:rPr>
            </w:pPr>
            <w:r w:rsidRPr="00C952AB">
              <w:rPr>
                <w:rFonts w:ascii="Arial Narrow" w:hAnsi="Arial Narrow"/>
                <w:i/>
                <w:sz w:val="20"/>
              </w:rPr>
              <w:t>AND</w:t>
            </w:r>
          </w:p>
          <w:p w:rsidR="00AE5453" w:rsidRPr="00C952AB" w:rsidRDefault="00AE5453" w:rsidP="009C0DF6">
            <w:pPr>
              <w:spacing w:before="0" w:after="0"/>
              <w:rPr>
                <w:rFonts w:ascii="Arial Narrow" w:hAnsi="Arial Narrow"/>
                <w:i/>
                <w:sz w:val="20"/>
              </w:rPr>
            </w:pPr>
            <w:r w:rsidRPr="00C952AB">
              <w:rPr>
                <w:rFonts w:ascii="Arial Narrow" w:hAnsi="Arial Narrow"/>
                <w:i/>
                <w:sz w:val="20"/>
              </w:rPr>
              <w:t>Patient must not be suitable for ASCT for this condition; OR</w:t>
            </w:r>
          </w:p>
          <w:p w:rsidR="00AE5453" w:rsidRPr="00C952AB" w:rsidRDefault="00AE5453" w:rsidP="009C0DF6">
            <w:pPr>
              <w:spacing w:before="0" w:after="0"/>
              <w:rPr>
                <w:rFonts w:ascii="Arial Narrow" w:hAnsi="Arial Narrow"/>
                <w:i/>
                <w:sz w:val="20"/>
              </w:rPr>
            </w:pPr>
            <w:r w:rsidRPr="00C952AB">
              <w:rPr>
                <w:rFonts w:ascii="Arial Narrow" w:hAnsi="Arial Narrow"/>
                <w:i/>
                <w:sz w:val="20"/>
              </w:rPr>
              <w:t>Patient must not be suitable for treatment with multi-agent chemotherapy for this condition,</w:t>
            </w:r>
          </w:p>
          <w:p w:rsidR="00AE5453" w:rsidRPr="00C952AB" w:rsidRDefault="00AE5453" w:rsidP="009C0DF6">
            <w:pPr>
              <w:spacing w:before="0" w:after="0"/>
              <w:rPr>
                <w:rFonts w:ascii="Arial Narrow" w:hAnsi="Arial Narrow"/>
                <w:i/>
                <w:sz w:val="20"/>
              </w:rPr>
            </w:pPr>
            <w:r w:rsidRPr="00C952AB">
              <w:rPr>
                <w:rFonts w:ascii="Arial Narrow" w:hAnsi="Arial Narrow"/>
                <w:i/>
                <w:sz w:val="20"/>
              </w:rPr>
              <w:t>AND</w:t>
            </w:r>
          </w:p>
          <w:p w:rsidR="00AE5453" w:rsidRPr="00C952AB" w:rsidRDefault="00AE5453" w:rsidP="009C0DF6">
            <w:pPr>
              <w:spacing w:before="0" w:after="0"/>
              <w:rPr>
                <w:rFonts w:ascii="Arial Narrow" w:hAnsi="Arial Narrow"/>
                <w:i/>
                <w:sz w:val="20"/>
              </w:rPr>
            </w:pPr>
            <w:r w:rsidRPr="00C952AB">
              <w:rPr>
                <w:rFonts w:ascii="Arial Narrow" w:hAnsi="Arial Narrow"/>
                <w:i/>
                <w:sz w:val="20"/>
              </w:rPr>
              <w:t>Patient must have previously received PBS-subsidised treatment with this drug for this condition</w:t>
            </w:r>
          </w:p>
          <w:p w:rsidR="00AE5453" w:rsidRPr="00C952AB" w:rsidRDefault="00AE5453" w:rsidP="009C0DF6">
            <w:pPr>
              <w:spacing w:before="0" w:after="0"/>
              <w:rPr>
                <w:rFonts w:ascii="Arial Narrow" w:hAnsi="Arial Narrow"/>
                <w:i/>
                <w:sz w:val="20"/>
              </w:rPr>
            </w:pPr>
            <w:r w:rsidRPr="00C952AB">
              <w:rPr>
                <w:rFonts w:ascii="Arial Narrow" w:hAnsi="Arial Narrow"/>
                <w:i/>
                <w:sz w:val="20"/>
              </w:rPr>
              <w:t>AND</w:t>
            </w:r>
          </w:p>
          <w:p w:rsidR="00AE5453" w:rsidRPr="009231FB" w:rsidRDefault="00AE5453" w:rsidP="009C0DF6">
            <w:pPr>
              <w:spacing w:before="0" w:after="0"/>
              <w:rPr>
                <w:rFonts w:ascii="Arial Narrow" w:hAnsi="Arial Narrow"/>
                <w:sz w:val="20"/>
              </w:rPr>
            </w:pPr>
            <w:r w:rsidRPr="00C952AB">
              <w:rPr>
                <w:rFonts w:ascii="Arial Narrow" w:hAnsi="Arial Narrow"/>
                <w:sz w:val="20"/>
              </w:rPr>
              <w:t>Patient must not have progressive disease</w:t>
            </w:r>
            <w:r w:rsidR="00785AB1">
              <w:rPr>
                <w:rFonts w:ascii="Arial Narrow" w:hAnsi="Arial Narrow"/>
                <w:i/>
                <w:sz w:val="20"/>
              </w:rPr>
              <w:t xml:space="preserve"> while receiving PBS-subsidised</w:t>
            </w:r>
            <w:r w:rsidRPr="00C952AB">
              <w:rPr>
                <w:rFonts w:ascii="Arial Narrow" w:hAnsi="Arial Narrow"/>
                <w:i/>
                <w:sz w:val="20"/>
              </w:rPr>
              <w:t xml:space="preserve"> treatment with this drug for this condition.</w:t>
            </w:r>
          </w:p>
        </w:tc>
      </w:tr>
    </w:tbl>
    <w:p w:rsidR="00FF4229" w:rsidRDefault="00FF4229" w:rsidP="009C0DF6">
      <w:pPr>
        <w:rPr>
          <w:rFonts w:ascii="Arial" w:hAnsi="Arial" w:cs="Arial"/>
          <w:sz w:val="22"/>
          <w:u w:val="single"/>
          <w:lang w:val="en-GB"/>
        </w:rPr>
      </w:pPr>
    </w:p>
    <w:p w:rsidR="00CA3EF7" w:rsidRDefault="00CA3EF7" w:rsidP="009C0DF6">
      <w:pPr>
        <w:pStyle w:val="NoSpacing"/>
        <w:keepNext/>
        <w:widowControl/>
        <w:rPr>
          <w:rFonts w:ascii="Calibri" w:hAnsi="Calibri"/>
          <w:sz w:val="24"/>
          <w:szCs w:val="24"/>
          <w:u w:val="single"/>
          <w:lang w:val="en-GB" w:eastAsia="en-AU"/>
        </w:rPr>
      </w:pPr>
      <w:r w:rsidRPr="00893139">
        <w:rPr>
          <w:rFonts w:ascii="Calibri" w:hAnsi="Calibri"/>
          <w:sz w:val="24"/>
          <w:szCs w:val="24"/>
          <w:u w:val="single"/>
          <w:lang w:val="en-GB" w:eastAsia="en-AU"/>
        </w:rPr>
        <w:lastRenderedPageBreak/>
        <w:t>Post</w:t>
      </w:r>
      <w:r w:rsidR="00BF4BCC">
        <w:rPr>
          <w:rFonts w:ascii="Calibri" w:hAnsi="Calibri"/>
          <w:sz w:val="24"/>
          <w:szCs w:val="24"/>
          <w:u w:val="single"/>
          <w:lang w:val="en-GB" w:eastAsia="en-AU"/>
        </w:rPr>
        <w:t xml:space="preserve"> </w:t>
      </w:r>
      <w:r w:rsidRPr="00893139">
        <w:rPr>
          <w:rFonts w:ascii="Calibri" w:hAnsi="Calibri"/>
          <w:sz w:val="24"/>
          <w:szCs w:val="24"/>
          <w:u w:val="single"/>
          <w:lang w:val="en-GB" w:eastAsia="en-AU"/>
        </w:rPr>
        <w:t>ASCT:</w:t>
      </w:r>
    </w:p>
    <w:p w:rsidR="009C0DF6" w:rsidRPr="00893139" w:rsidRDefault="009C0DF6" w:rsidP="009C0DF6">
      <w:pPr>
        <w:pStyle w:val="NoSpacing"/>
        <w:keepNext/>
        <w:widowControl/>
        <w:rPr>
          <w:rFonts w:ascii="Calibri" w:hAnsi="Calibri"/>
          <w:sz w:val="24"/>
          <w:szCs w:val="24"/>
          <w:u w:val="single"/>
          <w:lang w:val="en-GB" w:eastAsia="en-AU"/>
        </w:rPr>
      </w:pPr>
    </w:p>
    <w:tbl>
      <w:tblPr>
        <w:tblW w:w="8931" w:type="dxa"/>
        <w:tblInd w:w="108" w:type="dxa"/>
        <w:tblLayout w:type="fixed"/>
        <w:tblLook w:val="0000" w:firstRow="0" w:lastRow="0" w:firstColumn="0" w:lastColumn="0" w:noHBand="0" w:noVBand="0"/>
      </w:tblPr>
      <w:tblGrid>
        <w:gridCol w:w="2410"/>
        <w:gridCol w:w="425"/>
        <w:gridCol w:w="567"/>
        <w:gridCol w:w="851"/>
        <w:gridCol w:w="1417"/>
        <w:gridCol w:w="1134"/>
        <w:gridCol w:w="2127"/>
      </w:tblGrid>
      <w:tr w:rsidR="00AE5453" w:rsidRPr="00FF044C" w:rsidTr="00C1510B">
        <w:trPr>
          <w:cantSplit/>
          <w:trHeight w:val="471"/>
        </w:trPr>
        <w:tc>
          <w:tcPr>
            <w:tcW w:w="2410" w:type="dxa"/>
            <w:tcBorders>
              <w:bottom w:val="single" w:sz="4" w:space="0" w:color="auto"/>
            </w:tcBorders>
          </w:tcPr>
          <w:p w:rsidR="00AE5453" w:rsidRPr="00FF044C" w:rsidRDefault="00AE5453" w:rsidP="009C0DF6">
            <w:pPr>
              <w:keepNext/>
              <w:spacing w:before="0" w:after="0"/>
              <w:ind w:left="-108"/>
              <w:jc w:val="left"/>
              <w:rPr>
                <w:rFonts w:ascii="Arial Narrow" w:hAnsi="Arial Narrow"/>
                <w:sz w:val="20"/>
              </w:rPr>
            </w:pPr>
            <w:r w:rsidRPr="00FF044C">
              <w:rPr>
                <w:rFonts w:ascii="Arial Narrow" w:hAnsi="Arial Narrow"/>
                <w:sz w:val="20"/>
              </w:rPr>
              <w:t>Name, Restriction,</w:t>
            </w:r>
          </w:p>
          <w:p w:rsidR="00AE5453" w:rsidRPr="00FF044C" w:rsidRDefault="00AE5453" w:rsidP="009C0DF6">
            <w:pPr>
              <w:keepNext/>
              <w:spacing w:before="0" w:after="0"/>
              <w:ind w:left="-108"/>
              <w:jc w:val="left"/>
              <w:rPr>
                <w:rFonts w:ascii="Arial Narrow" w:hAnsi="Arial Narrow"/>
                <w:sz w:val="20"/>
              </w:rPr>
            </w:pPr>
            <w:r w:rsidRPr="00FF044C">
              <w:rPr>
                <w:rFonts w:ascii="Arial Narrow" w:hAnsi="Arial Narrow"/>
                <w:sz w:val="20"/>
              </w:rPr>
              <w:t>Manner of administration and form</w:t>
            </w:r>
          </w:p>
        </w:tc>
        <w:tc>
          <w:tcPr>
            <w:tcW w:w="992" w:type="dxa"/>
            <w:gridSpan w:val="2"/>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Max.</w:t>
            </w:r>
          </w:p>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Amount</w:t>
            </w:r>
          </w:p>
        </w:tc>
        <w:tc>
          <w:tcPr>
            <w:tcW w:w="851" w:type="dxa"/>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 xml:space="preserve">№.of </w:t>
            </w:r>
            <w:proofErr w:type="spellStart"/>
            <w:r w:rsidRPr="00FF044C">
              <w:rPr>
                <w:rFonts w:ascii="Arial Narrow" w:hAnsi="Arial Narrow"/>
                <w:sz w:val="20"/>
              </w:rPr>
              <w:t>Rpts</w:t>
            </w:r>
            <w:proofErr w:type="spellEnd"/>
          </w:p>
        </w:tc>
        <w:tc>
          <w:tcPr>
            <w:tcW w:w="1417" w:type="dxa"/>
            <w:tcBorders>
              <w:bottom w:val="single" w:sz="4" w:space="0" w:color="auto"/>
            </w:tcBorders>
          </w:tcPr>
          <w:p w:rsidR="00AE5453" w:rsidRPr="00FF044C" w:rsidRDefault="00AE5453" w:rsidP="009C0DF6">
            <w:pPr>
              <w:keepNext/>
              <w:spacing w:before="0" w:after="0"/>
              <w:ind w:left="-108"/>
              <w:rPr>
                <w:rFonts w:ascii="Arial Narrow" w:hAnsi="Arial Narrow"/>
                <w:sz w:val="20"/>
              </w:rPr>
            </w:pPr>
            <w:r w:rsidRPr="003F278A">
              <w:rPr>
                <w:rFonts w:ascii="Arial Narrow" w:hAnsi="Arial Narrow"/>
                <w:sz w:val="20"/>
              </w:rPr>
              <w:t xml:space="preserve">Dispensed price for maximum </w:t>
            </w:r>
            <w:r>
              <w:rPr>
                <w:rFonts w:ascii="Arial Narrow" w:hAnsi="Arial Narrow"/>
                <w:sz w:val="20"/>
              </w:rPr>
              <w:t>amount (DPMA</w:t>
            </w:r>
            <w:r w:rsidRPr="003F278A">
              <w:rPr>
                <w:rFonts w:ascii="Arial Narrow" w:hAnsi="Arial Narrow"/>
                <w:sz w:val="20"/>
              </w:rPr>
              <w:t>)</w:t>
            </w:r>
          </w:p>
        </w:tc>
        <w:tc>
          <w:tcPr>
            <w:tcW w:w="3261" w:type="dxa"/>
            <w:gridSpan w:val="2"/>
            <w:tcBorders>
              <w:bottom w:val="single" w:sz="4" w:space="0" w:color="auto"/>
            </w:tcBorders>
          </w:tcPr>
          <w:p w:rsidR="00AE5453" w:rsidRPr="00FF044C" w:rsidRDefault="00AE5453" w:rsidP="009C0DF6">
            <w:pPr>
              <w:keepNext/>
              <w:spacing w:before="0" w:after="0"/>
              <w:jc w:val="center"/>
              <w:rPr>
                <w:rFonts w:ascii="Arial Narrow" w:hAnsi="Arial Narrow"/>
                <w:sz w:val="20"/>
              </w:rPr>
            </w:pPr>
            <w:r w:rsidRPr="00FF044C">
              <w:rPr>
                <w:rFonts w:ascii="Arial Narrow" w:hAnsi="Arial Narrow"/>
                <w:sz w:val="20"/>
              </w:rPr>
              <w:t>P</w:t>
            </w:r>
            <w:r>
              <w:rPr>
                <w:rFonts w:ascii="Arial Narrow" w:hAnsi="Arial Narrow"/>
                <w:sz w:val="20"/>
              </w:rPr>
              <w:t xml:space="preserve">roprietary  Name and        </w:t>
            </w:r>
            <w:r w:rsidRPr="00FF044C">
              <w:rPr>
                <w:rFonts w:ascii="Arial Narrow" w:hAnsi="Arial Narrow"/>
                <w:sz w:val="20"/>
              </w:rPr>
              <w:t xml:space="preserve"> </w:t>
            </w:r>
            <w:r w:rsidR="00EC1FBC">
              <w:rPr>
                <w:rFonts w:ascii="Arial Narrow" w:hAnsi="Arial Narrow"/>
                <w:sz w:val="20"/>
              </w:rPr>
              <w:br/>
            </w:r>
            <w:r w:rsidRPr="00FF044C">
              <w:rPr>
                <w:rFonts w:ascii="Arial Narrow" w:hAnsi="Arial Narrow"/>
                <w:sz w:val="20"/>
              </w:rPr>
              <w:t>Manufacturer</w:t>
            </w:r>
          </w:p>
        </w:tc>
      </w:tr>
      <w:tr w:rsidR="00AE5453" w:rsidRPr="00FF044C" w:rsidTr="00B51393">
        <w:trPr>
          <w:cantSplit/>
          <w:trHeight w:val="577"/>
        </w:trPr>
        <w:tc>
          <w:tcPr>
            <w:tcW w:w="2410" w:type="dxa"/>
          </w:tcPr>
          <w:p w:rsidR="00AE5453" w:rsidRPr="00FF044C" w:rsidRDefault="00AE5453" w:rsidP="009C0DF6">
            <w:pPr>
              <w:keepNext/>
              <w:spacing w:before="0" w:after="0"/>
              <w:ind w:left="-108"/>
              <w:jc w:val="left"/>
              <w:rPr>
                <w:rFonts w:ascii="Arial Narrow" w:hAnsi="Arial Narrow"/>
                <w:sz w:val="20"/>
              </w:rPr>
            </w:pPr>
            <w:r>
              <w:rPr>
                <w:rFonts w:ascii="Arial Narrow" w:hAnsi="Arial Narrow"/>
                <w:sz w:val="20"/>
              </w:rPr>
              <w:t>PEMBROLIZUMAB</w:t>
            </w:r>
          </w:p>
          <w:p w:rsidR="00AE5453" w:rsidRPr="00FF044C" w:rsidRDefault="00AE5453" w:rsidP="009C0DF6">
            <w:pPr>
              <w:keepNext/>
              <w:spacing w:before="0" w:after="0"/>
              <w:ind w:left="-108"/>
              <w:jc w:val="left"/>
              <w:rPr>
                <w:rFonts w:ascii="Arial Narrow" w:hAnsi="Arial Narrow"/>
                <w:sz w:val="20"/>
              </w:rPr>
            </w:pPr>
            <w:r w:rsidRPr="005C2075">
              <w:rPr>
                <w:rFonts w:ascii="Arial Narrow" w:hAnsi="Arial Narrow"/>
                <w:sz w:val="20"/>
              </w:rPr>
              <w:t>100mg vial for infusion, 1</w:t>
            </w:r>
          </w:p>
        </w:tc>
        <w:tc>
          <w:tcPr>
            <w:tcW w:w="992" w:type="dxa"/>
            <w:gridSpan w:val="2"/>
            <w:vAlign w:val="center"/>
          </w:tcPr>
          <w:p w:rsidR="00B51393" w:rsidRDefault="00B51393" w:rsidP="009C0DF6">
            <w:pPr>
              <w:keepNext/>
              <w:spacing w:before="0" w:after="0"/>
              <w:rPr>
                <w:rFonts w:ascii="Arial Narrow" w:hAnsi="Arial Narrow"/>
                <w:sz w:val="20"/>
              </w:rPr>
            </w:pPr>
          </w:p>
          <w:p w:rsidR="00AE5453" w:rsidRPr="00FF044C" w:rsidRDefault="00AE5453" w:rsidP="009C0DF6">
            <w:pPr>
              <w:keepNext/>
              <w:spacing w:before="0" w:after="0"/>
              <w:rPr>
                <w:rFonts w:ascii="Arial Narrow" w:hAnsi="Arial Narrow"/>
                <w:strike/>
                <w:sz w:val="20"/>
              </w:rPr>
            </w:pPr>
            <w:r w:rsidRPr="00FF044C">
              <w:rPr>
                <w:rFonts w:ascii="Arial Narrow" w:hAnsi="Arial Narrow"/>
                <w:sz w:val="20"/>
              </w:rPr>
              <w:t>200 mg</w:t>
            </w:r>
          </w:p>
        </w:tc>
        <w:tc>
          <w:tcPr>
            <w:tcW w:w="851" w:type="dxa"/>
            <w:vAlign w:val="center"/>
          </w:tcPr>
          <w:p w:rsidR="00B51393" w:rsidRDefault="00B51393" w:rsidP="009C0DF6">
            <w:pPr>
              <w:keepNext/>
              <w:spacing w:before="0" w:after="0"/>
              <w:ind w:left="-108"/>
              <w:jc w:val="center"/>
              <w:rPr>
                <w:rFonts w:ascii="Arial Narrow" w:hAnsi="Arial Narrow"/>
                <w:sz w:val="20"/>
              </w:rPr>
            </w:pPr>
          </w:p>
          <w:p w:rsidR="00AE5453" w:rsidRPr="00FF044C" w:rsidRDefault="00AE5453" w:rsidP="009C0DF6">
            <w:pPr>
              <w:keepNext/>
              <w:spacing w:before="0" w:after="0"/>
              <w:ind w:left="-108"/>
              <w:jc w:val="center"/>
              <w:rPr>
                <w:rFonts w:ascii="Arial Narrow" w:hAnsi="Arial Narrow"/>
                <w:sz w:val="20"/>
              </w:rPr>
            </w:pPr>
            <w:r>
              <w:rPr>
                <w:rFonts w:ascii="Arial Narrow" w:hAnsi="Arial Narrow"/>
                <w:sz w:val="20"/>
              </w:rPr>
              <w:t>5</w:t>
            </w:r>
          </w:p>
        </w:tc>
        <w:tc>
          <w:tcPr>
            <w:tcW w:w="1417" w:type="dxa"/>
            <w:vAlign w:val="center"/>
          </w:tcPr>
          <w:p w:rsidR="00AE5453" w:rsidRPr="00AE5453" w:rsidRDefault="00AE5453" w:rsidP="009C0DF6">
            <w:pPr>
              <w:keepNext/>
              <w:spacing w:before="0" w:after="0"/>
              <w:ind w:left="-108"/>
              <w:rPr>
                <w:rFonts w:ascii="Arial Narrow" w:hAnsi="Arial Narrow"/>
                <w:i/>
                <w:sz w:val="20"/>
              </w:rPr>
            </w:pPr>
            <w:r w:rsidRPr="00AE5453">
              <w:rPr>
                <w:rFonts w:ascii="Arial Narrow" w:hAnsi="Arial Narrow"/>
                <w:i/>
                <w:sz w:val="20"/>
              </w:rPr>
              <w:t>To be confirmed</w:t>
            </w:r>
          </w:p>
        </w:tc>
        <w:tc>
          <w:tcPr>
            <w:tcW w:w="1134" w:type="dxa"/>
            <w:vAlign w:val="center"/>
          </w:tcPr>
          <w:p w:rsidR="00AE5453" w:rsidRPr="00FF044C" w:rsidRDefault="00AE5453" w:rsidP="009C0DF6">
            <w:pPr>
              <w:keepNext/>
              <w:spacing w:before="0" w:after="0"/>
              <w:rPr>
                <w:rFonts w:ascii="Arial Narrow" w:hAnsi="Arial Narrow"/>
                <w:sz w:val="20"/>
              </w:rPr>
            </w:pPr>
            <w:proofErr w:type="spellStart"/>
            <w:r>
              <w:rPr>
                <w:rFonts w:ascii="Arial Narrow" w:hAnsi="Arial Narrow"/>
                <w:sz w:val="20"/>
              </w:rPr>
              <w:t>Keytruda</w:t>
            </w:r>
            <w:proofErr w:type="spellEnd"/>
            <w:r w:rsidRPr="00FF044C">
              <w:rPr>
                <w:rFonts w:ascii="Arial Narrow" w:hAnsi="Arial Narrow"/>
                <w:sz w:val="20"/>
                <w:vertAlign w:val="superscript"/>
              </w:rPr>
              <w:t>®</w:t>
            </w:r>
          </w:p>
        </w:tc>
        <w:tc>
          <w:tcPr>
            <w:tcW w:w="2127" w:type="dxa"/>
            <w:vAlign w:val="center"/>
          </w:tcPr>
          <w:p w:rsidR="00AE5453" w:rsidRPr="00FF044C" w:rsidRDefault="009C0DF6" w:rsidP="009C0DF6">
            <w:pPr>
              <w:keepNext/>
              <w:spacing w:before="0" w:after="0"/>
              <w:rPr>
                <w:rFonts w:ascii="Arial Narrow" w:hAnsi="Arial Narrow"/>
                <w:sz w:val="20"/>
              </w:rPr>
            </w:pPr>
            <w:r>
              <w:rPr>
                <w:rFonts w:ascii="Arial Narrow" w:hAnsi="Arial Narrow"/>
                <w:sz w:val="20"/>
              </w:rPr>
              <w:t>Me</w:t>
            </w:r>
            <w:r w:rsidR="00AE5453">
              <w:rPr>
                <w:rFonts w:ascii="Arial Narrow" w:hAnsi="Arial Narrow"/>
                <w:sz w:val="20"/>
              </w:rPr>
              <w:t>rck Sharp and Dohme Pty Ltd</w:t>
            </w:r>
          </w:p>
        </w:tc>
      </w:tr>
      <w:tr w:rsidR="00CA3EF7" w:rsidRPr="00CF3D88" w:rsidTr="00B513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CA3EF7" w:rsidRPr="00CF3D88" w:rsidRDefault="00FF4229" w:rsidP="009C0DF6">
            <w:pPr>
              <w:spacing w:before="0" w:after="0"/>
              <w:jc w:val="left"/>
              <w:rPr>
                <w:rFonts w:ascii="Arial Narrow" w:hAnsi="Arial Narrow"/>
                <w:b/>
                <w:sz w:val="20"/>
              </w:rPr>
            </w:pPr>
            <w:r>
              <w:rPr>
                <w:rFonts w:ascii="Arial Narrow" w:hAnsi="Arial Narrow"/>
                <w:b/>
                <w:sz w:val="20"/>
              </w:rPr>
              <w:t xml:space="preserve">Category / </w:t>
            </w:r>
            <w:r w:rsidR="00CA3EF7" w:rsidRPr="00CF3D88">
              <w:rPr>
                <w:rFonts w:ascii="Arial Narrow" w:hAnsi="Arial Narrow"/>
                <w:b/>
                <w:sz w:val="20"/>
              </w:rPr>
              <w:t>Program</w:t>
            </w:r>
          </w:p>
        </w:tc>
        <w:tc>
          <w:tcPr>
            <w:tcW w:w="6096" w:type="dxa"/>
            <w:gridSpan w:val="5"/>
            <w:tcBorders>
              <w:top w:val="single" w:sz="4" w:space="0" w:color="auto"/>
              <w:left w:val="single" w:sz="4" w:space="0" w:color="auto"/>
              <w:bottom w:val="single" w:sz="4" w:space="0" w:color="auto"/>
              <w:right w:val="single" w:sz="4" w:space="0" w:color="auto"/>
            </w:tcBorders>
          </w:tcPr>
          <w:p w:rsidR="00CA3EF7" w:rsidRPr="00CF3D88" w:rsidRDefault="00CA3EF7" w:rsidP="009C0DF6">
            <w:pPr>
              <w:spacing w:before="0" w:after="0"/>
              <w:jc w:val="left"/>
              <w:rPr>
                <w:rFonts w:ascii="Arial Narrow" w:hAnsi="Arial Narrow"/>
                <w:sz w:val="20"/>
              </w:rPr>
            </w:pPr>
            <w:r w:rsidRPr="00CF3D88">
              <w:rPr>
                <w:rFonts w:ascii="Arial Narrow" w:hAnsi="Arial Narrow"/>
                <w:sz w:val="20"/>
              </w:rPr>
              <w:t>Section 100 – Efficient Funding of Chemotherapy</w:t>
            </w:r>
          </w:p>
        </w:tc>
      </w:tr>
      <w:tr w:rsidR="00CA3EF7" w:rsidRPr="00CF3D88" w:rsidTr="00B513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CA3EF7" w:rsidRPr="00CF3D88" w:rsidRDefault="00CA3EF7" w:rsidP="009C0DF6">
            <w:pPr>
              <w:spacing w:before="0" w:after="0"/>
              <w:jc w:val="left"/>
              <w:rPr>
                <w:rFonts w:ascii="Arial Narrow" w:hAnsi="Arial Narrow"/>
                <w:i/>
                <w:sz w:val="20"/>
              </w:rPr>
            </w:pPr>
            <w:r w:rsidRPr="00CF3D88">
              <w:rPr>
                <w:rFonts w:ascii="Arial Narrow" w:hAnsi="Arial Narrow"/>
                <w:b/>
                <w:sz w:val="20"/>
              </w:rPr>
              <w:t>Treatment phase:</w:t>
            </w:r>
          </w:p>
        </w:tc>
        <w:tc>
          <w:tcPr>
            <w:tcW w:w="6096" w:type="dxa"/>
            <w:gridSpan w:val="5"/>
            <w:tcBorders>
              <w:top w:val="single" w:sz="4" w:space="0" w:color="auto"/>
              <w:left w:val="single" w:sz="4" w:space="0" w:color="auto"/>
              <w:bottom w:val="single" w:sz="4" w:space="0" w:color="auto"/>
              <w:right w:val="single" w:sz="4" w:space="0" w:color="auto"/>
            </w:tcBorders>
          </w:tcPr>
          <w:p w:rsidR="00CA3EF7" w:rsidRPr="00CF3D88" w:rsidRDefault="00CA3EF7" w:rsidP="009C0DF6">
            <w:pPr>
              <w:spacing w:before="0" w:after="0"/>
              <w:jc w:val="left"/>
              <w:rPr>
                <w:rFonts w:ascii="Arial Narrow" w:hAnsi="Arial Narrow"/>
                <w:sz w:val="20"/>
              </w:rPr>
            </w:pPr>
            <w:r w:rsidRPr="00CF3D88">
              <w:rPr>
                <w:rFonts w:ascii="Arial Narrow" w:hAnsi="Arial Narrow"/>
                <w:sz w:val="20"/>
              </w:rPr>
              <w:t>Initial treatment</w:t>
            </w:r>
          </w:p>
        </w:tc>
      </w:tr>
      <w:tr w:rsidR="00CA3EF7" w:rsidRPr="00CF3D88" w:rsidTr="00B51393">
        <w:trPr>
          <w:cantSplit/>
          <w:trHeight w:val="70"/>
        </w:trPr>
        <w:tc>
          <w:tcPr>
            <w:tcW w:w="2835" w:type="dxa"/>
            <w:gridSpan w:val="2"/>
            <w:tcBorders>
              <w:top w:val="single" w:sz="4" w:space="0" w:color="auto"/>
              <w:left w:val="single" w:sz="4" w:space="0" w:color="auto"/>
              <w:bottom w:val="single" w:sz="4" w:space="0" w:color="auto"/>
              <w:right w:val="single" w:sz="4" w:space="0" w:color="auto"/>
            </w:tcBorders>
          </w:tcPr>
          <w:p w:rsidR="00CA3EF7" w:rsidRPr="00CF3D88" w:rsidRDefault="00CA3EF7" w:rsidP="009C0DF6">
            <w:pPr>
              <w:spacing w:before="0" w:after="0"/>
              <w:jc w:val="left"/>
              <w:rPr>
                <w:rFonts w:ascii="Arial Narrow" w:hAnsi="Arial Narrow"/>
                <w:i/>
                <w:sz w:val="20"/>
              </w:rPr>
            </w:pPr>
            <w:r w:rsidRPr="00CF3D88">
              <w:rPr>
                <w:rFonts w:ascii="Arial Narrow" w:hAnsi="Arial Narrow"/>
                <w:b/>
                <w:sz w:val="20"/>
              </w:rPr>
              <w:t>Restriction Level / Method:</w:t>
            </w:r>
          </w:p>
        </w:tc>
        <w:tc>
          <w:tcPr>
            <w:tcW w:w="6096" w:type="dxa"/>
            <w:gridSpan w:val="5"/>
            <w:tcBorders>
              <w:top w:val="single" w:sz="4" w:space="0" w:color="auto"/>
              <w:left w:val="single" w:sz="4" w:space="0" w:color="auto"/>
              <w:bottom w:val="single" w:sz="4" w:space="0" w:color="auto"/>
              <w:right w:val="single" w:sz="4" w:space="0" w:color="auto"/>
            </w:tcBorders>
          </w:tcPr>
          <w:p w:rsidR="00CA3EF7" w:rsidRPr="00CF3D88" w:rsidRDefault="00CA3EF7" w:rsidP="009C0DF6">
            <w:pPr>
              <w:spacing w:before="0" w:after="0"/>
              <w:jc w:val="left"/>
              <w:rPr>
                <w:rFonts w:ascii="Arial Narrow" w:hAnsi="Arial Narrow"/>
                <w:sz w:val="20"/>
              </w:rPr>
            </w:pP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In Writing</w:t>
            </w:r>
          </w:p>
        </w:tc>
      </w:tr>
      <w:tr w:rsidR="00CA3EF7" w:rsidRPr="00CF3D88" w:rsidTr="00B513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CA3EF7" w:rsidRPr="00CF3D88" w:rsidRDefault="00CA3EF7" w:rsidP="00EC1FBC">
            <w:pPr>
              <w:spacing w:before="0" w:after="0"/>
              <w:jc w:val="left"/>
              <w:rPr>
                <w:rFonts w:ascii="Arial Narrow" w:hAnsi="Arial Narrow"/>
                <w:sz w:val="20"/>
              </w:rPr>
            </w:pPr>
            <w:r w:rsidRPr="00CF3D88">
              <w:rPr>
                <w:rFonts w:ascii="Arial Narrow" w:hAnsi="Arial Narrow"/>
                <w:b/>
                <w:sz w:val="20"/>
              </w:rPr>
              <w:t>Clinical criteria:</w:t>
            </w:r>
          </w:p>
        </w:tc>
        <w:tc>
          <w:tcPr>
            <w:tcW w:w="6096" w:type="dxa"/>
            <w:gridSpan w:val="5"/>
            <w:tcBorders>
              <w:top w:val="single" w:sz="4" w:space="0" w:color="auto"/>
              <w:left w:val="single" w:sz="4" w:space="0" w:color="auto"/>
              <w:bottom w:val="single" w:sz="4" w:space="0" w:color="auto"/>
              <w:right w:val="single" w:sz="4" w:space="0" w:color="auto"/>
            </w:tcBorders>
          </w:tcPr>
          <w:p w:rsidR="00CA3EF7" w:rsidRPr="00457767" w:rsidRDefault="00CA3EF7" w:rsidP="009C0DF6">
            <w:pPr>
              <w:keepNext/>
              <w:keepLines/>
              <w:spacing w:beforeLines="40" w:before="96" w:after="0"/>
              <w:jc w:val="left"/>
              <w:rPr>
                <w:rFonts w:ascii="Arial Narrow" w:hAnsi="Arial Narrow"/>
                <w:sz w:val="20"/>
              </w:rPr>
            </w:pPr>
            <w:r w:rsidRPr="00457767">
              <w:rPr>
                <w:rFonts w:ascii="Arial Narrow" w:hAnsi="Arial Narrow"/>
                <w:sz w:val="20"/>
              </w:rPr>
              <w:t>Patient must have undergone a primary autolog</w:t>
            </w:r>
            <w:r w:rsidR="00785AB1">
              <w:rPr>
                <w:rFonts w:ascii="Arial Narrow" w:hAnsi="Arial Narrow"/>
                <w:sz w:val="20"/>
              </w:rPr>
              <w:t xml:space="preserve">ous stem cell transplant (ASCT) </w:t>
            </w:r>
            <w:r w:rsidRPr="00457767">
              <w:rPr>
                <w:rFonts w:ascii="Arial Narrow" w:hAnsi="Arial Narrow"/>
                <w:sz w:val="20"/>
              </w:rPr>
              <w:t>AND</w:t>
            </w:r>
          </w:p>
          <w:p w:rsidR="00785AB1" w:rsidRDefault="00CA3EF7" w:rsidP="009C0DF6">
            <w:pPr>
              <w:keepNext/>
              <w:keepLines/>
              <w:spacing w:beforeLines="40" w:before="96" w:after="0"/>
              <w:jc w:val="left"/>
              <w:rPr>
                <w:rFonts w:ascii="Arial Narrow" w:hAnsi="Arial Narrow"/>
                <w:sz w:val="20"/>
              </w:rPr>
            </w:pPr>
            <w:r w:rsidRPr="00457767">
              <w:rPr>
                <w:rFonts w:ascii="Arial Narrow" w:hAnsi="Arial Narrow"/>
                <w:sz w:val="20"/>
              </w:rPr>
              <w:t>Patient must have experienced a relapsed CD30+ Hodgkin lymphoma post ASCT;</w:t>
            </w:r>
            <w:r w:rsidR="00785AB1">
              <w:rPr>
                <w:rFonts w:ascii="Arial Narrow" w:hAnsi="Arial Narrow"/>
                <w:sz w:val="20"/>
              </w:rPr>
              <w:t xml:space="preserve"> OR</w:t>
            </w:r>
          </w:p>
          <w:p w:rsidR="00CA3EF7" w:rsidRPr="00457767" w:rsidRDefault="00CA3EF7" w:rsidP="009C0DF6">
            <w:pPr>
              <w:keepNext/>
              <w:keepLines/>
              <w:spacing w:beforeLines="40" w:before="96" w:after="0"/>
              <w:jc w:val="left"/>
              <w:rPr>
                <w:rFonts w:ascii="Arial Narrow" w:hAnsi="Arial Narrow"/>
                <w:sz w:val="20"/>
              </w:rPr>
            </w:pPr>
            <w:r w:rsidRPr="00457767">
              <w:rPr>
                <w:rFonts w:ascii="Arial Narrow" w:hAnsi="Arial Narrow"/>
                <w:sz w:val="20"/>
              </w:rPr>
              <w:t>Patient  must have experienced a refractory CD30+ Hodgkin lymphoma post ASCT</w:t>
            </w:r>
          </w:p>
          <w:p w:rsidR="00CA3EF7" w:rsidRDefault="00CA3EF7" w:rsidP="009C0DF6">
            <w:pPr>
              <w:spacing w:before="0" w:after="0"/>
              <w:jc w:val="left"/>
              <w:rPr>
                <w:rFonts w:ascii="Arial Narrow" w:hAnsi="Arial Narrow"/>
                <w:sz w:val="20"/>
              </w:rPr>
            </w:pPr>
            <w:r w:rsidRPr="005147C7">
              <w:rPr>
                <w:rFonts w:ascii="Arial Narrow" w:hAnsi="Arial Narrow"/>
                <w:sz w:val="20"/>
              </w:rPr>
              <w:t>AND</w:t>
            </w:r>
            <w:r>
              <w:rPr>
                <w:rFonts w:ascii="Arial Narrow" w:hAnsi="Arial Narrow"/>
                <w:i/>
                <w:sz w:val="20"/>
              </w:rPr>
              <w:br/>
            </w:r>
            <w:r w:rsidRPr="000010B2">
              <w:rPr>
                <w:rFonts w:ascii="Arial Narrow" w:hAnsi="Arial Narrow"/>
                <w:sz w:val="20"/>
              </w:rPr>
              <w:t xml:space="preserve">Patient must not have received prior treatment with a PD-1 inhibitor for this condition </w:t>
            </w:r>
          </w:p>
          <w:p w:rsidR="00CA3EF7" w:rsidRDefault="00CA3EF7" w:rsidP="009C0DF6">
            <w:pPr>
              <w:spacing w:before="0" w:after="0"/>
              <w:jc w:val="left"/>
              <w:rPr>
                <w:rFonts w:ascii="Arial Narrow" w:hAnsi="Arial Narrow"/>
                <w:sz w:val="20"/>
              </w:rPr>
            </w:pPr>
            <w:r>
              <w:rPr>
                <w:rFonts w:ascii="Arial Narrow" w:hAnsi="Arial Narrow"/>
                <w:sz w:val="20"/>
              </w:rPr>
              <w:t>AND</w:t>
            </w:r>
          </w:p>
          <w:p w:rsidR="00CA3EF7" w:rsidRPr="00CF3D88" w:rsidRDefault="00CA3EF7" w:rsidP="00EC1FBC">
            <w:pPr>
              <w:spacing w:before="0" w:after="0"/>
              <w:jc w:val="left"/>
              <w:rPr>
                <w:rFonts w:ascii="Arial Narrow" w:hAnsi="Arial Narrow"/>
                <w:sz w:val="20"/>
              </w:rPr>
            </w:pPr>
            <w:r w:rsidRPr="00D04AF5">
              <w:rPr>
                <w:rFonts w:ascii="Arial Narrow" w:hAnsi="Arial Narrow"/>
                <w:sz w:val="20"/>
              </w:rPr>
              <w:t xml:space="preserve">The treatment </w:t>
            </w:r>
            <w:r>
              <w:rPr>
                <w:rFonts w:ascii="Arial Narrow" w:hAnsi="Arial Narrow"/>
                <w:sz w:val="20"/>
              </w:rPr>
              <w:t xml:space="preserve">must be the sole PBS-subsidised </w:t>
            </w:r>
            <w:r w:rsidRPr="00D04AF5">
              <w:rPr>
                <w:rFonts w:ascii="Arial Narrow" w:hAnsi="Arial Narrow"/>
                <w:sz w:val="20"/>
              </w:rPr>
              <w:t>therapy for this condition</w:t>
            </w:r>
          </w:p>
        </w:tc>
      </w:tr>
      <w:tr w:rsidR="00CA3EF7" w:rsidRPr="00CF3D88" w:rsidTr="00B513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CA3EF7" w:rsidRPr="00CF3D88" w:rsidRDefault="00CA3EF7" w:rsidP="00EC1FBC">
            <w:pPr>
              <w:spacing w:before="0" w:after="0"/>
              <w:jc w:val="left"/>
              <w:rPr>
                <w:rFonts w:ascii="Arial Narrow" w:hAnsi="Arial Narrow"/>
                <w:sz w:val="20"/>
              </w:rPr>
            </w:pPr>
            <w:r w:rsidRPr="00CF3D88">
              <w:rPr>
                <w:rFonts w:ascii="Arial Narrow" w:hAnsi="Arial Narrow"/>
                <w:b/>
                <w:sz w:val="20"/>
              </w:rPr>
              <w:t>Prescriber Instructions</w:t>
            </w:r>
          </w:p>
        </w:tc>
        <w:tc>
          <w:tcPr>
            <w:tcW w:w="6096" w:type="dxa"/>
            <w:gridSpan w:val="5"/>
            <w:tcBorders>
              <w:top w:val="single" w:sz="4" w:space="0" w:color="auto"/>
              <w:left w:val="single" w:sz="4" w:space="0" w:color="auto"/>
              <w:bottom w:val="single" w:sz="4" w:space="0" w:color="auto"/>
              <w:right w:val="single" w:sz="4" w:space="0" w:color="auto"/>
            </w:tcBorders>
          </w:tcPr>
          <w:p w:rsidR="00CA3EF7" w:rsidRPr="00D3493C" w:rsidRDefault="00CA3EF7" w:rsidP="009C0DF6">
            <w:pPr>
              <w:keepNext/>
              <w:keepLines/>
              <w:spacing w:before="0" w:after="0"/>
              <w:jc w:val="left"/>
              <w:rPr>
                <w:rFonts w:ascii="Arial Narrow" w:hAnsi="Arial Narrow"/>
                <w:sz w:val="20"/>
              </w:rPr>
            </w:pPr>
            <w:r w:rsidRPr="00D3493C">
              <w:rPr>
                <w:rFonts w:ascii="Arial Narrow" w:hAnsi="Arial Narrow"/>
                <w:sz w:val="20"/>
              </w:rPr>
              <w:t xml:space="preserve">Applications for authorisation of initial treatment must be in writing and must include: </w:t>
            </w:r>
          </w:p>
          <w:p w:rsidR="00CA3EF7" w:rsidRPr="00D3493C" w:rsidRDefault="00CA3EF7" w:rsidP="009C0DF6">
            <w:pPr>
              <w:keepNext/>
              <w:keepLines/>
              <w:spacing w:before="0" w:after="0"/>
              <w:jc w:val="left"/>
              <w:rPr>
                <w:rFonts w:ascii="Arial Narrow" w:hAnsi="Arial Narrow"/>
                <w:sz w:val="20"/>
              </w:rPr>
            </w:pPr>
            <w:r w:rsidRPr="00D3493C">
              <w:rPr>
                <w:rFonts w:ascii="Arial Narrow" w:hAnsi="Arial Narrow"/>
                <w:sz w:val="20"/>
              </w:rPr>
              <w:t xml:space="preserve">(a) a completed authority prescription form; </w:t>
            </w:r>
          </w:p>
          <w:p w:rsidR="00785AB1" w:rsidRPr="000010B2" w:rsidRDefault="00CA3EF7" w:rsidP="009C0DF6">
            <w:pPr>
              <w:keepNext/>
              <w:keepLines/>
              <w:spacing w:before="0" w:after="0"/>
              <w:jc w:val="left"/>
              <w:rPr>
                <w:rFonts w:ascii="Arial Narrow" w:hAnsi="Arial Narrow"/>
                <w:i/>
                <w:sz w:val="20"/>
              </w:rPr>
            </w:pPr>
            <w:r w:rsidRPr="00D3493C">
              <w:rPr>
                <w:rFonts w:ascii="Arial Narrow" w:hAnsi="Arial Narrow"/>
                <w:sz w:val="20"/>
              </w:rPr>
              <w:t xml:space="preserve">(b) a completed Hodgkin lymphoma </w:t>
            </w:r>
            <w:proofErr w:type="spellStart"/>
            <w:r w:rsidRPr="00D3493C">
              <w:rPr>
                <w:rFonts w:ascii="Arial Narrow" w:hAnsi="Arial Narrow"/>
                <w:sz w:val="20"/>
              </w:rPr>
              <w:t>pembrolizumab</w:t>
            </w:r>
            <w:proofErr w:type="spellEnd"/>
            <w:r w:rsidRPr="00D3493C">
              <w:rPr>
                <w:rFonts w:ascii="Arial Narrow" w:hAnsi="Arial Narrow"/>
                <w:sz w:val="20"/>
              </w:rPr>
              <w:t xml:space="preserve"> PBS Authority Application </w:t>
            </w:r>
            <w:r w:rsidRPr="00D3493C">
              <w:rPr>
                <w:rFonts w:ascii="Arial Narrow" w:hAnsi="Arial Narrow"/>
                <w:strike/>
                <w:sz w:val="20"/>
              </w:rPr>
              <w:t xml:space="preserve">- </w:t>
            </w:r>
          </w:p>
          <w:p w:rsidR="00CA3EF7" w:rsidRPr="000010B2" w:rsidRDefault="00CA3EF7" w:rsidP="009C0DF6">
            <w:pPr>
              <w:keepNext/>
              <w:keepLines/>
              <w:spacing w:before="0" w:after="0"/>
              <w:jc w:val="left"/>
              <w:rPr>
                <w:rFonts w:ascii="Arial Narrow" w:hAnsi="Arial Narrow"/>
                <w:i/>
                <w:sz w:val="20"/>
              </w:rPr>
            </w:pPr>
            <w:r w:rsidRPr="000010B2">
              <w:rPr>
                <w:rFonts w:ascii="Arial Narrow" w:hAnsi="Arial Narrow"/>
                <w:i/>
                <w:sz w:val="20"/>
              </w:rPr>
              <w:t>and</w:t>
            </w:r>
          </w:p>
          <w:p w:rsidR="00CA3EF7" w:rsidRPr="00FF0426" w:rsidRDefault="00CA3EF7" w:rsidP="009C0DF6">
            <w:pPr>
              <w:keepNext/>
              <w:keepLines/>
              <w:spacing w:before="0" w:after="0"/>
              <w:jc w:val="left"/>
              <w:rPr>
                <w:rFonts w:ascii="Arial Narrow" w:hAnsi="Arial Narrow"/>
                <w:sz w:val="20"/>
              </w:rPr>
            </w:pPr>
            <w:r w:rsidRPr="000010B2">
              <w:rPr>
                <w:rFonts w:ascii="Arial Narrow" w:hAnsi="Arial Narrow"/>
                <w:i/>
                <w:sz w:val="20"/>
              </w:rPr>
              <w:t xml:space="preserve">(c) </w:t>
            </w:r>
            <w:proofErr w:type="gramStart"/>
            <w:r w:rsidRPr="000010B2">
              <w:rPr>
                <w:rFonts w:ascii="Arial Narrow" w:hAnsi="Arial Narrow"/>
                <w:i/>
                <w:sz w:val="20"/>
              </w:rPr>
              <w:t>a</w:t>
            </w:r>
            <w:proofErr w:type="gramEnd"/>
            <w:r w:rsidRPr="000010B2">
              <w:rPr>
                <w:rFonts w:ascii="Arial Narrow" w:hAnsi="Arial Narrow"/>
                <w:i/>
                <w:sz w:val="20"/>
              </w:rPr>
              <w:t xml:space="preserve"> signed patient acknowledgement form.</w:t>
            </w:r>
          </w:p>
        </w:tc>
      </w:tr>
    </w:tbl>
    <w:p w:rsidR="00CA3EF7" w:rsidRPr="00CF3D88" w:rsidRDefault="00CA3EF7" w:rsidP="009C0DF6"/>
    <w:tbl>
      <w:tblPr>
        <w:tblW w:w="8931" w:type="dxa"/>
        <w:tblInd w:w="108" w:type="dxa"/>
        <w:tblLayout w:type="fixed"/>
        <w:tblLook w:val="0000" w:firstRow="0" w:lastRow="0" w:firstColumn="0" w:lastColumn="0" w:noHBand="0" w:noVBand="0"/>
      </w:tblPr>
      <w:tblGrid>
        <w:gridCol w:w="2410"/>
        <w:gridCol w:w="425"/>
        <w:gridCol w:w="426"/>
        <w:gridCol w:w="708"/>
        <w:gridCol w:w="1843"/>
        <w:gridCol w:w="1134"/>
        <w:gridCol w:w="1985"/>
      </w:tblGrid>
      <w:tr w:rsidR="00AE5453" w:rsidRPr="00FF044C" w:rsidTr="00B51393">
        <w:trPr>
          <w:cantSplit/>
          <w:trHeight w:val="471"/>
        </w:trPr>
        <w:tc>
          <w:tcPr>
            <w:tcW w:w="2410" w:type="dxa"/>
            <w:tcBorders>
              <w:bottom w:val="single" w:sz="4" w:space="0" w:color="auto"/>
            </w:tcBorders>
          </w:tcPr>
          <w:p w:rsidR="00AE5453" w:rsidRPr="00FF044C" w:rsidRDefault="00AE5453" w:rsidP="009C0DF6">
            <w:pPr>
              <w:keepNext/>
              <w:spacing w:before="0" w:after="0"/>
              <w:ind w:left="-108"/>
              <w:rPr>
                <w:rFonts w:ascii="Arial Narrow" w:hAnsi="Arial Narrow"/>
                <w:sz w:val="20"/>
              </w:rPr>
            </w:pPr>
            <w:r w:rsidRPr="00FF044C">
              <w:rPr>
                <w:rFonts w:ascii="Arial Narrow" w:hAnsi="Arial Narrow"/>
                <w:sz w:val="20"/>
              </w:rPr>
              <w:t>Name, Restriction,</w:t>
            </w:r>
          </w:p>
          <w:p w:rsidR="00AE5453" w:rsidRPr="00FF044C" w:rsidRDefault="00AE5453" w:rsidP="009C0DF6">
            <w:pPr>
              <w:keepNext/>
              <w:spacing w:before="0" w:after="0"/>
              <w:ind w:left="-108"/>
              <w:rPr>
                <w:rFonts w:ascii="Arial Narrow" w:hAnsi="Arial Narrow"/>
                <w:sz w:val="20"/>
              </w:rPr>
            </w:pPr>
            <w:r w:rsidRPr="00FF044C">
              <w:rPr>
                <w:rFonts w:ascii="Arial Narrow" w:hAnsi="Arial Narrow"/>
                <w:sz w:val="20"/>
              </w:rPr>
              <w:t>Manner of administration and form</w:t>
            </w:r>
          </w:p>
        </w:tc>
        <w:tc>
          <w:tcPr>
            <w:tcW w:w="851" w:type="dxa"/>
            <w:gridSpan w:val="2"/>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Max.</w:t>
            </w:r>
          </w:p>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Amount</w:t>
            </w:r>
          </w:p>
        </w:tc>
        <w:tc>
          <w:tcPr>
            <w:tcW w:w="708" w:type="dxa"/>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FF044C">
              <w:rPr>
                <w:rFonts w:ascii="Arial Narrow" w:hAnsi="Arial Narrow"/>
                <w:sz w:val="20"/>
              </w:rPr>
              <w:t xml:space="preserve">№.of </w:t>
            </w:r>
            <w:proofErr w:type="spellStart"/>
            <w:r w:rsidRPr="00FF044C">
              <w:rPr>
                <w:rFonts w:ascii="Arial Narrow" w:hAnsi="Arial Narrow"/>
                <w:sz w:val="20"/>
              </w:rPr>
              <w:t>Rpts</w:t>
            </w:r>
            <w:proofErr w:type="spellEnd"/>
          </w:p>
        </w:tc>
        <w:tc>
          <w:tcPr>
            <w:tcW w:w="1843" w:type="dxa"/>
            <w:tcBorders>
              <w:bottom w:val="single" w:sz="4" w:space="0" w:color="auto"/>
            </w:tcBorders>
          </w:tcPr>
          <w:p w:rsidR="00AE5453" w:rsidRPr="00FF044C" w:rsidRDefault="00AE5453" w:rsidP="009C0DF6">
            <w:pPr>
              <w:keepNext/>
              <w:spacing w:before="0" w:after="0"/>
              <w:ind w:left="-108"/>
              <w:jc w:val="center"/>
              <w:rPr>
                <w:rFonts w:ascii="Arial Narrow" w:hAnsi="Arial Narrow"/>
                <w:sz w:val="20"/>
              </w:rPr>
            </w:pPr>
            <w:r w:rsidRPr="003F278A">
              <w:rPr>
                <w:rFonts w:ascii="Arial Narrow" w:hAnsi="Arial Narrow"/>
                <w:sz w:val="20"/>
              </w:rPr>
              <w:t xml:space="preserve">Dispensed price for maximum </w:t>
            </w:r>
            <w:r>
              <w:rPr>
                <w:rFonts w:ascii="Arial Narrow" w:hAnsi="Arial Narrow"/>
                <w:sz w:val="20"/>
              </w:rPr>
              <w:t>amount (DPMA</w:t>
            </w:r>
            <w:r w:rsidRPr="003F278A">
              <w:rPr>
                <w:rFonts w:ascii="Arial Narrow" w:hAnsi="Arial Narrow"/>
                <w:sz w:val="20"/>
              </w:rPr>
              <w:t>)</w:t>
            </w:r>
          </w:p>
        </w:tc>
        <w:tc>
          <w:tcPr>
            <w:tcW w:w="3119" w:type="dxa"/>
            <w:gridSpan w:val="2"/>
            <w:tcBorders>
              <w:bottom w:val="single" w:sz="4" w:space="0" w:color="auto"/>
            </w:tcBorders>
          </w:tcPr>
          <w:p w:rsidR="00AE5453" w:rsidRPr="00FF044C" w:rsidRDefault="00AE5453" w:rsidP="009C0DF6">
            <w:pPr>
              <w:keepNext/>
              <w:spacing w:before="0" w:after="0"/>
              <w:jc w:val="center"/>
              <w:rPr>
                <w:rFonts w:ascii="Arial Narrow" w:hAnsi="Arial Narrow"/>
                <w:sz w:val="20"/>
              </w:rPr>
            </w:pPr>
            <w:r w:rsidRPr="00FF044C">
              <w:rPr>
                <w:rFonts w:ascii="Arial Narrow" w:hAnsi="Arial Narrow"/>
                <w:sz w:val="20"/>
              </w:rPr>
              <w:t>Propriet</w:t>
            </w:r>
            <w:r>
              <w:rPr>
                <w:rFonts w:ascii="Arial Narrow" w:hAnsi="Arial Narrow"/>
                <w:sz w:val="20"/>
              </w:rPr>
              <w:t xml:space="preserve">ary  Name and           </w:t>
            </w:r>
            <w:r>
              <w:rPr>
                <w:rFonts w:ascii="Arial Narrow" w:hAnsi="Arial Narrow"/>
                <w:sz w:val="20"/>
              </w:rPr>
              <w:br/>
              <w:t xml:space="preserve">     </w:t>
            </w:r>
            <w:r w:rsidRPr="00FF044C">
              <w:rPr>
                <w:rFonts w:ascii="Arial Narrow" w:hAnsi="Arial Narrow"/>
                <w:sz w:val="20"/>
              </w:rPr>
              <w:t>Manufacturer</w:t>
            </w:r>
          </w:p>
        </w:tc>
      </w:tr>
      <w:tr w:rsidR="00AE5453" w:rsidRPr="00FF044C" w:rsidTr="00B51393">
        <w:trPr>
          <w:cantSplit/>
          <w:trHeight w:val="577"/>
        </w:trPr>
        <w:tc>
          <w:tcPr>
            <w:tcW w:w="2410" w:type="dxa"/>
            <w:tcBorders>
              <w:top w:val="single" w:sz="4" w:space="0" w:color="auto"/>
              <w:bottom w:val="single" w:sz="4" w:space="0" w:color="auto"/>
            </w:tcBorders>
            <w:vAlign w:val="center"/>
          </w:tcPr>
          <w:p w:rsidR="00AE5453" w:rsidRPr="00FF044C" w:rsidRDefault="00AE5453" w:rsidP="009C0DF6">
            <w:pPr>
              <w:keepNext/>
              <w:spacing w:before="0" w:after="0"/>
              <w:ind w:left="-108"/>
              <w:jc w:val="left"/>
              <w:rPr>
                <w:rFonts w:ascii="Arial Narrow" w:hAnsi="Arial Narrow"/>
                <w:sz w:val="20"/>
              </w:rPr>
            </w:pPr>
            <w:r>
              <w:rPr>
                <w:rFonts w:ascii="Arial Narrow" w:hAnsi="Arial Narrow"/>
                <w:sz w:val="20"/>
              </w:rPr>
              <w:t>PEMBROLIZUMAB</w:t>
            </w:r>
          </w:p>
          <w:p w:rsidR="00AE5453" w:rsidRPr="00FF044C" w:rsidRDefault="00AE5453" w:rsidP="009C0DF6">
            <w:pPr>
              <w:keepNext/>
              <w:spacing w:before="0" w:after="0"/>
              <w:ind w:left="-108"/>
              <w:rPr>
                <w:rFonts w:ascii="Arial Narrow" w:hAnsi="Arial Narrow"/>
                <w:sz w:val="20"/>
              </w:rPr>
            </w:pPr>
            <w:r w:rsidRPr="005C2075">
              <w:rPr>
                <w:rFonts w:ascii="Arial Narrow" w:hAnsi="Arial Narrow"/>
                <w:sz w:val="20"/>
              </w:rPr>
              <w:t>100mg vial for infusion, 1</w:t>
            </w:r>
          </w:p>
        </w:tc>
        <w:tc>
          <w:tcPr>
            <w:tcW w:w="851" w:type="dxa"/>
            <w:gridSpan w:val="2"/>
            <w:tcBorders>
              <w:top w:val="single" w:sz="4" w:space="0" w:color="auto"/>
              <w:bottom w:val="single" w:sz="4" w:space="0" w:color="auto"/>
            </w:tcBorders>
            <w:vAlign w:val="center"/>
          </w:tcPr>
          <w:p w:rsidR="00AE5453" w:rsidRPr="00FF044C" w:rsidRDefault="00AE5453" w:rsidP="009C0DF6">
            <w:pPr>
              <w:keepNext/>
              <w:spacing w:before="0" w:after="0"/>
              <w:ind w:left="-108"/>
              <w:rPr>
                <w:rFonts w:ascii="Arial Narrow" w:hAnsi="Arial Narrow"/>
                <w:sz w:val="20"/>
              </w:rPr>
            </w:pPr>
          </w:p>
          <w:p w:rsidR="00AE5453" w:rsidRPr="00FF044C" w:rsidRDefault="00AE5453" w:rsidP="009C0DF6">
            <w:pPr>
              <w:keepNext/>
              <w:spacing w:before="0" w:after="0"/>
              <w:ind w:left="-108"/>
              <w:rPr>
                <w:rFonts w:ascii="Arial Narrow" w:hAnsi="Arial Narrow"/>
                <w:sz w:val="20"/>
              </w:rPr>
            </w:pPr>
            <w:r w:rsidRPr="00FF044C">
              <w:rPr>
                <w:rFonts w:ascii="Arial Narrow" w:hAnsi="Arial Narrow"/>
                <w:sz w:val="20"/>
              </w:rPr>
              <w:t>200 mg</w:t>
            </w:r>
          </w:p>
        </w:tc>
        <w:tc>
          <w:tcPr>
            <w:tcW w:w="708" w:type="dxa"/>
            <w:tcBorders>
              <w:top w:val="single" w:sz="4" w:space="0" w:color="auto"/>
              <w:bottom w:val="single" w:sz="4" w:space="0" w:color="auto"/>
            </w:tcBorders>
            <w:vAlign w:val="center"/>
          </w:tcPr>
          <w:p w:rsidR="00AE5453" w:rsidRPr="00FF044C" w:rsidRDefault="00AE5453" w:rsidP="009C0DF6">
            <w:pPr>
              <w:keepNext/>
              <w:spacing w:before="0" w:after="0"/>
              <w:ind w:left="-108"/>
              <w:rPr>
                <w:rFonts w:ascii="Arial Narrow" w:hAnsi="Arial Narrow"/>
                <w:sz w:val="20"/>
              </w:rPr>
            </w:pPr>
            <w:r>
              <w:rPr>
                <w:rFonts w:ascii="Arial Narrow" w:hAnsi="Arial Narrow"/>
                <w:sz w:val="20"/>
              </w:rPr>
              <w:t>7</w:t>
            </w:r>
          </w:p>
        </w:tc>
        <w:tc>
          <w:tcPr>
            <w:tcW w:w="1843" w:type="dxa"/>
            <w:tcBorders>
              <w:top w:val="single" w:sz="4" w:space="0" w:color="auto"/>
              <w:bottom w:val="single" w:sz="4" w:space="0" w:color="auto"/>
            </w:tcBorders>
            <w:vAlign w:val="center"/>
          </w:tcPr>
          <w:p w:rsidR="00AE5453" w:rsidRPr="00FF044C" w:rsidRDefault="00AE5453" w:rsidP="009C0DF6">
            <w:pPr>
              <w:keepNext/>
              <w:spacing w:before="0" w:after="0"/>
              <w:ind w:left="-108"/>
              <w:rPr>
                <w:rFonts w:ascii="Arial Narrow" w:hAnsi="Arial Narrow"/>
                <w:sz w:val="20"/>
              </w:rPr>
            </w:pPr>
            <w:r w:rsidRPr="00AE5453">
              <w:rPr>
                <w:rFonts w:ascii="Arial Narrow" w:hAnsi="Arial Narrow"/>
                <w:i/>
                <w:sz w:val="20"/>
              </w:rPr>
              <w:t>To be confirmed</w:t>
            </w:r>
          </w:p>
        </w:tc>
        <w:tc>
          <w:tcPr>
            <w:tcW w:w="1134" w:type="dxa"/>
            <w:tcBorders>
              <w:top w:val="single" w:sz="4" w:space="0" w:color="auto"/>
              <w:bottom w:val="single" w:sz="4" w:space="0" w:color="auto"/>
            </w:tcBorders>
            <w:vAlign w:val="center"/>
          </w:tcPr>
          <w:p w:rsidR="00AE5453" w:rsidRPr="00FF044C" w:rsidRDefault="00AE5453" w:rsidP="009C0DF6">
            <w:pPr>
              <w:keepNext/>
              <w:spacing w:before="0" w:after="0"/>
              <w:rPr>
                <w:rFonts w:ascii="Arial Narrow" w:hAnsi="Arial Narrow"/>
                <w:sz w:val="20"/>
              </w:rPr>
            </w:pPr>
            <w:proofErr w:type="spellStart"/>
            <w:r>
              <w:rPr>
                <w:rFonts w:ascii="Arial Narrow" w:hAnsi="Arial Narrow"/>
                <w:sz w:val="20"/>
              </w:rPr>
              <w:t>Keytruda</w:t>
            </w:r>
            <w:proofErr w:type="spellEnd"/>
            <w:r w:rsidRPr="00FF044C">
              <w:rPr>
                <w:rFonts w:ascii="Arial Narrow" w:hAnsi="Arial Narrow"/>
                <w:sz w:val="20"/>
                <w:vertAlign w:val="superscript"/>
              </w:rPr>
              <w:t>®</w:t>
            </w:r>
          </w:p>
        </w:tc>
        <w:tc>
          <w:tcPr>
            <w:tcW w:w="1985" w:type="dxa"/>
            <w:tcBorders>
              <w:top w:val="single" w:sz="4" w:space="0" w:color="auto"/>
              <w:bottom w:val="single" w:sz="4" w:space="0" w:color="auto"/>
            </w:tcBorders>
            <w:vAlign w:val="center"/>
          </w:tcPr>
          <w:p w:rsidR="00AE5453" w:rsidRPr="00FF044C" w:rsidRDefault="009C0DF6" w:rsidP="009C0DF6">
            <w:pPr>
              <w:keepNext/>
              <w:spacing w:before="0" w:after="0"/>
              <w:jc w:val="center"/>
              <w:rPr>
                <w:rFonts w:ascii="Arial Narrow" w:hAnsi="Arial Narrow"/>
                <w:sz w:val="20"/>
              </w:rPr>
            </w:pPr>
            <w:r>
              <w:rPr>
                <w:rFonts w:ascii="Arial Narrow" w:hAnsi="Arial Narrow"/>
                <w:sz w:val="20"/>
              </w:rPr>
              <w:t>Me</w:t>
            </w:r>
            <w:r w:rsidR="00AE5453">
              <w:rPr>
                <w:rFonts w:ascii="Arial Narrow" w:hAnsi="Arial Narrow"/>
                <w:sz w:val="20"/>
              </w:rPr>
              <w:t>rck Sharp and Dohme Pty Ltd</w:t>
            </w:r>
          </w:p>
        </w:tc>
      </w:tr>
      <w:tr w:rsidR="00CA3EF7" w:rsidRPr="00CF3D88" w:rsidTr="00B513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CA3EF7" w:rsidRPr="00CF3D88" w:rsidRDefault="00FF4229" w:rsidP="009C0DF6">
            <w:pPr>
              <w:spacing w:before="0" w:after="0"/>
              <w:rPr>
                <w:rFonts w:ascii="Arial Narrow" w:hAnsi="Arial Narrow"/>
                <w:b/>
                <w:sz w:val="20"/>
              </w:rPr>
            </w:pPr>
            <w:r>
              <w:rPr>
                <w:rFonts w:ascii="Arial Narrow" w:hAnsi="Arial Narrow"/>
                <w:b/>
                <w:sz w:val="20"/>
              </w:rPr>
              <w:t xml:space="preserve">Category / </w:t>
            </w:r>
            <w:r w:rsidR="00CA3EF7" w:rsidRPr="00CF3D88">
              <w:rPr>
                <w:rFonts w:ascii="Arial Narrow" w:hAnsi="Arial Narrow"/>
                <w:b/>
                <w:sz w:val="20"/>
              </w:rPr>
              <w:t>Program</w:t>
            </w:r>
          </w:p>
        </w:tc>
        <w:tc>
          <w:tcPr>
            <w:tcW w:w="6096" w:type="dxa"/>
            <w:gridSpan w:val="5"/>
            <w:tcBorders>
              <w:top w:val="single" w:sz="4" w:space="0" w:color="auto"/>
              <w:left w:val="single" w:sz="4" w:space="0" w:color="auto"/>
              <w:bottom w:val="single" w:sz="4" w:space="0" w:color="auto"/>
              <w:right w:val="single" w:sz="4" w:space="0" w:color="auto"/>
            </w:tcBorders>
          </w:tcPr>
          <w:p w:rsidR="00CA3EF7" w:rsidRPr="00CF3D88" w:rsidRDefault="00CA3EF7" w:rsidP="009C0DF6">
            <w:pPr>
              <w:spacing w:before="0" w:after="0"/>
              <w:rPr>
                <w:rFonts w:ascii="Arial Narrow" w:hAnsi="Arial Narrow"/>
                <w:sz w:val="20"/>
              </w:rPr>
            </w:pPr>
            <w:r w:rsidRPr="00CF3D88">
              <w:rPr>
                <w:rFonts w:ascii="Arial Narrow" w:hAnsi="Arial Narrow"/>
                <w:sz w:val="20"/>
              </w:rPr>
              <w:t>Section 100 – Efficient Funding of Chemotherapy</w:t>
            </w:r>
          </w:p>
        </w:tc>
      </w:tr>
      <w:tr w:rsidR="00CA3EF7" w:rsidRPr="00CF3D88" w:rsidTr="00FC03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CA3EF7" w:rsidRPr="00CF3D88" w:rsidRDefault="00CA3EF7" w:rsidP="009C0DF6">
            <w:pPr>
              <w:spacing w:before="0" w:after="0"/>
              <w:rPr>
                <w:rFonts w:ascii="Arial Narrow" w:hAnsi="Arial Narrow"/>
                <w:i/>
                <w:sz w:val="20"/>
              </w:rPr>
            </w:pPr>
            <w:r w:rsidRPr="00CF3D88">
              <w:rPr>
                <w:rFonts w:ascii="Arial Narrow" w:hAnsi="Arial Narrow"/>
                <w:b/>
                <w:sz w:val="20"/>
              </w:rPr>
              <w:t>Treatment phase:</w:t>
            </w:r>
          </w:p>
        </w:tc>
        <w:tc>
          <w:tcPr>
            <w:tcW w:w="6096" w:type="dxa"/>
            <w:gridSpan w:val="5"/>
            <w:tcBorders>
              <w:top w:val="single" w:sz="4" w:space="0" w:color="auto"/>
              <w:left w:val="single" w:sz="4" w:space="0" w:color="auto"/>
              <w:bottom w:val="single" w:sz="4" w:space="0" w:color="auto"/>
              <w:right w:val="single" w:sz="4" w:space="0" w:color="auto"/>
            </w:tcBorders>
            <w:vAlign w:val="center"/>
          </w:tcPr>
          <w:p w:rsidR="00CA3EF7" w:rsidRPr="00457767" w:rsidRDefault="00CA3EF7" w:rsidP="009C0DF6">
            <w:pPr>
              <w:spacing w:before="0" w:after="0"/>
              <w:rPr>
                <w:rFonts w:ascii="Arial Narrow" w:hAnsi="Arial Narrow"/>
                <w:sz w:val="20"/>
              </w:rPr>
            </w:pPr>
            <w:r w:rsidRPr="00457767">
              <w:rPr>
                <w:rFonts w:ascii="Arial Narrow" w:hAnsi="Arial Narrow"/>
                <w:sz w:val="20"/>
              </w:rPr>
              <w:t>Continuing treatment</w:t>
            </w:r>
          </w:p>
        </w:tc>
      </w:tr>
      <w:tr w:rsidR="00CA3EF7" w:rsidRPr="00CF3D88" w:rsidTr="00FC03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CA3EF7" w:rsidRPr="00CF3D88" w:rsidRDefault="00CA3EF7" w:rsidP="009C0DF6">
            <w:pPr>
              <w:spacing w:before="0" w:after="0"/>
              <w:rPr>
                <w:rFonts w:ascii="Arial Narrow" w:hAnsi="Arial Narrow"/>
                <w:i/>
                <w:sz w:val="20"/>
              </w:rPr>
            </w:pPr>
            <w:r w:rsidRPr="00CF3D88">
              <w:rPr>
                <w:rFonts w:ascii="Arial Narrow" w:hAnsi="Arial Narrow"/>
                <w:b/>
                <w:sz w:val="20"/>
              </w:rPr>
              <w:t>Restriction Level / Method:</w:t>
            </w:r>
          </w:p>
        </w:tc>
        <w:tc>
          <w:tcPr>
            <w:tcW w:w="6096" w:type="dxa"/>
            <w:gridSpan w:val="5"/>
            <w:tcBorders>
              <w:top w:val="single" w:sz="4" w:space="0" w:color="auto"/>
              <w:left w:val="single" w:sz="4" w:space="0" w:color="auto"/>
              <w:bottom w:val="single" w:sz="4" w:space="0" w:color="auto"/>
              <w:right w:val="single" w:sz="4" w:space="0" w:color="auto"/>
            </w:tcBorders>
          </w:tcPr>
          <w:p w:rsidR="00CA3EF7" w:rsidRPr="00CF3D88" w:rsidRDefault="00CA3EF7" w:rsidP="009C0DF6">
            <w:pPr>
              <w:spacing w:before="0" w:after="0"/>
              <w:rPr>
                <w:rFonts w:ascii="Arial Narrow" w:hAnsi="Arial Narrow"/>
                <w:sz w:val="20"/>
              </w:rPr>
            </w:pPr>
            <w:r w:rsidRPr="00CF3D88">
              <w:rPr>
                <w:rFonts w:ascii="Arial Narrow" w:hAnsi="Arial Narrow"/>
                <w:sz w:val="20"/>
              </w:rPr>
              <w:fldChar w:fldCharType="begin">
                <w:ffData>
                  <w:name w:val=""/>
                  <w:enabled/>
                  <w:calcOnExit w:val="0"/>
                  <w:checkBox>
                    <w:sizeAuto/>
                    <w:default w:val="1"/>
                  </w:checkBox>
                </w:ffData>
              </w:fldChar>
            </w:r>
            <w:r w:rsidRPr="00CF3D88">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CF3D88">
              <w:rPr>
                <w:rFonts w:ascii="Arial Narrow" w:hAnsi="Arial Narrow"/>
                <w:sz w:val="20"/>
              </w:rPr>
              <w:fldChar w:fldCharType="end"/>
            </w:r>
            <w:r w:rsidRPr="00CF3D88">
              <w:rPr>
                <w:rFonts w:ascii="Arial Narrow" w:hAnsi="Arial Narrow"/>
                <w:sz w:val="20"/>
              </w:rPr>
              <w:t>Authority Required - Telephone</w:t>
            </w:r>
          </w:p>
        </w:tc>
      </w:tr>
      <w:tr w:rsidR="00CA3EF7" w:rsidRPr="006C7DB3" w:rsidTr="00FC0393">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CA3EF7" w:rsidRPr="00CF3D88" w:rsidRDefault="00CA3EF7" w:rsidP="00EC1FBC">
            <w:pPr>
              <w:spacing w:before="0" w:after="0"/>
              <w:rPr>
                <w:rFonts w:ascii="Arial Narrow" w:hAnsi="Arial Narrow"/>
                <w:sz w:val="20"/>
              </w:rPr>
            </w:pPr>
            <w:r w:rsidRPr="00CF3D88">
              <w:rPr>
                <w:rFonts w:ascii="Arial Narrow" w:hAnsi="Arial Narrow"/>
                <w:b/>
                <w:sz w:val="20"/>
              </w:rPr>
              <w:t>Clinical criteria:</w:t>
            </w:r>
          </w:p>
        </w:tc>
        <w:tc>
          <w:tcPr>
            <w:tcW w:w="6096" w:type="dxa"/>
            <w:gridSpan w:val="5"/>
            <w:tcBorders>
              <w:top w:val="single" w:sz="4" w:space="0" w:color="auto"/>
              <w:left w:val="single" w:sz="4" w:space="0" w:color="auto"/>
              <w:bottom w:val="single" w:sz="4" w:space="0" w:color="auto"/>
              <w:right w:val="single" w:sz="4" w:space="0" w:color="auto"/>
            </w:tcBorders>
          </w:tcPr>
          <w:p w:rsidR="00CA3EF7" w:rsidRPr="00C952AB" w:rsidRDefault="00CA3EF7" w:rsidP="009C0DF6">
            <w:pPr>
              <w:spacing w:before="0" w:after="0"/>
              <w:rPr>
                <w:rFonts w:ascii="Arial Narrow" w:hAnsi="Arial Narrow"/>
                <w:i/>
                <w:sz w:val="20"/>
              </w:rPr>
            </w:pPr>
            <w:r w:rsidRPr="00C952AB">
              <w:rPr>
                <w:rFonts w:ascii="Arial Narrow" w:hAnsi="Arial Narrow"/>
                <w:i/>
                <w:sz w:val="20"/>
              </w:rPr>
              <w:t>Patient must have undergone an autologous stem cell transplant (ASCT) for this condition,</w:t>
            </w:r>
          </w:p>
          <w:p w:rsidR="00CA3EF7" w:rsidRPr="00C952AB" w:rsidRDefault="00CA3EF7" w:rsidP="009C0DF6">
            <w:pPr>
              <w:spacing w:before="0" w:after="0"/>
              <w:rPr>
                <w:rFonts w:ascii="Arial Narrow" w:hAnsi="Arial Narrow"/>
                <w:i/>
                <w:sz w:val="20"/>
              </w:rPr>
            </w:pPr>
            <w:r w:rsidRPr="00C952AB">
              <w:rPr>
                <w:rFonts w:ascii="Arial Narrow" w:hAnsi="Arial Narrow"/>
                <w:i/>
                <w:sz w:val="20"/>
              </w:rPr>
              <w:t>AND</w:t>
            </w:r>
          </w:p>
          <w:p w:rsidR="00CA3EF7" w:rsidRPr="00C952AB" w:rsidRDefault="00CA3EF7" w:rsidP="009C0DF6">
            <w:pPr>
              <w:spacing w:before="0" w:after="0"/>
              <w:rPr>
                <w:rFonts w:ascii="Arial Narrow" w:hAnsi="Arial Narrow"/>
                <w:i/>
                <w:sz w:val="20"/>
              </w:rPr>
            </w:pPr>
            <w:r w:rsidRPr="00C952AB">
              <w:rPr>
                <w:rFonts w:ascii="Arial Narrow" w:hAnsi="Arial Narrow"/>
                <w:i/>
                <w:sz w:val="20"/>
              </w:rPr>
              <w:t>Patient must have previously received PBS-subsidised treatment with this drug for this condition</w:t>
            </w:r>
          </w:p>
          <w:p w:rsidR="00CA3EF7" w:rsidRPr="00C952AB" w:rsidRDefault="00CA3EF7" w:rsidP="009C0DF6">
            <w:pPr>
              <w:spacing w:before="0" w:after="0"/>
              <w:rPr>
                <w:rFonts w:ascii="Arial Narrow" w:hAnsi="Arial Narrow"/>
                <w:i/>
                <w:sz w:val="20"/>
              </w:rPr>
            </w:pPr>
            <w:r w:rsidRPr="00C952AB">
              <w:rPr>
                <w:rFonts w:ascii="Arial Narrow" w:hAnsi="Arial Narrow"/>
                <w:i/>
                <w:sz w:val="20"/>
              </w:rPr>
              <w:t>AND</w:t>
            </w:r>
          </w:p>
          <w:p w:rsidR="00CA3EF7" w:rsidRPr="006C7DB3" w:rsidRDefault="00CA3EF7" w:rsidP="009C0DF6">
            <w:pPr>
              <w:spacing w:before="0" w:after="0"/>
              <w:rPr>
                <w:rFonts w:ascii="Arial Narrow" w:hAnsi="Arial Narrow"/>
                <w:sz w:val="20"/>
              </w:rPr>
            </w:pPr>
            <w:r w:rsidRPr="00C952AB">
              <w:rPr>
                <w:rFonts w:ascii="Arial Narrow" w:hAnsi="Arial Narrow"/>
                <w:sz w:val="20"/>
              </w:rPr>
              <w:t>Patient must not have progressive disease</w:t>
            </w:r>
            <w:r w:rsidRPr="00C952AB">
              <w:rPr>
                <w:rFonts w:ascii="Arial Narrow" w:hAnsi="Arial Narrow"/>
                <w:i/>
                <w:sz w:val="20"/>
              </w:rPr>
              <w:t xml:space="preserve"> </w:t>
            </w:r>
            <w:r w:rsidR="00785AB1">
              <w:rPr>
                <w:rFonts w:ascii="Arial Narrow" w:hAnsi="Arial Narrow"/>
                <w:i/>
                <w:sz w:val="20"/>
              </w:rPr>
              <w:t xml:space="preserve">while receiving PBS-subsidised </w:t>
            </w:r>
            <w:r w:rsidRPr="00C952AB">
              <w:rPr>
                <w:rFonts w:ascii="Arial Narrow" w:hAnsi="Arial Narrow"/>
                <w:i/>
                <w:sz w:val="20"/>
              </w:rPr>
              <w:t>treatment with this drug for this condition.</w:t>
            </w:r>
          </w:p>
        </w:tc>
      </w:tr>
    </w:tbl>
    <w:p w:rsidR="00CA3EF7" w:rsidRPr="00CA3EF7" w:rsidRDefault="00CA3EF7" w:rsidP="009C0DF6"/>
    <w:p w:rsidR="00422FD5" w:rsidRPr="00422FD5" w:rsidRDefault="00422FD5" w:rsidP="009C0DF6">
      <w:pPr>
        <w:pStyle w:val="ListParagraph"/>
        <w:numPr>
          <w:ilvl w:val="0"/>
          <w:numId w:val="3"/>
        </w:numPr>
        <w:spacing w:before="200" w:after="120"/>
        <w:jc w:val="left"/>
        <w:rPr>
          <w:rFonts w:ascii="Arial" w:eastAsia="Times New Roman" w:hAnsi="Arial" w:cs="Arial"/>
          <w:b/>
          <w:i/>
          <w:snapToGrid w:val="0"/>
          <w:vanish/>
          <w:sz w:val="22"/>
        </w:rPr>
      </w:pPr>
    </w:p>
    <w:p w:rsidR="00DE49D5" w:rsidRPr="00262141" w:rsidRDefault="00DE49D5" w:rsidP="009C0DF6">
      <w:pPr>
        <w:pStyle w:val="ListParagraph"/>
        <w:numPr>
          <w:ilvl w:val="1"/>
          <w:numId w:val="3"/>
        </w:numPr>
        <w:spacing w:before="0" w:after="120"/>
      </w:pPr>
      <w:r w:rsidRPr="00262141">
        <w:t xml:space="preserve">The </w:t>
      </w:r>
      <w:r w:rsidR="00FF3A39" w:rsidRPr="00262141">
        <w:t>pre sub-committee response (</w:t>
      </w:r>
      <w:r w:rsidRPr="00262141">
        <w:t>PSCR</w:t>
      </w:r>
      <w:r w:rsidR="00FF3A39" w:rsidRPr="00262141">
        <w:t>)</w:t>
      </w:r>
      <w:r w:rsidRPr="00262141">
        <w:t xml:space="preserve"> (p.2) agreed with the changes proposed by the Secretariat in order to align the requested listing for </w:t>
      </w:r>
      <w:proofErr w:type="spellStart"/>
      <w:r w:rsidRPr="00262141">
        <w:t>pembrolizumab</w:t>
      </w:r>
      <w:proofErr w:type="spellEnd"/>
      <w:r w:rsidRPr="00262141">
        <w:t xml:space="preserve"> with the current listing of BV in the same patient population.</w:t>
      </w:r>
      <w:r w:rsidR="000E48EC">
        <w:t xml:space="preserve"> The PBAC agreed this </w:t>
      </w:r>
      <w:r w:rsidR="00C94979">
        <w:t xml:space="preserve">could </w:t>
      </w:r>
      <w:r w:rsidR="000E48EC">
        <w:t>be appropriate</w:t>
      </w:r>
      <w:r w:rsidR="00C94979">
        <w:t>, but also considered that a single initial and a single continuing restriction would also be suitable</w:t>
      </w:r>
      <w:r w:rsidR="000E48EC">
        <w:t>.</w:t>
      </w:r>
    </w:p>
    <w:p w:rsidR="00CC3220" w:rsidRPr="00920F2D" w:rsidRDefault="00CC3220" w:rsidP="009C0DF6">
      <w:pPr>
        <w:pStyle w:val="ListParagraph"/>
        <w:numPr>
          <w:ilvl w:val="1"/>
          <w:numId w:val="3"/>
        </w:numPr>
        <w:spacing w:before="0" w:after="120"/>
      </w:pPr>
      <w:r w:rsidRPr="00920F2D">
        <w:t xml:space="preserve">The requested listing did not propose </w:t>
      </w:r>
      <w:r w:rsidR="00E84514" w:rsidRPr="00920F2D">
        <w:t xml:space="preserve">PD-L1 </w:t>
      </w:r>
      <w:r w:rsidRPr="00920F2D">
        <w:t xml:space="preserve">testing </w:t>
      </w:r>
      <w:r w:rsidR="00E84514" w:rsidRPr="00920F2D">
        <w:t>be</w:t>
      </w:r>
      <w:r w:rsidRPr="00920F2D">
        <w:t>for</w:t>
      </w:r>
      <w:r w:rsidR="00E84514" w:rsidRPr="00920F2D">
        <w:t>e</w:t>
      </w:r>
      <w:r w:rsidRPr="00920F2D">
        <w:t xml:space="preserve"> targeting with </w:t>
      </w:r>
      <w:proofErr w:type="spellStart"/>
      <w:r w:rsidRPr="00920F2D">
        <w:t>pembrolizumab</w:t>
      </w:r>
      <w:proofErr w:type="spellEnd"/>
      <w:r w:rsidRPr="00920F2D">
        <w:t>.  The submission noted that gene amplification by 9p24.1 and less frequent chromosomal rearrangements lead to overexpression of PD-L1 and PD-L2 on Reed-Sternberg cells in patients with classical Hodgkin’s lymphoma (</w:t>
      </w:r>
      <w:proofErr w:type="spellStart"/>
      <w:r w:rsidRPr="00920F2D">
        <w:t>cHL</w:t>
      </w:r>
      <w:proofErr w:type="spellEnd"/>
      <w:r w:rsidRPr="00920F2D">
        <w:t>).  In addition, Epstein Barr virus also increases PD-L1 expression in Epstein-Barr positive lymphomas.  This provides a biological rationale for the use of an anti PD-1 agent without a requirement for PD-L1 testing since almost all patients will be PD-L1 positive.  This argument appears to be consistent with evidence from the current literature</w:t>
      </w:r>
      <w:r w:rsidR="00B734ED" w:rsidRPr="00920F2D">
        <w:rPr>
          <w:rStyle w:val="FootnoteReference"/>
        </w:rPr>
        <w:footnoteReference w:id="1"/>
      </w:r>
      <w:r w:rsidRPr="00920F2D">
        <w:t>.  However, there is limited information provided in the submission on</w:t>
      </w:r>
      <w:r>
        <w:rPr>
          <w:i/>
        </w:rPr>
        <w:t xml:space="preserve"> </w:t>
      </w:r>
      <w:r w:rsidRPr="00920F2D">
        <w:t>whether the strength of PD-L1 expression</w:t>
      </w:r>
      <w:r w:rsidR="00900201" w:rsidRPr="00920F2D">
        <w:t xml:space="preserve"> could be a treatment effect modifier for </w:t>
      </w:r>
      <w:proofErr w:type="spellStart"/>
      <w:r w:rsidR="00900201" w:rsidRPr="00920F2D">
        <w:t>pembrolizumab</w:t>
      </w:r>
      <w:proofErr w:type="spellEnd"/>
      <w:r w:rsidRPr="00920F2D">
        <w:t xml:space="preserve"> (</w:t>
      </w:r>
      <w:r w:rsidR="00900201" w:rsidRPr="00920F2D">
        <w:t>for example</w:t>
      </w:r>
      <w:r w:rsidRPr="00920F2D">
        <w:t xml:space="preserve"> a specific cut off</w:t>
      </w:r>
      <w:r w:rsidR="00900201" w:rsidRPr="00920F2D">
        <w:t xml:space="preserve"> such as that proposed for NSCLC in past submissions).</w:t>
      </w:r>
      <w:r w:rsidR="00B7717C">
        <w:t xml:space="preserve"> </w:t>
      </w:r>
      <w:r w:rsidR="00EC1FBC">
        <w:t xml:space="preserve"> </w:t>
      </w:r>
      <w:r w:rsidR="00B7717C" w:rsidRPr="00262141">
        <w:t xml:space="preserve">The ESC </w:t>
      </w:r>
      <w:r w:rsidR="00A57948" w:rsidRPr="00262141">
        <w:t>advised that the current literature did not</w:t>
      </w:r>
      <w:r w:rsidR="00B7717C" w:rsidRPr="00262141">
        <w:t xml:space="preserve"> </w:t>
      </w:r>
      <w:r w:rsidR="00A57948" w:rsidRPr="00262141">
        <w:t xml:space="preserve">have any </w:t>
      </w:r>
      <w:r w:rsidR="0090611E" w:rsidRPr="00262141">
        <w:t>substantial</w:t>
      </w:r>
      <w:r w:rsidR="00B7717C" w:rsidRPr="00262141">
        <w:t xml:space="preserve"> evidence to indicate that PD-1 expression </w:t>
      </w:r>
      <w:r w:rsidR="00073730" w:rsidRPr="00262141">
        <w:t xml:space="preserve">was a treatment effect modifier </w:t>
      </w:r>
      <w:r w:rsidR="00B7717C" w:rsidRPr="00262141">
        <w:t xml:space="preserve">in HL, largely because PD-1 is over-expressed in </w:t>
      </w:r>
      <w:r w:rsidR="00E04DB8" w:rsidRPr="00262141">
        <w:t>nearly all</w:t>
      </w:r>
      <w:r w:rsidR="00B7717C" w:rsidRPr="00262141">
        <w:t xml:space="preserve"> HL cases.</w:t>
      </w:r>
    </w:p>
    <w:p w:rsidR="00CC3220" w:rsidRPr="00920F2D" w:rsidRDefault="00CC3220" w:rsidP="009C0DF6">
      <w:pPr>
        <w:pStyle w:val="ListParagraph"/>
        <w:numPr>
          <w:ilvl w:val="1"/>
          <w:numId w:val="3"/>
        </w:numPr>
        <w:spacing w:before="0" w:after="120"/>
      </w:pPr>
      <w:r w:rsidRPr="00920F2D">
        <w:t xml:space="preserve">The submission was based on a cost-utility analysis of </w:t>
      </w:r>
      <w:proofErr w:type="spellStart"/>
      <w:r w:rsidRPr="00920F2D">
        <w:t>pembrolizumab</w:t>
      </w:r>
      <w:proofErr w:type="spellEnd"/>
      <w:r w:rsidRPr="00920F2D">
        <w:t xml:space="preserve"> compared with </w:t>
      </w:r>
      <w:proofErr w:type="spellStart"/>
      <w:r w:rsidR="00FA1832" w:rsidRPr="00920F2D">
        <w:t>brentuximab</w:t>
      </w:r>
      <w:proofErr w:type="spellEnd"/>
      <w:r w:rsidR="00FA1832" w:rsidRPr="00920F2D">
        <w:t xml:space="preserve"> </w:t>
      </w:r>
      <w:proofErr w:type="spellStart"/>
      <w:r w:rsidR="00FA1832" w:rsidRPr="00920F2D">
        <w:t>vedotin</w:t>
      </w:r>
      <w:proofErr w:type="spellEnd"/>
      <w:r w:rsidR="00FA1832" w:rsidRPr="00920F2D">
        <w:t xml:space="preserve"> (</w:t>
      </w:r>
      <w:r w:rsidRPr="00920F2D">
        <w:t>BV</w:t>
      </w:r>
      <w:r w:rsidR="00FA1832" w:rsidRPr="00920F2D">
        <w:t>)</w:t>
      </w:r>
      <w:r w:rsidRPr="00920F2D">
        <w:t>.</w:t>
      </w:r>
    </w:p>
    <w:p w:rsidR="00CC3220" w:rsidRPr="00920F2D" w:rsidRDefault="00CC3220" w:rsidP="009C0DF6">
      <w:pPr>
        <w:pStyle w:val="ListParagraph"/>
        <w:numPr>
          <w:ilvl w:val="1"/>
          <w:numId w:val="3"/>
        </w:numPr>
        <w:spacing w:before="0" w:after="120"/>
      </w:pPr>
      <w:r w:rsidRPr="00920F2D">
        <w:t xml:space="preserve">The recommended dose of </w:t>
      </w:r>
      <w:proofErr w:type="spellStart"/>
      <w:r w:rsidRPr="00920F2D">
        <w:t>pembrolizumab</w:t>
      </w:r>
      <w:proofErr w:type="spellEnd"/>
      <w:r w:rsidRPr="00920F2D">
        <w:t xml:space="preserve"> for the treatment of </w:t>
      </w:r>
      <w:proofErr w:type="spellStart"/>
      <w:r w:rsidRPr="00920F2D">
        <w:t>rrcHL</w:t>
      </w:r>
      <w:proofErr w:type="spellEnd"/>
      <w:r w:rsidRPr="00920F2D">
        <w:t xml:space="preserve"> is 200</w:t>
      </w:r>
      <w:r w:rsidR="00EC1FBC">
        <w:t xml:space="preserve"> </w:t>
      </w:r>
      <w:r w:rsidRPr="00920F2D">
        <w:t xml:space="preserve">mg administered as an intravenous infusion every three weeks. </w:t>
      </w:r>
      <w:r w:rsidR="00D6178E" w:rsidRPr="00920F2D">
        <w:t xml:space="preserve"> </w:t>
      </w:r>
      <w:r w:rsidRPr="00920F2D">
        <w:t>The</w:t>
      </w:r>
      <w:r w:rsidR="00801A4C">
        <w:t xml:space="preserve"> draft Product I</w:t>
      </w:r>
      <w:r w:rsidR="00075DF1" w:rsidRPr="00920F2D">
        <w:t>nformation indicated that</w:t>
      </w:r>
      <w:r w:rsidRPr="00920F2D">
        <w:t xml:space="preserve"> treatment should be continued until disease progression or until a maximum </w:t>
      </w:r>
      <w:r w:rsidR="00626D70" w:rsidRPr="00920F2D">
        <w:t xml:space="preserve">of </w:t>
      </w:r>
      <w:r w:rsidRPr="00920F2D">
        <w:t xml:space="preserve">35 </w:t>
      </w:r>
      <w:r w:rsidR="00E84514" w:rsidRPr="00920F2D">
        <w:t xml:space="preserve">treatment </w:t>
      </w:r>
      <w:r w:rsidRPr="00920F2D">
        <w:t>cycles.</w:t>
      </w:r>
    </w:p>
    <w:p w:rsidR="00CC3220" w:rsidRPr="00920F2D" w:rsidRDefault="00CC3220" w:rsidP="009C0DF6">
      <w:pPr>
        <w:pStyle w:val="ListParagraph"/>
        <w:numPr>
          <w:ilvl w:val="1"/>
          <w:numId w:val="3"/>
        </w:numPr>
        <w:spacing w:before="0" w:after="120"/>
      </w:pPr>
      <w:r w:rsidRPr="00920F2D">
        <w:t xml:space="preserve">The submission acknowledged that BV has an undisclosed </w:t>
      </w:r>
      <w:r w:rsidR="00222960">
        <w:rPr>
          <w:noProof/>
          <w:color w:val="000000"/>
          <w:highlight w:val="black"/>
        </w:rPr>
        <w:t>'''''''''''''''' '''''''</w:t>
      </w:r>
      <w:r w:rsidRPr="00920F2D">
        <w:t xml:space="preserve"> net price, and therefore the actual price for </w:t>
      </w:r>
      <w:proofErr w:type="spellStart"/>
      <w:r w:rsidRPr="00920F2D">
        <w:t>pembrolizumab</w:t>
      </w:r>
      <w:proofErr w:type="spellEnd"/>
      <w:r w:rsidRPr="00920F2D">
        <w:t xml:space="preserve"> w</w:t>
      </w:r>
      <w:r w:rsidR="00EC1FBC">
        <w:t>ould</w:t>
      </w:r>
      <w:r w:rsidRPr="00920F2D">
        <w:t xml:space="preserve"> depend on the net price of </w:t>
      </w:r>
      <w:r w:rsidR="00EC1FBC">
        <w:t>BV for the proposed population.</w:t>
      </w:r>
    </w:p>
    <w:p w:rsidR="00CC3220" w:rsidRPr="00B85B3B" w:rsidRDefault="00CC3220" w:rsidP="009C0DF6">
      <w:pPr>
        <w:pStyle w:val="ListParagraph"/>
        <w:numPr>
          <w:ilvl w:val="1"/>
          <w:numId w:val="3"/>
        </w:numPr>
        <w:spacing w:before="0" w:after="120"/>
      </w:pPr>
      <w:r w:rsidRPr="00920F2D">
        <w:t xml:space="preserve">The submission requested the listing of </w:t>
      </w:r>
      <w:proofErr w:type="spellStart"/>
      <w:r w:rsidRPr="00920F2D">
        <w:t>pembrolizumab</w:t>
      </w:r>
      <w:proofErr w:type="spellEnd"/>
      <w:r w:rsidRPr="00920F2D">
        <w:t xml:space="preserve"> via a </w:t>
      </w:r>
      <w:r w:rsidR="00E704BB" w:rsidRPr="00920F2D">
        <w:t>M</w:t>
      </w:r>
      <w:r w:rsidRPr="00920F2D">
        <w:t xml:space="preserve">anaged </w:t>
      </w:r>
      <w:r w:rsidR="00E704BB" w:rsidRPr="00920F2D">
        <w:t>E</w:t>
      </w:r>
      <w:r w:rsidRPr="00920F2D">
        <w:t xml:space="preserve">ntry </w:t>
      </w:r>
      <w:r w:rsidR="00E704BB" w:rsidRPr="00920F2D">
        <w:t>S</w:t>
      </w:r>
      <w:r w:rsidRPr="00920F2D">
        <w:t xml:space="preserve">cheme (MES), </w:t>
      </w:r>
      <w:r w:rsidR="00E84514" w:rsidRPr="00920F2D">
        <w:t xml:space="preserve">and provided supporting information from </w:t>
      </w:r>
      <w:r w:rsidR="00783A76">
        <w:t>currently available single-</w:t>
      </w:r>
      <w:r w:rsidRPr="00920F2D">
        <w:t xml:space="preserve">arm studies. </w:t>
      </w:r>
      <w:r w:rsidR="00D6178E" w:rsidRPr="00920F2D">
        <w:t xml:space="preserve"> </w:t>
      </w:r>
      <w:r w:rsidRPr="00920F2D">
        <w:t xml:space="preserve">The submission stated that </w:t>
      </w:r>
      <w:r w:rsidR="000E48EC">
        <w:t xml:space="preserve">the </w:t>
      </w:r>
      <w:r w:rsidRPr="00920F2D">
        <w:t xml:space="preserve">KEYNOTE (KN) 204 </w:t>
      </w:r>
      <w:r w:rsidR="00626D70" w:rsidRPr="00920F2D">
        <w:t xml:space="preserve">trial </w:t>
      </w:r>
      <w:r w:rsidRPr="00920F2D">
        <w:t>which directly compar</w:t>
      </w:r>
      <w:r w:rsidR="00075DF1" w:rsidRPr="00920F2D">
        <w:t>es</w:t>
      </w:r>
      <w:r w:rsidRPr="00920F2D">
        <w:t xml:space="preserve"> </w:t>
      </w:r>
      <w:proofErr w:type="spellStart"/>
      <w:r w:rsidRPr="00920F2D">
        <w:t>pembrolizumab</w:t>
      </w:r>
      <w:proofErr w:type="spellEnd"/>
      <w:r w:rsidRPr="00920F2D">
        <w:t xml:space="preserve"> with BV in the proposed population will provide confirmatory evidence for the relative eff</w:t>
      </w:r>
      <w:r w:rsidR="00966ADE" w:rsidRPr="00920F2D">
        <w:t>icacy</w:t>
      </w:r>
      <w:r w:rsidRPr="00920F2D">
        <w:t xml:space="preserve"> of </w:t>
      </w:r>
      <w:proofErr w:type="spellStart"/>
      <w:r w:rsidRPr="00920F2D">
        <w:t>pembrolizumab</w:t>
      </w:r>
      <w:proofErr w:type="spellEnd"/>
      <w:r w:rsidRPr="00920F2D">
        <w:t xml:space="preserve"> over BV and would support a follow-up submission </w:t>
      </w:r>
      <w:r w:rsidR="004E31B6" w:rsidRPr="00920F2D">
        <w:t xml:space="preserve">that is </w:t>
      </w:r>
      <w:r w:rsidRPr="00920F2D">
        <w:t>expected to be lodged in mid-2019.</w:t>
      </w:r>
      <w:r w:rsidR="00D6178E" w:rsidRPr="00920F2D">
        <w:t xml:space="preserve"> </w:t>
      </w:r>
      <w:r w:rsidR="00626D70" w:rsidRPr="00920F2D">
        <w:t xml:space="preserve"> </w:t>
      </w:r>
      <w:r w:rsidR="00626D70" w:rsidRPr="00920F2D">
        <w:rPr>
          <w:szCs w:val="24"/>
        </w:rPr>
        <w:t xml:space="preserve">There are currently no preliminary data from the forthcoming KN204 randomised trial to enable any reasonable judgement on </w:t>
      </w:r>
      <w:r w:rsidR="004E31B6" w:rsidRPr="00920F2D">
        <w:rPr>
          <w:szCs w:val="24"/>
        </w:rPr>
        <w:t xml:space="preserve">the </w:t>
      </w:r>
      <w:r w:rsidR="00626D70" w:rsidRPr="00920F2D">
        <w:rPr>
          <w:szCs w:val="24"/>
        </w:rPr>
        <w:t>comparative effectiveness and safety</w:t>
      </w:r>
      <w:r w:rsidR="004E31B6" w:rsidRPr="00920F2D">
        <w:rPr>
          <w:szCs w:val="24"/>
        </w:rPr>
        <w:t xml:space="preserve"> of </w:t>
      </w:r>
      <w:proofErr w:type="spellStart"/>
      <w:r w:rsidR="004E31B6" w:rsidRPr="00920F2D">
        <w:rPr>
          <w:szCs w:val="24"/>
        </w:rPr>
        <w:t>pembrolizumab</w:t>
      </w:r>
      <w:proofErr w:type="spellEnd"/>
      <w:r w:rsidR="008A299E" w:rsidRPr="00920F2D">
        <w:rPr>
          <w:szCs w:val="24"/>
        </w:rPr>
        <w:t xml:space="preserve"> compared with BV</w:t>
      </w:r>
      <w:r w:rsidR="004E31B6" w:rsidRPr="00920F2D">
        <w:rPr>
          <w:szCs w:val="24"/>
        </w:rPr>
        <w:t xml:space="preserve"> for this indication</w:t>
      </w:r>
      <w:r w:rsidR="00626D70" w:rsidRPr="00920F2D">
        <w:rPr>
          <w:szCs w:val="24"/>
        </w:rPr>
        <w:t>.</w:t>
      </w:r>
      <w:r w:rsidR="00EC1FBC">
        <w:rPr>
          <w:szCs w:val="24"/>
        </w:rPr>
        <w:t xml:space="preserve">  The Pre-PBAC response </w:t>
      </w:r>
      <w:r w:rsidR="00BF4BCC">
        <w:t>(p.</w:t>
      </w:r>
      <w:r w:rsidR="00425B2A">
        <w:t>2</w:t>
      </w:r>
      <w:r w:rsidR="00BF4BCC">
        <w:t xml:space="preserve">) </w:t>
      </w:r>
      <w:r w:rsidR="00EC1FBC">
        <w:rPr>
          <w:szCs w:val="24"/>
        </w:rPr>
        <w:t>subsequently withdrew th</w:t>
      </w:r>
      <w:r w:rsidR="00BF4BCC">
        <w:rPr>
          <w:szCs w:val="24"/>
        </w:rPr>
        <w:t>is</w:t>
      </w:r>
      <w:r w:rsidR="00EC1FBC">
        <w:rPr>
          <w:szCs w:val="24"/>
        </w:rPr>
        <w:t xml:space="preserve"> proposal for an MES.</w:t>
      </w:r>
    </w:p>
    <w:p w:rsidR="00B85B3B" w:rsidRPr="00920F2D" w:rsidRDefault="00B85B3B" w:rsidP="00B85B3B">
      <w:pPr>
        <w:pStyle w:val="ListParagraph"/>
        <w:spacing w:before="0" w:after="120"/>
      </w:pPr>
      <w:r w:rsidRPr="003C4DB4">
        <w:rPr>
          <w:rFonts w:ascii="Calibri" w:eastAsia="Times New Roman" w:hAnsi="Calibri" w:cs="Times New Roman"/>
          <w:i/>
          <w:szCs w:val="24"/>
        </w:rPr>
        <w:t>For more detail on PBAC’s view, see section 7 “PBAC outcome.”</w:t>
      </w:r>
    </w:p>
    <w:p w:rsidR="00D73ADD" w:rsidRPr="00040BFC" w:rsidRDefault="00D73ADD" w:rsidP="009C0DF6">
      <w:pPr>
        <w:pStyle w:val="Heading1"/>
        <w:ind w:left="709" w:hanging="709"/>
      </w:pPr>
      <w:bookmarkStart w:id="4" w:name="_Toc482711238"/>
      <w:r w:rsidRPr="00040BFC">
        <w:t>Background</w:t>
      </w:r>
      <w:bookmarkEnd w:id="4"/>
    </w:p>
    <w:p w:rsidR="00D73ADD" w:rsidRPr="00446DFC" w:rsidRDefault="00D73ADD" w:rsidP="009C0DF6">
      <w:pPr>
        <w:pStyle w:val="ListParagraph"/>
        <w:numPr>
          <w:ilvl w:val="0"/>
          <w:numId w:val="3"/>
        </w:numPr>
        <w:spacing w:before="200" w:after="120"/>
        <w:rPr>
          <w:rFonts w:ascii="Arial" w:eastAsia="Times New Roman" w:hAnsi="Arial" w:cs="Arial"/>
          <w:b/>
          <w:snapToGrid w:val="0"/>
          <w:vanish/>
          <w:sz w:val="22"/>
        </w:rPr>
      </w:pPr>
    </w:p>
    <w:p w:rsidR="00D73ADD" w:rsidRPr="00CF7C30" w:rsidRDefault="00D73ADD" w:rsidP="00391577">
      <w:pPr>
        <w:pStyle w:val="ListParagraph"/>
        <w:numPr>
          <w:ilvl w:val="1"/>
          <w:numId w:val="3"/>
        </w:numPr>
        <w:spacing w:before="0" w:after="120"/>
      </w:pPr>
      <w:r w:rsidRPr="00CF7C30">
        <w:t xml:space="preserve">The submission was made under the TGA/PBAC Parallel Process.  At the time of </w:t>
      </w:r>
      <w:r w:rsidR="00EC1FBC">
        <w:t xml:space="preserve">the </w:t>
      </w:r>
      <w:r w:rsidR="000E48EC">
        <w:t>PBAC consideration, the</w:t>
      </w:r>
      <w:r w:rsidRPr="00CF7C30">
        <w:t xml:space="preserve"> TGA </w:t>
      </w:r>
      <w:r w:rsidR="000E48EC" w:rsidRPr="00391577">
        <w:t>Delegate’s overview</w:t>
      </w:r>
      <w:r w:rsidR="000E48EC">
        <w:t xml:space="preserve"> was</w:t>
      </w:r>
      <w:r w:rsidRPr="00CF7C30">
        <w:t xml:space="preserve"> </w:t>
      </w:r>
      <w:r w:rsidR="000E48EC">
        <w:t xml:space="preserve">not </w:t>
      </w:r>
      <w:r w:rsidRPr="00CF7C30">
        <w:t>available</w:t>
      </w:r>
      <w:r w:rsidR="00425B2A">
        <w:t xml:space="preserve"> to </w:t>
      </w:r>
      <w:r w:rsidR="00AA4460">
        <w:t xml:space="preserve">the </w:t>
      </w:r>
      <w:r w:rsidR="00425B2A">
        <w:t>Committee</w:t>
      </w:r>
      <w:r w:rsidRPr="00CF7C30">
        <w:t xml:space="preserve">. </w:t>
      </w:r>
      <w:r w:rsidR="00D6178E" w:rsidRPr="00CF7C30">
        <w:t xml:space="preserve"> </w:t>
      </w:r>
      <w:r w:rsidR="00615AB5" w:rsidRPr="00CF7C30">
        <w:t xml:space="preserve">The </w:t>
      </w:r>
      <w:r w:rsidR="00303F28">
        <w:t>C</w:t>
      </w:r>
      <w:r w:rsidR="00615AB5" w:rsidRPr="00CF7C30">
        <w:t xml:space="preserve">linical </w:t>
      </w:r>
      <w:r w:rsidR="00303F28">
        <w:t>E</w:t>
      </w:r>
      <w:r w:rsidR="00615AB5" w:rsidRPr="00CF7C30">
        <w:t>valuation</w:t>
      </w:r>
      <w:r w:rsidR="00303F28">
        <w:t xml:space="preserve"> Report (round 1) </w:t>
      </w:r>
      <w:r w:rsidR="00615AB5" w:rsidRPr="00CF7C30">
        <w:t xml:space="preserve">was received on 3 May 2017. </w:t>
      </w:r>
      <w:r w:rsidR="00C8549F" w:rsidRPr="00CF7C30">
        <w:t xml:space="preserve"> </w:t>
      </w:r>
      <w:r w:rsidRPr="00CF7C30">
        <w:t xml:space="preserve">The </w:t>
      </w:r>
      <w:r w:rsidR="00971518" w:rsidRPr="00CF7C30">
        <w:t xml:space="preserve">original </w:t>
      </w:r>
      <w:r w:rsidRPr="00CF7C30">
        <w:t xml:space="preserve">TGA indication </w:t>
      </w:r>
      <w:r w:rsidR="00971518" w:rsidRPr="00CF7C30">
        <w:t>proposed by the sponsor wa</w:t>
      </w:r>
      <w:r w:rsidRPr="00CF7C30">
        <w:t>s for the treatment of patients with refractory classical Hodgkin Lymphoma</w:t>
      </w:r>
      <w:r w:rsidR="00966ADE" w:rsidRPr="00CF7C30">
        <w:t xml:space="preserve"> (</w:t>
      </w:r>
      <w:proofErr w:type="spellStart"/>
      <w:r w:rsidR="00966ADE" w:rsidRPr="00CF7C30">
        <w:t>cHL</w:t>
      </w:r>
      <w:proofErr w:type="spellEnd"/>
      <w:r w:rsidR="00966ADE" w:rsidRPr="00CF7C30">
        <w:t>)</w:t>
      </w:r>
      <w:r w:rsidRPr="00CF7C30">
        <w:t>, or those who have relapsed after 3 or more prior lines of therapy".</w:t>
      </w:r>
      <w:r w:rsidR="004E31B6" w:rsidRPr="00CF7C30">
        <w:t xml:space="preserve"> </w:t>
      </w:r>
      <w:r w:rsidR="00D6178E" w:rsidRPr="00CF7C30">
        <w:t xml:space="preserve"> </w:t>
      </w:r>
      <w:r w:rsidR="00971518" w:rsidRPr="00CF7C30">
        <w:t xml:space="preserve">The clinical evaluation report recommended </w:t>
      </w:r>
      <w:proofErr w:type="spellStart"/>
      <w:r w:rsidR="00971518" w:rsidRPr="00CF7C30">
        <w:t>pembrolizumab</w:t>
      </w:r>
      <w:proofErr w:type="spellEnd"/>
      <w:r w:rsidR="00971518" w:rsidRPr="00CF7C30">
        <w:t xml:space="preserve"> be indicated as monotherapy for the treatment of adult patients with </w:t>
      </w:r>
      <w:proofErr w:type="spellStart"/>
      <w:r w:rsidR="00971518" w:rsidRPr="00CF7C30">
        <w:t>rrcHL</w:t>
      </w:r>
      <w:proofErr w:type="spellEnd"/>
      <w:r w:rsidR="00971518" w:rsidRPr="00CF7C30">
        <w:t xml:space="preserve"> following ASCT or following at least two prior therapies when ASCT or multi-agent chemotherapy is not a treatment option.  This is consistent with the proposed population for whom listing of </w:t>
      </w:r>
      <w:proofErr w:type="spellStart"/>
      <w:r w:rsidR="00971518" w:rsidRPr="00CF7C30">
        <w:t>pembrolizumab</w:t>
      </w:r>
      <w:proofErr w:type="spellEnd"/>
      <w:r w:rsidR="00971518" w:rsidRPr="00CF7C30">
        <w:t xml:space="preserve"> is sought on the PBS.</w:t>
      </w:r>
      <w:r w:rsidR="009D11B1" w:rsidRPr="00CF7C30">
        <w:t xml:space="preserve">  </w:t>
      </w:r>
      <w:r w:rsidR="00303F28" w:rsidRPr="00262141">
        <w:t xml:space="preserve">The </w:t>
      </w:r>
      <w:r w:rsidR="00BD1E67" w:rsidRPr="00262141">
        <w:t xml:space="preserve">Clinical </w:t>
      </w:r>
      <w:r w:rsidR="00EE039B" w:rsidRPr="00262141">
        <w:t>E</w:t>
      </w:r>
      <w:r w:rsidR="00BD1E67" w:rsidRPr="00262141">
        <w:t xml:space="preserve">valuation </w:t>
      </w:r>
      <w:r w:rsidR="00EE039B" w:rsidRPr="00262141">
        <w:t>R</w:t>
      </w:r>
      <w:r w:rsidR="00BD1E67" w:rsidRPr="00262141">
        <w:t>eport (round 2) was received on 31 May 2017</w:t>
      </w:r>
      <w:r w:rsidR="00544B89" w:rsidRPr="00262141">
        <w:t xml:space="preserve"> and include</w:t>
      </w:r>
      <w:r w:rsidR="00EC1FBC">
        <w:t>d</w:t>
      </w:r>
      <w:r w:rsidR="00544B89" w:rsidRPr="00262141">
        <w:t xml:space="preserve"> </w:t>
      </w:r>
      <w:r w:rsidR="006E3B04" w:rsidRPr="00262141">
        <w:t xml:space="preserve">a suggested warning in line with </w:t>
      </w:r>
      <w:r w:rsidR="00EE039B" w:rsidRPr="00262141">
        <w:t xml:space="preserve">that of </w:t>
      </w:r>
      <w:r w:rsidR="006E3B04" w:rsidRPr="00262141">
        <w:t xml:space="preserve">the FDA for </w:t>
      </w:r>
      <w:r w:rsidR="00E04DB8" w:rsidRPr="00262141">
        <w:t xml:space="preserve">graft-versus-host-disease (GVHD) when </w:t>
      </w:r>
      <w:r w:rsidR="006E3B04" w:rsidRPr="00262141">
        <w:t>use in patients undergoing allogenic transplantation</w:t>
      </w:r>
      <w:r w:rsidR="00EE039B" w:rsidRPr="00262141">
        <w:t>.</w:t>
      </w:r>
    </w:p>
    <w:p w:rsidR="00D73ADD" w:rsidRPr="00920F2D" w:rsidRDefault="00D73ADD" w:rsidP="009C0DF6">
      <w:pPr>
        <w:pStyle w:val="ListParagraph"/>
        <w:numPr>
          <w:ilvl w:val="1"/>
          <w:numId w:val="3"/>
        </w:numPr>
        <w:spacing w:before="0" w:after="120"/>
      </w:pPr>
      <w:proofErr w:type="spellStart"/>
      <w:r w:rsidRPr="00920F2D">
        <w:t>Pembrolizumab</w:t>
      </w:r>
      <w:proofErr w:type="spellEnd"/>
      <w:r w:rsidRPr="00920F2D">
        <w:t xml:space="preserve"> is </w:t>
      </w:r>
      <w:r w:rsidR="00BF4BCC">
        <w:t xml:space="preserve">currently </w:t>
      </w:r>
      <w:r w:rsidRPr="00920F2D">
        <w:t>TGA</w:t>
      </w:r>
      <w:r w:rsidR="00BF4BCC">
        <w:t>-</w:t>
      </w:r>
      <w:r w:rsidRPr="00920F2D">
        <w:t xml:space="preserve">registered for the treatment of </w:t>
      </w:r>
      <w:proofErr w:type="spellStart"/>
      <w:r w:rsidRPr="00920F2D">
        <w:t>unresectable</w:t>
      </w:r>
      <w:proofErr w:type="spellEnd"/>
      <w:r w:rsidRPr="00920F2D">
        <w:t xml:space="preserve"> or metastatic melanoma, metastatic or advanced non-small cell lung cancer</w:t>
      </w:r>
      <w:r w:rsidR="00030079" w:rsidRPr="00920F2D">
        <w:t xml:space="preserve"> (NSCLC)</w:t>
      </w:r>
      <w:r w:rsidRPr="00920F2D">
        <w:t xml:space="preserve">, and recurrent or metastatic head and neck squamous cell carcinoma. </w:t>
      </w:r>
    </w:p>
    <w:p w:rsidR="00D73ADD" w:rsidRDefault="00D73ADD" w:rsidP="009C0DF6">
      <w:pPr>
        <w:pStyle w:val="ListParagraph"/>
        <w:numPr>
          <w:ilvl w:val="1"/>
          <w:numId w:val="3"/>
        </w:numPr>
        <w:spacing w:before="0" w:after="120"/>
      </w:pPr>
      <w:proofErr w:type="spellStart"/>
      <w:r w:rsidRPr="00920F2D">
        <w:t>Pembrolizumab</w:t>
      </w:r>
      <w:proofErr w:type="spellEnd"/>
      <w:r w:rsidRPr="00920F2D">
        <w:t xml:space="preserve"> is currently PBS-subsidised for the treatment of </w:t>
      </w:r>
      <w:proofErr w:type="spellStart"/>
      <w:r w:rsidRPr="00920F2D">
        <w:t>unresectable</w:t>
      </w:r>
      <w:proofErr w:type="spellEnd"/>
      <w:r w:rsidRPr="00920F2D">
        <w:t xml:space="preserve"> Stage III or Stage IV malignant melanoma.</w:t>
      </w:r>
      <w:r w:rsidR="000F3406" w:rsidRPr="00920F2D">
        <w:t xml:space="preserve"> </w:t>
      </w:r>
      <w:r w:rsidR="00030079" w:rsidRPr="00920F2D">
        <w:t xml:space="preserve"> </w:t>
      </w:r>
      <w:r w:rsidR="00F97916">
        <w:t>This wa</w:t>
      </w:r>
      <w:r w:rsidR="000F3406" w:rsidRPr="00920F2D">
        <w:t xml:space="preserve">s the first submission to the PBAC for the treatment of </w:t>
      </w:r>
      <w:proofErr w:type="spellStart"/>
      <w:r w:rsidR="000F3406" w:rsidRPr="00920F2D">
        <w:t>rrcHL</w:t>
      </w:r>
      <w:proofErr w:type="spellEnd"/>
      <w:r w:rsidR="000F3406" w:rsidRPr="00920F2D">
        <w:t>.</w:t>
      </w:r>
    </w:p>
    <w:p w:rsidR="00CC3220" w:rsidRPr="00920F2D" w:rsidRDefault="00CC3220" w:rsidP="009C0DF6">
      <w:pPr>
        <w:pStyle w:val="Heading1"/>
        <w:ind w:left="709" w:hanging="709"/>
      </w:pPr>
      <w:bookmarkStart w:id="5" w:name="_Toc482711239"/>
      <w:r w:rsidRPr="00920F2D">
        <w:t>Population and disease</w:t>
      </w:r>
      <w:bookmarkEnd w:id="5"/>
    </w:p>
    <w:p w:rsidR="00CC3220" w:rsidRPr="00920F2D" w:rsidRDefault="00CC3220" w:rsidP="009C0DF6">
      <w:pPr>
        <w:pStyle w:val="ListParagraph"/>
        <w:numPr>
          <w:ilvl w:val="0"/>
          <w:numId w:val="3"/>
        </w:numPr>
        <w:spacing w:before="200" w:after="120"/>
        <w:rPr>
          <w:rFonts w:ascii="Arial" w:eastAsia="Times New Roman" w:hAnsi="Arial" w:cs="Arial"/>
          <w:b/>
          <w:snapToGrid w:val="0"/>
          <w:vanish/>
          <w:sz w:val="22"/>
        </w:rPr>
      </w:pPr>
    </w:p>
    <w:p w:rsidR="00C46679" w:rsidRDefault="0080460C" w:rsidP="009C0DF6">
      <w:pPr>
        <w:pStyle w:val="ListParagraph"/>
        <w:numPr>
          <w:ilvl w:val="1"/>
          <w:numId w:val="3"/>
        </w:numPr>
        <w:spacing w:before="0" w:after="120"/>
      </w:pPr>
      <w:proofErr w:type="spellStart"/>
      <w:proofErr w:type="gramStart"/>
      <w:r w:rsidRPr="00920F2D">
        <w:t>cHL</w:t>
      </w:r>
      <w:proofErr w:type="spellEnd"/>
      <w:proofErr w:type="gramEnd"/>
      <w:r w:rsidRPr="00920F2D">
        <w:t xml:space="preserve"> is a cancer that is highly responsive to multi-agent first line chemotherapy and the disease </w:t>
      </w:r>
      <w:r w:rsidR="00E1714A">
        <w:t>is</w:t>
      </w:r>
      <w:r w:rsidRPr="00920F2D">
        <w:t xml:space="preserve"> </w:t>
      </w:r>
      <w:r w:rsidR="00E1714A">
        <w:t>cured</w:t>
      </w:r>
      <w:r w:rsidR="00E1714A" w:rsidRPr="00920F2D">
        <w:t xml:space="preserve"> </w:t>
      </w:r>
      <w:r w:rsidRPr="00920F2D">
        <w:t xml:space="preserve">for the majority of patients. </w:t>
      </w:r>
      <w:r w:rsidR="00030079" w:rsidRPr="00920F2D">
        <w:t xml:space="preserve"> </w:t>
      </w:r>
      <w:r w:rsidRPr="00920F2D">
        <w:t>There is a small group of patients who either do</w:t>
      </w:r>
      <w:r w:rsidR="004E31B6" w:rsidRPr="00920F2D">
        <w:t xml:space="preserve"> </w:t>
      </w:r>
      <w:r w:rsidRPr="00920F2D">
        <w:t>n</w:t>
      </w:r>
      <w:r w:rsidR="004E31B6" w:rsidRPr="00920F2D">
        <w:t>o</w:t>
      </w:r>
      <w:r w:rsidRPr="00920F2D">
        <w:t xml:space="preserve">t respond or relapse following initial chemotherapy. </w:t>
      </w:r>
      <w:r w:rsidR="00030079" w:rsidRPr="00920F2D">
        <w:t xml:space="preserve"> </w:t>
      </w:r>
      <w:r w:rsidRPr="00920F2D">
        <w:t xml:space="preserve">Some of these patients have a chance of a cure with high dose chemotherapy followed by ASCT, but some are not eligible for ASCT. </w:t>
      </w:r>
      <w:r w:rsidR="00030079" w:rsidRPr="00920F2D">
        <w:t xml:space="preserve"> </w:t>
      </w:r>
      <w:r w:rsidRPr="00920F2D">
        <w:t xml:space="preserve">About 50% of patients relapse following ASCT. In the submission, the proposed population for treatment with </w:t>
      </w:r>
      <w:proofErr w:type="spellStart"/>
      <w:r w:rsidRPr="00920F2D">
        <w:t>pembrolizumab</w:t>
      </w:r>
      <w:proofErr w:type="spellEnd"/>
      <w:r w:rsidRPr="00920F2D">
        <w:t xml:space="preserve"> are those patients who </w:t>
      </w:r>
      <w:r w:rsidR="00AD464E">
        <w:t xml:space="preserve">have </w:t>
      </w:r>
      <w:r w:rsidRPr="00920F2D">
        <w:t xml:space="preserve">refractory or relapsed </w:t>
      </w:r>
      <w:r w:rsidR="00AD464E">
        <w:t xml:space="preserve">disease </w:t>
      </w:r>
      <w:r w:rsidRPr="00920F2D">
        <w:t>following ASCT, and those who are ineligible for ASCT</w:t>
      </w:r>
      <w:r w:rsidR="00EE039B">
        <w:t>.</w:t>
      </w:r>
    </w:p>
    <w:p w:rsidR="00CC3220" w:rsidRPr="00920F2D" w:rsidRDefault="00CC3220" w:rsidP="009C0DF6">
      <w:pPr>
        <w:pStyle w:val="Heading1"/>
        <w:ind w:left="709" w:hanging="709"/>
      </w:pPr>
      <w:bookmarkStart w:id="6" w:name="_Toc413139275"/>
      <w:bookmarkStart w:id="7" w:name="_Toc482711240"/>
      <w:r w:rsidRPr="00920F2D">
        <w:t>Comparator</w:t>
      </w:r>
      <w:bookmarkEnd w:id="6"/>
      <w:bookmarkEnd w:id="7"/>
    </w:p>
    <w:p w:rsidR="00CC3220" w:rsidRPr="00920F2D" w:rsidRDefault="00CC3220" w:rsidP="009C0DF6">
      <w:pPr>
        <w:pStyle w:val="ListParagraph"/>
        <w:numPr>
          <w:ilvl w:val="0"/>
          <w:numId w:val="3"/>
        </w:numPr>
        <w:spacing w:before="200" w:after="120"/>
        <w:rPr>
          <w:rFonts w:ascii="Arial" w:eastAsia="Times New Roman" w:hAnsi="Arial" w:cs="Arial"/>
          <w:b/>
          <w:snapToGrid w:val="0"/>
          <w:vanish/>
          <w:sz w:val="22"/>
        </w:rPr>
      </w:pPr>
    </w:p>
    <w:p w:rsidR="00C00E86" w:rsidRPr="006E3B04" w:rsidRDefault="00CC3220" w:rsidP="009C0DF6">
      <w:pPr>
        <w:pStyle w:val="ListParagraph"/>
        <w:numPr>
          <w:ilvl w:val="1"/>
          <w:numId w:val="3"/>
        </w:numPr>
        <w:rPr>
          <w:lang w:val="en-GB"/>
        </w:rPr>
      </w:pPr>
      <w:r w:rsidRPr="00920F2D">
        <w:t xml:space="preserve">The submission nominated BV as the main comparator. </w:t>
      </w:r>
      <w:r w:rsidR="00030079" w:rsidRPr="00920F2D">
        <w:t xml:space="preserve"> </w:t>
      </w:r>
      <w:r w:rsidRPr="00920F2D">
        <w:t xml:space="preserve">This is the appropriate </w:t>
      </w:r>
      <w:r w:rsidRPr="006E3B04">
        <w:t>comparator for patients who have not b</w:t>
      </w:r>
      <w:r w:rsidR="00EE039B">
        <w:t>een treated with BV previously.</w:t>
      </w:r>
    </w:p>
    <w:p w:rsidR="00C00E86" w:rsidRPr="00920F2D" w:rsidRDefault="00C00E86" w:rsidP="009C0DF6">
      <w:pPr>
        <w:pStyle w:val="ListParagraph"/>
        <w:numPr>
          <w:ilvl w:val="1"/>
          <w:numId w:val="3"/>
        </w:numPr>
      </w:pPr>
      <w:r w:rsidRPr="006E3B04">
        <w:t xml:space="preserve">The requested restriction </w:t>
      </w:r>
      <w:r w:rsidRPr="00920F2D">
        <w:t xml:space="preserve">did not specifically exclude patients who had prior exposure to BV.  For these patients, chemotherapy use (post BV) would be the relevant comparator.  </w:t>
      </w:r>
      <w:r w:rsidR="000C4F94">
        <w:t>T</w:t>
      </w:r>
      <w:r w:rsidRPr="00920F2D">
        <w:t xml:space="preserve">he submission </w:t>
      </w:r>
      <w:r w:rsidR="000C4F94">
        <w:t xml:space="preserve">did not compare </w:t>
      </w:r>
      <w:proofErr w:type="spellStart"/>
      <w:r w:rsidRPr="00920F2D">
        <w:t>pembrolizumab</w:t>
      </w:r>
      <w:proofErr w:type="spellEnd"/>
      <w:r w:rsidRPr="00920F2D">
        <w:t xml:space="preserve"> </w:t>
      </w:r>
      <w:r w:rsidR="000C4F94">
        <w:t xml:space="preserve">with </w:t>
      </w:r>
      <w:r w:rsidRPr="00920F2D">
        <w:t xml:space="preserve">salvage chemotherapy post BV in patients with </w:t>
      </w:r>
      <w:proofErr w:type="spellStart"/>
      <w:r w:rsidRPr="00920F2D">
        <w:t>rrcHL</w:t>
      </w:r>
      <w:proofErr w:type="spellEnd"/>
      <w:r w:rsidRPr="00920F2D">
        <w:t>.</w:t>
      </w:r>
    </w:p>
    <w:p w:rsidR="00CC3220" w:rsidRPr="00262141" w:rsidRDefault="0031434E" w:rsidP="009C0DF6">
      <w:pPr>
        <w:pStyle w:val="ListParagraph"/>
        <w:numPr>
          <w:ilvl w:val="1"/>
          <w:numId w:val="3"/>
        </w:numPr>
        <w:rPr>
          <w:lang w:val="en-GB"/>
        </w:rPr>
      </w:pPr>
      <w:r w:rsidRPr="00262141">
        <w:t>T</w:t>
      </w:r>
      <w:r w:rsidR="005F340D" w:rsidRPr="00262141">
        <w:t>he ESC considered that</w:t>
      </w:r>
      <w:r w:rsidR="008C3CD9" w:rsidRPr="00262141">
        <w:t xml:space="preserve"> </w:t>
      </w:r>
      <w:r w:rsidR="005067E6" w:rsidRPr="00262141">
        <w:t xml:space="preserve">it was highly likely that </w:t>
      </w:r>
      <w:r w:rsidR="008C3CD9" w:rsidRPr="00262141">
        <w:t xml:space="preserve">a large number of patients </w:t>
      </w:r>
      <w:r w:rsidR="005067E6" w:rsidRPr="00262141">
        <w:t xml:space="preserve">would receive </w:t>
      </w:r>
      <w:r w:rsidR="005F340D" w:rsidRPr="00262141">
        <w:t xml:space="preserve">BV prior to </w:t>
      </w:r>
      <w:proofErr w:type="spellStart"/>
      <w:r w:rsidR="005F340D" w:rsidRPr="00262141">
        <w:t>pembrolizumab</w:t>
      </w:r>
      <w:proofErr w:type="spellEnd"/>
      <w:r w:rsidR="005F340D" w:rsidRPr="00262141">
        <w:t xml:space="preserve"> </w:t>
      </w:r>
      <w:r w:rsidR="00EE039B" w:rsidRPr="00262141">
        <w:t xml:space="preserve">when </w:t>
      </w:r>
      <w:proofErr w:type="spellStart"/>
      <w:r w:rsidR="00EE039B" w:rsidRPr="00262141">
        <w:t>pembrolizumab</w:t>
      </w:r>
      <w:proofErr w:type="spellEnd"/>
      <w:r w:rsidR="00EE039B" w:rsidRPr="00262141">
        <w:t xml:space="preserve"> is first made available in Australia </w:t>
      </w:r>
      <w:r w:rsidR="005F340D" w:rsidRPr="00262141">
        <w:t xml:space="preserve">due to the </w:t>
      </w:r>
      <w:r w:rsidR="006E3B04" w:rsidRPr="00262141">
        <w:t xml:space="preserve">timing </w:t>
      </w:r>
      <w:r w:rsidR="005F340D" w:rsidRPr="00262141">
        <w:t xml:space="preserve">of </w:t>
      </w:r>
      <w:r w:rsidR="00EE039B" w:rsidRPr="00262141">
        <w:t xml:space="preserve">the </w:t>
      </w:r>
      <w:r w:rsidR="005F340D" w:rsidRPr="00262141">
        <w:t xml:space="preserve">clinical trials </w:t>
      </w:r>
      <w:r w:rsidR="00C00E86" w:rsidRPr="00262141">
        <w:t>for</w:t>
      </w:r>
      <w:r w:rsidR="005F340D" w:rsidRPr="00262141">
        <w:t xml:space="preserve"> BV </w:t>
      </w:r>
      <w:r w:rsidR="00C00E86" w:rsidRPr="00262141">
        <w:t xml:space="preserve">ahead of </w:t>
      </w:r>
      <w:proofErr w:type="spellStart"/>
      <w:r w:rsidR="00C00E86" w:rsidRPr="00262141">
        <w:t>pembrolizumab</w:t>
      </w:r>
      <w:proofErr w:type="spellEnd"/>
      <w:r w:rsidR="005F340D" w:rsidRPr="00262141">
        <w:t xml:space="preserve">, and </w:t>
      </w:r>
      <w:r w:rsidR="005067E6" w:rsidRPr="00262141">
        <w:t xml:space="preserve">the current </w:t>
      </w:r>
      <w:r w:rsidR="00EE039B" w:rsidRPr="00262141">
        <w:t xml:space="preserve">PBS listing </w:t>
      </w:r>
      <w:r w:rsidR="005F340D" w:rsidRPr="00262141">
        <w:t>of BV as salvage therapy</w:t>
      </w:r>
      <w:r w:rsidR="00C00E86" w:rsidRPr="00262141">
        <w:t xml:space="preserve"> in the relapsed or refractory setting</w:t>
      </w:r>
      <w:r w:rsidR="005F340D" w:rsidRPr="00262141">
        <w:t>.</w:t>
      </w:r>
    </w:p>
    <w:p w:rsidR="00CC3220" w:rsidRPr="00B85B3B" w:rsidRDefault="00CC3220" w:rsidP="00FD12CC">
      <w:pPr>
        <w:pStyle w:val="ListParagraph"/>
        <w:numPr>
          <w:ilvl w:val="1"/>
          <w:numId w:val="3"/>
        </w:numPr>
      </w:pPr>
      <w:r w:rsidRPr="00920F2D">
        <w:t xml:space="preserve">The </w:t>
      </w:r>
      <w:r w:rsidR="00C2138A" w:rsidRPr="00920F2D">
        <w:t xml:space="preserve">current </w:t>
      </w:r>
      <w:r w:rsidRPr="00920F2D">
        <w:t xml:space="preserve">listing for BV </w:t>
      </w:r>
      <w:r w:rsidR="00EE039B">
        <w:t xml:space="preserve">would </w:t>
      </w:r>
      <w:r w:rsidRPr="00920F2D">
        <w:t xml:space="preserve">allow for </w:t>
      </w:r>
      <w:r w:rsidR="00C46679" w:rsidRPr="00920F2D">
        <w:t xml:space="preserve">BV to be used following progression on </w:t>
      </w:r>
      <w:proofErr w:type="spellStart"/>
      <w:r w:rsidR="00C46679" w:rsidRPr="00920F2D">
        <w:t>pembrolizumab</w:t>
      </w:r>
      <w:proofErr w:type="spellEnd"/>
      <w:r w:rsidR="00C46679" w:rsidRPr="00920F2D">
        <w:t xml:space="preserve">. </w:t>
      </w:r>
      <w:r w:rsidR="00030079" w:rsidRPr="00920F2D">
        <w:t xml:space="preserve"> </w:t>
      </w:r>
      <w:r w:rsidR="00C2138A" w:rsidRPr="0031434E">
        <w:t xml:space="preserve">Should </w:t>
      </w:r>
      <w:proofErr w:type="spellStart"/>
      <w:r w:rsidR="00C2138A" w:rsidRPr="0031434E">
        <w:t>pembrolizumab</w:t>
      </w:r>
      <w:proofErr w:type="spellEnd"/>
      <w:r w:rsidR="00C2138A" w:rsidRPr="0031434E">
        <w:t xml:space="preserve"> for </w:t>
      </w:r>
      <w:proofErr w:type="spellStart"/>
      <w:r w:rsidR="00410CAD">
        <w:t>rr</w:t>
      </w:r>
      <w:r w:rsidR="00BF4BCC">
        <w:t>c</w:t>
      </w:r>
      <w:r w:rsidR="00C2138A" w:rsidRPr="0031434E">
        <w:t>HL</w:t>
      </w:r>
      <w:proofErr w:type="spellEnd"/>
      <w:r w:rsidR="00C2138A" w:rsidRPr="0031434E">
        <w:t xml:space="preserve"> be recommended, it is likely that </w:t>
      </w:r>
      <w:r w:rsidR="009C369B">
        <w:t xml:space="preserve">some </w:t>
      </w:r>
      <w:r w:rsidR="00C46679" w:rsidRPr="0031434E">
        <w:rPr>
          <w:szCs w:val="24"/>
        </w:rPr>
        <w:t xml:space="preserve">BV </w:t>
      </w:r>
      <w:r w:rsidR="00C2138A" w:rsidRPr="0031434E">
        <w:rPr>
          <w:szCs w:val="24"/>
        </w:rPr>
        <w:t xml:space="preserve">would be displaced, rather than replaced, to a later line of therapy following </w:t>
      </w:r>
      <w:proofErr w:type="spellStart"/>
      <w:r w:rsidR="00C46679" w:rsidRPr="0031434E">
        <w:rPr>
          <w:szCs w:val="24"/>
        </w:rPr>
        <w:t>pembrolizumab</w:t>
      </w:r>
      <w:proofErr w:type="spellEnd"/>
      <w:r w:rsidR="00C2138A" w:rsidRPr="0031434E">
        <w:rPr>
          <w:szCs w:val="24"/>
        </w:rPr>
        <w:t>-failure</w:t>
      </w:r>
      <w:r w:rsidR="00C46679" w:rsidRPr="0031434E">
        <w:rPr>
          <w:szCs w:val="24"/>
        </w:rPr>
        <w:t xml:space="preserve"> in clinical practice</w:t>
      </w:r>
      <w:r w:rsidR="002E1072" w:rsidRPr="0031434E">
        <w:rPr>
          <w:szCs w:val="24"/>
        </w:rPr>
        <w:t xml:space="preserve">. </w:t>
      </w:r>
      <w:r w:rsidR="00C46679" w:rsidRPr="0031434E">
        <w:rPr>
          <w:szCs w:val="24"/>
        </w:rPr>
        <w:t xml:space="preserve"> </w:t>
      </w:r>
      <w:r w:rsidR="00AD3954" w:rsidRPr="0031434E">
        <w:rPr>
          <w:szCs w:val="24"/>
        </w:rPr>
        <w:t>T</w:t>
      </w:r>
      <w:r w:rsidR="00C46679" w:rsidRPr="0031434E">
        <w:rPr>
          <w:szCs w:val="24"/>
        </w:rPr>
        <w:t xml:space="preserve">his would have </w:t>
      </w:r>
      <w:r w:rsidR="00AD3954" w:rsidRPr="0031434E">
        <w:rPr>
          <w:szCs w:val="24"/>
        </w:rPr>
        <w:t xml:space="preserve">substantial </w:t>
      </w:r>
      <w:r w:rsidR="00C46679" w:rsidRPr="0031434E">
        <w:rPr>
          <w:szCs w:val="24"/>
        </w:rPr>
        <w:t>economic and financial implications.</w:t>
      </w:r>
      <w:r w:rsidR="00EE039B">
        <w:rPr>
          <w:szCs w:val="24"/>
        </w:rPr>
        <w:t xml:space="preserve"> </w:t>
      </w:r>
      <w:r w:rsidR="00C46679" w:rsidRPr="0031434E">
        <w:t xml:space="preserve"> </w:t>
      </w:r>
      <w:r w:rsidR="0031434E" w:rsidRPr="00262141">
        <w:t>The ESC agreed that</w:t>
      </w:r>
      <w:r w:rsidR="00963C3A" w:rsidRPr="00262141">
        <w:t>, over time,</w:t>
      </w:r>
      <w:r w:rsidR="0031434E" w:rsidRPr="00262141">
        <w:t xml:space="preserve"> the PBS listing of </w:t>
      </w:r>
      <w:proofErr w:type="spellStart"/>
      <w:r w:rsidR="0031434E" w:rsidRPr="00262141">
        <w:t>pembrolizumab</w:t>
      </w:r>
      <w:proofErr w:type="spellEnd"/>
      <w:r w:rsidR="0031434E" w:rsidRPr="00262141">
        <w:t xml:space="preserve"> would displace, rather than </w:t>
      </w:r>
      <w:r w:rsidR="00093C5F" w:rsidRPr="00262141">
        <w:t xml:space="preserve">replace, BV for the majority of patients. Further, the ESC noted that the clinical algorithm for HL was rapidly evolving, </w:t>
      </w:r>
      <w:r w:rsidR="0031434E" w:rsidRPr="00262141">
        <w:t xml:space="preserve">and </w:t>
      </w:r>
      <w:r w:rsidR="00093C5F" w:rsidRPr="00262141">
        <w:t>considered</w:t>
      </w:r>
      <w:r w:rsidR="0031434E" w:rsidRPr="00262141">
        <w:t xml:space="preserve"> that currently there was </w:t>
      </w:r>
      <w:r w:rsidR="00093C5F" w:rsidRPr="00262141">
        <w:t>insufficient</w:t>
      </w:r>
      <w:r w:rsidR="0031434E" w:rsidRPr="00262141">
        <w:t xml:space="preserve"> evidence to de</w:t>
      </w:r>
      <w:r w:rsidR="00093C5F" w:rsidRPr="00262141">
        <w:t>termine</w:t>
      </w:r>
      <w:r w:rsidR="0031434E" w:rsidRPr="00262141">
        <w:t xml:space="preserve"> </w:t>
      </w:r>
      <w:r w:rsidR="00093C5F" w:rsidRPr="00262141">
        <w:t xml:space="preserve">the </w:t>
      </w:r>
      <w:r w:rsidR="0031434E" w:rsidRPr="00262141">
        <w:t>order</w:t>
      </w:r>
      <w:r w:rsidR="00093C5F" w:rsidRPr="00262141">
        <w:t xml:space="preserve"> in which </w:t>
      </w:r>
      <w:proofErr w:type="spellStart"/>
      <w:r w:rsidR="00093C5F" w:rsidRPr="00262141">
        <w:t>pembrolizumab</w:t>
      </w:r>
      <w:proofErr w:type="spellEnd"/>
      <w:r w:rsidR="0031434E" w:rsidRPr="00262141">
        <w:t xml:space="preserve"> and BV would be prescribed in future clinical practice.</w:t>
      </w:r>
      <w:r w:rsidR="00FD12CC">
        <w:t xml:space="preserve"> The Pre-PBAC response (p.1) </w:t>
      </w:r>
      <w:r w:rsidR="00FD12CC" w:rsidRPr="00FD12CC">
        <w:t>acknowledge</w:t>
      </w:r>
      <w:r w:rsidR="00FD12CC">
        <w:t>d that there wa</w:t>
      </w:r>
      <w:r w:rsidR="00FD12CC" w:rsidRPr="00FD12CC">
        <w:t>s no evidence to dictate the order of treatment</w:t>
      </w:r>
      <w:r w:rsidR="00FD12CC">
        <w:t xml:space="preserve"> at present</w:t>
      </w:r>
      <w:r w:rsidR="00FD12CC" w:rsidRPr="00FD12CC">
        <w:t xml:space="preserve">, nor </w:t>
      </w:r>
      <w:r w:rsidR="00FD12CC">
        <w:t>are</w:t>
      </w:r>
      <w:r w:rsidR="00FD12CC" w:rsidRPr="00FD12CC">
        <w:t xml:space="preserve"> any trials currently underway</w:t>
      </w:r>
      <w:r w:rsidR="00FD12CC">
        <w:t xml:space="preserve"> that could inform the appropriate order of treatment in the near future</w:t>
      </w:r>
      <w:r w:rsidR="00E67ACB">
        <w:t>, but contended that this wa</w:t>
      </w:r>
      <w:r w:rsidR="00FD12CC" w:rsidRPr="00FD12CC">
        <w:t xml:space="preserve">s not unexpected, given the rarity of the condition. </w:t>
      </w:r>
    </w:p>
    <w:p w:rsidR="00B85B3B" w:rsidRPr="00920F2D" w:rsidRDefault="00B85B3B" w:rsidP="00B85B3B">
      <w:pPr>
        <w:pStyle w:val="ListParagraph"/>
      </w:pPr>
      <w:r w:rsidRPr="003C4DB4">
        <w:rPr>
          <w:rFonts w:ascii="Calibri" w:eastAsia="Times New Roman" w:hAnsi="Calibri" w:cs="Times New Roman"/>
          <w:i/>
          <w:szCs w:val="24"/>
        </w:rPr>
        <w:t>For more detail on PBAC’s view, see section 7 “PBAC outcome.”</w:t>
      </w:r>
    </w:p>
    <w:p w:rsidR="00DC44DD" w:rsidRPr="00920F2D" w:rsidRDefault="00DC44DD" w:rsidP="00DC44DD">
      <w:pPr>
        <w:pStyle w:val="Heading1"/>
        <w:ind w:left="709" w:hanging="709"/>
      </w:pPr>
      <w:bookmarkStart w:id="8" w:name="_Toc413139276"/>
      <w:bookmarkStart w:id="9" w:name="_Toc482711241"/>
      <w:r w:rsidRPr="00920F2D">
        <w:t>Co</w:t>
      </w:r>
      <w:r>
        <w:t>nsideration of the evidence</w:t>
      </w:r>
    </w:p>
    <w:p w:rsidR="00DC44DD" w:rsidRPr="00920F2D" w:rsidRDefault="00DC44DD" w:rsidP="00DC44DD">
      <w:pPr>
        <w:pStyle w:val="ListParagraph"/>
        <w:numPr>
          <w:ilvl w:val="0"/>
          <w:numId w:val="3"/>
        </w:numPr>
        <w:spacing w:before="200" w:after="120"/>
        <w:rPr>
          <w:rFonts w:ascii="Arial" w:eastAsia="Times New Roman" w:hAnsi="Arial" w:cs="Arial"/>
          <w:b/>
          <w:snapToGrid w:val="0"/>
          <w:vanish/>
          <w:sz w:val="22"/>
        </w:rPr>
      </w:pPr>
    </w:p>
    <w:p w:rsidR="008A337A" w:rsidRPr="00CB38A8" w:rsidRDefault="008A337A" w:rsidP="008A337A">
      <w:pPr>
        <w:pStyle w:val="Heading2"/>
      </w:pPr>
      <w:bookmarkStart w:id="10" w:name="_Toc413139277"/>
      <w:bookmarkStart w:id="11" w:name="_Toc482711242"/>
      <w:bookmarkEnd w:id="8"/>
      <w:bookmarkEnd w:id="9"/>
      <w:r>
        <w:t xml:space="preserve">Sponsor hearing </w:t>
      </w:r>
    </w:p>
    <w:p w:rsidR="00885114" w:rsidRPr="00885114" w:rsidRDefault="00885114" w:rsidP="00885114">
      <w:pPr>
        <w:pStyle w:val="ListParagraph"/>
        <w:numPr>
          <w:ilvl w:val="1"/>
          <w:numId w:val="17"/>
        </w:numPr>
        <w:rPr>
          <w:rFonts w:ascii="Calibri" w:eastAsia="Times New Roman" w:hAnsi="Calibri" w:cs="Arial"/>
          <w:bCs/>
          <w:snapToGrid w:val="0"/>
          <w:szCs w:val="24"/>
        </w:rPr>
      </w:pPr>
      <w:r w:rsidRPr="00885114">
        <w:rPr>
          <w:rFonts w:ascii="Calibri" w:eastAsia="Times New Roman" w:hAnsi="Calibri" w:cs="Arial"/>
          <w:bCs/>
          <w:snapToGrid w:val="0"/>
          <w:szCs w:val="24"/>
        </w:rPr>
        <w:t xml:space="preserve">The sponsor requested a hearing for this item.  At the hearing, a haematologist presented clinical case studies to support the effectiveness of </w:t>
      </w:r>
      <w:proofErr w:type="spellStart"/>
      <w:r>
        <w:rPr>
          <w:rFonts w:ascii="Calibri" w:eastAsia="Times New Roman" w:hAnsi="Calibri" w:cs="Arial"/>
          <w:bCs/>
          <w:snapToGrid w:val="0"/>
          <w:szCs w:val="24"/>
        </w:rPr>
        <w:t>pembrolizumab</w:t>
      </w:r>
      <w:proofErr w:type="spellEnd"/>
      <w:r>
        <w:rPr>
          <w:rFonts w:ascii="Calibri" w:eastAsia="Times New Roman" w:hAnsi="Calibri" w:cs="Arial"/>
          <w:bCs/>
          <w:snapToGrid w:val="0"/>
          <w:szCs w:val="24"/>
        </w:rPr>
        <w:t xml:space="preserve"> in both post</w:t>
      </w:r>
      <w:r w:rsidR="00BF4BCC">
        <w:rPr>
          <w:rFonts w:ascii="Calibri" w:eastAsia="Times New Roman" w:hAnsi="Calibri" w:cs="Arial"/>
          <w:bCs/>
          <w:snapToGrid w:val="0"/>
          <w:szCs w:val="24"/>
        </w:rPr>
        <w:t xml:space="preserve"> </w:t>
      </w:r>
      <w:r>
        <w:rPr>
          <w:rFonts w:ascii="Calibri" w:eastAsia="Times New Roman" w:hAnsi="Calibri" w:cs="Arial"/>
          <w:bCs/>
          <w:snapToGrid w:val="0"/>
          <w:szCs w:val="24"/>
        </w:rPr>
        <w:t xml:space="preserve">ASCR and ASCT naïve settings. The haematologist discussed promising results with </w:t>
      </w:r>
      <w:proofErr w:type="spellStart"/>
      <w:r>
        <w:rPr>
          <w:rFonts w:ascii="Calibri" w:eastAsia="Times New Roman" w:hAnsi="Calibri" w:cs="Arial"/>
          <w:bCs/>
          <w:snapToGrid w:val="0"/>
          <w:szCs w:val="24"/>
        </w:rPr>
        <w:t>nivolumab</w:t>
      </w:r>
      <w:proofErr w:type="spellEnd"/>
      <w:r>
        <w:rPr>
          <w:rFonts w:ascii="Calibri" w:eastAsia="Times New Roman" w:hAnsi="Calibri" w:cs="Arial"/>
          <w:bCs/>
          <w:snapToGrid w:val="0"/>
          <w:szCs w:val="24"/>
        </w:rPr>
        <w:t xml:space="preserve">, a pharmacological analogue of </w:t>
      </w:r>
      <w:proofErr w:type="spellStart"/>
      <w:r>
        <w:rPr>
          <w:rFonts w:ascii="Calibri" w:eastAsia="Times New Roman" w:hAnsi="Calibri" w:cs="Arial"/>
          <w:bCs/>
          <w:snapToGrid w:val="0"/>
          <w:szCs w:val="24"/>
        </w:rPr>
        <w:t>pembrolizumab</w:t>
      </w:r>
      <w:proofErr w:type="spellEnd"/>
      <w:r>
        <w:rPr>
          <w:rFonts w:ascii="Calibri" w:eastAsia="Times New Roman" w:hAnsi="Calibri" w:cs="Arial"/>
          <w:bCs/>
          <w:snapToGrid w:val="0"/>
          <w:szCs w:val="24"/>
        </w:rPr>
        <w:t xml:space="preserve">, </w:t>
      </w:r>
      <w:r w:rsidR="003C4DB4">
        <w:rPr>
          <w:rFonts w:ascii="Calibri" w:eastAsia="Times New Roman" w:hAnsi="Calibri" w:cs="Arial"/>
          <w:bCs/>
          <w:snapToGrid w:val="0"/>
          <w:szCs w:val="24"/>
        </w:rPr>
        <w:t xml:space="preserve">in patients with </w:t>
      </w:r>
      <w:proofErr w:type="spellStart"/>
      <w:r w:rsidR="003C4DB4">
        <w:rPr>
          <w:rFonts w:ascii="Calibri" w:eastAsia="Times New Roman" w:hAnsi="Calibri" w:cs="Arial"/>
          <w:bCs/>
          <w:snapToGrid w:val="0"/>
          <w:szCs w:val="24"/>
        </w:rPr>
        <w:t>rrcHL</w:t>
      </w:r>
      <w:proofErr w:type="spellEnd"/>
      <w:r>
        <w:rPr>
          <w:rFonts w:ascii="Calibri" w:eastAsia="Times New Roman" w:hAnsi="Calibri" w:cs="Arial"/>
          <w:bCs/>
          <w:snapToGrid w:val="0"/>
          <w:szCs w:val="24"/>
        </w:rPr>
        <w:t xml:space="preserve">, to further support the </w:t>
      </w:r>
      <w:r w:rsidR="00BF4BCC">
        <w:rPr>
          <w:rFonts w:ascii="Calibri" w:eastAsia="Times New Roman" w:hAnsi="Calibri" w:cs="Arial"/>
          <w:bCs/>
          <w:snapToGrid w:val="0"/>
          <w:szCs w:val="24"/>
        </w:rPr>
        <w:t xml:space="preserve">claimed </w:t>
      </w:r>
      <w:r>
        <w:rPr>
          <w:rFonts w:ascii="Calibri" w:eastAsia="Times New Roman" w:hAnsi="Calibri" w:cs="Arial"/>
          <w:bCs/>
          <w:snapToGrid w:val="0"/>
          <w:szCs w:val="24"/>
        </w:rPr>
        <w:t xml:space="preserve">effectiveness of </w:t>
      </w:r>
      <w:proofErr w:type="spellStart"/>
      <w:r>
        <w:rPr>
          <w:rFonts w:ascii="Calibri" w:eastAsia="Times New Roman" w:hAnsi="Calibri" w:cs="Arial"/>
          <w:bCs/>
          <w:snapToGrid w:val="0"/>
          <w:szCs w:val="24"/>
        </w:rPr>
        <w:t>pembrolizumab</w:t>
      </w:r>
      <w:proofErr w:type="spellEnd"/>
      <w:r>
        <w:rPr>
          <w:rFonts w:ascii="Calibri" w:eastAsia="Times New Roman" w:hAnsi="Calibri" w:cs="Arial"/>
          <w:bCs/>
          <w:snapToGrid w:val="0"/>
          <w:szCs w:val="24"/>
        </w:rPr>
        <w:t xml:space="preserve">. The haematologist indicated that </w:t>
      </w:r>
      <w:proofErr w:type="spellStart"/>
      <w:r>
        <w:rPr>
          <w:rFonts w:ascii="Calibri" w:eastAsia="Times New Roman" w:hAnsi="Calibri" w:cs="Arial"/>
          <w:bCs/>
          <w:snapToGrid w:val="0"/>
          <w:szCs w:val="24"/>
        </w:rPr>
        <w:t>pembrolizumab</w:t>
      </w:r>
      <w:proofErr w:type="spellEnd"/>
      <w:r>
        <w:rPr>
          <w:rFonts w:ascii="Calibri" w:eastAsia="Times New Roman" w:hAnsi="Calibri" w:cs="Arial"/>
          <w:bCs/>
          <w:snapToGrid w:val="0"/>
          <w:szCs w:val="24"/>
        </w:rPr>
        <w:t xml:space="preserve"> and BV were likely to be sequentially prescribed in practice in </w:t>
      </w:r>
      <w:r w:rsidR="0000669D">
        <w:rPr>
          <w:rFonts w:ascii="Calibri" w:eastAsia="Times New Roman" w:hAnsi="Calibri" w:cs="Arial"/>
          <w:bCs/>
          <w:snapToGrid w:val="0"/>
          <w:szCs w:val="24"/>
        </w:rPr>
        <w:t>later</w:t>
      </w:r>
      <w:r>
        <w:rPr>
          <w:rFonts w:ascii="Calibri" w:eastAsia="Times New Roman" w:hAnsi="Calibri" w:cs="Arial"/>
          <w:bCs/>
          <w:snapToGrid w:val="0"/>
          <w:szCs w:val="24"/>
        </w:rPr>
        <w:t xml:space="preserve"> line setting</w:t>
      </w:r>
      <w:r w:rsidR="0000669D">
        <w:rPr>
          <w:rFonts w:ascii="Calibri" w:eastAsia="Times New Roman" w:hAnsi="Calibri" w:cs="Arial"/>
          <w:bCs/>
          <w:snapToGrid w:val="0"/>
          <w:szCs w:val="24"/>
        </w:rPr>
        <w:t>s</w:t>
      </w:r>
      <w:r w:rsidRPr="00885114">
        <w:rPr>
          <w:rFonts w:ascii="Calibri" w:eastAsia="Times New Roman" w:hAnsi="Calibri" w:cs="Arial"/>
          <w:bCs/>
          <w:snapToGrid w:val="0"/>
          <w:szCs w:val="24"/>
        </w:rPr>
        <w:t xml:space="preserve">, and addressed other matters in response to the Committee’s questions. </w:t>
      </w:r>
      <w:r w:rsidR="00AD464E">
        <w:rPr>
          <w:rFonts w:ascii="Calibri" w:eastAsia="Times New Roman" w:hAnsi="Calibri" w:cs="Arial"/>
          <w:bCs/>
          <w:snapToGrid w:val="0"/>
          <w:szCs w:val="24"/>
        </w:rPr>
        <w:t xml:space="preserve">The optimal sequencing of BV and </w:t>
      </w:r>
      <w:proofErr w:type="spellStart"/>
      <w:r w:rsidR="00AD464E">
        <w:rPr>
          <w:rFonts w:ascii="Calibri" w:eastAsia="Times New Roman" w:hAnsi="Calibri" w:cs="Arial"/>
          <w:bCs/>
          <w:snapToGrid w:val="0"/>
          <w:szCs w:val="24"/>
        </w:rPr>
        <w:t>pembrolizumab</w:t>
      </w:r>
      <w:proofErr w:type="spellEnd"/>
      <w:r w:rsidR="00AD464E">
        <w:rPr>
          <w:rFonts w:ascii="Calibri" w:eastAsia="Times New Roman" w:hAnsi="Calibri" w:cs="Arial"/>
          <w:bCs/>
          <w:snapToGrid w:val="0"/>
          <w:szCs w:val="24"/>
        </w:rPr>
        <w:t xml:space="preserve"> would be assessed based on the clinician’s assessment of each individual’s circumstances. </w:t>
      </w:r>
      <w:r w:rsidRPr="00885114">
        <w:rPr>
          <w:rFonts w:ascii="Calibri" w:eastAsia="Times New Roman" w:hAnsi="Calibri" w:cs="Arial"/>
          <w:bCs/>
          <w:snapToGrid w:val="0"/>
          <w:szCs w:val="24"/>
        </w:rPr>
        <w:t xml:space="preserve">The PBAC considered that the hearing was informative as it provided a clinical perspective on the </w:t>
      </w:r>
      <w:r w:rsidR="003C4DB4">
        <w:rPr>
          <w:rFonts w:ascii="Calibri" w:eastAsia="Times New Roman" w:hAnsi="Calibri" w:cs="Arial"/>
          <w:bCs/>
          <w:snapToGrid w:val="0"/>
          <w:szCs w:val="24"/>
        </w:rPr>
        <w:t xml:space="preserve">potential use of </w:t>
      </w:r>
      <w:proofErr w:type="spellStart"/>
      <w:r w:rsidR="003C4DB4">
        <w:rPr>
          <w:rFonts w:ascii="Calibri" w:eastAsia="Times New Roman" w:hAnsi="Calibri" w:cs="Arial"/>
          <w:bCs/>
          <w:snapToGrid w:val="0"/>
          <w:szCs w:val="24"/>
        </w:rPr>
        <w:t>pembrolizumab</w:t>
      </w:r>
      <w:proofErr w:type="spellEnd"/>
      <w:r w:rsidR="003C4DB4">
        <w:rPr>
          <w:rFonts w:ascii="Calibri" w:eastAsia="Times New Roman" w:hAnsi="Calibri" w:cs="Arial"/>
          <w:bCs/>
          <w:snapToGrid w:val="0"/>
          <w:szCs w:val="24"/>
        </w:rPr>
        <w:t xml:space="preserve"> </w:t>
      </w:r>
      <w:r w:rsidR="00323022">
        <w:rPr>
          <w:rFonts w:ascii="Calibri" w:eastAsia="Times New Roman" w:hAnsi="Calibri" w:cs="Arial"/>
          <w:bCs/>
          <w:snapToGrid w:val="0"/>
          <w:szCs w:val="24"/>
        </w:rPr>
        <w:t xml:space="preserve">for </w:t>
      </w:r>
      <w:proofErr w:type="spellStart"/>
      <w:r w:rsidR="00323022">
        <w:rPr>
          <w:rFonts w:ascii="Calibri" w:eastAsia="Times New Roman" w:hAnsi="Calibri" w:cs="Arial"/>
          <w:bCs/>
          <w:snapToGrid w:val="0"/>
          <w:szCs w:val="24"/>
        </w:rPr>
        <w:t>rrcHL</w:t>
      </w:r>
      <w:proofErr w:type="spellEnd"/>
      <w:r w:rsidR="00323022">
        <w:rPr>
          <w:rFonts w:ascii="Calibri" w:eastAsia="Times New Roman" w:hAnsi="Calibri" w:cs="Arial"/>
          <w:bCs/>
          <w:snapToGrid w:val="0"/>
          <w:szCs w:val="24"/>
        </w:rPr>
        <w:t xml:space="preserve"> in the Australian clinical setting.</w:t>
      </w:r>
    </w:p>
    <w:p w:rsidR="008A337A" w:rsidRPr="00CB38A8" w:rsidRDefault="008A337A" w:rsidP="008A337A">
      <w:pPr>
        <w:pStyle w:val="Heading2"/>
      </w:pPr>
      <w:r>
        <w:t xml:space="preserve">Consumer comments </w:t>
      </w:r>
    </w:p>
    <w:p w:rsidR="00EE3C18" w:rsidRPr="00EE3C18" w:rsidRDefault="00DC44DD" w:rsidP="00EE3C18">
      <w:pPr>
        <w:pStyle w:val="ListParagraph"/>
        <w:numPr>
          <w:ilvl w:val="1"/>
          <w:numId w:val="3"/>
        </w:numPr>
        <w:rPr>
          <w:rFonts w:ascii="Calibri" w:eastAsia="Times New Roman" w:hAnsi="Calibri" w:cs="Arial"/>
          <w:bCs/>
          <w:snapToGrid w:val="0"/>
          <w:szCs w:val="24"/>
        </w:rPr>
      </w:pPr>
      <w:r w:rsidRPr="00EE3C18">
        <w:rPr>
          <w:rFonts w:ascii="Calibri" w:eastAsia="Times New Roman" w:hAnsi="Calibri" w:cs="Arial"/>
          <w:bCs/>
          <w:snapToGrid w:val="0"/>
          <w:szCs w:val="24"/>
        </w:rPr>
        <w:t>The PBAC noted and welcomed the input from individuals (125), health professionals (</w:t>
      </w:r>
      <w:r w:rsidR="00EE3C18" w:rsidRPr="00EE3C18">
        <w:rPr>
          <w:rFonts w:ascii="Calibri" w:eastAsia="Times New Roman" w:hAnsi="Calibri" w:cs="Arial"/>
          <w:bCs/>
          <w:snapToGrid w:val="0"/>
          <w:szCs w:val="24"/>
        </w:rPr>
        <w:t>1</w:t>
      </w:r>
      <w:r w:rsidRPr="00EE3C18">
        <w:rPr>
          <w:rFonts w:ascii="Calibri" w:eastAsia="Times New Roman" w:hAnsi="Calibri" w:cs="Arial"/>
          <w:bCs/>
          <w:snapToGrid w:val="0"/>
          <w:szCs w:val="24"/>
        </w:rPr>
        <w:t>) and organisations (</w:t>
      </w:r>
      <w:r w:rsidR="00EE3C18" w:rsidRPr="00EE3C18">
        <w:rPr>
          <w:rFonts w:ascii="Calibri" w:eastAsia="Times New Roman" w:hAnsi="Calibri" w:cs="Arial"/>
          <w:bCs/>
          <w:snapToGrid w:val="0"/>
          <w:szCs w:val="24"/>
        </w:rPr>
        <w:t>2</w:t>
      </w:r>
      <w:r w:rsidRPr="00EE3C18">
        <w:rPr>
          <w:rFonts w:ascii="Calibri" w:eastAsia="Times New Roman" w:hAnsi="Calibri" w:cs="Arial"/>
          <w:bCs/>
          <w:snapToGrid w:val="0"/>
          <w:szCs w:val="24"/>
        </w:rPr>
        <w:t xml:space="preserve">) via the Consumer Comments facility on the PBS website. </w:t>
      </w:r>
      <w:r w:rsidR="00EE3C18" w:rsidRPr="00EE3C18">
        <w:rPr>
          <w:rFonts w:ascii="Calibri" w:eastAsia="Times New Roman" w:hAnsi="Calibri" w:cs="Arial"/>
          <w:bCs/>
          <w:snapToGrid w:val="0"/>
          <w:szCs w:val="24"/>
        </w:rPr>
        <w:t xml:space="preserve">The comments highlighted the tolerability of </w:t>
      </w:r>
      <w:proofErr w:type="spellStart"/>
      <w:r w:rsidR="00EE3C18">
        <w:rPr>
          <w:rFonts w:ascii="Calibri" w:eastAsia="Times New Roman" w:hAnsi="Calibri" w:cs="Arial"/>
          <w:bCs/>
          <w:snapToGrid w:val="0"/>
          <w:szCs w:val="24"/>
        </w:rPr>
        <w:t>pembrolizumab</w:t>
      </w:r>
      <w:proofErr w:type="spellEnd"/>
      <w:r w:rsidR="00EE3C18" w:rsidRPr="00EE3C18">
        <w:rPr>
          <w:rFonts w:ascii="Calibri" w:eastAsia="Times New Roman" w:hAnsi="Calibri" w:cs="Arial"/>
          <w:bCs/>
          <w:snapToGrid w:val="0"/>
          <w:szCs w:val="24"/>
        </w:rPr>
        <w:t xml:space="preserve"> in heavily pre-treated patients</w:t>
      </w:r>
      <w:r w:rsidR="00EE3C18">
        <w:rPr>
          <w:rFonts w:ascii="Calibri" w:eastAsia="Times New Roman" w:hAnsi="Calibri" w:cs="Arial"/>
          <w:bCs/>
          <w:snapToGrid w:val="0"/>
          <w:szCs w:val="24"/>
        </w:rPr>
        <w:t xml:space="preserve"> compared to chemotherapy, and discussed its effects in improving quality of life and</w:t>
      </w:r>
      <w:r w:rsidR="00EE3C18" w:rsidRPr="00EE3C18">
        <w:rPr>
          <w:rFonts w:ascii="Calibri" w:eastAsia="Times New Roman" w:hAnsi="Calibri" w:cs="Arial"/>
          <w:bCs/>
          <w:snapToGrid w:val="0"/>
          <w:szCs w:val="24"/>
        </w:rPr>
        <w:t xml:space="preserve"> </w:t>
      </w:r>
      <w:r w:rsidR="00EE3C18">
        <w:rPr>
          <w:rFonts w:ascii="Calibri" w:eastAsia="Times New Roman" w:hAnsi="Calibri" w:cs="Arial"/>
          <w:bCs/>
          <w:snapToGrid w:val="0"/>
          <w:szCs w:val="24"/>
        </w:rPr>
        <w:t xml:space="preserve">slowing disease progression. </w:t>
      </w:r>
    </w:p>
    <w:p w:rsidR="00EE3C18" w:rsidRPr="00E615F1" w:rsidRDefault="00EE3C18" w:rsidP="00EE3C18">
      <w:pPr>
        <w:pStyle w:val="ListParagraph"/>
        <w:numPr>
          <w:ilvl w:val="1"/>
          <w:numId w:val="3"/>
        </w:numPr>
        <w:rPr>
          <w:rFonts w:ascii="Calibri" w:eastAsia="Times New Roman" w:hAnsi="Calibri" w:cs="Arial"/>
          <w:bCs/>
          <w:snapToGrid w:val="0"/>
          <w:szCs w:val="24"/>
        </w:rPr>
      </w:pPr>
      <w:r w:rsidRPr="00EE3C18">
        <w:rPr>
          <w:rFonts w:ascii="Calibri" w:eastAsia="Times New Roman" w:hAnsi="Calibri" w:cs="Arial"/>
          <w:bCs/>
          <w:snapToGrid w:val="0"/>
          <w:szCs w:val="24"/>
        </w:rPr>
        <w:t>The PBAC noted advice from Lymphoma Australia</w:t>
      </w:r>
      <w:r>
        <w:rPr>
          <w:rFonts w:ascii="Calibri" w:eastAsia="Times New Roman" w:hAnsi="Calibri" w:cs="Arial"/>
          <w:bCs/>
          <w:snapToGrid w:val="0"/>
          <w:szCs w:val="24"/>
        </w:rPr>
        <w:t xml:space="preserve"> advocating</w:t>
      </w:r>
      <w:r w:rsidRPr="00EE3C18">
        <w:rPr>
          <w:rFonts w:ascii="Calibri" w:eastAsia="Times New Roman" w:hAnsi="Calibri" w:cs="Arial"/>
          <w:bCs/>
          <w:snapToGrid w:val="0"/>
          <w:szCs w:val="24"/>
        </w:rPr>
        <w:t xml:space="preserve"> that </w:t>
      </w:r>
      <w:proofErr w:type="spellStart"/>
      <w:r>
        <w:rPr>
          <w:rFonts w:ascii="Calibri" w:eastAsia="Times New Roman" w:hAnsi="Calibri" w:cs="Arial"/>
          <w:bCs/>
          <w:snapToGrid w:val="0"/>
          <w:szCs w:val="24"/>
        </w:rPr>
        <w:t>pembrolizumab</w:t>
      </w:r>
      <w:proofErr w:type="spellEnd"/>
      <w:r w:rsidRPr="00EE3C18">
        <w:rPr>
          <w:rFonts w:ascii="Calibri" w:eastAsia="Times New Roman" w:hAnsi="Calibri" w:cs="Arial"/>
          <w:bCs/>
          <w:snapToGrid w:val="0"/>
          <w:szCs w:val="24"/>
        </w:rPr>
        <w:t xml:space="preserve"> is well tolerated and provides an improved quality of life to patients with </w:t>
      </w:r>
      <w:proofErr w:type="spellStart"/>
      <w:r>
        <w:rPr>
          <w:rFonts w:ascii="Calibri" w:eastAsia="Times New Roman" w:hAnsi="Calibri" w:cs="Arial"/>
          <w:bCs/>
          <w:snapToGrid w:val="0"/>
          <w:szCs w:val="24"/>
        </w:rPr>
        <w:t>rrcHL</w:t>
      </w:r>
      <w:proofErr w:type="spellEnd"/>
      <w:r w:rsidRPr="00EE3C18">
        <w:rPr>
          <w:rFonts w:ascii="Calibri" w:eastAsia="Times New Roman" w:hAnsi="Calibri" w:cs="Arial"/>
          <w:bCs/>
          <w:snapToGrid w:val="0"/>
          <w:szCs w:val="24"/>
        </w:rPr>
        <w:t xml:space="preserve">. The PBAC also noted Rare Cancer Australia’s support for PBS listing of </w:t>
      </w:r>
      <w:proofErr w:type="spellStart"/>
      <w:r w:rsidR="00AF7EE1">
        <w:rPr>
          <w:rFonts w:ascii="Calibri" w:eastAsia="Times New Roman" w:hAnsi="Calibri" w:cs="Arial"/>
          <w:bCs/>
          <w:snapToGrid w:val="0"/>
          <w:szCs w:val="24"/>
        </w:rPr>
        <w:t>pembrolizumab</w:t>
      </w:r>
      <w:proofErr w:type="spellEnd"/>
      <w:r w:rsidRPr="00EE3C18">
        <w:rPr>
          <w:rFonts w:ascii="Calibri" w:eastAsia="Times New Roman" w:hAnsi="Calibri" w:cs="Arial"/>
          <w:bCs/>
          <w:snapToGrid w:val="0"/>
          <w:szCs w:val="24"/>
        </w:rPr>
        <w:t xml:space="preserve">. The PBAC noted that this advice was </w:t>
      </w:r>
      <w:r>
        <w:rPr>
          <w:rFonts w:ascii="Calibri" w:eastAsia="Times New Roman" w:hAnsi="Calibri" w:cs="Arial"/>
          <w:bCs/>
          <w:snapToGrid w:val="0"/>
          <w:szCs w:val="24"/>
        </w:rPr>
        <w:t xml:space="preserve">supportive of </w:t>
      </w:r>
      <w:r w:rsidRPr="00EE3C18">
        <w:rPr>
          <w:rFonts w:ascii="Calibri" w:eastAsia="Times New Roman" w:hAnsi="Calibri" w:cs="Arial"/>
          <w:bCs/>
          <w:snapToGrid w:val="0"/>
          <w:szCs w:val="24"/>
        </w:rPr>
        <w:t xml:space="preserve">the evidence </w:t>
      </w:r>
      <w:r w:rsidRPr="00E615F1">
        <w:rPr>
          <w:rFonts w:ascii="Calibri" w:eastAsia="Times New Roman" w:hAnsi="Calibri" w:cs="Arial"/>
          <w:bCs/>
          <w:snapToGrid w:val="0"/>
          <w:szCs w:val="24"/>
        </w:rPr>
        <w:t>presented in the submission.</w:t>
      </w:r>
    </w:p>
    <w:p w:rsidR="00CC3220" w:rsidRPr="00CB38A8" w:rsidRDefault="00CC3220" w:rsidP="009C0DF6">
      <w:pPr>
        <w:pStyle w:val="Heading2"/>
      </w:pPr>
      <w:r w:rsidRPr="00E615F1">
        <w:t>Clinical trials</w:t>
      </w:r>
      <w:bookmarkEnd w:id="10"/>
      <w:bookmarkEnd w:id="11"/>
    </w:p>
    <w:p w:rsidR="00CC3220" w:rsidRPr="00A6709E" w:rsidRDefault="00CC3220" w:rsidP="009C0DF6">
      <w:pPr>
        <w:pStyle w:val="ListParagraph"/>
        <w:numPr>
          <w:ilvl w:val="1"/>
          <w:numId w:val="3"/>
        </w:numPr>
        <w:spacing w:before="0" w:after="120"/>
      </w:pPr>
      <w:r w:rsidRPr="00A6709E">
        <w:t>The</w:t>
      </w:r>
      <w:r w:rsidR="000C4F94">
        <w:t xml:space="preserve"> submission was based on </w:t>
      </w:r>
      <w:r w:rsidRPr="00A6709E">
        <w:t xml:space="preserve">data sourced from two </w:t>
      </w:r>
      <w:r w:rsidR="000C4F94">
        <w:t>single-</w:t>
      </w:r>
      <w:r w:rsidR="000C4F94" w:rsidRPr="00A6709E">
        <w:t xml:space="preserve">arm </w:t>
      </w:r>
      <w:proofErr w:type="spellStart"/>
      <w:r w:rsidRPr="00A6709E">
        <w:t>pembrolizumab</w:t>
      </w:r>
      <w:proofErr w:type="spellEnd"/>
      <w:r w:rsidRPr="00A6709E">
        <w:t xml:space="preserve"> studies, one </w:t>
      </w:r>
      <w:r w:rsidR="0049390F">
        <w:t xml:space="preserve">single-arm </w:t>
      </w:r>
      <w:r w:rsidRPr="00A6709E">
        <w:t xml:space="preserve">BV study and one retrospective </w:t>
      </w:r>
      <w:r w:rsidR="00BB2184">
        <w:t xml:space="preserve">salvage </w:t>
      </w:r>
      <w:r w:rsidRPr="00A6709E">
        <w:t>chemotherapy study.</w:t>
      </w:r>
    </w:p>
    <w:p w:rsidR="00CC3220" w:rsidRPr="00A6709E" w:rsidRDefault="00CC3220" w:rsidP="009C0DF6">
      <w:pPr>
        <w:pStyle w:val="ListParagraph"/>
        <w:spacing w:before="0" w:after="120"/>
        <w:rPr>
          <w:b/>
        </w:rPr>
      </w:pPr>
      <w:proofErr w:type="spellStart"/>
      <w:r w:rsidRPr="00A6709E">
        <w:rPr>
          <w:b/>
        </w:rPr>
        <w:t>Pembrolizumab</w:t>
      </w:r>
      <w:proofErr w:type="spellEnd"/>
      <w:r w:rsidRPr="00A6709E">
        <w:rPr>
          <w:b/>
        </w:rPr>
        <w:t xml:space="preserve"> studies:</w:t>
      </w:r>
    </w:p>
    <w:p w:rsidR="00CC3220" w:rsidRPr="00A6709E" w:rsidRDefault="00CC3220" w:rsidP="009C0DF6">
      <w:pPr>
        <w:pStyle w:val="ListParagraph"/>
        <w:spacing w:before="0" w:after="120"/>
      </w:pPr>
      <w:r w:rsidRPr="00A6709E">
        <w:t>KN087</w:t>
      </w:r>
      <w:r w:rsidR="00B57451">
        <w:t xml:space="preserve"> multi-cohort study (N=210)</w:t>
      </w:r>
      <w:r w:rsidRPr="00A6709E">
        <w:t xml:space="preserve">: </w:t>
      </w:r>
    </w:p>
    <w:p w:rsidR="00CC3220" w:rsidRPr="00920F2D" w:rsidRDefault="00CC3220" w:rsidP="00262141">
      <w:pPr>
        <w:pStyle w:val="ListParagraph"/>
        <w:numPr>
          <w:ilvl w:val="1"/>
          <w:numId w:val="8"/>
        </w:numPr>
        <w:spacing w:before="0" w:after="120"/>
      </w:pPr>
      <w:r w:rsidRPr="00920F2D">
        <w:t xml:space="preserve">Cohort 1 (N=69): </w:t>
      </w:r>
      <w:proofErr w:type="spellStart"/>
      <w:r w:rsidRPr="00920F2D">
        <w:t>rrcHL</w:t>
      </w:r>
      <w:proofErr w:type="spellEnd"/>
      <w:r w:rsidRPr="00920F2D">
        <w:t xml:space="preserve"> patients who had failed to achieve a response to any line of chemotherapy (including BV) or who had relapsed after ASCT and BV;</w:t>
      </w:r>
    </w:p>
    <w:p w:rsidR="00CC3220" w:rsidRPr="00920F2D" w:rsidRDefault="00CC3220" w:rsidP="00262141">
      <w:pPr>
        <w:pStyle w:val="ListParagraph"/>
        <w:numPr>
          <w:ilvl w:val="1"/>
          <w:numId w:val="8"/>
        </w:numPr>
        <w:spacing w:before="0" w:after="120"/>
      </w:pPr>
      <w:r w:rsidRPr="00920F2D">
        <w:t xml:space="preserve">Cohort 2 (N=81): </w:t>
      </w:r>
      <w:proofErr w:type="spellStart"/>
      <w:r w:rsidRPr="00920F2D">
        <w:t>rrcHL</w:t>
      </w:r>
      <w:proofErr w:type="spellEnd"/>
      <w:r w:rsidRPr="00920F2D">
        <w:t xml:space="preserve"> patients who had failed salvage chemotherapy and were ineligible for ASCT and had failed BV therapy; and</w:t>
      </w:r>
    </w:p>
    <w:p w:rsidR="00CC3220" w:rsidRPr="00920F2D" w:rsidRDefault="00CC3220" w:rsidP="00262141">
      <w:pPr>
        <w:pStyle w:val="ListParagraph"/>
        <w:numPr>
          <w:ilvl w:val="1"/>
          <w:numId w:val="8"/>
        </w:numPr>
        <w:spacing w:before="0" w:after="120"/>
      </w:pPr>
      <w:r w:rsidRPr="00920F2D">
        <w:t xml:space="preserve">Cohort 3 (N=60): </w:t>
      </w:r>
      <w:proofErr w:type="spellStart"/>
      <w:r w:rsidRPr="00920F2D">
        <w:t>rrcHL</w:t>
      </w:r>
      <w:proofErr w:type="spellEnd"/>
      <w:r w:rsidRPr="00920F2D">
        <w:t xml:space="preserve"> patients who had failed to achieve a response to any line of chemotherapy or progressed after ASCT and had not received BV post ASCT. </w:t>
      </w:r>
      <w:r w:rsidR="00030079" w:rsidRPr="00920F2D">
        <w:t xml:space="preserve"> </w:t>
      </w:r>
      <w:r w:rsidRPr="00920F2D">
        <w:t>These subjects could have received BV as part of primary or salvage treatment (25/60 or 40% of Cohort 3 had received BV).</w:t>
      </w:r>
    </w:p>
    <w:p w:rsidR="00CC3220" w:rsidRPr="00262141" w:rsidRDefault="00CC3220" w:rsidP="009C0DF6">
      <w:pPr>
        <w:pStyle w:val="ListParagraph"/>
        <w:spacing w:before="0" w:after="120"/>
      </w:pPr>
      <w:r w:rsidRPr="00262141">
        <w:t>KN013</w:t>
      </w:r>
      <w:r w:rsidR="000C4F94">
        <w:t>: One single-</w:t>
      </w:r>
      <w:r w:rsidRPr="00262141">
        <w:t xml:space="preserve">arm </w:t>
      </w:r>
      <w:r w:rsidR="000C4F94">
        <w:t xml:space="preserve">study </w:t>
      </w:r>
      <w:r w:rsidRPr="00262141">
        <w:t xml:space="preserve">(Cohort 3; N=31) included patients with </w:t>
      </w:r>
      <w:proofErr w:type="spellStart"/>
      <w:r w:rsidR="00EB44DD" w:rsidRPr="00262141">
        <w:t>rr</w:t>
      </w:r>
      <w:r w:rsidRPr="00262141">
        <w:t>cHL</w:t>
      </w:r>
      <w:proofErr w:type="spellEnd"/>
      <w:r w:rsidRPr="00262141">
        <w:t xml:space="preserve"> who had failed, were ineligible for or had refused a stem cell transplant (SCT).  </w:t>
      </w:r>
      <w:r w:rsidR="004D719A" w:rsidRPr="00262141">
        <w:t xml:space="preserve">9/31 (29%) were ineligible for or naïve to ASCT.  </w:t>
      </w:r>
      <w:r w:rsidRPr="00262141">
        <w:t>Patients in this cohort had to have been treated with or failed to respond to BV.</w:t>
      </w:r>
    </w:p>
    <w:p w:rsidR="003C6DB3" w:rsidRPr="00262141" w:rsidRDefault="003C6DB3" w:rsidP="009C0DF6">
      <w:pPr>
        <w:pStyle w:val="ListParagraph"/>
        <w:spacing w:before="0" w:after="120"/>
      </w:pPr>
      <w:r w:rsidRPr="00262141">
        <w:t xml:space="preserve">Only 35 (of a total 210) patients in KN087 and 0 of 31 patients in KN013 received </w:t>
      </w:r>
      <w:proofErr w:type="spellStart"/>
      <w:r w:rsidRPr="00262141">
        <w:t>pembrolizumab</w:t>
      </w:r>
      <w:proofErr w:type="spellEnd"/>
      <w:r w:rsidRPr="00262141">
        <w:t xml:space="preserve"> without having </w:t>
      </w:r>
      <w:r w:rsidR="00963C3A" w:rsidRPr="00262141">
        <w:t>previously received</w:t>
      </w:r>
      <w:r w:rsidRPr="00262141">
        <w:t xml:space="preserve"> BV</w:t>
      </w:r>
      <w:r w:rsidR="00963C3A" w:rsidRPr="00262141">
        <w:t>.</w:t>
      </w:r>
    </w:p>
    <w:p w:rsidR="00CC3220" w:rsidRPr="00920F2D" w:rsidRDefault="00CC3220" w:rsidP="009C0DF6">
      <w:pPr>
        <w:pStyle w:val="ListParagraph"/>
        <w:spacing w:before="0" w:after="120"/>
        <w:rPr>
          <w:b/>
        </w:rPr>
      </w:pPr>
      <w:proofErr w:type="spellStart"/>
      <w:r w:rsidRPr="00920F2D">
        <w:rPr>
          <w:b/>
        </w:rPr>
        <w:t>Brentuximab</w:t>
      </w:r>
      <w:proofErr w:type="spellEnd"/>
      <w:r w:rsidRPr="00920F2D">
        <w:rPr>
          <w:b/>
        </w:rPr>
        <w:t xml:space="preserve"> study: </w:t>
      </w:r>
    </w:p>
    <w:p w:rsidR="002E1072" w:rsidRPr="00920F2D" w:rsidRDefault="00783A76" w:rsidP="009C0DF6">
      <w:pPr>
        <w:pStyle w:val="ListParagraph"/>
        <w:spacing w:before="0" w:after="120"/>
      </w:pPr>
      <w:r>
        <w:t>Study 0003 (N=102) was a single-</w:t>
      </w:r>
      <w:r w:rsidR="00CC3220" w:rsidRPr="00920F2D">
        <w:t xml:space="preserve">arm study of BV in </w:t>
      </w:r>
      <w:proofErr w:type="spellStart"/>
      <w:r w:rsidR="00CC3220" w:rsidRPr="00920F2D">
        <w:t>rrcHL</w:t>
      </w:r>
      <w:proofErr w:type="spellEnd"/>
      <w:r w:rsidR="00CC3220" w:rsidRPr="00920F2D">
        <w:t xml:space="preserve"> patients after high-dose chemotherapy and ASCT</w:t>
      </w:r>
      <w:r w:rsidR="000C4F94">
        <w:t xml:space="preserve"> (post </w:t>
      </w:r>
      <w:r w:rsidR="002E1072" w:rsidRPr="00920F2D">
        <w:t>ASCT)</w:t>
      </w:r>
      <w:r w:rsidR="00CC3220" w:rsidRPr="00920F2D">
        <w:t xml:space="preserve">.  Patients had to have histologically documented CD30-positive Hodgkin's Reed-Sternberg cells.  </w:t>
      </w:r>
      <w:r w:rsidR="002E1072" w:rsidRPr="00920F2D">
        <w:t xml:space="preserve">However, the evidence for BV considered </w:t>
      </w:r>
      <w:r w:rsidR="00D747FD" w:rsidRPr="00920F2D">
        <w:t xml:space="preserve">by the PBAC </w:t>
      </w:r>
      <w:r w:rsidR="002E1072" w:rsidRPr="00920F2D">
        <w:t>in</w:t>
      </w:r>
      <w:r w:rsidR="00D747FD" w:rsidRPr="00920F2D">
        <w:t xml:space="preserve"> </w:t>
      </w:r>
      <w:r w:rsidR="002E1072" w:rsidRPr="00920F2D">
        <w:t>2016 was different from that presented in the current submission:</w:t>
      </w:r>
    </w:p>
    <w:p w:rsidR="00CC3220" w:rsidRPr="00920F2D" w:rsidRDefault="002E1072" w:rsidP="00262141">
      <w:pPr>
        <w:pStyle w:val="ListParagraph"/>
        <w:numPr>
          <w:ilvl w:val="0"/>
          <w:numId w:val="12"/>
        </w:numPr>
        <w:spacing w:before="0" w:after="120"/>
      </w:pPr>
      <w:r w:rsidRPr="00920F2D">
        <w:t xml:space="preserve">For </w:t>
      </w:r>
      <w:r w:rsidR="00D747FD" w:rsidRPr="00920F2D">
        <w:t xml:space="preserve">the </w:t>
      </w:r>
      <w:r w:rsidR="000C4F94">
        <w:t xml:space="preserve">post </w:t>
      </w:r>
      <w:r w:rsidRPr="00920F2D">
        <w:t xml:space="preserve">ASCT </w:t>
      </w:r>
      <w:r w:rsidR="00D747FD" w:rsidRPr="00920F2D">
        <w:t xml:space="preserve">population, although </w:t>
      </w:r>
      <w:r w:rsidRPr="00920F2D">
        <w:t xml:space="preserve">Study 0003 was </w:t>
      </w:r>
      <w:r w:rsidR="00D747FD" w:rsidRPr="00920F2D">
        <w:t xml:space="preserve">also </w:t>
      </w:r>
      <w:r w:rsidRPr="00920F2D">
        <w:t xml:space="preserve">considered </w:t>
      </w:r>
      <w:r w:rsidR="00D747FD" w:rsidRPr="00920F2D">
        <w:t xml:space="preserve">in 2016 </w:t>
      </w:r>
      <w:r w:rsidRPr="00920F2D">
        <w:t>by the PBAC</w:t>
      </w:r>
      <w:r w:rsidR="00D747FD" w:rsidRPr="00920F2D">
        <w:t xml:space="preserve">, </w:t>
      </w:r>
      <w:r w:rsidRPr="00920F2D">
        <w:t xml:space="preserve">only </w:t>
      </w:r>
      <w:r w:rsidR="00D747FD" w:rsidRPr="00920F2D">
        <w:t xml:space="preserve">data from </w:t>
      </w:r>
      <w:r w:rsidRPr="00920F2D">
        <w:t xml:space="preserve">a subgroup </w:t>
      </w:r>
      <w:r w:rsidR="00D747FD" w:rsidRPr="00920F2D">
        <w:t xml:space="preserve">of </w:t>
      </w:r>
      <w:r w:rsidRPr="00920F2D">
        <w:t>1</w:t>
      </w:r>
      <w:r w:rsidRPr="00920F2D">
        <w:rPr>
          <w:vertAlign w:val="superscript"/>
        </w:rPr>
        <w:t>st</w:t>
      </w:r>
      <w:r w:rsidR="000C4F94">
        <w:t xml:space="preserve"> line post </w:t>
      </w:r>
      <w:r w:rsidRPr="00920F2D">
        <w:t>ASCT</w:t>
      </w:r>
      <w:r w:rsidR="00D747FD" w:rsidRPr="00920F2D">
        <w:t xml:space="preserve"> patients in 0003 were presented</w:t>
      </w:r>
      <w:r w:rsidRPr="00920F2D">
        <w:t xml:space="preserve"> (n=45)</w:t>
      </w:r>
      <w:r w:rsidR="00D747FD" w:rsidRPr="00920F2D">
        <w:t>.  These data were supplemented by unpublished data from the AETHERA study for placebo arm patients who, during long term follow-up, received BV 1</w:t>
      </w:r>
      <w:r w:rsidR="00D747FD" w:rsidRPr="00920F2D">
        <w:rPr>
          <w:vertAlign w:val="superscript"/>
        </w:rPr>
        <w:t>st</w:t>
      </w:r>
      <w:r w:rsidR="000C4F94">
        <w:t xml:space="preserve"> </w:t>
      </w:r>
      <w:r w:rsidR="00D747FD" w:rsidRPr="00920F2D">
        <w:t>line post ASCT); and</w:t>
      </w:r>
    </w:p>
    <w:p w:rsidR="00D747FD" w:rsidRPr="00920F2D" w:rsidRDefault="00D747FD" w:rsidP="00262141">
      <w:pPr>
        <w:pStyle w:val="ListParagraph"/>
        <w:numPr>
          <w:ilvl w:val="0"/>
          <w:numId w:val="12"/>
        </w:numPr>
        <w:spacing w:before="0" w:after="120"/>
      </w:pPr>
      <w:r w:rsidRPr="00920F2D">
        <w:t xml:space="preserve">For the ASCT ineligible/naïve population, the PBAC considered several BV studies in November 2016. No BV evidence </w:t>
      </w:r>
      <w:r w:rsidR="006E3B04">
        <w:t xml:space="preserve">in this population </w:t>
      </w:r>
      <w:r w:rsidRPr="00920F2D">
        <w:t xml:space="preserve">was presented in </w:t>
      </w:r>
      <w:r w:rsidR="006E3B04">
        <w:t>this</w:t>
      </w:r>
      <w:r w:rsidRPr="00920F2D">
        <w:t xml:space="preserve"> submission.</w:t>
      </w:r>
    </w:p>
    <w:p w:rsidR="00CC3220" w:rsidRPr="005E3AF4" w:rsidRDefault="00BB2184" w:rsidP="009C0DF6">
      <w:pPr>
        <w:pStyle w:val="ListParagraph"/>
        <w:spacing w:before="0" w:after="120"/>
        <w:rPr>
          <w:b/>
        </w:rPr>
      </w:pPr>
      <w:r>
        <w:rPr>
          <w:b/>
        </w:rPr>
        <w:t>Salvage c</w:t>
      </w:r>
      <w:r w:rsidR="00CC3220" w:rsidRPr="005E3AF4">
        <w:rPr>
          <w:b/>
        </w:rPr>
        <w:t xml:space="preserve">hemotherapy (gemcitabine plus </w:t>
      </w:r>
      <w:proofErr w:type="spellStart"/>
      <w:r w:rsidR="00CC3220" w:rsidRPr="005E3AF4">
        <w:rPr>
          <w:b/>
        </w:rPr>
        <w:t>vinorelbine</w:t>
      </w:r>
      <w:proofErr w:type="spellEnd"/>
      <w:r w:rsidR="00CC3220" w:rsidRPr="005E3AF4">
        <w:rPr>
          <w:b/>
        </w:rPr>
        <w:t>) study:</w:t>
      </w:r>
    </w:p>
    <w:p w:rsidR="00CC3220" w:rsidRPr="005E3AF4" w:rsidRDefault="00CC3220" w:rsidP="009C0DF6">
      <w:pPr>
        <w:pStyle w:val="ListParagraph"/>
        <w:spacing w:before="0" w:after="120"/>
      </w:pPr>
      <w:proofErr w:type="spellStart"/>
      <w:r w:rsidRPr="005E3AF4">
        <w:t>Czyz</w:t>
      </w:r>
      <w:proofErr w:type="spellEnd"/>
      <w:r w:rsidRPr="005E3AF4">
        <w:t xml:space="preserve"> et al, 2013 (N=37)</w:t>
      </w:r>
      <w:r>
        <w:t xml:space="preserve"> </w:t>
      </w:r>
      <w:r w:rsidRPr="005E3AF4">
        <w:t xml:space="preserve">was a retrospective study of </w:t>
      </w:r>
      <w:r>
        <w:t>two g</w:t>
      </w:r>
      <w:r w:rsidRPr="005E3AF4">
        <w:t>emcitabine based therap</w:t>
      </w:r>
      <w:r>
        <w:t xml:space="preserve">ies in </w:t>
      </w:r>
      <w:r w:rsidRPr="005E3AF4">
        <w:t xml:space="preserve">patients with </w:t>
      </w:r>
      <w:proofErr w:type="spellStart"/>
      <w:r w:rsidRPr="005E3AF4">
        <w:t>cHL</w:t>
      </w:r>
      <w:proofErr w:type="spellEnd"/>
      <w:r w:rsidRPr="005E3AF4">
        <w:t xml:space="preserve"> who had relapsed or progressed after receiving ASCT.  </w:t>
      </w:r>
      <w:r>
        <w:t xml:space="preserve">The intention of treatment was to </w:t>
      </w:r>
      <w:r w:rsidRPr="005E3AF4">
        <w:t>reduc</w:t>
      </w:r>
      <w:r>
        <w:t>e</w:t>
      </w:r>
      <w:r w:rsidRPr="005E3AF4">
        <w:t xml:space="preserve"> tumour burden in order to proceed to either an allogen</w:t>
      </w:r>
      <w:r w:rsidR="0000669D">
        <w:t>e</w:t>
      </w:r>
      <w:r w:rsidRPr="005E3AF4">
        <w:t>ic SCT or a second ASCT.</w:t>
      </w:r>
    </w:p>
    <w:p w:rsidR="00CC3220" w:rsidRPr="00CB38A8" w:rsidRDefault="00CC3220" w:rsidP="009C0DF6">
      <w:pPr>
        <w:pStyle w:val="ListParagraph"/>
        <w:numPr>
          <w:ilvl w:val="1"/>
          <w:numId w:val="3"/>
        </w:numPr>
        <w:spacing w:before="0" w:after="120"/>
      </w:pPr>
      <w:r w:rsidRPr="003F6199">
        <w:t xml:space="preserve">Details of the </w:t>
      </w:r>
      <w:r>
        <w:t>studies</w:t>
      </w:r>
      <w:r w:rsidRPr="003F6199">
        <w:t xml:space="preserve"> presented in the submission are provided in the table below.  </w:t>
      </w:r>
    </w:p>
    <w:p w:rsidR="00175B20" w:rsidRDefault="00175B20" w:rsidP="00175B20">
      <w:pPr>
        <w:pStyle w:val="Caption"/>
      </w:pPr>
      <w:r>
        <w:t xml:space="preserve">Table </w:t>
      </w:r>
      <w:r>
        <w:rPr>
          <w:noProof/>
        </w:rPr>
        <w:t>2</w:t>
      </w:r>
      <w:r w:rsidRPr="00C52435">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3564"/>
        <w:gridCol w:w="3785"/>
      </w:tblGrid>
      <w:tr w:rsidR="00CC3220" w:rsidRPr="004E2ADC" w:rsidTr="009C0DF6">
        <w:trPr>
          <w:tblHeader/>
        </w:trPr>
        <w:tc>
          <w:tcPr>
            <w:tcW w:w="954" w:type="pct"/>
          </w:tcPr>
          <w:p w:rsidR="00CC3220" w:rsidRPr="00993CC9" w:rsidRDefault="00CC3220" w:rsidP="009C0DF6">
            <w:pPr>
              <w:pStyle w:val="TableText"/>
              <w:keepNext w:val="0"/>
              <w:keepLines/>
              <w:spacing w:before="0" w:after="0"/>
              <w:rPr>
                <w:b/>
              </w:rPr>
            </w:pPr>
            <w:r w:rsidRPr="00993CC9">
              <w:rPr>
                <w:b/>
              </w:rPr>
              <w:t>Trial ID</w:t>
            </w:r>
            <w:r>
              <w:rPr>
                <w:b/>
              </w:rPr>
              <w:t>/First Author</w:t>
            </w:r>
          </w:p>
        </w:tc>
        <w:tc>
          <w:tcPr>
            <w:tcW w:w="1962" w:type="pct"/>
          </w:tcPr>
          <w:p w:rsidR="00CC3220" w:rsidRPr="00993CC9" w:rsidRDefault="00CC3220" w:rsidP="009C0DF6">
            <w:pPr>
              <w:pStyle w:val="TableText"/>
              <w:keepNext w:val="0"/>
              <w:keepLines/>
              <w:spacing w:before="0" w:after="0"/>
              <w:rPr>
                <w:b/>
              </w:rPr>
            </w:pPr>
            <w:r w:rsidRPr="00993CC9">
              <w:rPr>
                <w:b/>
              </w:rPr>
              <w:t>Protocol title/ Publication title</w:t>
            </w:r>
          </w:p>
        </w:tc>
        <w:tc>
          <w:tcPr>
            <w:tcW w:w="2084" w:type="pct"/>
          </w:tcPr>
          <w:p w:rsidR="00CC3220" w:rsidRPr="00993CC9" w:rsidRDefault="00CC3220" w:rsidP="009C0DF6">
            <w:pPr>
              <w:pStyle w:val="TableText"/>
              <w:keepNext w:val="0"/>
              <w:keepLines/>
              <w:spacing w:before="0" w:after="0"/>
              <w:rPr>
                <w:b/>
              </w:rPr>
            </w:pPr>
            <w:r w:rsidRPr="00993CC9">
              <w:rPr>
                <w:b/>
              </w:rPr>
              <w:t>Publication citation</w:t>
            </w:r>
          </w:p>
        </w:tc>
      </w:tr>
      <w:tr w:rsidR="00CC3220" w:rsidRPr="004E2ADC" w:rsidTr="00340B7C">
        <w:tc>
          <w:tcPr>
            <w:tcW w:w="5000" w:type="pct"/>
            <w:gridSpan w:val="3"/>
          </w:tcPr>
          <w:p w:rsidR="00CC3220" w:rsidRPr="00993CC9" w:rsidRDefault="00783A76" w:rsidP="00783A76">
            <w:pPr>
              <w:pStyle w:val="TableText"/>
              <w:keepNext w:val="0"/>
              <w:keepLines/>
              <w:spacing w:before="0" w:after="0"/>
              <w:rPr>
                <w:b/>
              </w:rPr>
            </w:pPr>
            <w:proofErr w:type="spellStart"/>
            <w:r>
              <w:rPr>
                <w:b/>
              </w:rPr>
              <w:t>Pembrolizumab</w:t>
            </w:r>
            <w:proofErr w:type="spellEnd"/>
            <w:r>
              <w:rPr>
                <w:b/>
              </w:rPr>
              <w:t xml:space="preserve"> (single-</w:t>
            </w:r>
            <w:r w:rsidR="00CC3220">
              <w:rPr>
                <w:b/>
              </w:rPr>
              <w:t xml:space="preserve">arm </w:t>
            </w:r>
            <w:r>
              <w:rPr>
                <w:b/>
              </w:rPr>
              <w:t>studies</w:t>
            </w:r>
            <w:r w:rsidR="00CC3220">
              <w:rPr>
                <w:b/>
              </w:rPr>
              <w:t>)</w:t>
            </w:r>
          </w:p>
        </w:tc>
      </w:tr>
      <w:tr w:rsidR="00CC3220" w:rsidRPr="004E2ADC" w:rsidTr="00B51393">
        <w:tc>
          <w:tcPr>
            <w:tcW w:w="954" w:type="pct"/>
          </w:tcPr>
          <w:p w:rsidR="00CC3220" w:rsidRPr="00D451FC" w:rsidRDefault="00CC3220" w:rsidP="009C0DF6">
            <w:pPr>
              <w:pStyle w:val="TableText"/>
              <w:keepNext w:val="0"/>
              <w:keepLines/>
              <w:spacing w:before="0" w:after="0"/>
            </w:pPr>
            <w:r>
              <w:t>KN087</w:t>
            </w:r>
          </w:p>
        </w:tc>
        <w:tc>
          <w:tcPr>
            <w:tcW w:w="1962" w:type="pct"/>
          </w:tcPr>
          <w:p w:rsidR="00CC3220" w:rsidRDefault="00CC3220" w:rsidP="009C0DF6">
            <w:pPr>
              <w:pStyle w:val="TableText"/>
              <w:keepNext w:val="0"/>
              <w:keepLines/>
              <w:spacing w:before="0" w:after="0"/>
            </w:pPr>
            <w:r w:rsidRPr="002A73CE">
              <w:t>A Phase II Clinical Trial of MK-3475 (</w:t>
            </w:r>
            <w:proofErr w:type="spellStart"/>
            <w:r w:rsidRPr="002A73CE">
              <w:t>Pembrolizumab</w:t>
            </w:r>
            <w:proofErr w:type="spellEnd"/>
            <w:r w:rsidRPr="002A73CE">
              <w:t xml:space="preserve">) in Subjects with Relapsed or Refractory (R/R) Classical </w:t>
            </w:r>
            <w:r>
              <w:t>Hodgkin Lymphoma (</w:t>
            </w:r>
            <w:proofErr w:type="spellStart"/>
            <w:r>
              <w:t>cHL</w:t>
            </w:r>
            <w:proofErr w:type="spellEnd"/>
            <w:r>
              <w:t>) P087V01.</w:t>
            </w:r>
          </w:p>
          <w:p w:rsidR="00CC3220" w:rsidRDefault="00CC3220" w:rsidP="009C0DF6">
            <w:pPr>
              <w:pStyle w:val="TableText"/>
              <w:keepNext w:val="0"/>
              <w:keepLines/>
              <w:spacing w:before="0" w:after="0"/>
            </w:pPr>
          </w:p>
          <w:p w:rsidR="00CC3220" w:rsidRPr="00D14A8C" w:rsidRDefault="00CC3220" w:rsidP="009C0DF6">
            <w:pPr>
              <w:pStyle w:val="TableText"/>
              <w:keepNext w:val="0"/>
              <w:keepLines/>
              <w:spacing w:before="0" w:after="0"/>
              <w:rPr>
                <w:u w:val="single"/>
              </w:rPr>
            </w:pPr>
            <w:r>
              <w:rPr>
                <w:u w:val="single"/>
              </w:rPr>
              <w:t>Abstracts</w:t>
            </w:r>
          </w:p>
          <w:p w:rsidR="00CC3220" w:rsidRDefault="00CC3220" w:rsidP="009C0DF6">
            <w:pPr>
              <w:pStyle w:val="TableText"/>
              <w:keepNext w:val="0"/>
              <w:keepLines/>
              <w:spacing w:before="0" w:after="0"/>
            </w:pPr>
            <w:r>
              <w:t xml:space="preserve">Chen </w:t>
            </w:r>
            <w:r w:rsidRPr="00D14A8C">
              <w:rPr>
                <w:i/>
              </w:rPr>
              <w:t>et al</w:t>
            </w:r>
            <w:r>
              <w:t xml:space="preserve">. Phase II study of </w:t>
            </w:r>
            <w:proofErr w:type="spellStart"/>
            <w:r>
              <w:t>pembrolizumab</w:t>
            </w:r>
            <w:proofErr w:type="spellEnd"/>
            <w:r>
              <w:t xml:space="preserve"> (MK-3475) for relapsed/refractory classical Hodgkin Lymphoma (r/r </w:t>
            </w:r>
            <w:proofErr w:type="spellStart"/>
            <w:r>
              <w:t>cHL</w:t>
            </w:r>
            <w:proofErr w:type="spellEnd"/>
            <w:r>
              <w:t xml:space="preserve">): Keynote-087. </w:t>
            </w:r>
          </w:p>
          <w:p w:rsidR="00CC3220" w:rsidRDefault="00CC3220" w:rsidP="009C0DF6">
            <w:pPr>
              <w:pStyle w:val="TableText"/>
              <w:keepNext w:val="0"/>
              <w:keepLines/>
              <w:spacing w:before="0" w:after="0"/>
            </w:pPr>
          </w:p>
          <w:p w:rsidR="00CC3220" w:rsidRPr="00D451FC" w:rsidRDefault="00CC3220" w:rsidP="009C0DF6">
            <w:pPr>
              <w:pStyle w:val="TableText"/>
              <w:keepNext w:val="0"/>
              <w:keepLines/>
              <w:spacing w:before="0" w:after="0"/>
            </w:pPr>
            <w:r>
              <w:t xml:space="preserve">Chen </w:t>
            </w:r>
            <w:r w:rsidRPr="00D14A8C">
              <w:rPr>
                <w:i/>
              </w:rPr>
              <w:t>et al</w:t>
            </w:r>
            <w:r>
              <w:t xml:space="preserve">. </w:t>
            </w:r>
            <w:proofErr w:type="spellStart"/>
            <w:r>
              <w:t>Pembrolizumab</w:t>
            </w:r>
            <w:proofErr w:type="spellEnd"/>
            <w:r>
              <w:t xml:space="preserve"> for relapsed/refractory classical Hodgkin lymphoma (R/R </w:t>
            </w:r>
            <w:proofErr w:type="spellStart"/>
            <w:r>
              <w:t>cHL</w:t>
            </w:r>
            <w:proofErr w:type="spellEnd"/>
            <w:r>
              <w:t xml:space="preserve">): phase 2 KEYNOTE-087 </w:t>
            </w:r>
            <w:proofErr w:type="gramStart"/>
            <w:r>
              <w:t>study</w:t>
            </w:r>
            <w:proofErr w:type="gramEnd"/>
            <w:r>
              <w:t xml:space="preserve">. </w:t>
            </w:r>
          </w:p>
        </w:tc>
        <w:tc>
          <w:tcPr>
            <w:tcW w:w="2084" w:type="pct"/>
          </w:tcPr>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rsidRPr="00D14A8C">
              <w:rPr>
                <w:i/>
              </w:rPr>
              <w:t xml:space="preserve">Journal for </w:t>
            </w:r>
            <w:proofErr w:type="spellStart"/>
            <w:r w:rsidRPr="00D14A8C">
              <w:rPr>
                <w:i/>
              </w:rPr>
              <w:t>ImmunoTherapy</w:t>
            </w:r>
            <w:proofErr w:type="spellEnd"/>
            <w:r w:rsidRPr="00D14A8C">
              <w:rPr>
                <w:i/>
              </w:rPr>
              <w:t xml:space="preserve"> of Cancer</w:t>
            </w:r>
            <w:r>
              <w:t xml:space="preserve"> 2015; 3 (Supplement 2).p146. </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Pr="00D451FC" w:rsidRDefault="00CC3220" w:rsidP="009C0DF6">
            <w:pPr>
              <w:pStyle w:val="TableText"/>
              <w:keepNext w:val="0"/>
              <w:keepLines/>
              <w:spacing w:before="0" w:after="0"/>
            </w:pPr>
            <w:r w:rsidRPr="00D14A8C">
              <w:rPr>
                <w:i/>
              </w:rPr>
              <w:t xml:space="preserve">Journal of Clinical Oncology </w:t>
            </w:r>
            <w:r>
              <w:t>2016; 34ASCO Abstract 7555.</w:t>
            </w:r>
          </w:p>
        </w:tc>
      </w:tr>
      <w:tr w:rsidR="00CC3220" w:rsidRPr="004E2ADC" w:rsidTr="00B51393">
        <w:tc>
          <w:tcPr>
            <w:tcW w:w="954" w:type="pct"/>
          </w:tcPr>
          <w:p w:rsidR="00CC3220" w:rsidRPr="00ED54AB" w:rsidRDefault="00CC3220" w:rsidP="009C0DF6">
            <w:pPr>
              <w:pStyle w:val="TableText"/>
              <w:keepNext w:val="0"/>
              <w:keepLines/>
              <w:spacing w:before="0" w:after="0"/>
              <w:rPr>
                <w:b/>
              </w:rPr>
            </w:pPr>
            <w:r w:rsidRPr="008F3891">
              <w:t>KN013</w:t>
            </w:r>
          </w:p>
        </w:tc>
        <w:tc>
          <w:tcPr>
            <w:tcW w:w="1962" w:type="pct"/>
          </w:tcPr>
          <w:p w:rsidR="00CC3220" w:rsidRDefault="00CC3220" w:rsidP="009C0DF6">
            <w:pPr>
              <w:pStyle w:val="TableText"/>
              <w:keepNext w:val="0"/>
              <w:keepLines/>
              <w:spacing w:before="0" w:after="0"/>
            </w:pPr>
            <w:r w:rsidRPr="00327F41">
              <w:t xml:space="preserve">A Phase </w:t>
            </w:r>
            <w:proofErr w:type="spellStart"/>
            <w:r w:rsidRPr="00327F41">
              <w:t>Ib</w:t>
            </w:r>
            <w:proofErr w:type="spellEnd"/>
            <w:r w:rsidRPr="00327F41">
              <w:t xml:space="preserve"> Multi-Cohort Trial of MK-3475 (</w:t>
            </w:r>
            <w:proofErr w:type="spellStart"/>
            <w:r w:rsidRPr="00327F41">
              <w:t>pembrolizumab</w:t>
            </w:r>
            <w:proofErr w:type="spellEnd"/>
            <w:r w:rsidRPr="00327F41">
              <w:t>) in Subjects with Hematologic Malignancies. P013V01</w:t>
            </w:r>
            <w:r w:rsidRPr="00D451FC">
              <w:t>.</w:t>
            </w:r>
          </w:p>
          <w:p w:rsidR="00CC3220" w:rsidRDefault="00CC3220" w:rsidP="009C0DF6">
            <w:pPr>
              <w:pStyle w:val="TableText"/>
              <w:keepNext w:val="0"/>
              <w:keepLines/>
              <w:spacing w:before="0" w:after="0"/>
            </w:pPr>
          </w:p>
          <w:p w:rsidR="00CC3220" w:rsidRPr="00327F41" w:rsidRDefault="00CC3220" w:rsidP="009C0DF6">
            <w:pPr>
              <w:pStyle w:val="TableText"/>
              <w:keepNext w:val="0"/>
              <w:keepLines/>
              <w:spacing w:before="0" w:after="0"/>
              <w:rPr>
                <w:u w:val="single"/>
              </w:rPr>
            </w:pPr>
            <w:r w:rsidRPr="00327F41">
              <w:rPr>
                <w:u w:val="single"/>
              </w:rPr>
              <w:t>Publication</w:t>
            </w:r>
          </w:p>
          <w:p w:rsidR="00CC3220" w:rsidRDefault="00CC3220" w:rsidP="009C0DF6">
            <w:pPr>
              <w:pStyle w:val="TableText"/>
              <w:keepNext w:val="0"/>
              <w:keepLines/>
              <w:spacing w:before="0" w:after="0"/>
            </w:pPr>
            <w:r w:rsidRPr="00327F41">
              <w:t xml:space="preserve">Armand </w:t>
            </w:r>
            <w:r w:rsidRPr="00327F41">
              <w:rPr>
                <w:i/>
              </w:rPr>
              <w:t>et al</w:t>
            </w:r>
            <w:r w:rsidRPr="00327F41">
              <w:t xml:space="preserve">. Programmed death-1 blockade with </w:t>
            </w:r>
            <w:proofErr w:type="spellStart"/>
            <w:r w:rsidRPr="00327F41">
              <w:t>pembrolizumab</w:t>
            </w:r>
            <w:proofErr w:type="spellEnd"/>
            <w:r w:rsidRPr="00327F41">
              <w:t xml:space="preserve"> in patients with classical Hodgkin lymphoma aft</w:t>
            </w:r>
            <w:r>
              <w:t xml:space="preserve">er </w:t>
            </w:r>
            <w:proofErr w:type="spellStart"/>
            <w:r>
              <w:t>brentuximab</w:t>
            </w:r>
            <w:proofErr w:type="spellEnd"/>
            <w:r>
              <w:t xml:space="preserve"> </w:t>
            </w:r>
            <w:proofErr w:type="spellStart"/>
            <w:r>
              <w:t>vedotin</w:t>
            </w:r>
            <w:proofErr w:type="spellEnd"/>
            <w:r>
              <w:t xml:space="preserve"> failure.</w:t>
            </w:r>
          </w:p>
          <w:p w:rsidR="00CC3220" w:rsidRDefault="00CC3220" w:rsidP="009C0DF6">
            <w:pPr>
              <w:pStyle w:val="TableText"/>
              <w:keepNext w:val="0"/>
              <w:keepLines/>
              <w:spacing w:before="0" w:after="0"/>
            </w:pPr>
          </w:p>
          <w:p w:rsidR="00BC175D" w:rsidRDefault="00CC3220" w:rsidP="009C0DF6">
            <w:pPr>
              <w:pStyle w:val="TableText"/>
              <w:keepNext w:val="0"/>
              <w:keepLines/>
              <w:spacing w:before="0" w:after="0"/>
              <w:rPr>
                <w:u w:val="single"/>
              </w:rPr>
            </w:pPr>
            <w:r w:rsidRPr="00327F41">
              <w:rPr>
                <w:u w:val="single"/>
              </w:rPr>
              <w:t>Abstracts</w:t>
            </w:r>
          </w:p>
          <w:p w:rsidR="00CC3220" w:rsidRDefault="00CC3220" w:rsidP="009C0DF6">
            <w:pPr>
              <w:pStyle w:val="TableText"/>
              <w:keepNext w:val="0"/>
              <w:keepLines/>
              <w:spacing w:before="0" w:after="0"/>
            </w:pPr>
            <w:r>
              <w:t xml:space="preserve">Moskowitz </w:t>
            </w:r>
            <w:r w:rsidRPr="00327F41">
              <w:rPr>
                <w:i/>
              </w:rPr>
              <w:t>et al</w:t>
            </w:r>
            <w:r>
              <w:t xml:space="preserve">. PD-1 blockade with the monoclonal antibody </w:t>
            </w:r>
            <w:proofErr w:type="spellStart"/>
            <w:r>
              <w:t>pembrolizumab</w:t>
            </w:r>
            <w:proofErr w:type="spellEnd"/>
            <w:r>
              <w:t xml:space="preserve"> (MK-3475) in patients with classical Hodgkin lymphoma after </w:t>
            </w:r>
            <w:proofErr w:type="spellStart"/>
            <w:r>
              <w:t>brentuximab</w:t>
            </w:r>
            <w:proofErr w:type="spellEnd"/>
            <w:r>
              <w:t xml:space="preserve"> </w:t>
            </w:r>
            <w:proofErr w:type="spellStart"/>
            <w:r>
              <w:t>vedotin</w:t>
            </w:r>
            <w:proofErr w:type="spellEnd"/>
            <w:r>
              <w:t xml:space="preserve"> failure: Preliminary results from a phase 1B study (KEYNOTE-013). </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t xml:space="preserve">PD-1 blockade with the monoclonal antibody </w:t>
            </w:r>
            <w:proofErr w:type="spellStart"/>
            <w:r>
              <w:t>pembrolizumab</w:t>
            </w:r>
            <w:proofErr w:type="spellEnd"/>
            <w:r>
              <w:t xml:space="preserve"> (MK-3475) in patients with classical Hodgkin lymphoma after </w:t>
            </w:r>
            <w:proofErr w:type="spellStart"/>
            <w:r>
              <w:t>brentuximab</w:t>
            </w:r>
            <w:proofErr w:type="spellEnd"/>
            <w:r>
              <w:t xml:space="preserve"> </w:t>
            </w:r>
            <w:proofErr w:type="spellStart"/>
            <w:r>
              <w:t>vedotin</w:t>
            </w:r>
            <w:proofErr w:type="spellEnd"/>
            <w:r>
              <w:t xml:space="preserve"> failure: Pr</w:t>
            </w:r>
            <w:r w:rsidR="0071604F">
              <w:t xml:space="preserve">eliminary results from a phase </w:t>
            </w:r>
            <w:proofErr w:type="spellStart"/>
            <w:r w:rsidR="0071604F">
              <w:t>I</w:t>
            </w:r>
            <w:r>
              <w:t>b</w:t>
            </w:r>
            <w:proofErr w:type="spellEnd"/>
            <w:r>
              <w:t xml:space="preserve"> study (KEYNOTE-013). </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t xml:space="preserve">Armand </w:t>
            </w:r>
            <w:r w:rsidRPr="00327F41">
              <w:rPr>
                <w:i/>
              </w:rPr>
              <w:t>et al</w:t>
            </w:r>
            <w:r>
              <w:t xml:space="preserve">. PD-1 blockade with </w:t>
            </w:r>
            <w:proofErr w:type="spellStart"/>
            <w:r>
              <w:t>pembrolizumab</w:t>
            </w:r>
            <w:proofErr w:type="spellEnd"/>
            <w:r>
              <w:t xml:space="preserve"> in patients with classical Hodgkin lymphoma after </w:t>
            </w:r>
            <w:proofErr w:type="spellStart"/>
            <w:r>
              <w:t>brentuximab</w:t>
            </w:r>
            <w:proofErr w:type="spellEnd"/>
            <w:r>
              <w:t xml:space="preserve"> </w:t>
            </w:r>
            <w:proofErr w:type="spellStart"/>
            <w:r>
              <w:t>vedotin</w:t>
            </w:r>
            <w:proofErr w:type="spellEnd"/>
            <w:r>
              <w:t xml:space="preserve"> failure: Safety, efficacy, and biomarker assessment. </w:t>
            </w:r>
          </w:p>
          <w:p w:rsidR="00CC3220" w:rsidRDefault="00CC3220" w:rsidP="009C0DF6">
            <w:pPr>
              <w:pStyle w:val="TableText"/>
              <w:keepNext w:val="0"/>
              <w:keepLines/>
              <w:spacing w:before="0" w:after="0"/>
            </w:pPr>
          </w:p>
          <w:p w:rsidR="00CC3220" w:rsidRPr="00D451FC" w:rsidRDefault="00CC3220" w:rsidP="009C0DF6">
            <w:pPr>
              <w:pStyle w:val="TableText"/>
              <w:keepNext w:val="0"/>
              <w:keepLines/>
              <w:spacing w:before="0" w:after="0"/>
            </w:pPr>
            <w:r>
              <w:t xml:space="preserve">Kline </w:t>
            </w:r>
            <w:r w:rsidRPr="00327F41">
              <w:rPr>
                <w:i/>
              </w:rPr>
              <w:t>et al.</w:t>
            </w:r>
            <w:r>
              <w:t xml:space="preserve"> KEYNOTE-013: An open-label, </w:t>
            </w:r>
            <w:proofErr w:type="spellStart"/>
            <w:r>
              <w:t>multicohort</w:t>
            </w:r>
            <w:proofErr w:type="spellEnd"/>
            <w:r>
              <w:t xml:space="preserve"> phase </w:t>
            </w:r>
            <w:proofErr w:type="spellStart"/>
            <w:r>
              <w:t>Ib</w:t>
            </w:r>
            <w:proofErr w:type="spellEnd"/>
            <w:r>
              <w:t xml:space="preserve"> trial of </w:t>
            </w:r>
            <w:proofErr w:type="spellStart"/>
            <w:r>
              <w:t>pembrolizumab</w:t>
            </w:r>
            <w:proofErr w:type="spellEnd"/>
            <w:r>
              <w:t xml:space="preserve"> in patients with advanced hematologic malignancies. </w:t>
            </w:r>
          </w:p>
        </w:tc>
        <w:tc>
          <w:tcPr>
            <w:tcW w:w="2084" w:type="pct"/>
          </w:tcPr>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rsidRPr="00327F41">
              <w:rPr>
                <w:i/>
              </w:rPr>
              <w:t>Journal of Clinical Oncology</w:t>
            </w:r>
            <w:r w:rsidRPr="00327F41">
              <w:t xml:space="preserve"> 2016; 34(31): 3733-3739.</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BC175D" w:rsidRDefault="00BC175D" w:rsidP="009C0DF6">
            <w:pPr>
              <w:pStyle w:val="TableText"/>
              <w:keepNext w:val="0"/>
              <w:keepLines/>
              <w:spacing w:before="0" w:after="0"/>
            </w:pPr>
          </w:p>
          <w:p w:rsidR="00CC3220" w:rsidRDefault="00CC3220" w:rsidP="009C0DF6">
            <w:pPr>
              <w:pStyle w:val="TableText"/>
              <w:keepNext w:val="0"/>
              <w:keepLines/>
              <w:spacing w:before="0" w:after="0"/>
            </w:pPr>
            <w:r w:rsidRPr="00327F41">
              <w:rPr>
                <w:i/>
              </w:rPr>
              <w:t xml:space="preserve">Blood </w:t>
            </w:r>
            <w:r>
              <w:t>2014; 124 (21).</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BC175D" w:rsidRDefault="00BC175D" w:rsidP="009C0DF6">
            <w:pPr>
              <w:pStyle w:val="TableText"/>
              <w:keepNext w:val="0"/>
              <w:keepLines/>
              <w:spacing w:before="0" w:after="0"/>
              <w:rPr>
                <w:i/>
              </w:rPr>
            </w:pPr>
          </w:p>
          <w:p w:rsidR="00CC3220" w:rsidRDefault="00CC3220" w:rsidP="009C0DF6">
            <w:pPr>
              <w:pStyle w:val="TableText"/>
              <w:keepNext w:val="0"/>
              <w:keepLines/>
              <w:spacing w:before="0" w:after="0"/>
            </w:pPr>
            <w:r w:rsidRPr="00327F41">
              <w:rPr>
                <w:i/>
              </w:rPr>
              <w:t xml:space="preserve">Clinical Advances in </w:t>
            </w:r>
            <w:proofErr w:type="spellStart"/>
            <w:r w:rsidRPr="00327F41">
              <w:rPr>
                <w:i/>
              </w:rPr>
              <w:t>Hematology</w:t>
            </w:r>
            <w:proofErr w:type="spellEnd"/>
            <w:r w:rsidRPr="00327F41">
              <w:rPr>
                <w:i/>
              </w:rPr>
              <w:t xml:space="preserve"> and Oncology</w:t>
            </w:r>
            <w:r>
              <w:t xml:space="preserve"> 2015; 13 (Supplement 2).</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rsidRPr="00327F41">
              <w:rPr>
                <w:i/>
              </w:rPr>
              <w:t>Blood</w:t>
            </w:r>
            <w:r>
              <w:t xml:space="preserve"> 2015; 126 (23).</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CC3220" w:rsidRPr="00D451FC" w:rsidRDefault="00CC3220" w:rsidP="009C0DF6">
            <w:pPr>
              <w:pStyle w:val="TableText"/>
              <w:keepNext w:val="0"/>
              <w:keepLines/>
              <w:spacing w:before="0" w:after="0"/>
            </w:pPr>
            <w:r w:rsidRPr="00327F41">
              <w:rPr>
                <w:i/>
              </w:rPr>
              <w:t xml:space="preserve">Journal for </w:t>
            </w:r>
            <w:proofErr w:type="spellStart"/>
            <w:r w:rsidRPr="00327F41">
              <w:rPr>
                <w:i/>
              </w:rPr>
              <w:t>ImmunoTherapy</w:t>
            </w:r>
            <w:proofErr w:type="spellEnd"/>
            <w:r w:rsidRPr="00327F41">
              <w:rPr>
                <w:i/>
              </w:rPr>
              <w:t xml:space="preserve"> of Cancer</w:t>
            </w:r>
            <w:r>
              <w:t xml:space="preserve"> 2016; 4 (Supplement 1).</w:t>
            </w:r>
          </w:p>
        </w:tc>
      </w:tr>
      <w:tr w:rsidR="00CC3220" w:rsidRPr="004E2ADC" w:rsidTr="00340B7C">
        <w:tc>
          <w:tcPr>
            <w:tcW w:w="5000" w:type="pct"/>
            <w:gridSpan w:val="3"/>
          </w:tcPr>
          <w:p w:rsidR="00CC3220" w:rsidRPr="00993CC9" w:rsidRDefault="00783A76" w:rsidP="00783A76">
            <w:pPr>
              <w:pStyle w:val="TableText"/>
              <w:keepNext w:val="0"/>
              <w:keepLines/>
              <w:spacing w:before="0" w:after="0"/>
              <w:rPr>
                <w:b/>
              </w:rPr>
            </w:pPr>
            <w:proofErr w:type="spellStart"/>
            <w:r>
              <w:rPr>
                <w:b/>
              </w:rPr>
              <w:t>Brentuximab</w:t>
            </w:r>
            <w:proofErr w:type="spellEnd"/>
            <w:r>
              <w:rPr>
                <w:b/>
              </w:rPr>
              <w:t xml:space="preserve"> </w:t>
            </w:r>
            <w:proofErr w:type="spellStart"/>
            <w:r>
              <w:rPr>
                <w:b/>
              </w:rPr>
              <w:t>vedotin</w:t>
            </w:r>
            <w:proofErr w:type="spellEnd"/>
            <w:r>
              <w:rPr>
                <w:b/>
              </w:rPr>
              <w:t xml:space="preserve"> (single-</w:t>
            </w:r>
            <w:r w:rsidR="00CC3220">
              <w:rPr>
                <w:b/>
              </w:rPr>
              <w:t xml:space="preserve">arm </w:t>
            </w:r>
            <w:r>
              <w:rPr>
                <w:b/>
              </w:rPr>
              <w:t>study</w:t>
            </w:r>
            <w:r w:rsidR="00CC3220">
              <w:rPr>
                <w:b/>
              </w:rPr>
              <w:t>)</w:t>
            </w:r>
          </w:p>
        </w:tc>
      </w:tr>
      <w:tr w:rsidR="00CC3220" w:rsidRPr="004E2ADC" w:rsidTr="00B51393">
        <w:tc>
          <w:tcPr>
            <w:tcW w:w="954" w:type="pct"/>
          </w:tcPr>
          <w:p w:rsidR="00CC3220" w:rsidRPr="00D451FC" w:rsidRDefault="00CC3220" w:rsidP="009C0DF6">
            <w:pPr>
              <w:pStyle w:val="TableText"/>
              <w:keepNext w:val="0"/>
              <w:keepLines/>
              <w:spacing w:before="0" w:after="0"/>
            </w:pPr>
            <w:r w:rsidRPr="00E64AFD">
              <w:t>Study 0003</w:t>
            </w:r>
          </w:p>
        </w:tc>
        <w:tc>
          <w:tcPr>
            <w:tcW w:w="1962" w:type="pct"/>
          </w:tcPr>
          <w:p w:rsidR="00CC3220" w:rsidRPr="001E43E3" w:rsidRDefault="00CC3220" w:rsidP="009C0DF6">
            <w:pPr>
              <w:keepLines/>
              <w:snapToGrid w:val="0"/>
              <w:spacing w:before="0" w:after="0"/>
              <w:rPr>
                <w:rFonts w:ascii="Arial Narrow" w:hAnsi="Arial Narrow"/>
                <w:sz w:val="20"/>
                <w:u w:val="single"/>
              </w:rPr>
            </w:pPr>
            <w:r>
              <w:rPr>
                <w:rFonts w:ascii="Arial Narrow" w:hAnsi="Arial Narrow"/>
                <w:sz w:val="20"/>
                <w:u w:val="single"/>
              </w:rPr>
              <w:t>P</w:t>
            </w:r>
            <w:r w:rsidRPr="001E43E3">
              <w:rPr>
                <w:rFonts w:ascii="Arial Narrow" w:hAnsi="Arial Narrow"/>
                <w:sz w:val="20"/>
                <w:u w:val="single"/>
              </w:rPr>
              <w:t>ublication</w:t>
            </w:r>
            <w:r>
              <w:rPr>
                <w:rFonts w:ascii="Arial Narrow" w:hAnsi="Arial Narrow"/>
                <w:sz w:val="20"/>
                <w:u w:val="single"/>
              </w:rPr>
              <w:t>s</w:t>
            </w:r>
          </w:p>
          <w:p w:rsidR="00CC3220" w:rsidRDefault="00CC3220" w:rsidP="009C0DF6">
            <w:pPr>
              <w:pStyle w:val="TableText"/>
              <w:keepNext w:val="0"/>
              <w:keepLines/>
              <w:spacing w:before="0" w:after="0"/>
            </w:pPr>
            <w:r w:rsidRPr="001E43E3">
              <w:rPr>
                <w:lang w:val="fr-FR"/>
              </w:rPr>
              <w:t xml:space="preserve">Younes A, </w:t>
            </w:r>
            <w:proofErr w:type="spellStart"/>
            <w:r w:rsidRPr="001E43E3">
              <w:rPr>
                <w:lang w:val="fr-FR"/>
              </w:rPr>
              <w:t>Gopal</w:t>
            </w:r>
            <w:proofErr w:type="spellEnd"/>
            <w:r w:rsidRPr="001E43E3">
              <w:rPr>
                <w:lang w:val="fr-FR"/>
              </w:rPr>
              <w:t xml:space="preserve"> AK, Smith SE, </w:t>
            </w:r>
            <w:r w:rsidRPr="001E43E3">
              <w:rPr>
                <w:i/>
                <w:lang w:val="fr-FR"/>
              </w:rPr>
              <w:t>et al</w:t>
            </w:r>
            <w:r w:rsidRPr="001E43E3">
              <w:rPr>
                <w:lang w:val="fr-FR"/>
              </w:rPr>
              <w:t xml:space="preserve">. </w:t>
            </w:r>
            <w:r w:rsidRPr="001E43E3">
              <w:t xml:space="preserve">Results of a pivotal phase II study of </w:t>
            </w:r>
            <w:proofErr w:type="spellStart"/>
            <w:r w:rsidRPr="001E43E3">
              <w:t>brentuximab</w:t>
            </w:r>
            <w:proofErr w:type="spellEnd"/>
            <w:r w:rsidRPr="001E43E3">
              <w:t xml:space="preserve"> </w:t>
            </w:r>
            <w:proofErr w:type="spellStart"/>
            <w:r w:rsidRPr="001E43E3">
              <w:t>vedotin</w:t>
            </w:r>
            <w:proofErr w:type="spellEnd"/>
            <w:r w:rsidRPr="001E43E3">
              <w:t xml:space="preserve"> for patients with relapsed or refractory Hodgkin's lymphoma.</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t xml:space="preserve">Gopal </w:t>
            </w:r>
            <w:r w:rsidRPr="000A46D7">
              <w:rPr>
                <w:i/>
              </w:rPr>
              <w:t>et a</w:t>
            </w:r>
            <w:r>
              <w:t xml:space="preserve">l. Durable remissions in a pivotal phase 2 study of </w:t>
            </w:r>
            <w:proofErr w:type="spellStart"/>
            <w:r>
              <w:t>brentuximab</w:t>
            </w:r>
            <w:proofErr w:type="spellEnd"/>
            <w:r>
              <w:t xml:space="preserve"> </w:t>
            </w:r>
            <w:proofErr w:type="spellStart"/>
            <w:r>
              <w:t>vedotin</w:t>
            </w:r>
            <w:proofErr w:type="spellEnd"/>
            <w:r>
              <w:t xml:space="preserve"> in relapsed or refractory Hodgkin lymphoma. </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t xml:space="preserve">Chen </w:t>
            </w:r>
            <w:r w:rsidRPr="000D320E">
              <w:rPr>
                <w:i/>
              </w:rPr>
              <w:t>et al</w:t>
            </w:r>
            <w:r>
              <w:t xml:space="preserve">. Five-year survival and durability results of </w:t>
            </w:r>
            <w:proofErr w:type="spellStart"/>
            <w:r>
              <w:t>brentuximab</w:t>
            </w:r>
            <w:proofErr w:type="spellEnd"/>
            <w:r>
              <w:t xml:space="preserve"> </w:t>
            </w:r>
            <w:proofErr w:type="spellStart"/>
            <w:r>
              <w:t>vedotin</w:t>
            </w:r>
            <w:proofErr w:type="spellEnd"/>
            <w:r>
              <w:t xml:space="preserve"> in patients with relapsed or refractory Hodgkin lymphoma. </w:t>
            </w:r>
          </w:p>
          <w:p w:rsidR="00CC3220" w:rsidRDefault="00CC3220" w:rsidP="009C0DF6">
            <w:pPr>
              <w:pStyle w:val="TableText"/>
              <w:keepNext w:val="0"/>
              <w:keepLines/>
              <w:spacing w:before="0" w:after="0"/>
              <w:rPr>
                <w:u w:val="single"/>
              </w:rPr>
            </w:pPr>
          </w:p>
          <w:p w:rsidR="00CC3220" w:rsidRPr="000D320E" w:rsidRDefault="00CC3220" w:rsidP="009C0DF6">
            <w:pPr>
              <w:pStyle w:val="TableText"/>
              <w:keepNext w:val="0"/>
              <w:keepLines/>
              <w:spacing w:before="0" w:after="0"/>
              <w:rPr>
                <w:u w:val="single"/>
              </w:rPr>
            </w:pPr>
            <w:r w:rsidRPr="000D320E">
              <w:rPr>
                <w:u w:val="single"/>
              </w:rPr>
              <w:t>Abstracts:</w:t>
            </w:r>
          </w:p>
          <w:p w:rsidR="00CC3220" w:rsidRDefault="00CC3220" w:rsidP="009C0DF6">
            <w:pPr>
              <w:pStyle w:val="TableText"/>
              <w:keepNext w:val="0"/>
              <w:keepLines/>
              <w:spacing w:before="0" w:after="0"/>
            </w:pPr>
            <w:r>
              <w:t xml:space="preserve">Chen </w:t>
            </w:r>
            <w:r w:rsidRPr="000D320E">
              <w:rPr>
                <w:i/>
              </w:rPr>
              <w:t>et al</w:t>
            </w:r>
            <w:r>
              <w:t xml:space="preserve">. Results of a pivotal phase 2 study of </w:t>
            </w:r>
            <w:proofErr w:type="spellStart"/>
            <w:r>
              <w:t>brentuximab</w:t>
            </w:r>
            <w:proofErr w:type="spellEnd"/>
            <w:r>
              <w:t xml:space="preserve"> </w:t>
            </w:r>
            <w:proofErr w:type="spellStart"/>
            <w:r>
              <w:t>vedotin</w:t>
            </w:r>
            <w:proofErr w:type="spellEnd"/>
            <w:r>
              <w:t xml:space="preserve"> (SGN-35) in patients with relapsed or refractory Hodgkin lymphoma. </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roofErr w:type="spellStart"/>
            <w:r>
              <w:t>Younes</w:t>
            </w:r>
            <w:proofErr w:type="spellEnd"/>
            <w:r>
              <w:t xml:space="preserve"> </w:t>
            </w:r>
            <w:r w:rsidRPr="00802CC8">
              <w:rPr>
                <w:i/>
              </w:rPr>
              <w:t>et al</w:t>
            </w:r>
            <w:r>
              <w:t>. Durable complete remissions in a pivotal phase 2 study of SGN-35 (</w:t>
            </w:r>
            <w:proofErr w:type="spellStart"/>
            <w:r>
              <w:t>brentuximab</w:t>
            </w:r>
            <w:proofErr w:type="spellEnd"/>
            <w:r>
              <w:t xml:space="preserve"> </w:t>
            </w:r>
            <w:proofErr w:type="spellStart"/>
            <w:r>
              <w:t>vedotin</w:t>
            </w:r>
            <w:proofErr w:type="spellEnd"/>
            <w:r>
              <w:t xml:space="preserve">) in patients with relapsed or refractory Hodgkin lymphoma (HL). </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roofErr w:type="spellStart"/>
            <w:r>
              <w:t>Fanale</w:t>
            </w:r>
            <w:proofErr w:type="spellEnd"/>
            <w:r>
              <w:t xml:space="preserve"> </w:t>
            </w:r>
            <w:r w:rsidRPr="00802CC8">
              <w:rPr>
                <w:i/>
              </w:rPr>
              <w:t>et al</w:t>
            </w:r>
            <w:r>
              <w:t xml:space="preserve">. Retrospective analysis of the safety and efficacy of </w:t>
            </w:r>
            <w:proofErr w:type="spellStart"/>
            <w:r>
              <w:t>brentuximab</w:t>
            </w:r>
            <w:proofErr w:type="spellEnd"/>
            <w:r>
              <w:t xml:space="preserve"> </w:t>
            </w:r>
            <w:proofErr w:type="spellStart"/>
            <w:r>
              <w:t>vedotin</w:t>
            </w:r>
            <w:proofErr w:type="spellEnd"/>
            <w:r>
              <w:t xml:space="preserve"> in patients aged 60 years or older with relapsed or refractory CD30+ hematologic malignancies.</w:t>
            </w:r>
          </w:p>
          <w:p w:rsidR="00CC3220" w:rsidRDefault="00CC3220" w:rsidP="009C0DF6">
            <w:pPr>
              <w:pStyle w:val="TableText"/>
              <w:keepNext w:val="0"/>
              <w:keepLines/>
              <w:spacing w:before="0" w:after="0"/>
            </w:pPr>
            <w:r>
              <w:t xml:space="preserve"> </w:t>
            </w:r>
          </w:p>
          <w:p w:rsidR="00CC3220" w:rsidRDefault="00CC3220" w:rsidP="009C0DF6">
            <w:pPr>
              <w:pStyle w:val="TableText"/>
              <w:keepNext w:val="0"/>
              <w:keepLines/>
              <w:spacing w:before="0" w:after="0"/>
            </w:pPr>
            <w:r>
              <w:t xml:space="preserve">Chen </w:t>
            </w:r>
            <w:r w:rsidRPr="00802CC8">
              <w:rPr>
                <w:i/>
              </w:rPr>
              <w:t>et al</w:t>
            </w:r>
            <w:r>
              <w:t xml:space="preserve">. Long-term survival analyses of an ongoing phase 2 study of </w:t>
            </w:r>
            <w:proofErr w:type="spellStart"/>
            <w:r>
              <w:t>brentuximab</w:t>
            </w:r>
            <w:proofErr w:type="spellEnd"/>
            <w:r>
              <w:t xml:space="preserve"> </w:t>
            </w:r>
            <w:proofErr w:type="spellStart"/>
            <w:r>
              <w:t>vedotin</w:t>
            </w:r>
            <w:proofErr w:type="spellEnd"/>
            <w:r>
              <w:t xml:space="preserve"> in patients with relapsed or refractory Hodgkin lymphoma. </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roofErr w:type="spellStart"/>
            <w:r>
              <w:t>Karuturi</w:t>
            </w:r>
            <w:proofErr w:type="spellEnd"/>
            <w:r>
              <w:t xml:space="preserve"> </w:t>
            </w:r>
            <w:r w:rsidRPr="00802CC8">
              <w:rPr>
                <w:i/>
              </w:rPr>
              <w:t>et al</w:t>
            </w:r>
            <w:r>
              <w:t xml:space="preserve">. Overall survival benefit for patients with relapsed Hodgkin lymphoma treated with </w:t>
            </w:r>
            <w:proofErr w:type="spellStart"/>
            <w:r>
              <w:t>brentuximab</w:t>
            </w:r>
            <w:proofErr w:type="spellEnd"/>
            <w:r>
              <w:t xml:space="preserve"> </w:t>
            </w:r>
            <w:proofErr w:type="spellStart"/>
            <w:r>
              <w:t>vedotin</w:t>
            </w:r>
            <w:proofErr w:type="spellEnd"/>
            <w:r>
              <w:t xml:space="preserve"> after autologous stem cell transplant. </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t xml:space="preserve">Chen </w:t>
            </w:r>
            <w:r w:rsidRPr="00802CC8">
              <w:rPr>
                <w:i/>
              </w:rPr>
              <w:t>et al</w:t>
            </w:r>
            <w:r>
              <w:t xml:space="preserve">. Three-year follow-up data and characterization of long-term remissions from an ongoing phase 2 study of </w:t>
            </w:r>
            <w:proofErr w:type="spellStart"/>
            <w:r>
              <w:t>brentuximab</w:t>
            </w:r>
            <w:proofErr w:type="spellEnd"/>
            <w:r>
              <w:t xml:space="preserve"> </w:t>
            </w:r>
            <w:proofErr w:type="spellStart"/>
            <w:r>
              <w:t>vedotin</w:t>
            </w:r>
            <w:proofErr w:type="spellEnd"/>
            <w:r>
              <w:t xml:space="preserve"> in patients with relapsed or refractory Hodgkin lymphoma. </w:t>
            </w:r>
          </w:p>
          <w:p w:rsidR="003843E4" w:rsidRDefault="003843E4" w:rsidP="009C0DF6">
            <w:pPr>
              <w:pStyle w:val="TableText"/>
              <w:keepNext w:val="0"/>
              <w:keepLines/>
              <w:spacing w:before="0" w:after="0"/>
            </w:pPr>
          </w:p>
          <w:p w:rsidR="00CC3220" w:rsidRDefault="00CC3220" w:rsidP="009C0DF6">
            <w:pPr>
              <w:pStyle w:val="TableText"/>
              <w:keepNext w:val="0"/>
              <w:keepLines/>
              <w:spacing w:before="0" w:after="0"/>
            </w:pPr>
            <w:r>
              <w:t xml:space="preserve">Smith </w:t>
            </w:r>
            <w:r w:rsidRPr="009B5471">
              <w:rPr>
                <w:i/>
              </w:rPr>
              <w:t>et al</w:t>
            </w:r>
            <w:r>
              <w:t xml:space="preserve">. Long-term follow-up results of an ongoing pivotal study of </w:t>
            </w:r>
            <w:proofErr w:type="spellStart"/>
            <w:r>
              <w:t>brentuximab</w:t>
            </w:r>
            <w:proofErr w:type="spellEnd"/>
            <w:r>
              <w:t xml:space="preserve"> </w:t>
            </w:r>
            <w:proofErr w:type="spellStart"/>
            <w:r>
              <w:t>vedotin</w:t>
            </w:r>
            <w:proofErr w:type="spellEnd"/>
            <w:r>
              <w:t xml:space="preserve"> in patients with relapsed or refractory Hodgkin lymphoma (HL).</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roofErr w:type="spellStart"/>
            <w:r>
              <w:t>Younes</w:t>
            </w:r>
            <w:proofErr w:type="spellEnd"/>
            <w:r>
              <w:t xml:space="preserve"> </w:t>
            </w:r>
            <w:r w:rsidRPr="009B5471">
              <w:rPr>
                <w:i/>
              </w:rPr>
              <w:t>et al.</w:t>
            </w:r>
            <w:r>
              <w:t xml:space="preserve"> Durable complete remissions in a pivotal phase 2 study of SGN-35 (</w:t>
            </w:r>
            <w:proofErr w:type="spellStart"/>
            <w:r>
              <w:t>brentuximab</w:t>
            </w:r>
            <w:proofErr w:type="spellEnd"/>
            <w:r>
              <w:t xml:space="preserve"> </w:t>
            </w:r>
            <w:proofErr w:type="spellStart"/>
            <w:r>
              <w:t>vedotin</w:t>
            </w:r>
            <w:proofErr w:type="spellEnd"/>
            <w:r>
              <w:t>) in patients with relapsed or refractory Hodgkin lymphoma (HL).</w:t>
            </w:r>
          </w:p>
          <w:p w:rsidR="00CC3220" w:rsidRDefault="00CC3220" w:rsidP="009C0DF6">
            <w:pPr>
              <w:pStyle w:val="TableText"/>
              <w:keepNext w:val="0"/>
              <w:keepLines/>
              <w:spacing w:before="0" w:after="0"/>
            </w:pPr>
          </w:p>
          <w:p w:rsidR="00CC3220" w:rsidRPr="00D451FC" w:rsidRDefault="00CC3220" w:rsidP="009C0DF6">
            <w:pPr>
              <w:pStyle w:val="TableText"/>
              <w:keepNext w:val="0"/>
              <w:keepLines/>
              <w:spacing w:before="0" w:after="0"/>
            </w:pPr>
            <w:r>
              <w:t xml:space="preserve">Chen et al. Five-year survival data demonstrating durable responses from a pivotal phase 2 study of </w:t>
            </w:r>
            <w:proofErr w:type="spellStart"/>
            <w:r>
              <w:t>brentuximab</w:t>
            </w:r>
            <w:proofErr w:type="spellEnd"/>
            <w:r>
              <w:t xml:space="preserve"> </w:t>
            </w:r>
            <w:proofErr w:type="spellStart"/>
            <w:r>
              <w:t>vedotin</w:t>
            </w:r>
            <w:proofErr w:type="spellEnd"/>
            <w:r>
              <w:t xml:space="preserve"> in patients with relapsed or refractory Hodgkin lymphoma. </w:t>
            </w:r>
          </w:p>
        </w:tc>
        <w:tc>
          <w:tcPr>
            <w:tcW w:w="2084" w:type="pct"/>
          </w:tcPr>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rsidRPr="00954743">
              <w:rPr>
                <w:i/>
              </w:rPr>
              <w:t>Journal of Clinical Oncology</w:t>
            </w:r>
            <w:r w:rsidRPr="00E64AFD">
              <w:t xml:space="preserve"> 2012; 30(18): 2183-2189.</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rsidRPr="000A46D7">
              <w:rPr>
                <w:i/>
              </w:rPr>
              <w:t>Blood</w:t>
            </w:r>
            <w:r>
              <w:t xml:space="preserve"> 2015; 125 (8):1236-1243</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pPr>
            <w:r w:rsidRPr="000D320E">
              <w:rPr>
                <w:i/>
              </w:rPr>
              <w:t>Blood</w:t>
            </w:r>
            <w:r>
              <w:t xml:space="preserve"> 2016; 128 (12):1562-1566</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CC3220" w:rsidRPr="00327F41" w:rsidRDefault="00CC3220" w:rsidP="009C0DF6">
            <w:pPr>
              <w:pStyle w:val="TableText"/>
              <w:keepNext w:val="0"/>
              <w:keepLines/>
              <w:spacing w:before="0" w:after="0"/>
              <w:rPr>
                <w:i/>
              </w:rPr>
            </w:pPr>
            <w:r w:rsidRPr="00954743">
              <w:rPr>
                <w:i/>
              </w:rPr>
              <w:t>Journal of Clinical Oncology</w:t>
            </w:r>
            <w:r w:rsidRPr="00E64AFD">
              <w:t xml:space="preserve"> </w:t>
            </w:r>
            <w:r w:rsidRPr="000D320E">
              <w:t>2011</w:t>
            </w:r>
            <w:r>
              <w:t>;</w:t>
            </w:r>
            <w:r w:rsidRPr="000D320E">
              <w:t xml:space="preserve"> 29: </w:t>
            </w:r>
            <w:r>
              <w:t>(ASCO Abstract</w:t>
            </w:r>
            <w:r w:rsidRPr="000D320E">
              <w:t xml:space="preserve"> 8031)</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r w:rsidRPr="000D320E">
              <w:rPr>
                <w:i/>
              </w:rPr>
              <w:t>Annals of Oncology</w:t>
            </w:r>
            <w:r>
              <w:t xml:space="preserve"> 2011; 22 (Supplement 4).</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pPr>
            <w:r w:rsidRPr="00C32D24">
              <w:rPr>
                <w:i/>
              </w:rPr>
              <w:t>Blood</w:t>
            </w:r>
            <w:r>
              <w:t xml:space="preserve"> 2012; 120 (21):</w:t>
            </w:r>
            <w:r w:rsidRPr="00C32D24">
              <w:t xml:space="preserve"> </w:t>
            </w:r>
            <w:r>
              <w:t>p</w:t>
            </w:r>
            <w:r w:rsidRPr="00C32D24">
              <w:t>3687</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pPr>
            <w:r w:rsidRPr="00802CC8">
              <w:rPr>
                <w:i/>
              </w:rPr>
              <w:t>Blood</w:t>
            </w:r>
            <w:r>
              <w:t xml:space="preserve"> 2012; 120 (21): p3689</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pPr>
            <w:r w:rsidRPr="00802CC8">
              <w:rPr>
                <w:i/>
              </w:rPr>
              <w:t>Blood</w:t>
            </w:r>
            <w:r>
              <w:t xml:space="preserve"> 2012; 120 (21): p3701</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pPr>
            <w:r w:rsidRPr="00802CC8">
              <w:rPr>
                <w:i/>
              </w:rPr>
              <w:t>Blood</w:t>
            </w:r>
            <w:r>
              <w:t xml:space="preserve"> 2013; 122 (21). p4382.</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rPr>
                <w:i/>
              </w:rPr>
            </w:pPr>
          </w:p>
          <w:p w:rsidR="003843E4" w:rsidRDefault="003843E4" w:rsidP="009C0DF6">
            <w:pPr>
              <w:pStyle w:val="TableText"/>
              <w:keepNext w:val="0"/>
              <w:keepLines/>
              <w:spacing w:before="0" w:after="0"/>
              <w:rPr>
                <w:i/>
              </w:rPr>
            </w:pPr>
          </w:p>
          <w:p w:rsidR="003843E4" w:rsidRDefault="003843E4" w:rsidP="009C0DF6">
            <w:pPr>
              <w:pStyle w:val="TableText"/>
              <w:keepNext w:val="0"/>
              <w:keepLines/>
              <w:spacing w:before="0" w:after="0"/>
              <w:rPr>
                <w:i/>
              </w:rPr>
            </w:pPr>
          </w:p>
          <w:p w:rsidR="003843E4" w:rsidRDefault="003843E4" w:rsidP="009C0DF6">
            <w:pPr>
              <w:pStyle w:val="TableText"/>
              <w:keepNext w:val="0"/>
              <w:keepLines/>
              <w:spacing w:before="0" w:after="0"/>
              <w:rPr>
                <w:i/>
              </w:rPr>
            </w:pPr>
          </w:p>
          <w:p w:rsidR="00CC3220" w:rsidRDefault="00CC3220" w:rsidP="009C0DF6">
            <w:pPr>
              <w:pStyle w:val="TableText"/>
              <w:keepNext w:val="0"/>
              <w:keepLines/>
              <w:spacing w:before="0" w:after="0"/>
            </w:pPr>
            <w:proofErr w:type="spellStart"/>
            <w:r w:rsidRPr="009B5471">
              <w:rPr>
                <w:i/>
              </w:rPr>
              <w:t>Haematologica</w:t>
            </w:r>
            <w:proofErr w:type="spellEnd"/>
            <w:r>
              <w:t xml:space="preserve"> 2012; 97 (Supplement 1).</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rPr>
                <w:i/>
              </w:rPr>
            </w:pPr>
          </w:p>
          <w:p w:rsidR="00CC3220" w:rsidRDefault="00CC3220" w:rsidP="009C0DF6">
            <w:pPr>
              <w:pStyle w:val="TableText"/>
              <w:keepNext w:val="0"/>
              <w:keepLines/>
              <w:spacing w:before="0" w:after="0"/>
            </w:pPr>
            <w:r w:rsidRPr="009B5471">
              <w:rPr>
                <w:i/>
              </w:rPr>
              <w:t xml:space="preserve">Journal of Cancer Research and Clinical Oncology </w:t>
            </w:r>
            <w:r>
              <w:t>2012; 138 (Supplement 1).</w:t>
            </w: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Pr="00D451FC" w:rsidRDefault="00CC3220" w:rsidP="009C0DF6">
            <w:pPr>
              <w:pStyle w:val="TableText"/>
              <w:keepNext w:val="0"/>
              <w:keepLines/>
              <w:spacing w:before="0" w:after="0"/>
            </w:pPr>
            <w:r w:rsidRPr="002A73CE">
              <w:rPr>
                <w:i/>
              </w:rPr>
              <w:t>Blood</w:t>
            </w:r>
            <w:r>
              <w:t xml:space="preserve"> 2015; 126 (23).</w:t>
            </w:r>
          </w:p>
        </w:tc>
      </w:tr>
      <w:tr w:rsidR="00CC3220" w:rsidRPr="004E2ADC" w:rsidTr="00340B7C">
        <w:tc>
          <w:tcPr>
            <w:tcW w:w="5000" w:type="pct"/>
            <w:gridSpan w:val="3"/>
          </w:tcPr>
          <w:p w:rsidR="00CC3220" w:rsidRPr="00E85C85" w:rsidRDefault="00BB2184" w:rsidP="00BB2184">
            <w:pPr>
              <w:pStyle w:val="TableText"/>
              <w:keepNext w:val="0"/>
              <w:keepLines/>
              <w:spacing w:before="0" w:after="0"/>
              <w:rPr>
                <w:b/>
              </w:rPr>
            </w:pPr>
            <w:r>
              <w:rPr>
                <w:b/>
              </w:rPr>
              <w:t>Salvage chemotherapy with g</w:t>
            </w:r>
            <w:r w:rsidR="00CC3220">
              <w:rPr>
                <w:b/>
              </w:rPr>
              <w:t>emci</w:t>
            </w:r>
            <w:r w:rsidR="00783A76">
              <w:rPr>
                <w:b/>
              </w:rPr>
              <w:t xml:space="preserve">tabine plus </w:t>
            </w:r>
            <w:proofErr w:type="spellStart"/>
            <w:r w:rsidR="00783A76">
              <w:rPr>
                <w:b/>
              </w:rPr>
              <w:t>vinorelbine</w:t>
            </w:r>
            <w:proofErr w:type="spellEnd"/>
            <w:r w:rsidR="00783A76">
              <w:rPr>
                <w:b/>
              </w:rPr>
              <w:t xml:space="preserve"> (</w:t>
            </w:r>
            <w:r>
              <w:rPr>
                <w:b/>
              </w:rPr>
              <w:t xml:space="preserve">retrospective </w:t>
            </w:r>
            <w:r w:rsidR="00783A76">
              <w:rPr>
                <w:b/>
              </w:rPr>
              <w:t>single-</w:t>
            </w:r>
            <w:r w:rsidR="00CC3220">
              <w:rPr>
                <w:b/>
              </w:rPr>
              <w:t xml:space="preserve">arm </w:t>
            </w:r>
            <w:r w:rsidR="00783A76">
              <w:rPr>
                <w:b/>
              </w:rPr>
              <w:t>study</w:t>
            </w:r>
            <w:r w:rsidR="00CC3220">
              <w:rPr>
                <w:b/>
              </w:rPr>
              <w:t>)</w:t>
            </w:r>
          </w:p>
        </w:tc>
      </w:tr>
      <w:tr w:rsidR="00CC3220" w:rsidRPr="004E2ADC" w:rsidTr="00340B7C">
        <w:tc>
          <w:tcPr>
            <w:tcW w:w="954" w:type="pct"/>
          </w:tcPr>
          <w:p w:rsidR="00CC3220" w:rsidRPr="00E64AFD" w:rsidRDefault="00CC3220" w:rsidP="009C0DF6">
            <w:pPr>
              <w:pStyle w:val="TableText"/>
              <w:keepNext w:val="0"/>
              <w:keepLines/>
              <w:spacing w:before="0" w:after="0"/>
            </w:pPr>
            <w:proofErr w:type="spellStart"/>
            <w:r w:rsidRPr="00E85C85">
              <w:t>Czyz</w:t>
            </w:r>
            <w:proofErr w:type="spellEnd"/>
            <w:r w:rsidRPr="00E85C85">
              <w:t>, 2013</w:t>
            </w:r>
          </w:p>
        </w:tc>
        <w:tc>
          <w:tcPr>
            <w:tcW w:w="1962" w:type="pct"/>
          </w:tcPr>
          <w:p w:rsidR="00CC3220" w:rsidRDefault="00CC3220" w:rsidP="009C0DF6">
            <w:pPr>
              <w:keepLines/>
              <w:snapToGrid w:val="0"/>
              <w:spacing w:before="0" w:after="0"/>
              <w:rPr>
                <w:rFonts w:ascii="Arial Narrow" w:hAnsi="Arial Narrow"/>
                <w:sz w:val="20"/>
                <w:u w:val="single"/>
              </w:rPr>
            </w:pPr>
            <w:r>
              <w:rPr>
                <w:rFonts w:ascii="Arial Narrow" w:hAnsi="Arial Narrow"/>
                <w:sz w:val="20"/>
                <w:u w:val="single"/>
              </w:rPr>
              <w:t>Publication</w:t>
            </w:r>
          </w:p>
          <w:p w:rsidR="00CC3220" w:rsidRDefault="00CC3220" w:rsidP="009C0DF6">
            <w:pPr>
              <w:keepLines/>
              <w:snapToGrid w:val="0"/>
              <w:spacing w:before="0" w:after="0"/>
              <w:rPr>
                <w:rFonts w:ascii="Arial Narrow" w:hAnsi="Arial Narrow"/>
                <w:sz w:val="20"/>
                <w:u w:val="single"/>
              </w:rPr>
            </w:pPr>
          </w:p>
          <w:p w:rsidR="00CC3220" w:rsidRPr="00E85C85" w:rsidRDefault="00CC3220" w:rsidP="009C0DF6">
            <w:pPr>
              <w:keepLines/>
              <w:snapToGrid w:val="0"/>
              <w:spacing w:before="0" w:after="0"/>
              <w:rPr>
                <w:rFonts w:ascii="Arial Narrow" w:hAnsi="Arial Narrow"/>
                <w:sz w:val="20"/>
              </w:rPr>
            </w:pPr>
            <w:proofErr w:type="spellStart"/>
            <w:r w:rsidRPr="00E85C85">
              <w:rPr>
                <w:rFonts w:ascii="Arial Narrow" w:hAnsi="Arial Narrow"/>
                <w:sz w:val="20"/>
              </w:rPr>
              <w:t>Czyz</w:t>
            </w:r>
            <w:proofErr w:type="spellEnd"/>
            <w:r w:rsidRPr="00E85C85">
              <w:rPr>
                <w:rFonts w:ascii="Arial Narrow" w:hAnsi="Arial Narrow"/>
                <w:sz w:val="20"/>
              </w:rPr>
              <w:t xml:space="preserve"> </w:t>
            </w:r>
            <w:r w:rsidRPr="00E85C85">
              <w:rPr>
                <w:rFonts w:ascii="Arial Narrow" w:hAnsi="Arial Narrow"/>
                <w:i/>
                <w:sz w:val="20"/>
              </w:rPr>
              <w:t>et al</w:t>
            </w:r>
            <w:r w:rsidRPr="00E85C85">
              <w:rPr>
                <w:rFonts w:ascii="Arial Narrow" w:hAnsi="Arial Narrow"/>
                <w:sz w:val="20"/>
              </w:rPr>
              <w:t xml:space="preserve">. Treatment strategy based on gemcitabine-containing salvage chemotherapy used with intent to proceed to second stem cell transplant for patients with Hodgkin lymphoma relapsing after a prior autologous transplant. </w:t>
            </w:r>
          </w:p>
        </w:tc>
        <w:tc>
          <w:tcPr>
            <w:tcW w:w="2084" w:type="pct"/>
          </w:tcPr>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
          <w:p w:rsidR="00CC3220" w:rsidRDefault="00CC3220" w:rsidP="009C0DF6">
            <w:pPr>
              <w:pStyle w:val="TableText"/>
              <w:keepNext w:val="0"/>
              <w:keepLines/>
              <w:spacing w:before="0" w:after="0"/>
            </w:pPr>
            <w:proofErr w:type="spellStart"/>
            <w:r w:rsidRPr="00E85C85">
              <w:rPr>
                <w:i/>
              </w:rPr>
              <w:t>Leukemia</w:t>
            </w:r>
            <w:proofErr w:type="spellEnd"/>
            <w:r w:rsidRPr="00E85C85">
              <w:rPr>
                <w:i/>
              </w:rPr>
              <w:t xml:space="preserve"> and Lymphoma</w:t>
            </w:r>
            <w:r w:rsidRPr="00E85C85">
              <w:t xml:space="preserve"> 2013; 54(5):973-978.</w:t>
            </w:r>
          </w:p>
        </w:tc>
      </w:tr>
    </w:tbl>
    <w:p w:rsidR="00CC3220" w:rsidRDefault="00CC3220" w:rsidP="009C0DF6">
      <w:pPr>
        <w:pStyle w:val="TableFooter"/>
        <w:widowControl/>
      </w:pPr>
      <w:proofErr w:type="spellStart"/>
      <w:r>
        <w:t>Pembrolizumab</w:t>
      </w:r>
      <w:proofErr w:type="spellEnd"/>
      <w:r>
        <w:t xml:space="preserve"> report dates were not provided in the submission.</w:t>
      </w:r>
    </w:p>
    <w:p w:rsidR="00CC3220" w:rsidRPr="00DF16C0" w:rsidRDefault="00CC3220" w:rsidP="009C0DF6">
      <w:pPr>
        <w:pStyle w:val="TableFooter"/>
        <w:widowControl/>
      </w:pPr>
      <w:r w:rsidRPr="00DF20F8">
        <w:t>Source: Table 2A.2-1, p30 of the submission</w:t>
      </w:r>
    </w:p>
    <w:p w:rsidR="00CC3220" w:rsidRPr="00DF16C0" w:rsidRDefault="00CC3220" w:rsidP="009C0DF6">
      <w:pPr>
        <w:pStyle w:val="ListParagraph"/>
        <w:numPr>
          <w:ilvl w:val="1"/>
          <w:numId w:val="3"/>
        </w:numPr>
        <w:spacing w:before="0" w:after="120"/>
      </w:pPr>
      <w:r w:rsidRPr="00B50DB8">
        <w:t xml:space="preserve">The key features of the </w:t>
      </w:r>
      <w:r w:rsidR="00783A76">
        <w:t>single-</w:t>
      </w:r>
      <w:r>
        <w:t xml:space="preserve">arm studies for </w:t>
      </w:r>
      <w:proofErr w:type="spellStart"/>
      <w:r>
        <w:t>pembrolizumab</w:t>
      </w:r>
      <w:proofErr w:type="spellEnd"/>
      <w:r>
        <w:t>, BV</w:t>
      </w:r>
      <w:r w:rsidR="009C0DF6">
        <w:t>,</w:t>
      </w:r>
      <w:r>
        <w:t xml:space="preserve"> and </w:t>
      </w:r>
      <w:r w:rsidR="009C0DF6">
        <w:t>chemotherapy</w:t>
      </w:r>
      <w:r>
        <w:t xml:space="preserve"> </w:t>
      </w:r>
      <w:r w:rsidRPr="00B50DB8">
        <w:t>are summarised in the table</w:t>
      </w:r>
      <w:r w:rsidR="00963C3A">
        <w:t xml:space="preserve"> below.</w:t>
      </w:r>
    </w:p>
    <w:p w:rsidR="00175B20" w:rsidRDefault="00175B20" w:rsidP="00175B20">
      <w:pPr>
        <w:pStyle w:val="Caption"/>
      </w:pPr>
      <w:r>
        <w:t xml:space="preserve">Table </w:t>
      </w:r>
      <w:r>
        <w:rPr>
          <w:noProof/>
        </w:rPr>
        <w:t>3</w:t>
      </w:r>
      <w:r w:rsidRPr="003B6CD8">
        <w:t>: Key features of the included evidence – indirect comparison</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features of the included evidence – indirect comparison"/>
      </w:tblPr>
      <w:tblGrid>
        <w:gridCol w:w="1070"/>
        <w:gridCol w:w="965"/>
        <w:gridCol w:w="2183"/>
        <w:gridCol w:w="799"/>
        <w:gridCol w:w="1298"/>
        <w:gridCol w:w="1164"/>
        <w:gridCol w:w="1763"/>
      </w:tblGrid>
      <w:tr w:rsidR="00CC3220" w:rsidTr="00AC5AFB">
        <w:trPr>
          <w:tblHeader/>
        </w:trPr>
        <w:tc>
          <w:tcPr>
            <w:tcW w:w="579" w:type="pct"/>
            <w:hideMark/>
          </w:tcPr>
          <w:p w:rsidR="00CC3220" w:rsidRDefault="00CC3220" w:rsidP="009C0DF6">
            <w:pPr>
              <w:keepNext/>
              <w:keepLines/>
              <w:spacing w:before="0"/>
              <w:rPr>
                <w:rFonts w:ascii="Arial Narrow" w:hAnsi="Arial Narrow"/>
                <w:b/>
                <w:bCs/>
                <w:sz w:val="20"/>
                <w:szCs w:val="20"/>
              </w:rPr>
            </w:pPr>
            <w:r>
              <w:rPr>
                <w:rFonts w:ascii="Arial Narrow" w:hAnsi="Arial Narrow"/>
                <w:b/>
                <w:bCs/>
                <w:sz w:val="20"/>
                <w:szCs w:val="20"/>
              </w:rPr>
              <w:t>Study</w:t>
            </w:r>
          </w:p>
        </w:tc>
        <w:tc>
          <w:tcPr>
            <w:tcW w:w="522" w:type="pct"/>
            <w:hideMark/>
          </w:tcPr>
          <w:p w:rsidR="00CC3220" w:rsidRDefault="00CC3220" w:rsidP="009C0DF6">
            <w:pPr>
              <w:keepNext/>
              <w:keepLines/>
              <w:spacing w:before="0"/>
              <w:jc w:val="center"/>
              <w:rPr>
                <w:rFonts w:ascii="Arial Narrow" w:hAnsi="Arial Narrow"/>
                <w:b/>
                <w:bCs/>
                <w:sz w:val="20"/>
                <w:szCs w:val="20"/>
              </w:rPr>
            </w:pPr>
            <w:r>
              <w:rPr>
                <w:rFonts w:ascii="Arial Narrow" w:hAnsi="Arial Narrow"/>
                <w:b/>
                <w:bCs/>
                <w:sz w:val="20"/>
                <w:szCs w:val="20"/>
              </w:rPr>
              <w:t xml:space="preserve">n used </w:t>
            </w:r>
          </w:p>
        </w:tc>
        <w:tc>
          <w:tcPr>
            <w:tcW w:w="1181" w:type="pct"/>
            <w:hideMark/>
          </w:tcPr>
          <w:p w:rsidR="00CC3220" w:rsidRDefault="00CC3220" w:rsidP="009C0DF6">
            <w:pPr>
              <w:keepNext/>
              <w:keepLines/>
              <w:spacing w:before="0"/>
              <w:jc w:val="center"/>
              <w:rPr>
                <w:rFonts w:ascii="Arial Narrow" w:hAnsi="Arial Narrow"/>
                <w:b/>
                <w:bCs/>
                <w:sz w:val="20"/>
                <w:szCs w:val="20"/>
              </w:rPr>
            </w:pPr>
            <w:r>
              <w:rPr>
                <w:rFonts w:ascii="Arial Narrow" w:hAnsi="Arial Narrow"/>
                <w:b/>
                <w:bCs/>
                <w:sz w:val="20"/>
                <w:szCs w:val="20"/>
              </w:rPr>
              <w:t>Design/ median follow-up or study period</w:t>
            </w:r>
          </w:p>
        </w:tc>
        <w:tc>
          <w:tcPr>
            <w:tcW w:w="432" w:type="pct"/>
            <w:hideMark/>
          </w:tcPr>
          <w:p w:rsidR="00CC3220" w:rsidRDefault="00CC3220" w:rsidP="009C0DF6">
            <w:pPr>
              <w:keepNext/>
              <w:keepLines/>
              <w:spacing w:before="0"/>
              <w:jc w:val="center"/>
              <w:rPr>
                <w:rFonts w:ascii="Arial Narrow" w:hAnsi="Arial Narrow"/>
                <w:b/>
                <w:bCs/>
                <w:sz w:val="20"/>
                <w:szCs w:val="20"/>
              </w:rPr>
            </w:pPr>
            <w:r>
              <w:rPr>
                <w:rFonts w:ascii="Arial Narrow" w:hAnsi="Arial Narrow"/>
                <w:b/>
                <w:bCs/>
                <w:sz w:val="20"/>
                <w:szCs w:val="20"/>
              </w:rPr>
              <w:t>Risk of bias</w:t>
            </w:r>
          </w:p>
        </w:tc>
        <w:tc>
          <w:tcPr>
            <w:tcW w:w="702" w:type="pct"/>
            <w:hideMark/>
          </w:tcPr>
          <w:p w:rsidR="00CC3220" w:rsidRDefault="00CC3220" w:rsidP="009C0DF6">
            <w:pPr>
              <w:keepNext/>
              <w:keepLines/>
              <w:spacing w:before="0"/>
              <w:jc w:val="center"/>
              <w:rPr>
                <w:rFonts w:ascii="Arial Narrow" w:hAnsi="Arial Narrow"/>
                <w:b/>
                <w:bCs/>
                <w:sz w:val="20"/>
                <w:szCs w:val="20"/>
              </w:rPr>
            </w:pPr>
            <w:r>
              <w:rPr>
                <w:rFonts w:ascii="Arial Narrow" w:hAnsi="Arial Narrow"/>
                <w:b/>
                <w:bCs/>
                <w:sz w:val="20"/>
                <w:szCs w:val="20"/>
              </w:rPr>
              <w:t>Patient population</w:t>
            </w:r>
          </w:p>
        </w:tc>
        <w:tc>
          <w:tcPr>
            <w:tcW w:w="630" w:type="pct"/>
            <w:hideMark/>
          </w:tcPr>
          <w:p w:rsidR="00CC3220" w:rsidRDefault="00CC3220" w:rsidP="009C0DF6">
            <w:pPr>
              <w:keepNext/>
              <w:keepLines/>
              <w:spacing w:before="0"/>
              <w:jc w:val="center"/>
              <w:rPr>
                <w:rFonts w:ascii="Arial Narrow" w:hAnsi="Arial Narrow"/>
                <w:b/>
                <w:bCs/>
                <w:sz w:val="20"/>
                <w:szCs w:val="20"/>
              </w:rPr>
            </w:pPr>
            <w:r>
              <w:rPr>
                <w:rFonts w:ascii="Arial Narrow" w:hAnsi="Arial Narrow"/>
                <w:b/>
                <w:bCs/>
                <w:sz w:val="20"/>
                <w:szCs w:val="20"/>
              </w:rPr>
              <w:t>Outcomes</w:t>
            </w:r>
          </w:p>
        </w:tc>
        <w:tc>
          <w:tcPr>
            <w:tcW w:w="954" w:type="pct"/>
            <w:hideMark/>
          </w:tcPr>
          <w:p w:rsidR="00CC3220" w:rsidRDefault="00CC3220" w:rsidP="009C0DF6">
            <w:pPr>
              <w:keepNext/>
              <w:keepLines/>
              <w:spacing w:before="0"/>
              <w:jc w:val="center"/>
              <w:rPr>
                <w:rFonts w:ascii="Arial Narrow" w:hAnsi="Arial Narrow"/>
                <w:b/>
                <w:bCs/>
                <w:sz w:val="20"/>
                <w:szCs w:val="20"/>
              </w:rPr>
            </w:pPr>
            <w:r>
              <w:rPr>
                <w:rFonts w:ascii="Arial Narrow" w:hAnsi="Arial Narrow"/>
                <w:b/>
                <w:bCs/>
                <w:sz w:val="20"/>
                <w:szCs w:val="20"/>
              </w:rPr>
              <w:t>Used in modelled evaluation?</w:t>
            </w:r>
          </w:p>
        </w:tc>
      </w:tr>
      <w:tr w:rsidR="00CC3220" w:rsidTr="00422FD5">
        <w:trPr>
          <w:trHeight w:val="60"/>
        </w:trPr>
        <w:tc>
          <w:tcPr>
            <w:tcW w:w="5000" w:type="pct"/>
            <w:gridSpan w:val="7"/>
            <w:hideMark/>
          </w:tcPr>
          <w:p w:rsidR="00CC3220" w:rsidRDefault="00CC3220" w:rsidP="009C0DF6">
            <w:pPr>
              <w:keepNext/>
              <w:keepLines/>
              <w:spacing w:before="0"/>
              <w:rPr>
                <w:rFonts w:ascii="Arial Narrow" w:hAnsi="Arial Narrow"/>
                <w:b/>
                <w:bCs/>
                <w:sz w:val="20"/>
                <w:szCs w:val="20"/>
              </w:rPr>
            </w:pPr>
            <w:proofErr w:type="spellStart"/>
            <w:r>
              <w:rPr>
                <w:rFonts w:ascii="Arial Narrow" w:hAnsi="Arial Narrow"/>
                <w:b/>
                <w:bCs/>
                <w:sz w:val="20"/>
                <w:szCs w:val="20"/>
              </w:rPr>
              <w:t>Pembrolizumab</w:t>
            </w:r>
            <w:proofErr w:type="spellEnd"/>
          </w:p>
        </w:tc>
      </w:tr>
      <w:tr w:rsidR="00CC3220" w:rsidTr="00963C3A">
        <w:trPr>
          <w:trHeight w:val="2021"/>
        </w:trPr>
        <w:tc>
          <w:tcPr>
            <w:tcW w:w="579" w:type="pct"/>
            <w:hideMark/>
          </w:tcPr>
          <w:p w:rsidR="00CC3220" w:rsidRDefault="00CC3220" w:rsidP="009C0DF6">
            <w:pPr>
              <w:keepNext/>
              <w:keepLines/>
              <w:spacing w:before="0"/>
              <w:rPr>
                <w:rFonts w:ascii="Arial Narrow" w:hAnsi="Arial Narrow"/>
                <w:sz w:val="20"/>
                <w:szCs w:val="20"/>
                <w:u w:val="single"/>
              </w:rPr>
            </w:pPr>
            <w:r>
              <w:rPr>
                <w:rFonts w:ascii="Arial Narrow" w:hAnsi="Arial Narrow"/>
                <w:sz w:val="20"/>
                <w:szCs w:val="20"/>
                <w:u w:val="single"/>
              </w:rPr>
              <w:t>KN087</w:t>
            </w:r>
          </w:p>
          <w:p w:rsidR="00CC3220" w:rsidRDefault="00CC3220" w:rsidP="009C0DF6">
            <w:pPr>
              <w:keepNext/>
              <w:keepLines/>
              <w:spacing w:before="0"/>
              <w:rPr>
                <w:rFonts w:ascii="Arial Narrow" w:hAnsi="Arial Narrow"/>
                <w:sz w:val="20"/>
                <w:szCs w:val="20"/>
              </w:rPr>
            </w:pPr>
            <w:r>
              <w:rPr>
                <w:rFonts w:ascii="Arial Narrow" w:hAnsi="Arial Narrow"/>
                <w:sz w:val="20"/>
                <w:szCs w:val="20"/>
              </w:rPr>
              <w:t>Cohort 1:</w:t>
            </w:r>
          </w:p>
          <w:p w:rsidR="00CC3220" w:rsidRDefault="00CC3220" w:rsidP="009C0DF6">
            <w:pPr>
              <w:keepNext/>
              <w:keepLines/>
              <w:spacing w:before="0"/>
              <w:rPr>
                <w:rFonts w:ascii="Arial Narrow" w:hAnsi="Arial Narrow"/>
                <w:sz w:val="20"/>
                <w:szCs w:val="20"/>
              </w:rPr>
            </w:pPr>
            <w:r>
              <w:rPr>
                <w:rFonts w:ascii="Arial Narrow" w:hAnsi="Arial Narrow"/>
                <w:sz w:val="20"/>
                <w:szCs w:val="20"/>
              </w:rPr>
              <w:t>Cohort 2:</w:t>
            </w:r>
          </w:p>
          <w:p w:rsidR="00CC3220" w:rsidRDefault="00CC3220" w:rsidP="009C0DF6">
            <w:pPr>
              <w:keepNext/>
              <w:keepLines/>
              <w:spacing w:before="0"/>
              <w:rPr>
                <w:rFonts w:ascii="Arial Narrow" w:hAnsi="Arial Narrow"/>
                <w:sz w:val="20"/>
                <w:szCs w:val="20"/>
              </w:rPr>
            </w:pPr>
            <w:r>
              <w:rPr>
                <w:rFonts w:ascii="Arial Narrow" w:hAnsi="Arial Narrow"/>
                <w:sz w:val="20"/>
                <w:szCs w:val="20"/>
              </w:rPr>
              <w:t>Cohort 3:</w:t>
            </w:r>
          </w:p>
        </w:tc>
        <w:tc>
          <w:tcPr>
            <w:tcW w:w="522"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(ITT=210</w:t>
            </w:r>
            <w:r>
              <w:rPr>
                <w:rFonts w:ascii="Arial Narrow" w:hAnsi="Arial Narrow"/>
                <w:b/>
                <w:bCs/>
                <w:sz w:val="20"/>
                <w:szCs w:val="20"/>
              </w:rPr>
              <w:t>)</w:t>
            </w:r>
          </w:p>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69</w:t>
            </w:r>
          </w:p>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81</w:t>
            </w:r>
          </w:p>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60</w:t>
            </w:r>
          </w:p>
        </w:tc>
        <w:tc>
          <w:tcPr>
            <w:tcW w:w="1181" w:type="pct"/>
            <w:hideMark/>
          </w:tcPr>
          <w:p w:rsidR="00CC3220" w:rsidRDefault="00783A76" w:rsidP="009C0DF6">
            <w:pPr>
              <w:keepNext/>
              <w:keepLines/>
              <w:spacing w:before="0"/>
              <w:jc w:val="left"/>
              <w:rPr>
                <w:rFonts w:ascii="Arial Narrow" w:hAnsi="Arial Narrow"/>
                <w:sz w:val="20"/>
                <w:szCs w:val="20"/>
              </w:rPr>
            </w:pPr>
            <w:r>
              <w:rPr>
                <w:rFonts w:ascii="Arial Narrow" w:hAnsi="Arial Narrow"/>
                <w:sz w:val="20"/>
                <w:szCs w:val="20"/>
              </w:rPr>
              <w:t>Multi-</w:t>
            </w:r>
            <w:r w:rsidR="00CC3220">
              <w:rPr>
                <w:rFonts w:ascii="Arial Narrow" w:hAnsi="Arial Narrow"/>
                <w:sz w:val="20"/>
                <w:szCs w:val="20"/>
              </w:rPr>
              <w:t xml:space="preserve">cohort </w:t>
            </w:r>
            <w:r>
              <w:rPr>
                <w:rFonts w:ascii="Arial Narrow" w:hAnsi="Arial Narrow"/>
                <w:sz w:val="20"/>
                <w:szCs w:val="20"/>
              </w:rPr>
              <w:t xml:space="preserve">single-arm </w:t>
            </w:r>
            <w:r w:rsidR="00CC3220">
              <w:rPr>
                <w:rFonts w:ascii="Arial Narrow" w:hAnsi="Arial Narrow"/>
                <w:sz w:val="20"/>
                <w:szCs w:val="20"/>
              </w:rPr>
              <w:t xml:space="preserve">study of </w:t>
            </w:r>
            <w:proofErr w:type="spellStart"/>
            <w:r w:rsidR="00CC3220">
              <w:rPr>
                <w:rFonts w:ascii="Arial Narrow" w:hAnsi="Arial Narrow"/>
                <w:sz w:val="20"/>
                <w:szCs w:val="20"/>
              </w:rPr>
              <w:t>pembrolizumab</w:t>
            </w:r>
            <w:proofErr w:type="spellEnd"/>
          </w:p>
          <w:p w:rsidR="00CC3220" w:rsidRDefault="00CC3220" w:rsidP="009C0DF6">
            <w:pPr>
              <w:keepNext/>
              <w:keepLines/>
              <w:spacing w:before="0"/>
              <w:rPr>
                <w:rFonts w:ascii="Arial Narrow" w:hAnsi="Arial Narrow"/>
                <w:sz w:val="20"/>
                <w:szCs w:val="20"/>
              </w:rPr>
            </w:pPr>
            <w:r>
              <w:rPr>
                <w:rFonts w:ascii="Arial Narrow" w:hAnsi="Arial Narrow"/>
                <w:sz w:val="20"/>
                <w:szCs w:val="20"/>
              </w:rPr>
              <w:t>(200mg Q3W)</w:t>
            </w:r>
          </w:p>
          <w:p w:rsidR="00CC3220" w:rsidRDefault="00CC3220" w:rsidP="009C0DF6">
            <w:pPr>
              <w:keepNext/>
              <w:keepLines/>
              <w:spacing w:before="0"/>
              <w:rPr>
                <w:rFonts w:ascii="Arial Narrow" w:hAnsi="Arial Narrow"/>
                <w:sz w:val="20"/>
                <w:szCs w:val="20"/>
              </w:rPr>
            </w:pPr>
            <w:r>
              <w:rPr>
                <w:rFonts w:ascii="Arial Narrow" w:hAnsi="Arial Narrow"/>
                <w:sz w:val="20"/>
                <w:szCs w:val="20"/>
              </w:rPr>
              <w:t>Median follow-up 10.1 months, (range</w:t>
            </w:r>
            <w:proofErr w:type="gramStart"/>
            <w:r>
              <w:rPr>
                <w:rFonts w:ascii="Arial Narrow" w:hAnsi="Arial Narrow"/>
                <w:sz w:val="20"/>
                <w:szCs w:val="20"/>
              </w:rPr>
              <w:t>:1</w:t>
            </w:r>
            <w:proofErr w:type="gramEnd"/>
            <w:r>
              <w:rPr>
                <w:rFonts w:ascii="Arial Narrow" w:hAnsi="Arial Narrow"/>
                <w:sz w:val="20"/>
                <w:szCs w:val="20"/>
              </w:rPr>
              <w:t>-15)</w:t>
            </w:r>
            <w:r w:rsidR="00E50761">
              <w:rPr>
                <w:rFonts w:ascii="Arial Narrow" w:hAnsi="Arial Narrow"/>
                <w:sz w:val="20"/>
                <w:szCs w:val="20"/>
              </w:rPr>
              <w:t>.</w:t>
            </w:r>
          </w:p>
          <w:p w:rsidR="00E50761" w:rsidRPr="00783A76" w:rsidRDefault="00783A76" w:rsidP="009C0DF6">
            <w:pPr>
              <w:keepNext/>
              <w:keepLines/>
              <w:spacing w:before="0"/>
              <w:rPr>
                <w:rFonts w:ascii="Arial Narrow" w:hAnsi="Arial Narrow"/>
                <w:sz w:val="20"/>
                <w:szCs w:val="20"/>
                <w:vertAlign w:val="superscript"/>
              </w:rPr>
            </w:pPr>
            <w:r>
              <w:rPr>
                <w:rFonts w:ascii="Arial Narrow" w:hAnsi="Arial Narrow"/>
                <w:sz w:val="20"/>
                <w:szCs w:val="20"/>
              </w:rPr>
              <w:t>(</w:t>
            </w:r>
            <w:r w:rsidR="00E50761" w:rsidRPr="00783A76">
              <w:rPr>
                <w:rFonts w:ascii="Arial Narrow" w:hAnsi="Arial Narrow"/>
                <w:sz w:val="20"/>
                <w:szCs w:val="20"/>
              </w:rPr>
              <w:t>200mg Q3W is consistent with draft PI.</w:t>
            </w:r>
            <w:r>
              <w:rPr>
                <w:rFonts w:ascii="Arial Narrow" w:hAnsi="Arial Narrow"/>
                <w:sz w:val="20"/>
                <w:szCs w:val="20"/>
              </w:rPr>
              <w:t>)</w:t>
            </w:r>
          </w:p>
        </w:tc>
        <w:tc>
          <w:tcPr>
            <w:tcW w:w="432"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High</w:t>
            </w:r>
          </w:p>
        </w:tc>
        <w:tc>
          <w:tcPr>
            <w:tcW w:w="702" w:type="pct"/>
          </w:tcPr>
          <w:p w:rsidR="00CC3220" w:rsidRDefault="00CC3220" w:rsidP="009C0DF6">
            <w:pPr>
              <w:keepNext/>
              <w:keepLines/>
              <w:spacing w:before="0"/>
              <w:jc w:val="left"/>
              <w:rPr>
                <w:rFonts w:ascii="Arial Narrow" w:hAnsi="Arial Narrow"/>
                <w:sz w:val="20"/>
                <w:szCs w:val="20"/>
              </w:rPr>
            </w:pPr>
            <w:proofErr w:type="spellStart"/>
            <w:r>
              <w:rPr>
                <w:rFonts w:ascii="Arial Narrow" w:hAnsi="Arial Narrow"/>
                <w:sz w:val="20"/>
                <w:szCs w:val="20"/>
              </w:rPr>
              <w:t>rrcHL</w:t>
            </w:r>
            <w:proofErr w:type="spellEnd"/>
            <w:r>
              <w:rPr>
                <w:rFonts w:ascii="Arial Narrow" w:hAnsi="Arial Narrow"/>
                <w:sz w:val="20"/>
                <w:szCs w:val="20"/>
              </w:rPr>
              <w:t xml:space="preserve"> (Post ASCT and ASCT naïve) Predominantly after BV failure</w:t>
            </w:r>
          </w:p>
          <w:p w:rsidR="00CC3220" w:rsidRDefault="00CC3220" w:rsidP="009C0DF6">
            <w:pPr>
              <w:keepNext/>
              <w:keepLines/>
              <w:spacing w:before="0"/>
              <w:jc w:val="left"/>
              <w:rPr>
                <w:rFonts w:ascii="Arial Narrow" w:hAnsi="Arial Narrow"/>
                <w:sz w:val="20"/>
                <w:szCs w:val="20"/>
              </w:rPr>
            </w:pPr>
          </w:p>
          <w:p w:rsidR="00CC3220" w:rsidRDefault="00CC3220" w:rsidP="009C0DF6">
            <w:pPr>
              <w:keepNext/>
              <w:keepLines/>
              <w:spacing w:before="0"/>
              <w:jc w:val="left"/>
              <w:rPr>
                <w:rFonts w:ascii="Arial Narrow" w:hAnsi="Arial Narrow"/>
                <w:sz w:val="20"/>
                <w:szCs w:val="20"/>
              </w:rPr>
            </w:pPr>
            <w:r>
              <w:rPr>
                <w:rFonts w:ascii="Arial Narrow" w:hAnsi="Arial Narrow"/>
                <w:sz w:val="20"/>
                <w:szCs w:val="20"/>
              </w:rPr>
              <w:t>Cohort 1</w:t>
            </w:r>
            <w:r>
              <w:rPr>
                <w:rFonts w:ascii="Arial Narrow" w:hAnsi="Arial Narrow"/>
                <w:sz w:val="20"/>
                <w:szCs w:val="20"/>
                <w:vertAlign w:val="superscript"/>
              </w:rPr>
              <w:t>1</w:t>
            </w:r>
            <w:r>
              <w:rPr>
                <w:rFonts w:ascii="Arial Narrow" w:hAnsi="Arial Narrow"/>
                <w:sz w:val="20"/>
                <w:szCs w:val="20"/>
              </w:rPr>
              <w:t>:</w:t>
            </w:r>
          </w:p>
          <w:p w:rsidR="00CC3220" w:rsidRDefault="00CC3220" w:rsidP="009C0DF6">
            <w:pPr>
              <w:keepNext/>
              <w:keepLines/>
              <w:spacing w:before="0"/>
              <w:jc w:val="left"/>
              <w:rPr>
                <w:rFonts w:ascii="Arial Narrow" w:hAnsi="Arial Narrow"/>
                <w:sz w:val="20"/>
                <w:szCs w:val="20"/>
              </w:rPr>
            </w:pPr>
            <w:r>
              <w:rPr>
                <w:rFonts w:ascii="Arial Narrow" w:hAnsi="Arial Narrow"/>
                <w:sz w:val="20"/>
                <w:szCs w:val="20"/>
              </w:rPr>
              <w:t>Cohort 2</w:t>
            </w:r>
            <w:r>
              <w:rPr>
                <w:rFonts w:ascii="Arial Narrow" w:hAnsi="Arial Narrow"/>
                <w:sz w:val="20"/>
                <w:szCs w:val="20"/>
                <w:vertAlign w:val="superscript"/>
              </w:rPr>
              <w:t>2</w:t>
            </w:r>
            <w:r>
              <w:rPr>
                <w:rFonts w:ascii="Arial Narrow" w:hAnsi="Arial Narrow"/>
                <w:sz w:val="20"/>
                <w:szCs w:val="20"/>
              </w:rPr>
              <w:t>:</w:t>
            </w:r>
          </w:p>
          <w:p w:rsidR="00CC3220" w:rsidRDefault="00CC3220" w:rsidP="009C0DF6">
            <w:pPr>
              <w:keepNext/>
              <w:keepLines/>
              <w:spacing w:before="0"/>
              <w:jc w:val="left"/>
              <w:rPr>
                <w:rFonts w:ascii="Arial Narrow" w:hAnsi="Arial Narrow"/>
                <w:sz w:val="20"/>
                <w:szCs w:val="20"/>
              </w:rPr>
            </w:pPr>
            <w:r>
              <w:rPr>
                <w:rFonts w:ascii="Arial Narrow" w:hAnsi="Arial Narrow"/>
                <w:sz w:val="20"/>
                <w:szCs w:val="20"/>
              </w:rPr>
              <w:t>Cohort 3</w:t>
            </w:r>
            <w:r>
              <w:rPr>
                <w:rFonts w:ascii="Arial Narrow" w:hAnsi="Arial Narrow"/>
                <w:sz w:val="20"/>
                <w:szCs w:val="20"/>
                <w:vertAlign w:val="superscript"/>
              </w:rPr>
              <w:t>3</w:t>
            </w:r>
            <w:r>
              <w:rPr>
                <w:rFonts w:ascii="Arial Narrow" w:hAnsi="Arial Narrow"/>
                <w:sz w:val="20"/>
                <w:szCs w:val="20"/>
              </w:rPr>
              <w:t>:</w:t>
            </w:r>
          </w:p>
        </w:tc>
        <w:tc>
          <w:tcPr>
            <w:tcW w:w="630"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OS, PFS,</w:t>
            </w:r>
            <w:r w:rsidR="00963C3A">
              <w:rPr>
                <w:rFonts w:ascii="Arial Narrow" w:hAnsi="Arial Narrow"/>
                <w:sz w:val="20"/>
                <w:szCs w:val="20"/>
              </w:rPr>
              <w:t xml:space="preserve"> </w:t>
            </w:r>
            <w:r>
              <w:rPr>
                <w:rFonts w:ascii="Arial Narrow" w:hAnsi="Arial Narrow"/>
                <w:sz w:val="20"/>
                <w:szCs w:val="20"/>
              </w:rPr>
              <w:t>ORR</w:t>
            </w:r>
          </w:p>
        </w:tc>
        <w:tc>
          <w:tcPr>
            <w:tcW w:w="954"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No</w:t>
            </w:r>
          </w:p>
        </w:tc>
      </w:tr>
      <w:tr w:rsidR="00CC3220" w:rsidTr="00963C3A">
        <w:tc>
          <w:tcPr>
            <w:tcW w:w="579" w:type="pct"/>
            <w:hideMark/>
          </w:tcPr>
          <w:p w:rsidR="00CC3220" w:rsidRDefault="00CC3220" w:rsidP="009C0DF6">
            <w:pPr>
              <w:keepNext/>
              <w:keepLines/>
              <w:spacing w:before="0"/>
              <w:rPr>
                <w:rFonts w:ascii="Arial Narrow" w:hAnsi="Arial Narrow"/>
                <w:sz w:val="20"/>
                <w:szCs w:val="20"/>
              </w:rPr>
            </w:pPr>
            <w:r>
              <w:rPr>
                <w:rFonts w:ascii="Arial Narrow" w:hAnsi="Arial Narrow"/>
                <w:sz w:val="20"/>
                <w:szCs w:val="20"/>
              </w:rPr>
              <w:t>KN013</w:t>
            </w:r>
          </w:p>
        </w:tc>
        <w:tc>
          <w:tcPr>
            <w:tcW w:w="522"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ITT=31</w:t>
            </w:r>
          </w:p>
        </w:tc>
        <w:tc>
          <w:tcPr>
            <w:tcW w:w="1181" w:type="pct"/>
            <w:hideMark/>
          </w:tcPr>
          <w:p w:rsidR="00CC3220" w:rsidRDefault="00783A76" w:rsidP="009C0DF6">
            <w:pPr>
              <w:keepNext/>
              <w:keepLines/>
              <w:spacing w:before="0"/>
              <w:jc w:val="left"/>
              <w:rPr>
                <w:rFonts w:ascii="Arial Narrow" w:hAnsi="Arial Narrow"/>
                <w:sz w:val="20"/>
                <w:szCs w:val="20"/>
              </w:rPr>
            </w:pPr>
            <w:r>
              <w:rPr>
                <w:rFonts w:ascii="Arial Narrow" w:hAnsi="Arial Narrow"/>
                <w:sz w:val="20"/>
                <w:szCs w:val="20"/>
              </w:rPr>
              <w:t>Single-</w:t>
            </w:r>
            <w:r w:rsidR="00CC3220">
              <w:rPr>
                <w:rFonts w:ascii="Arial Narrow" w:hAnsi="Arial Narrow"/>
                <w:sz w:val="20"/>
                <w:szCs w:val="20"/>
              </w:rPr>
              <w:t xml:space="preserve">arm study of </w:t>
            </w:r>
            <w:proofErr w:type="spellStart"/>
            <w:r w:rsidR="00CC3220">
              <w:rPr>
                <w:rFonts w:ascii="Arial Narrow" w:hAnsi="Arial Narrow"/>
                <w:sz w:val="20"/>
                <w:szCs w:val="20"/>
              </w:rPr>
              <w:t>pembrolizumab</w:t>
            </w:r>
            <w:proofErr w:type="spellEnd"/>
            <w:r w:rsidR="00CC3220">
              <w:rPr>
                <w:rFonts w:ascii="Arial Narrow" w:hAnsi="Arial Narrow"/>
                <w:sz w:val="20"/>
                <w:szCs w:val="20"/>
              </w:rPr>
              <w:t xml:space="preserve"> </w:t>
            </w:r>
          </w:p>
          <w:p w:rsidR="00CC3220" w:rsidRDefault="00CC3220" w:rsidP="009C0DF6">
            <w:pPr>
              <w:keepNext/>
              <w:keepLines/>
              <w:spacing w:before="0"/>
              <w:jc w:val="left"/>
              <w:rPr>
                <w:rFonts w:ascii="Arial Narrow" w:hAnsi="Arial Narrow"/>
                <w:sz w:val="20"/>
                <w:szCs w:val="20"/>
              </w:rPr>
            </w:pPr>
            <w:r>
              <w:rPr>
                <w:rFonts w:ascii="Arial Narrow" w:hAnsi="Arial Narrow"/>
                <w:sz w:val="20"/>
                <w:szCs w:val="20"/>
              </w:rPr>
              <w:t>(10mg/kg every two weeks)</w:t>
            </w:r>
          </w:p>
          <w:p w:rsidR="00CC3220" w:rsidRDefault="00CC3220" w:rsidP="009C0DF6">
            <w:pPr>
              <w:keepNext/>
              <w:keepLines/>
              <w:spacing w:before="0"/>
              <w:jc w:val="left"/>
              <w:rPr>
                <w:rFonts w:ascii="Arial Narrow" w:hAnsi="Arial Narrow"/>
                <w:sz w:val="20"/>
                <w:szCs w:val="20"/>
              </w:rPr>
            </w:pPr>
            <w:r>
              <w:rPr>
                <w:rFonts w:ascii="Arial Narrow" w:hAnsi="Arial Narrow"/>
                <w:sz w:val="20"/>
                <w:szCs w:val="20"/>
              </w:rPr>
              <w:t>Median follow-up 24.9 months, (range: 7-29.7)</w:t>
            </w:r>
            <w:r w:rsidR="00E50761">
              <w:rPr>
                <w:rFonts w:ascii="Arial Narrow" w:hAnsi="Arial Narrow"/>
                <w:sz w:val="20"/>
                <w:szCs w:val="20"/>
              </w:rPr>
              <w:t>.</w:t>
            </w:r>
          </w:p>
          <w:p w:rsidR="00E50761" w:rsidRPr="00783A76" w:rsidRDefault="00783A76" w:rsidP="009C0DF6">
            <w:pPr>
              <w:keepNext/>
              <w:keepLines/>
              <w:spacing w:before="0"/>
              <w:jc w:val="left"/>
              <w:rPr>
                <w:rFonts w:ascii="Arial Narrow" w:hAnsi="Arial Narrow"/>
                <w:sz w:val="20"/>
                <w:szCs w:val="20"/>
                <w:vertAlign w:val="superscript"/>
              </w:rPr>
            </w:pPr>
            <w:r>
              <w:rPr>
                <w:rFonts w:ascii="Arial Narrow" w:hAnsi="Arial Narrow"/>
                <w:sz w:val="20"/>
                <w:szCs w:val="20"/>
              </w:rPr>
              <w:t>(</w:t>
            </w:r>
            <w:r w:rsidR="00E50761" w:rsidRPr="00783A76">
              <w:rPr>
                <w:rFonts w:ascii="Arial Narrow" w:hAnsi="Arial Narrow"/>
                <w:sz w:val="20"/>
                <w:szCs w:val="20"/>
              </w:rPr>
              <w:t>10mg/kg Q2W is not consistent with draft PI.</w:t>
            </w:r>
            <w:r>
              <w:rPr>
                <w:rFonts w:ascii="Arial Narrow" w:hAnsi="Arial Narrow"/>
                <w:sz w:val="20"/>
                <w:szCs w:val="20"/>
              </w:rPr>
              <w:t>)</w:t>
            </w:r>
          </w:p>
        </w:tc>
        <w:tc>
          <w:tcPr>
            <w:tcW w:w="432"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High</w:t>
            </w:r>
          </w:p>
        </w:tc>
        <w:tc>
          <w:tcPr>
            <w:tcW w:w="702" w:type="pct"/>
            <w:hideMark/>
          </w:tcPr>
          <w:p w:rsidR="00CC3220" w:rsidRDefault="00CC3220" w:rsidP="009C0DF6">
            <w:pPr>
              <w:keepNext/>
              <w:keepLines/>
              <w:spacing w:before="0"/>
              <w:jc w:val="left"/>
              <w:rPr>
                <w:rFonts w:ascii="Arial Narrow" w:hAnsi="Arial Narrow"/>
                <w:sz w:val="20"/>
                <w:szCs w:val="20"/>
              </w:rPr>
            </w:pPr>
            <w:proofErr w:type="spellStart"/>
            <w:r>
              <w:rPr>
                <w:rFonts w:ascii="Arial Narrow" w:hAnsi="Arial Narrow"/>
                <w:sz w:val="20"/>
                <w:szCs w:val="20"/>
              </w:rPr>
              <w:t>rrcHL</w:t>
            </w:r>
            <w:proofErr w:type="spellEnd"/>
            <w:r>
              <w:rPr>
                <w:rFonts w:ascii="Arial Narrow" w:hAnsi="Arial Narrow"/>
                <w:sz w:val="20"/>
                <w:szCs w:val="20"/>
              </w:rPr>
              <w:t xml:space="preserve"> (Post ASCT and ASCT naïve)</w:t>
            </w:r>
          </w:p>
          <w:p w:rsidR="00CC3220" w:rsidRDefault="00CC3220" w:rsidP="009C0DF6">
            <w:pPr>
              <w:keepNext/>
              <w:keepLines/>
              <w:spacing w:before="0"/>
              <w:jc w:val="left"/>
              <w:rPr>
                <w:rFonts w:ascii="Arial Narrow" w:hAnsi="Arial Narrow"/>
                <w:sz w:val="20"/>
                <w:szCs w:val="20"/>
              </w:rPr>
            </w:pPr>
            <w:r>
              <w:rPr>
                <w:rFonts w:ascii="Arial Narrow" w:hAnsi="Arial Narrow"/>
                <w:sz w:val="20"/>
                <w:szCs w:val="20"/>
              </w:rPr>
              <w:t>after BV failure</w:t>
            </w:r>
          </w:p>
        </w:tc>
        <w:tc>
          <w:tcPr>
            <w:tcW w:w="630"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OS, PFS,</w:t>
            </w:r>
            <w:r w:rsidR="00963C3A">
              <w:rPr>
                <w:rFonts w:ascii="Arial Narrow" w:hAnsi="Arial Narrow"/>
                <w:sz w:val="20"/>
                <w:szCs w:val="20"/>
              </w:rPr>
              <w:t xml:space="preserve"> </w:t>
            </w:r>
            <w:r>
              <w:rPr>
                <w:rFonts w:ascii="Arial Narrow" w:hAnsi="Arial Narrow"/>
                <w:sz w:val="20"/>
                <w:szCs w:val="20"/>
              </w:rPr>
              <w:t>ORR</w:t>
            </w:r>
          </w:p>
        </w:tc>
        <w:tc>
          <w:tcPr>
            <w:tcW w:w="954"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No</w:t>
            </w:r>
          </w:p>
        </w:tc>
      </w:tr>
      <w:tr w:rsidR="00CC3220" w:rsidTr="00422FD5">
        <w:tc>
          <w:tcPr>
            <w:tcW w:w="5000" w:type="pct"/>
            <w:gridSpan w:val="7"/>
            <w:hideMark/>
          </w:tcPr>
          <w:p w:rsidR="00CC3220" w:rsidRDefault="00CC3220" w:rsidP="009C0DF6">
            <w:pPr>
              <w:keepNext/>
              <w:keepLines/>
              <w:spacing w:before="0"/>
              <w:rPr>
                <w:rFonts w:ascii="Arial Narrow" w:hAnsi="Arial Narrow"/>
                <w:b/>
                <w:bCs/>
                <w:sz w:val="20"/>
                <w:szCs w:val="20"/>
              </w:rPr>
            </w:pPr>
            <w:r>
              <w:rPr>
                <w:rFonts w:ascii="Arial Narrow" w:hAnsi="Arial Narrow"/>
                <w:b/>
                <w:bCs/>
                <w:sz w:val="20"/>
                <w:szCs w:val="20"/>
              </w:rPr>
              <w:t>BV</w:t>
            </w:r>
          </w:p>
        </w:tc>
      </w:tr>
      <w:tr w:rsidR="00CC3220" w:rsidTr="00963C3A">
        <w:tc>
          <w:tcPr>
            <w:tcW w:w="579" w:type="pct"/>
            <w:hideMark/>
          </w:tcPr>
          <w:p w:rsidR="00CC3220" w:rsidRDefault="00CC3220" w:rsidP="009C0DF6">
            <w:pPr>
              <w:keepNext/>
              <w:keepLines/>
              <w:spacing w:before="0"/>
              <w:rPr>
                <w:rFonts w:ascii="Arial Narrow" w:hAnsi="Arial Narrow"/>
                <w:sz w:val="20"/>
                <w:szCs w:val="20"/>
              </w:rPr>
            </w:pPr>
            <w:r>
              <w:rPr>
                <w:rFonts w:ascii="Arial Narrow" w:hAnsi="Arial Narrow"/>
                <w:sz w:val="20"/>
                <w:szCs w:val="20"/>
              </w:rPr>
              <w:t>Study 0003</w:t>
            </w:r>
          </w:p>
        </w:tc>
        <w:tc>
          <w:tcPr>
            <w:tcW w:w="522"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ITT:102</w:t>
            </w:r>
          </w:p>
        </w:tc>
        <w:tc>
          <w:tcPr>
            <w:tcW w:w="1181" w:type="pct"/>
            <w:hideMark/>
          </w:tcPr>
          <w:p w:rsidR="00783A76" w:rsidRDefault="00CC3220" w:rsidP="00783A76">
            <w:pPr>
              <w:keepNext/>
              <w:keepLines/>
              <w:spacing w:before="0"/>
              <w:rPr>
                <w:rFonts w:ascii="Arial Narrow" w:hAnsi="Arial Narrow"/>
                <w:sz w:val="20"/>
                <w:szCs w:val="20"/>
              </w:rPr>
            </w:pPr>
            <w:r>
              <w:rPr>
                <w:rFonts w:ascii="Arial Narrow" w:hAnsi="Arial Narrow"/>
                <w:sz w:val="20"/>
                <w:szCs w:val="20"/>
              </w:rPr>
              <w:t>Single</w:t>
            </w:r>
            <w:r w:rsidR="00783A76">
              <w:rPr>
                <w:rFonts w:ascii="Arial Narrow" w:hAnsi="Arial Narrow"/>
                <w:sz w:val="20"/>
                <w:szCs w:val="20"/>
              </w:rPr>
              <w:t>-arm</w:t>
            </w:r>
            <w:r>
              <w:rPr>
                <w:rFonts w:ascii="Arial Narrow" w:hAnsi="Arial Narrow"/>
                <w:sz w:val="20"/>
                <w:szCs w:val="20"/>
              </w:rPr>
              <w:t xml:space="preserve"> study </w:t>
            </w:r>
            <w:r w:rsidR="00783A76">
              <w:rPr>
                <w:rFonts w:ascii="Arial Narrow" w:hAnsi="Arial Narrow"/>
                <w:sz w:val="20"/>
                <w:szCs w:val="20"/>
              </w:rPr>
              <w:t>of BV</w:t>
            </w:r>
          </w:p>
          <w:p w:rsidR="00CC3220" w:rsidRDefault="00CC3220" w:rsidP="00783A76">
            <w:pPr>
              <w:keepNext/>
              <w:keepLines/>
              <w:spacing w:before="0"/>
              <w:rPr>
                <w:rFonts w:ascii="Arial Narrow" w:hAnsi="Arial Narrow"/>
                <w:sz w:val="20"/>
                <w:szCs w:val="20"/>
              </w:rPr>
            </w:pPr>
            <w:r>
              <w:rPr>
                <w:rFonts w:ascii="Arial Narrow" w:hAnsi="Arial Narrow"/>
                <w:sz w:val="20"/>
                <w:szCs w:val="20"/>
              </w:rPr>
              <w:t>Latest median follow-up: 35.1 months</w:t>
            </w:r>
            <w:r>
              <w:rPr>
                <w:rFonts w:ascii="Arial Narrow" w:hAnsi="Arial Narrow"/>
                <w:sz w:val="20"/>
                <w:szCs w:val="20"/>
                <w:vertAlign w:val="superscript"/>
              </w:rPr>
              <w:t>4</w:t>
            </w:r>
          </w:p>
        </w:tc>
        <w:tc>
          <w:tcPr>
            <w:tcW w:w="432"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High</w:t>
            </w:r>
          </w:p>
        </w:tc>
        <w:tc>
          <w:tcPr>
            <w:tcW w:w="702" w:type="pct"/>
            <w:hideMark/>
          </w:tcPr>
          <w:p w:rsidR="00CC3220" w:rsidRDefault="000C4F94" w:rsidP="009C0DF6">
            <w:pPr>
              <w:keepNext/>
              <w:keepLines/>
              <w:spacing w:before="0"/>
              <w:jc w:val="left"/>
              <w:rPr>
                <w:rFonts w:ascii="Arial Narrow" w:hAnsi="Arial Narrow"/>
                <w:sz w:val="20"/>
                <w:szCs w:val="20"/>
              </w:rPr>
            </w:pPr>
            <w:proofErr w:type="spellStart"/>
            <w:proofErr w:type="gramStart"/>
            <w:r>
              <w:rPr>
                <w:rFonts w:ascii="Arial Narrow" w:hAnsi="Arial Narrow"/>
                <w:sz w:val="20"/>
                <w:szCs w:val="20"/>
              </w:rPr>
              <w:t>rrcHL</w:t>
            </w:r>
            <w:proofErr w:type="spellEnd"/>
            <w:proofErr w:type="gramEnd"/>
            <w:r>
              <w:rPr>
                <w:rFonts w:ascii="Arial Narrow" w:hAnsi="Arial Narrow"/>
                <w:sz w:val="20"/>
                <w:szCs w:val="20"/>
              </w:rPr>
              <w:t xml:space="preserve"> post </w:t>
            </w:r>
            <w:r w:rsidR="00CC3220">
              <w:rPr>
                <w:rFonts w:ascii="Arial Narrow" w:hAnsi="Arial Narrow"/>
                <w:sz w:val="20"/>
                <w:szCs w:val="20"/>
              </w:rPr>
              <w:t>ASCT, any line (ITT).</w:t>
            </w:r>
          </w:p>
          <w:p w:rsidR="00CC3220" w:rsidRDefault="00CC3220" w:rsidP="009C0DF6">
            <w:pPr>
              <w:keepNext/>
              <w:keepLines/>
              <w:spacing w:before="0"/>
              <w:jc w:val="left"/>
              <w:rPr>
                <w:rFonts w:ascii="Arial Narrow" w:hAnsi="Arial Narrow"/>
                <w:sz w:val="20"/>
                <w:szCs w:val="20"/>
              </w:rPr>
            </w:pPr>
            <w:r>
              <w:rPr>
                <w:rFonts w:ascii="Arial Narrow" w:hAnsi="Arial Narrow"/>
                <w:sz w:val="20"/>
                <w:szCs w:val="20"/>
              </w:rPr>
              <w:t>BV naive</w:t>
            </w:r>
          </w:p>
        </w:tc>
        <w:tc>
          <w:tcPr>
            <w:tcW w:w="630"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OS, PFS,</w:t>
            </w:r>
            <w:r w:rsidR="00963C3A">
              <w:rPr>
                <w:rFonts w:ascii="Arial Narrow" w:hAnsi="Arial Narrow"/>
                <w:sz w:val="20"/>
                <w:szCs w:val="20"/>
              </w:rPr>
              <w:t xml:space="preserve"> </w:t>
            </w:r>
            <w:r>
              <w:rPr>
                <w:rFonts w:ascii="Arial Narrow" w:hAnsi="Arial Narrow"/>
                <w:sz w:val="20"/>
                <w:szCs w:val="20"/>
              </w:rPr>
              <w:t>ORR</w:t>
            </w:r>
          </w:p>
        </w:tc>
        <w:tc>
          <w:tcPr>
            <w:tcW w:w="954" w:type="pct"/>
            <w:hideMark/>
          </w:tcPr>
          <w:p w:rsidR="00CF59BC" w:rsidRDefault="00CF59BC" w:rsidP="009C0DF6">
            <w:pPr>
              <w:keepNext/>
              <w:keepLines/>
              <w:spacing w:before="0"/>
              <w:jc w:val="center"/>
              <w:rPr>
                <w:rFonts w:ascii="Arial Narrow" w:hAnsi="Arial Narrow"/>
                <w:sz w:val="20"/>
                <w:szCs w:val="20"/>
              </w:rPr>
            </w:pPr>
            <w:r>
              <w:rPr>
                <w:rFonts w:ascii="Arial Narrow" w:hAnsi="Arial Narrow"/>
                <w:sz w:val="20"/>
                <w:szCs w:val="20"/>
              </w:rPr>
              <w:t>Yes</w:t>
            </w:r>
          </w:p>
          <w:p w:rsidR="00CF59BC" w:rsidRDefault="00CF59BC" w:rsidP="009C0DF6">
            <w:pPr>
              <w:keepNext/>
              <w:keepLines/>
              <w:spacing w:before="0"/>
              <w:jc w:val="center"/>
              <w:rPr>
                <w:rFonts w:ascii="Arial Narrow" w:hAnsi="Arial Narrow"/>
                <w:sz w:val="20"/>
                <w:szCs w:val="20"/>
              </w:rPr>
            </w:pPr>
            <w:r>
              <w:rPr>
                <w:rFonts w:ascii="Arial Narrow" w:hAnsi="Arial Narrow"/>
                <w:sz w:val="20"/>
                <w:szCs w:val="20"/>
              </w:rPr>
              <w:t>ITT, post-ASCT any line (n=102) included as comparator outcome data.</w:t>
            </w:r>
          </w:p>
          <w:p w:rsidR="00CC3220" w:rsidRDefault="00CF59BC" w:rsidP="009C0DF6">
            <w:pPr>
              <w:keepNext/>
              <w:keepLines/>
              <w:spacing w:before="0"/>
              <w:jc w:val="center"/>
              <w:rPr>
                <w:rFonts w:ascii="Arial Narrow" w:hAnsi="Arial Narrow"/>
                <w:sz w:val="20"/>
                <w:szCs w:val="20"/>
              </w:rPr>
            </w:pPr>
            <w:r>
              <w:rPr>
                <w:rFonts w:ascii="Arial Narrow" w:hAnsi="Arial Narrow"/>
                <w:sz w:val="20"/>
                <w:szCs w:val="20"/>
                <w:u w:val="single"/>
              </w:rPr>
              <w:t xml:space="preserve">(Hypothesised </w:t>
            </w:r>
            <w:r>
              <w:rPr>
                <w:rFonts w:ascii="Arial Narrow" w:hAnsi="Arial Narrow"/>
                <w:sz w:val="20"/>
                <w:szCs w:val="20"/>
              </w:rPr>
              <w:t xml:space="preserve">HRs for </w:t>
            </w:r>
            <w:proofErr w:type="spellStart"/>
            <w:r>
              <w:rPr>
                <w:rFonts w:ascii="Arial Narrow" w:hAnsi="Arial Narrow"/>
                <w:sz w:val="20"/>
                <w:szCs w:val="20"/>
              </w:rPr>
              <w:t>pembrolizumab</w:t>
            </w:r>
            <w:proofErr w:type="spellEnd"/>
            <w:r>
              <w:rPr>
                <w:rFonts w:ascii="Arial Narrow" w:hAnsi="Arial Narrow"/>
                <w:sz w:val="20"/>
                <w:szCs w:val="20"/>
              </w:rPr>
              <w:t xml:space="preserve"> from KN204 trial applied to estimate </w:t>
            </w:r>
            <w:proofErr w:type="spellStart"/>
            <w:r>
              <w:rPr>
                <w:rFonts w:ascii="Arial Narrow" w:hAnsi="Arial Narrow"/>
                <w:sz w:val="20"/>
                <w:szCs w:val="20"/>
              </w:rPr>
              <w:t>pembrolizumab</w:t>
            </w:r>
            <w:proofErr w:type="spellEnd"/>
            <w:r>
              <w:rPr>
                <w:rFonts w:ascii="Arial Narrow" w:hAnsi="Arial Narrow"/>
                <w:sz w:val="20"/>
                <w:szCs w:val="20"/>
              </w:rPr>
              <w:t xml:space="preserve"> outcomes.)</w:t>
            </w:r>
          </w:p>
        </w:tc>
      </w:tr>
      <w:tr w:rsidR="00CC3220" w:rsidTr="00422FD5">
        <w:tc>
          <w:tcPr>
            <w:tcW w:w="5000" w:type="pct"/>
            <w:gridSpan w:val="7"/>
            <w:hideMark/>
          </w:tcPr>
          <w:p w:rsidR="00CC3220" w:rsidRDefault="00CC3220" w:rsidP="009C0DF6">
            <w:pPr>
              <w:keepNext/>
              <w:keepLines/>
              <w:spacing w:before="0"/>
              <w:rPr>
                <w:rFonts w:ascii="Arial Narrow" w:hAnsi="Arial Narrow"/>
                <w:b/>
                <w:bCs/>
                <w:sz w:val="20"/>
                <w:szCs w:val="20"/>
              </w:rPr>
            </w:pPr>
            <w:r>
              <w:rPr>
                <w:rFonts w:ascii="Arial Narrow" w:hAnsi="Arial Narrow"/>
                <w:b/>
                <w:bCs/>
                <w:sz w:val="20"/>
                <w:szCs w:val="20"/>
              </w:rPr>
              <w:t xml:space="preserve">Salvage chemotherapy (gemcitabine + </w:t>
            </w:r>
            <w:proofErr w:type="spellStart"/>
            <w:r>
              <w:rPr>
                <w:rFonts w:ascii="Arial Narrow" w:hAnsi="Arial Narrow"/>
                <w:b/>
                <w:bCs/>
                <w:sz w:val="20"/>
                <w:szCs w:val="20"/>
              </w:rPr>
              <w:t>vinorelbine</w:t>
            </w:r>
            <w:proofErr w:type="spellEnd"/>
            <w:r>
              <w:rPr>
                <w:rFonts w:ascii="Arial Narrow" w:hAnsi="Arial Narrow"/>
                <w:b/>
                <w:bCs/>
                <w:sz w:val="20"/>
                <w:szCs w:val="20"/>
              </w:rPr>
              <w:t>)</w:t>
            </w:r>
          </w:p>
        </w:tc>
      </w:tr>
      <w:tr w:rsidR="00CC3220" w:rsidTr="00963C3A">
        <w:trPr>
          <w:trHeight w:val="285"/>
        </w:trPr>
        <w:tc>
          <w:tcPr>
            <w:tcW w:w="579" w:type="pct"/>
            <w:hideMark/>
          </w:tcPr>
          <w:p w:rsidR="00CC3220" w:rsidRDefault="00CC3220" w:rsidP="009C0DF6">
            <w:pPr>
              <w:keepNext/>
              <w:keepLines/>
              <w:spacing w:before="0"/>
              <w:rPr>
                <w:rFonts w:ascii="Arial Narrow" w:hAnsi="Arial Narrow"/>
                <w:sz w:val="20"/>
                <w:szCs w:val="20"/>
              </w:rPr>
            </w:pPr>
            <w:proofErr w:type="spellStart"/>
            <w:r>
              <w:rPr>
                <w:rFonts w:ascii="Arial Narrow" w:hAnsi="Arial Narrow"/>
                <w:sz w:val="20"/>
                <w:szCs w:val="20"/>
              </w:rPr>
              <w:t>Czyz</w:t>
            </w:r>
            <w:proofErr w:type="spellEnd"/>
            <w:r>
              <w:rPr>
                <w:rFonts w:ascii="Arial Narrow" w:hAnsi="Arial Narrow"/>
                <w:sz w:val="20"/>
                <w:szCs w:val="20"/>
              </w:rPr>
              <w:t xml:space="preserve"> 2013 </w:t>
            </w:r>
          </w:p>
        </w:tc>
        <w:tc>
          <w:tcPr>
            <w:tcW w:w="522"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ITT: 37</w:t>
            </w:r>
          </w:p>
        </w:tc>
        <w:tc>
          <w:tcPr>
            <w:tcW w:w="1181" w:type="pct"/>
            <w:hideMark/>
          </w:tcPr>
          <w:p w:rsidR="00CC3220" w:rsidRDefault="00CC3220" w:rsidP="009C0DF6">
            <w:pPr>
              <w:keepNext/>
              <w:keepLines/>
              <w:spacing w:before="0"/>
              <w:rPr>
                <w:rFonts w:ascii="Arial Narrow" w:hAnsi="Arial Narrow"/>
                <w:sz w:val="20"/>
                <w:szCs w:val="20"/>
              </w:rPr>
            </w:pPr>
            <w:r>
              <w:rPr>
                <w:rFonts w:ascii="Arial Narrow" w:hAnsi="Arial Narrow"/>
                <w:sz w:val="20"/>
                <w:szCs w:val="20"/>
              </w:rPr>
              <w:t>Retrospective analysis</w:t>
            </w:r>
          </w:p>
        </w:tc>
        <w:tc>
          <w:tcPr>
            <w:tcW w:w="432"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High</w:t>
            </w:r>
          </w:p>
        </w:tc>
        <w:tc>
          <w:tcPr>
            <w:tcW w:w="702" w:type="pct"/>
            <w:hideMark/>
          </w:tcPr>
          <w:p w:rsidR="00CC3220" w:rsidRDefault="00CC3220" w:rsidP="009C0DF6">
            <w:pPr>
              <w:keepNext/>
              <w:keepLines/>
              <w:spacing w:before="0"/>
              <w:jc w:val="left"/>
              <w:rPr>
                <w:rFonts w:ascii="Arial Narrow" w:hAnsi="Arial Narrow"/>
                <w:sz w:val="20"/>
                <w:szCs w:val="20"/>
                <w:vertAlign w:val="superscript"/>
              </w:rPr>
            </w:pPr>
            <w:proofErr w:type="spellStart"/>
            <w:r>
              <w:rPr>
                <w:rFonts w:ascii="Arial Narrow" w:hAnsi="Arial Narrow"/>
                <w:sz w:val="20"/>
                <w:szCs w:val="20"/>
              </w:rPr>
              <w:t>rrcHL</w:t>
            </w:r>
            <w:proofErr w:type="spellEnd"/>
            <w:r>
              <w:rPr>
                <w:rFonts w:ascii="Arial Narrow" w:hAnsi="Arial Narrow"/>
                <w:sz w:val="20"/>
                <w:szCs w:val="20"/>
              </w:rPr>
              <w:t xml:space="preserve"> post ASCT, any line</w:t>
            </w:r>
            <w:r>
              <w:rPr>
                <w:rFonts w:ascii="Arial Narrow" w:hAnsi="Arial Narrow"/>
                <w:sz w:val="20"/>
                <w:szCs w:val="20"/>
                <w:vertAlign w:val="superscript"/>
              </w:rPr>
              <w:t>5</w:t>
            </w:r>
          </w:p>
        </w:tc>
        <w:tc>
          <w:tcPr>
            <w:tcW w:w="630"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OS, PFS,</w:t>
            </w:r>
            <w:r w:rsidR="00963C3A">
              <w:rPr>
                <w:rFonts w:ascii="Arial Narrow" w:hAnsi="Arial Narrow"/>
                <w:sz w:val="20"/>
                <w:szCs w:val="20"/>
              </w:rPr>
              <w:t xml:space="preserve"> </w:t>
            </w:r>
            <w:r>
              <w:rPr>
                <w:rFonts w:ascii="Arial Narrow" w:hAnsi="Arial Narrow"/>
                <w:sz w:val="20"/>
                <w:szCs w:val="20"/>
              </w:rPr>
              <w:t>ORR</w:t>
            </w:r>
          </w:p>
        </w:tc>
        <w:tc>
          <w:tcPr>
            <w:tcW w:w="954" w:type="pct"/>
            <w:hideMark/>
          </w:tcPr>
          <w:p w:rsidR="00CC3220" w:rsidRDefault="00CC3220" w:rsidP="009C0DF6">
            <w:pPr>
              <w:keepNext/>
              <w:keepLines/>
              <w:spacing w:before="0"/>
              <w:jc w:val="center"/>
              <w:rPr>
                <w:rFonts w:ascii="Arial Narrow" w:hAnsi="Arial Narrow"/>
                <w:sz w:val="20"/>
                <w:szCs w:val="20"/>
              </w:rPr>
            </w:pPr>
            <w:r>
              <w:rPr>
                <w:rFonts w:ascii="Arial Narrow" w:hAnsi="Arial Narrow"/>
                <w:sz w:val="20"/>
                <w:szCs w:val="20"/>
              </w:rPr>
              <w:t>No</w:t>
            </w:r>
          </w:p>
        </w:tc>
      </w:tr>
    </w:tbl>
    <w:p w:rsidR="00CC3220" w:rsidRPr="004C0D65" w:rsidRDefault="00CC3220" w:rsidP="009C0DF6">
      <w:pPr>
        <w:pStyle w:val="TableFooter"/>
        <w:keepLines/>
        <w:widowControl/>
        <w:rPr>
          <w:rFonts w:eastAsiaTheme="minorHAnsi"/>
          <w:szCs w:val="18"/>
        </w:rPr>
      </w:pPr>
      <w:r w:rsidRPr="004C0D65">
        <w:rPr>
          <w:szCs w:val="18"/>
          <w:vertAlign w:val="superscript"/>
        </w:rPr>
        <w:t>1</w:t>
      </w:r>
      <w:r w:rsidRPr="004C0D65">
        <w:rPr>
          <w:szCs w:val="18"/>
        </w:rPr>
        <w:t>Cohort 1 (N = 69)–ASCT experienced: Failed to achieve a response or progressed after ASCT. Subjects must have relapsed after treatment with or failed to respond to BV post ASCT.</w:t>
      </w:r>
    </w:p>
    <w:p w:rsidR="00CC3220" w:rsidRPr="004C0D65" w:rsidRDefault="00CC3220" w:rsidP="009C0DF6">
      <w:pPr>
        <w:pStyle w:val="TableFooter"/>
        <w:keepLines/>
        <w:widowControl/>
        <w:rPr>
          <w:szCs w:val="18"/>
        </w:rPr>
      </w:pPr>
      <w:r w:rsidRPr="004C0D65">
        <w:rPr>
          <w:szCs w:val="18"/>
          <w:vertAlign w:val="superscript"/>
        </w:rPr>
        <w:t>2</w:t>
      </w:r>
      <w:r w:rsidRPr="004C0D65">
        <w:rPr>
          <w:szCs w:val="18"/>
        </w:rPr>
        <w:t>Cohort 2 (N=81)–ASCT naïve: Were unable to achieve a CR or a PR to salvage chemotherapy and did not receive ASCT. Subjects must have relapsed after treatment with or failed to respond to BV. 76/81 (94%) were considered ineligible for ASCT on the basis of chemo-resistance to salvage treatment.</w:t>
      </w:r>
    </w:p>
    <w:p w:rsidR="00CC3220" w:rsidRPr="004C0D65" w:rsidRDefault="00CC3220" w:rsidP="009C0DF6">
      <w:pPr>
        <w:pStyle w:val="TableFooter"/>
        <w:keepLines/>
        <w:widowControl/>
        <w:rPr>
          <w:szCs w:val="18"/>
        </w:rPr>
      </w:pPr>
      <w:r w:rsidRPr="004C0D65">
        <w:rPr>
          <w:szCs w:val="18"/>
          <w:vertAlign w:val="superscript"/>
        </w:rPr>
        <w:t>3</w:t>
      </w:r>
      <w:r w:rsidRPr="004C0D65">
        <w:rPr>
          <w:szCs w:val="18"/>
        </w:rPr>
        <w:t>Cohort 3 (N=60)–ASCT experienced: Failed to achieve a response or progressed after ASCT and had not received BV post ASCT. Subjects who may have received BV as part of their primary treatment, or as part of salvage treatment prior to ASCT, were included (n/N=25/60).</w:t>
      </w:r>
    </w:p>
    <w:p w:rsidR="00CC3220" w:rsidRPr="004C0D65" w:rsidRDefault="00CC3220" w:rsidP="009C0DF6">
      <w:pPr>
        <w:pStyle w:val="TableFooter"/>
        <w:keepLines/>
        <w:widowControl/>
        <w:rPr>
          <w:szCs w:val="18"/>
        </w:rPr>
      </w:pPr>
      <w:r w:rsidRPr="004C0D65">
        <w:rPr>
          <w:szCs w:val="18"/>
          <w:vertAlign w:val="superscript"/>
        </w:rPr>
        <w:t>4</w:t>
      </w:r>
      <w:r w:rsidRPr="004C0D65">
        <w:rPr>
          <w:szCs w:val="18"/>
        </w:rPr>
        <w:t>From most updated data in Chen et al 2016</w:t>
      </w:r>
      <w:r w:rsidRPr="004C0D65">
        <w:rPr>
          <w:rStyle w:val="FootnoteReference"/>
          <w:szCs w:val="18"/>
        </w:rPr>
        <w:footnoteReference w:customMarkFollows="1" w:id="2"/>
        <w:t>[1]</w:t>
      </w:r>
      <w:r w:rsidRPr="004C0D65">
        <w:rPr>
          <w:szCs w:val="18"/>
        </w:rPr>
        <w:t>.</w:t>
      </w:r>
    </w:p>
    <w:p w:rsidR="00CC3220" w:rsidRPr="004C0D65" w:rsidRDefault="00CC3220" w:rsidP="009C0DF6">
      <w:pPr>
        <w:pStyle w:val="TableFooter"/>
        <w:keepLines/>
        <w:widowControl/>
        <w:rPr>
          <w:szCs w:val="18"/>
        </w:rPr>
      </w:pPr>
      <w:r w:rsidRPr="004C0D65">
        <w:rPr>
          <w:szCs w:val="18"/>
          <w:vertAlign w:val="superscript"/>
        </w:rPr>
        <w:t>5</w:t>
      </w:r>
      <w:r w:rsidRPr="004C0D65">
        <w:rPr>
          <w:szCs w:val="18"/>
        </w:rPr>
        <w:t>Prior to gemcitabine-based chemotherapy, eight of the 37 post-transplant relapsed patients had received an alternative</w:t>
      </w:r>
      <w:r w:rsidR="004D66C1">
        <w:rPr>
          <w:szCs w:val="18"/>
        </w:rPr>
        <w:t xml:space="preserve"> </w:t>
      </w:r>
      <w:r w:rsidRPr="004C0D65">
        <w:rPr>
          <w:szCs w:val="18"/>
        </w:rPr>
        <w:t xml:space="preserve">salvage regimen including </w:t>
      </w:r>
      <w:proofErr w:type="gramStart"/>
      <w:r w:rsidRPr="004C0D65">
        <w:rPr>
          <w:szCs w:val="18"/>
        </w:rPr>
        <w:t xml:space="preserve">either </w:t>
      </w:r>
      <w:proofErr w:type="spellStart"/>
      <w:r w:rsidRPr="004C0D65">
        <w:rPr>
          <w:szCs w:val="18"/>
        </w:rPr>
        <w:t>ifosfamide</w:t>
      </w:r>
      <w:proofErr w:type="spellEnd"/>
      <w:proofErr w:type="gramEnd"/>
      <w:r w:rsidRPr="004C0D65">
        <w:rPr>
          <w:szCs w:val="18"/>
        </w:rPr>
        <w:t xml:space="preserve">, etoposide or high dose </w:t>
      </w:r>
      <w:proofErr w:type="spellStart"/>
      <w:r w:rsidRPr="004C0D65">
        <w:rPr>
          <w:szCs w:val="18"/>
        </w:rPr>
        <w:t>cytarabine</w:t>
      </w:r>
      <w:proofErr w:type="spellEnd"/>
      <w:r w:rsidRPr="004C0D65">
        <w:rPr>
          <w:szCs w:val="18"/>
        </w:rPr>
        <w:t>.</w:t>
      </w:r>
    </w:p>
    <w:p w:rsidR="00CC3220" w:rsidRPr="004C0D65" w:rsidRDefault="00CC3220" w:rsidP="009C0DF6">
      <w:pPr>
        <w:pStyle w:val="TableFooter"/>
        <w:keepLines/>
        <w:widowControl/>
        <w:rPr>
          <w:szCs w:val="18"/>
        </w:rPr>
      </w:pPr>
      <w:r w:rsidRPr="004C0D65">
        <w:rPr>
          <w:szCs w:val="18"/>
        </w:rPr>
        <w:t xml:space="preserve">ASCT = autologous stem cell transplant; BV = </w:t>
      </w:r>
      <w:proofErr w:type="spellStart"/>
      <w:r w:rsidRPr="004C0D65">
        <w:rPr>
          <w:szCs w:val="18"/>
        </w:rPr>
        <w:t>brentuximab</w:t>
      </w:r>
      <w:proofErr w:type="spellEnd"/>
      <w:r w:rsidRPr="004C0D65">
        <w:rPr>
          <w:szCs w:val="18"/>
        </w:rPr>
        <w:t xml:space="preserve"> </w:t>
      </w:r>
      <w:proofErr w:type="spellStart"/>
      <w:r w:rsidRPr="004C0D65">
        <w:rPr>
          <w:szCs w:val="18"/>
        </w:rPr>
        <w:t>vedotin</w:t>
      </w:r>
      <w:proofErr w:type="spellEnd"/>
      <w:r w:rsidRPr="004C0D65">
        <w:rPr>
          <w:szCs w:val="18"/>
        </w:rPr>
        <w:t xml:space="preserve">; </w:t>
      </w:r>
      <w:proofErr w:type="spellStart"/>
      <w:r w:rsidRPr="004C0D65">
        <w:rPr>
          <w:szCs w:val="18"/>
        </w:rPr>
        <w:t>rrcHL</w:t>
      </w:r>
      <w:proofErr w:type="spellEnd"/>
      <w:r w:rsidRPr="004C0D65">
        <w:rPr>
          <w:szCs w:val="18"/>
        </w:rPr>
        <w:t xml:space="preserve"> = relapsed</w:t>
      </w:r>
      <w:r w:rsidR="00783A76">
        <w:rPr>
          <w:szCs w:val="18"/>
        </w:rPr>
        <w:t xml:space="preserve"> or </w:t>
      </w:r>
      <w:r w:rsidRPr="004C0D65">
        <w:rPr>
          <w:szCs w:val="18"/>
        </w:rPr>
        <w:t xml:space="preserve">refractory classical Hodgkin’s lymphoma; ITT = intention-to-treat; ORR = overall response rate; OS=overall survival; PFS=progression-free survival; ORR = </w:t>
      </w:r>
      <w:r w:rsidR="00783A76" w:rsidRPr="004C0D65">
        <w:rPr>
          <w:szCs w:val="18"/>
        </w:rPr>
        <w:t>o</w:t>
      </w:r>
      <w:r w:rsidRPr="004C0D65">
        <w:rPr>
          <w:szCs w:val="18"/>
        </w:rPr>
        <w:t>bjective response rate; Q3W = every three weeks</w:t>
      </w:r>
      <w:r w:rsidR="00E50761">
        <w:rPr>
          <w:szCs w:val="18"/>
        </w:rPr>
        <w:t>; Q2W = every two weeks.</w:t>
      </w:r>
    </w:p>
    <w:p w:rsidR="00CC3220" w:rsidRPr="00D55417" w:rsidRDefault="00CC3220" w:rsidP="009C0DF6">
      <w:pPr>
        <w:pStyle w:val="TableFooter"/>
        <w:keepLines/>
        <w:widowControl/>
        <w:rPr>
          <w:rFonts w:ascii="Times New Roman" w:hAnsi="Times New Roman"/>
          <w:szCs w:val="18"/>
          <w:lang w:eastAsia="en-AU"/>
        </w:rPr>
      </w:pPr>
      <w:r w:rsidRPr="00D55417">
        <w:rPr>
          <w:szCs w:val="18"/>
        </w:rPr>
        <w:t>Source: compiled during the evaluation</w:t>
      </w:r>
      <w:r w:rsidRPr="00D55417">
        <w:rPr>
          <w:rFonts w:ascii="Times New Roman" w:hAnsi="Times New Roman"/>
          <w:szCs w:val="18"/>
          <w:lang w:eastAsia="en-AU"/>
        </w:rPr>
        <w:t xml:space="preserve"> </w:t>
      </w:r>
    </w:p>
    <w:p w:rsidR="00CC3220" w:rsidRDefault="00CC3220" w:rsidP="009C0DF6">
      <w:pPr>
        <w:pStyle w:val="TableHeading"/>
      </w:pPr>
    </w:p>
    <w:p w:rsidR="00CC3220" w:rsidRPr="00920F2D" w:rsidRDefault="00CC3220" w:rsidP="009C0DF6">
      <w:pPr>
        <w:pStyle w:val="ListParagraph"/>
        <w:numPr>
          <w:ilvl w:val="1"/>
          <w:numId w:val="3"/>
        </w:numPr>
        <w:spacing w:before="0" w:after="120"/>
      </w:pPr>
      <w:r w:rsidRPr="00920F2D">
        <w:t>The majority of patients enrol</w:t>
      </w:r>
      <w:r w:rsidR="00783A76">
        <w:t xml:space="preserve">led in the </w:t>
      </w:r>
      <w:proofErr w:type="spellStart"/>
      <w:r w:rsidR="00783A76">
        <w:t>pembrolizumab</w:t>
      </w:r>
      <w:proofErr w:type="spellEnd"/>
      <w:r w:rsidR="00783A76">
        <w:t xml:space="preserve"> single-</w:t>
      </w:r>
      <w:r w:rsidRPr="00920F2D">
        <w:t xml:space="preserve">arm studies were BV experienced, and thus represented </w:t>
      </w:r>
      <w:proofErr w:type="spellStart"/>
      <w:r w:rsidRPr="00920F2D">
        <w:t>rrcHL</w:t>
      </w:r>
      <w:proofErr w:type="spellEnd"/>
      <w:r w:rsidRPr="00920F2D">
        <w:t xml:space="preserve"> patients </w:t>
      </w:r>
      <w:r w:rsidR="004C0D65" w:rsidRPr="00920F2D">
        <w:t xml:space="preserve">who had been </w:t>
      </w:r>
      <w:r w:rsidRPr="00920F2D">
        <w:t>treated with later-line therapies</w:t>
      </w:r>
      <w:r w:rsidR="00117898" w:rsidRPr="00920F2D">
        <w:t xml:space="preserve">. </w:t>
      </w:r>
      <w:r w:rsidR="00030079" w:rsidRPr="00920F2D">
        <w:t xml:space="preserve"> </w:t>
      </w:r>
      <w:r w:rsidR="00117898" w:rsidRPr="00920F2D">
        <w:t>This differed from the</w:t>
      </w:r>
      <w:r w:rsidRPr="00920F2D">
        <w:t xml:space="preserve"> patients in the BV or chemotherapy studies.  These studies do not </w:t>
      </w:r>
      <w:r w:rsidR="00117898" w:rsidRPr="00920F2D">
        <w:t xml:space="preserve">represent patients in </w:t>
      </w:r>
      <w:r w:rsidRPr="00920F2D">
        <w:t>the same treatment setting</w:t>
      </w:r>
      <w:r w:rsidR="004C0D65" w:rsidRPr="00920F2D">
        <w:t xml:space="preserve">, </w:t>
      </w:r>
      <w:r w:rsidR="00117898" w:rsidRPr="00920F2D">
        <w:t>and so cannot be indirectly compared because of the</w:t>
      </w:r>
      <w:r w:rsidR="004C0D65" w:rsidRPr="00920F2D">
        <w:t xml:space="preserve"> transitivity concerns</w:t>
      </w:r>
      <w:r w:rsidRPr="00920F2D">
        <w:t>.</w:t>
      </w:r>
    </w:p>
    <w:p w:rsidR="00CC3220" w:rsidRPr="00920F2D" w:rsidRDefault="00CC3220" w:rsidP="009C0DF6">
      <w:pPr>
        <w:pStyle w:val="ListParagraph"/>
        <w:numPr>
          <w:ilvl w:val="1"/>
          <w:numId w:val="3"/>
        </w:numPr>
        <w:spacing w:before="0" w:after="120"/>
      </w:pPr>
      <w:r w:rsidRPr="00920F2D">
        <w:t xml:space="preserve">Eligibility for the BV and </w:t>
      </w:r>
      <w:r w:rsidR="00BB2184">
        <w:t>salvage chemotherapy</w:t>
      </w:r>
      <w:r w:rsidRPr="00920F2D">
        <w:t xml:space="preserve"> studies was restricted to patients who had failed ASCT whereas 30% to 40% of patients enrolled into the </w:t>
      </w:r>
      <w:proofErr w:type="spellStart"/>
      <w:r w:rsidRPr="00920F2D">
        <w:t>pembrolizumab</w:t>
      </w:r>
      <w:proofErr w:type="spellEnd"/>
      <w:r w:rsidRPr="00920F2D">
        <w:t xml:space="preserve"> studies were ASCT ineligible due to chemo-insensitivity. </w:t>
      </w:r>
      <w:r w:rsidR="00030079" w:rsidRPr="00920F2D">
        <w:t xml:space="preserve"> </w:t>
      </w:r>
      <w:r w:rsidRPr="00920F2D">
        <w:t>No BV studies on ASCT naïve patients w</w:t>
      </w:r>
      <w:r w:rsidR="00963C3A">
        <w:t>ere included in the submission.</w:t>
      </w:r>
    </w:p>
    <w:p w:rsidR="00CC3220" w:rsidRPr="00920F2D" w:rsidRDefault="00CC3220" w:rsidP="009C0DF6">
      <w:pPr>
        <w:pStyle w:val="ListParagraph"/>
        <w:numPr>
          <w:ilvl w:val="1"/>
          <w:numId w:val="3"/>
        </w:numPr>
        <w:spacing w:before="0" w:after="120"/>
      </w:pPr>
      <w:r w:rsidRPr="00920F2D">
        <w:t>The submission stated that the</w:t>
      </w:r>
      <w:r w:rsidR="00117898" w:rsidRPr="00920F2D">
        <w:t xml:space="preserve"> forthcoming</w:t>
      </w:r>
      <w:r w:rsidRPr="00920F2D">
        <w:t xml:space="preserve"> “confirmatory” data from KN204 </w:t>
      </w:r>
      <w:r w:rsidR="00117898" w:rsidRPr="00920F2D">
        <w:t xml:space="preserve">represented </w:t>
      </w:r>
      <w:r w:rsidRPr="00920F2D">
        <w:t xml:space="preserve">patients with </w:t>
      </w:r>
      <w:proofErr w:type="spellStart"/>
      <w:r w:rsidRPr="00920F2D">
        <w:t>rrcHL</w:t>
      </w:r>
      <w:proofErr w:type="spellEnd"/>
      <w:r w:rsidRPr="00920F2D">
        <w:t xml:space="preserve"> who had </w:t>
      </w:r>
      <w:r w:rsidR="00117898" w:rsidRPr="00920F2D">
        <w:t xml:space="preserve">no </w:t>
      </w:r>
      <w:r w:rsidRPr="00920F2D">
        <w:t>previous treatment with BV, and either 1) had failed to achieve a response to</w:t>
      </w:r>
      <w:r w:rsidR="00117898" w:rsidRPr="00920F2D">
        <w:t>,</w:t>
      </w:r>
      <w:r w:rsidRPr="00920F2D">
        <w:t xml:space="preserve"> or progressed after</w:t>
      </w:r>
      <w:r w:rsidR="00117898" w:rsidRPr="00920F2D">
        <w:t>,</w:t>
      </w:r>
      <w:r w:rsidRPr="00920F2D">
        <w:t xml:space="preserve"> ASCT, or 2) are not ASCT candidates and have received at least 2 prior multi-agent chemotherapy regimens.  The eligibility criteria for the direct KN204 trial appear relevant and applicable to the population for whom listing of </w:t>
      </w:r>
      <w:proofErr w:type="spellStart"/>
      <w:r w:rsidRPr="00920F2D">
        <w:t>pembrolizumab</w:t>
      </w:r>
      <w:proofErr w:type="spellEnd"/>
      <w:r w:rsidRPr="00920F2D">
        <w:t xml:space="preserve"> on the PBS is being sought.</w:t>
      </w:r>
    </w:p>
    <w:p w:rsidR="00CC3220" w:rsidRPr="00262141" w:rsidRDefault="00CC3220" w:rsidP="009C0DF6">
      <w:pPr>
        <w:pStyle w:val="ListParagraph"/>
        <w:numPr>
          <w:ilvl w:val="1"/>
          <w:numId w:val="3"/>
        </w:numPr>
        <w:spacing w:before="0" w:after="120"/>
      </w:pPr>
      <w:r w:rsidRPr="00262141">
        <w:t>Overall, the included evidence was associated with considerable unce</w:t>
      </w:r>
      <w:r w:rsidR="00783A76">
        <w:t xml:space="preserve">rtainty arising from the </w:t>
      </w:r>
      <w:r w:rsidR="0049390F">
        <w:t>comparisons across single-</w:t>
      </w:r>
      <w:r w:rsidR="0049390F" w:rsidRPr="00920F2D">
        <w:t xml:space="preserve">arm </w:t>
      </w:r>
      <w:r w:rsidR="00783A76">
        <w:t>studies</w:t>
      </w:r>
      <w:r w:rsidRPr="00262141">
        <w:t>,</w:t>
      </w:r>
      <w:r w:rsidR="00CF3E16" w:rsidRPr="00262141">
        <w:t xml:space="preserve"> </w:t>
      </w:r>
      <w:r w:rsidR="00117898" w:rsidRPr="00262141">
        <w:t xml:space="preserve">and </w:t>
      </w:r>
      <w:r w:rsidRPr="00262141">
        <w:t xml:space="preserve">the </w:t>
      </w:r>
      <w:r w:rsidR="00117898" w:rsidRPr="00262141">
        <w:t>inability to conduct</w:t>
      </w:r>
      <w:r w:rsidRPr="00262141">
        <w:t xml:space="preserve"> formal statistical </w:t>
      </w:r>
      <w:r w:rsidR="00117898" w:rsidRPr="00262141">
        <w:t>comparisons between studies due to</w:t>
      </w:r>
      <w:r w:rsidRPr="00262141">
        <w:t xml:space="preserve"> important transitivity issues.</w:t>
      </w:r>
      <w:r w:rsidR="00AA5305" w:rsidRPr="00262141">
        <w:t xml:space="preserve"> The ESC agreed, noting that the evidence presented in the submission included limited data on response in BV</w:t>
      </w:r>
      <w:r w:rsidR="00963C3A" w:rsidRPr="00262141">
        <w:t>-</w:t>
      </w:r>
      <w:r w:rsidR="00AA5305" w:rsidRPr="00262141">
        <w:t>naïve patients</w:t>
      </w:r>
      <w:r w:rsidR="00963C3A" w:rsidRPr="00262141">
        <w:t>,</w:t>
      </w:r>
      <w:r w:rsidR="003C6DB3" w:rsidRPr="00262141">
        <w:t xml:space="preserve"> and that this will be addressed with the KN204 trial</w:t>
      </w:r>
      <w:r w:rsidR="00963C3A" w:rsidRPr="00262141">
        <w:t>.</w:t>
      </w:r>
    </w:p>
    <w:p w:rsidR="00CC3220" w:rsidRPr="00AF0DF9" w:rsidRDefault="00CC3220" w:rsidP="009C0DF6">
      <w:pPr>
        <w:pStyle w:val="Heading2"/>
      </w:pPr>
      <w:bookmarkStart w:id="12" w:name="_Toc413139278"/>
      <w:bookmarkStart w:id="13" w:name="_Toc482711243"/>
      <w:r w:rsidRPr="00AF0DF9">
        <w:t>Comparative effectiveness</w:t>
      </w:r>
      <w:bookmarkEnd w:id="12"/>
      <w:bookmarkEnd w:id="13"/>
    </w:p>
    <w:p w:rsidR="00CC3220" w:rsidRPr="00920F2D" w:rsidRDefault="00CC3220" w:rsidP="009C0DF6">
      <w:pPr>
        <w:pStyle w:val="ListParagraph"/>
        <w:numPr>
          <w:ilvl w:val="1"/>
          <w:numId w:val="3"/>
        </w:numPr>
        <w:spacing w:before="0" w:after="120"/>
      </w:pPr>
      <w:r w:rsidRPr="00920F2D">
        <w:t xml:space="preserve">The key effectiveness data from KN087 study are presented below. </w:t>
      </w:r>
      <w:r w:rsidR="00030079" w:rsidRPr="00920F2D">
        <w:t xml:space="preserve"> </w:t>
      </w:r>
      <w:r w:rsidR="00F32934" w:rsidRPr="00920F2D">
        <w:t xml:space="preserve">The OS data remain immature and the median OS was not reached.  The OS rate at 12 months was close to 100% in KN087 (median follow up duration of approximately 10 months).  </w:t>
      </w:r>
      <w:r w:rsidRPr="00920F2D">
        <w:t xml:space="preserve">In </w:t>
      </w:r>
      <w:r w:rsidR="00117898" w:rsidRPr="00920F2D">
        <w:t xml:space="preserve">the </w:t>
      </w:r>
      <w:r w:rsidRPr="00920F2D">
        <w:t xml:space="preserve">KN013 study patients were treated with a weight dependent dose regimen of 10mg/kg of </w:t>
      </w:r>
      <w:proofErr w:type="spellStart"/>
      <w:r w:rsidRPr="00920F2D">
        <w:t>pembrolizumab</w:t>
      </w:r>
      <w:proofErr w:type="spellEnd"/>
      <w:r w:rsidRPr="00920F2D">
        <w:t xml:space="preserve">, which was inconsistent with the fixed dose regimen of 200mg proposed in the draft product information </w:t>
      </w:r>
      <w:r w:rsidR="00117898" w:rsidRPr="00920F2D">
        <w:t>(</w:t>
      </w:r>
      <w:r w:rsidRPr="00920F2D">
        <w:t>and th</w:t>
      </w:r>
      <w:r w:rsidR="00F05186" w:rsidRPr="00920F2D">
        <w:t>erefore</w:t>
      </w:r>
      <w:r w:rsidRPr="00920F2D">
        <w:t xml:space="preserve"> the result</w:t>
      </w:r>
      <w:r w:rsidR="00F05186" w:rsidRPr="00920F2D">
        <w:t>s</w:t>
      </w:r>
      <w:r w:rsidRPr="00920F2D">
        <w:t xml:space="preserve"> of this study </w:t>
      </w:r>
      <w:r w:rsidR="00F05186" w:rsidRPr="00920F2D">
        <w:t>were</w:t>
      </w:r>
      <w:r w:rsidRPr="00920F2D">
        <w:t xml:space="preserve"> not presented</w:t>
      </w:r>
      <w:r w:rsidR="00117898" w:rsidRPr="00920F2D">
        <w:t>)</w:t>
      </w:r>
      <w:r w:rsidRPr="00920F2D">
        <w:t>.</w:t>
      </w:r>
      <w:r w:rsidR="00030079" w:rsidRPr="00920F2D">
        <w:t xml:space="preserve"> </w:t>
      </w:r>
      <w:r w:rsidR="00117898" w:rsidRPr="00920F2D">
        <w:t xml:space="preserve"> </w:t>
      </w:r>
      <w:r w:rsidR="00D417DF" w:rsidRPr="00920F2D">
        <w:t>The line of treatment differ</w:t>
      </w:r>
      <w:r w:rsidR="00030079" w:rsidRPr="00920F2D">
        <w:t>ed</w:t>
      </w:r>
      <w:r w:rsidR="00D417DF" w:rsidRPr="00920F2D">
        <w:t xml:space="preserve"> between K</w:t>
      </w:r>
      <w:r w:rsidR="00117898" w:rsidRPr="00920F2D">
        <w:t xml:space="preserve">N087 and Study </w:t>
      </w:r>
      <w:r w:rsidR="007A3F15" w:rsidRPr="00920F2D">
        <w:t>0</w:t>
      </w:r>
      <w:r w:rsidR="00117898" w:rsidRPr="00920F2D">
        <w:t>003</w:t>
      </w:r>
      <w:r w:rsidR="00D417DF" w:rsidRPr="00920F2D">
        <w:t xml:space="preserve"> except for the small subset of cohort 3 of KN087 (16% </w:t>
      </w:r>
      <w:r w:rsidR="00030079" w:rsidRPr="00920F2D">
        <w:t>of study KN087)</w:t>
      </w:r>
      <w:r w:rsidR="00D417DF" w:rsidRPr="00920F2D">
        <w:t xml:space="preserve">. </w:t>
      </w:r>
      <w:r w:rsidR="00117898" w:rsidRPr="00920F2D">
        <w:t xml:space="preserve"> </w:t>
      </w:r>
      <w:r w:rsidR="00030079" w:rsidRPr="00920F2D">
        <w:t>OS data for this cohort were not reported and m</w:t>
      </w:r>
      <w:r w:rsidR="00117898" w:rsidRPr="00920F2D">
        <w:t xml:space="preserve">edian OS </w:t>
      </w:r>
      <w:r w:rsidR="00CC34D2" w:rsidRPr="00920F2D">
        <w:t>for all three cohorts in</w:t>
      </w:r>
      <w:r w:rsidR="00117898" w:rsidRPr="00920F2D">
        <w:t xml:space="preserve"> KN087 has not yet been reached</w:t>
      </w:r>
      <w:r w:rsidR="00030079" w:rsidRPr="00920F2D">
        <w:t>.</w:t>
      </w:r>
    </w:p>
    <w:p w:rsidR="00175B20" w:rsidRDefault="00175B20" w:rsidP="00175B20">
      <w:pPr>
        <w:pStyle w:val="Caption"/>
      </w:pPr>
      <w:r>
        <w:t xml:space="preserve">Table </w:t>
      </w:r>
      <w:r>
        <w:rPr>
          <w:noProof/>
        </w:rPr>
        <w:t>4</w:t>
      </w:r>
      <w:r w:rsidRPr="00396030">
        <w:t xml:space="preserve">: Key effectiveness results from KN087 (single-arm study of </w:t>
      </w:r>
      <w:proofErr w:type="spellStart"/>
      <w:r w:rsidRPr="00396030">
        <w:t>pembrolizumab</w:t>
      </w:r>
      <w:proofErr w:type="spellEnd"/>
      <w:r w:rsidRPr="00396030">
        <w:t xml:space="preserve"> 200mg, every three weeks).</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160"/>
        <w:gridCol w:w="1759"/>
        <w:gridCol w:w="1739"/>
        <w:gridCol w:w="1935"/>
      </w:tblGrid>
      <w:tr w:rsidR="00CC3220" w:rsidRPr="00DE0D42" w:rsidTr="00340B7C">
        <w:tc>
          <w:tcPr>
            <w:tcW w:w="1361" w:type="pct"/>
            <w:shd w:val="clear" w:color="auto" w:fill="auto"/>
          </w:tcPr>
          <w:p w:rsidR="00CC3220" w:rsidRPr="00222960" w:rsidRDefault="00CC3220" w:rsidP="009C0DF6">
            <w:pPr>
              <w:keepNext/>
              <w:spacing w:before="0" w:after="0"/>
              <w:rPr>
                <w:rFonts w:ascii="Arial Narrow" w:hAnsi="Arial Narrow"/>
                <w:b/>
                <w:sz w:val="20"/>
                <w:szCs w:val="20"/>
              </w:rPr>
            </w:pPr>
            <w:r w:rsidRPr="00DE0D42">
              <w:rPr>
                <w:rFonts w:ascii="Arial Narrow" w:hAnsi="Arial Narrow"/>
                <w:b/>
                <w:sz w:val="20"/>
                <w:szCs w:val="20"/>
              </w:rPr>
              <w:t>Outcome</w:t>
            </w:r>
          </w:p>
        </w:tc>
        <w:tc>
          <w:tcPr>
            <w:tcW w:w="640" w:type="pct"/>
            <w:shd w:val="clear" w:color="auto" w:fill="auto"/>
          </w:tcPr>
          <w:p w:rsidR="00CC3220" w:rsidRPr="00DE0D42" w:rsidRDefault="00CC3220" w:rsidP="009C0DF6">
            <w:pPr>
              <w:keepNext/>
              <w:spacing w:before="0" w:after="0"/>
              <w:jc w:val="center"/>
              <w:rPr>
                <w:rFonts w:ascii="Arial Narrow" w:hAnsi="Arial Narrow"/>
                <w:b/>
                <w:sz w:val="20"/>
                <w:szCs w:val="20"/>
                <w:u w:val="single"/>
              </w:rPr>
            </w:pPr>
            <w:r w:rsidRPr="00DE0D42">
              <w:rPr>
                <w:rFonts w:ascii="Arial Narrow" w:hAnsi="Arial Narrow"/>
                <w:b/>
                <w:sz w:val="20"/>
                <w:szCs w:val="20"/>
                <w:u w:val="single"/>
              </w:rPr>
              <w:t>All patients</w:t>
            </w:r>
          </w:p>
          <w:p w:rsidR="00CC3220" w:rsidRPr="00222960" w:rsidRDefault="00CC3220" w:rsidP="009C0DF6">
            <w:pPr>
              <w:keepNext/>
              <w:spacing w:before="0" w:after="0"/>
              <w:jc w:val="center"/>
              <w:rPr>
                <w:rFonts w:ascii="Arial Narrow" w:hAnsi="Arial Narrow"/>
                <w:b/>
                <w:sz w:val="20"/>
                <w:szCs w:val="20"/>
              </w:rPr>
            </w:pPr>
            <w:r w:rsidRPr="00DE0D42">
              <w:rPr>
                <w:rFonts w:ascii="Arial Narrow" w:hAnsi="Arial Narrow"/>
                <w:b/>
                <w:sz w:val="20"/>
                <w:szCs w:val="20"/>
              </w:rPr>
              <w:t>(N=210)</w:t>
            </w:r>
          </w:p>
        </w:tc>
        <w:tc>
          <w:tcPr>
            <w:tcW w:w="971" w:type="pct"/>
            <w:shd w:val="clear" w:color="auto" w:fill="auto"/>
          </w:tcPr>
          <w:p w:rsidR="00CC3220" w:rsidRPr="00DE0D42" w:rsidRDefault="00CC3220" w:rsidP="009C0DF6">
            <w:pPr>
              <w:keepNext/>
              <w:spacing w:before="0" w:after="0"/>
              <w:jc w:val="center"/>
              <w:rPr>
                <w:rFonts w:ascii="Arial Narrow" w:hAnsi="Arial Narrow"/>
                <w:b/>
                <w:sz w:val="20"/>
                <w:szCs w:val="20"/>
                <w:u w:val="single"/>
              </w:rPr>
            </w:pPr>
            <w:r w:rsidRPr="00DE0D42">
              <w:rPr>
                <w:rFonts w:ascii="Arial Narrow" w:hAnsi="Arial Narrow"/>
                <w:b/>
                <w:sz w:val="20"/>
                <w:szCs w:val="20"/>
                <w:u w:val="single"/>
              </w:rPr>
              <w:t>Cohort 1</w:t>
            </w:r>
          </w:p>
          <w:p w:rsidR="00CC3220" w:rsidRPr="00DE0D42" w:rsidRDefault="00CC3220" w:rsidP="009C0DF6">
            <w:pPr>
              <w:keepNext/>
              <w:spacing w:before="0" w:after="0"/>
              <w:jc w:val="center"/>
              <w:rPr>
                <w:rFonts w:ascii="Arial Narrow" w:hAnsi="Arial Narrow"/>
                <w:b/>
                <w:sz w:val="20"/>
                <w:szCs w:val="20"/>
              </w:rPr>
            </w:pPr>
            <w:r w:rsidRPr="00DE0D42">
              <w:rPr>
                <w:rFonts w:ascii="Arial Narrow" w:hAnsi="Arial Narrow"/>
                <w:b/>
                <w:sz w:val="20"/>
                <w:szCs w:val="20"/>
              </w:rPr>
              <w:t>Received BV post ASCT</w:t>
            </w:r>
          </w:p>
          <w:p w:rsidR="00CC3220" w:rsidRPr="00222960" w:rsidRDefault="00CC3220" w:rsidP="009C0DF6">
            <w:pPr>
              <w:keepNext/>
              <w:spacing w:before="0" w:after="0"/>
              <w:jc w:val="center"/>
              <w:rPr>
                <w:rFonts w:ascii="Arial Narrow" w:hAnsi="Arial Narrow"/>
                <w:b/>
                <w:sz w:val="20"/>
                <w:szCs w:val="20"/>
              </w:rPr>
            </w:pPr>
            <w:r w:rsidRPr="00DE0D42">
              <w:rPr>
                <w:rFonts w:ascii="Arial Narrow" w:hAnsi="Arial Narrow"/>
                <w:b/>
                <w:sz w:val="20"/>
                <w:szCs w:val="20"/>
              </w:rPr>
              <w:t>(N=69)</w:t>
            </w:r>
          </w:p>
        </w:tc>
        <w:tc>
          <w:tcPr>
            <w:tcW w:w="960" w:type="pct"/>
            <w:shd w:val="clear" w:color="auto" w:fill="auto"/>
          </w:tcPr>
          <w:p w:rsidR="00CC3220" w:rsidRPr="00DE0D42" w:rsidRDefault="00CC3220" w:rsidP="009C0DF6">
            <w:pPr>
              <w:keepNext/>
              <w:spacing w:before="0" w:after="0"/>
              <w:jc w:val="center"/>
              <w:rPr>
                <w:rFonts w:ascii="Arial Narrow" w:hAnsi="Arial Narrow"/>
                <w:b/>
                <w:sz w:val="20"/>
                <w:szCs w:val="20"/>
                <w:u w:val="single"/>
              </w:rPr>
            </w:pPr>
            <w:r w:rsidRPr="00DE0D42">
              <w:rPr>
                <w:rFonts w:ascii="Arial Narrow" w:hAnsi="Arial Narrow"/>
                <w:b/>
                <w:sz w:val="20"/>
                <w:szCs w:val="20"/>
                <w:u w:val="single"/>
              </w:rPr>
              <w:t>Cohort 2</w:t>
            </w:r>
          </w:p>
          <w:p w:rsidR="00CC3220" w:rsidRPr="00DE0D42" w:rsidRDefault="00CC3220" w:rsidP="009C0DF6">
            <w:pPr>
              <w:keepNext/>
              <w:spacing w:before="0" w:after="0"/>
              <w:jc w:val="center"/>
              <w:rPr>
                <w:rFonts w:ascii="Arial Narrow" w:hAnsi="Arial Narrow"/>
                <w:b/>
                <w:sz w:val="20"/>
                <w:szCs w:val="20"/>
              </w:rPr>
            </w:pPr>
            <w:r w:rsidRPr="00DE0D42">
              <w:rPr>
                <w:rFonts w:ascii="Arial Narrow" w:hAnsi="Arial Narrow"/>
                <w:b/>
                <w:sz w:val="20"/>
                <w:szCs w:val="20"/>
              </w:rPr>
              <w:t>ASCT ineligible; Received BV</w:t>
            </w:r>
          </w:p>
          <w:p w:rsidR="00CC3220" w:rsidRPr="00222960" w:rsidRDefault="00CC3220" w:rsidP="009C0DF6">
            <w:pPr>
              <w:keepNext/>
              <w:spacing w:before="0" w:after="0"/>
              <w:jc w:val="center"/>
              <w:rPr>
                <w:rFonts w:ascii="Arial Narrow" w:hAnsi="Arial Narrow"/>
                <w:b/>
                <w:sz w:val="20"/>
                <w:szCs w:val="20"/>
              </w:rPr>
            </w:pPr>
            <w:r w:rsidRPr="00DE0D42">
              <w:rPr>
                <w:rFonts w:ascii="Arial Narrow" w:hAnsi="Arial Narrow"/>
                <w:b/>
                <w:sz w:val="20"/>
                <w:szCs w:val="20"/>
              </w:rPr>
              <w:t>(N=81)</w:t>
            </w:r>
          </w:p>
        </w:tc>
        <w:tc>
          <w:tcPr>
            <w:tcW w:w="1068" w:type="pct"/>
            <w:shd w:val="clear" w:color="auto" w:fill="auto"/>
          </w:tcPr>
          <w:p w:rsidR="00CC3220" w:rsidRPr="00DE0D42" w:rsidRDefault="00CC3220" w:rsidP="009C0DF6">
            <w:pPr>
              <w:keepNext/>
              <w:spacing w:before="0" w:after="0"/>
              <w:jc w:val="center"/>
              <w:rPr>
                <w:rFonts w:ascii="Arial Narrow" w:hAnsi="Arial Narrow"/>
                <w:b/>
                <w:sz w:val="20"/>
                <w:szCs w:val="20"/>
                <w:u w:val="single"/>
              </w:rPr>
            </w:pPr>
            <w:r w:rsidRPr="00DE0D42">
              <w:rPr>
                <w:rFonts w:ascii="Arial Narrow" w:hAnsi="Arial Narrow"/>
                <w:b/>
                <w:sz w:val="20"/>
                <w:szCs w:val="20"/>
                <w:u w:val="single"/>
              </w:rPr>
              <w:t>Cohort 3</w:t>
            </w:r>
          </w:p>
          <w:p w:rsidR="00CC3220" w:rsidRPr="00DE0D42" w:rsidRDefault="00CC3220" w:rsidP="009C0DF6">
            <w:pPr>
              <w:keepNext/>
              <w:spacing w:before="0" w:after="0"/>
              <w:jc w:val="center"/>
              <w:rPr>
                <w:rFonts w:ascii="Arial Narrow" w:hAnsi="Arial Narrow"/>
                <w:b/>
                <w:sz w:val="20"/>
                <w:szCs w:val="20"/>
              </w:rPr>
            </w:pPr>
            <w:r w:rsidRPr="00DE0D42">
              <w:rPr>
                <w:rFonts w:ascii="Arial Narrow" w:hAnsi="Arial Narrow"/>
                <w:b/>
                <w:sz w:val="20"/>
                <w:szCs w:val="20"/>
              </w:rPr>
              <w:t>Did not receive BV post ASCT [some</w:t>
            </w:r>
            <w:r w:rsidR="00281B38" w:rsidRPr="00DE0D42">
              <w:rPr>
                <w:rFonts w:ascii="Arial Narrow" w:hAnsi="Arial Narrow"/>
                <w:b/>
                <w:sz w:val="20"/>
                <w:szCs w:val="20"/>
              </w:rPr>
              <w:t xml:space="preserve"> patients</w:t>
            </w:r>
            <w:r w:rsidRPr="00DE0D42">
              <w:rPr>
                <w:rFonts w:ascii="Arial Narrow" w:hAnsi="Arial Narrow"/>
                <w:b/>
                <w:sz w:val="20"/>
                <w:szCs w:val="20"/>
              </w:rPr>
              <w:t xml:space="preserve"> received BV prior to ASCT</w:t>
            </w:r>
            <w:r w:rsidR="00281B38" w:rsidRPr="00DE0D42">
              <w:rPr>
                <w:rFonts w:ascii="Arial Narrow" w:hAnsi="Arial Narrow"/>
                <w:b/>
                <w:sz w:val="20"/>
                <w:szCs w:val="20"/>
              </w:rPr>
              <w:t xml:space="preserve"> 25/60)</w:t>
            </w:r>
            <w:r w:rsidRPr="00DE0D42">
              <w:rPr>
                <w:rFonts w:ascii="Arial Narrow" w:hAnsi="Arial Narrow"/>
                <w:b/>
                <w:sz w:val="20"/>
                <w:szCs w:val="20"/>
              </w:rPr>
              <w:t>]</w:t>
            </w:r>
          </w:p>
          <w:p w:rsidR="00CC3220" w:rsidRPr="00222960" w:rsidRDefault="00CC3220" w:rsidP="009C0DF6">
            <w:pPr>
              <w:keepNext/>
              <w:spacing w:before="0" w:after="0"/>
              <w:jc w:val="center"/>
              <w:rPr>
                <w:rFonts w:ascii="Arial Narrow" w:hAnsi="Arial Narrow"/>
                <w:b/>
                <w:sz w:val="20"/>
                <w:szCs w:val="20"/>
              </w:rPr>
            </w:pPr>
            <w:r w:rsidRPr="00DE0D42">
              <w:rPr>
                <w:rFonts w:ascii="Arial Narrow" w:hAnsi="Arial Narrow"/>
                <w:b/>
                <w:sz w:val="20"/>
                <w:szCs w:val="20"/>
              </w:rPr>
              <w:t>(N=60)</w:t>
            </w:r>
          </w:p>
        </w:tc>
      </w:tr>
      <w:tr w:rsidR="00CC3220" w:rsidRPr="00DE0D42" w:rsidTr="00340B7C">
        <w:tc>
          <w:tcPr>
            <w:tcW w:w="1361" w:type="pct"/>
            <w:shd w:val="clear" w:color="auto" w:fill="auto"/>
          </w:tcPr>
          <w:p w:rsidR="00CC3220" w:rsidRPr="00DE0D42" w:rsidRDefault="00CC3220" w:rsidP="009C0DF6">
            <w:pPr>
              <w:keepNext/>
              <w:spacing w:before="0" w:after="0"/>
              <w:rPr>
                <w:rFonts w:ascii="Arial Narrow" w:hAnsi="Arial Narrow"/>
                <w:sz w:val="20"/>
                <w:szCs w:val="20"/>
              </w:rPr>
            </w:pPr>
            <w:r w:rsidRPr="00DE0D42">
              <w:rPr>
                <w:rFonts w:ascii="Arial Narrow" w:hAnsi="Arial Narrow"/>
                <w:sz w:val="20"/>
                <w:szCs w:val="20"/>
              </w:rPr>
              <w:t>ORR n (%)</w:t>
            </w:r>
          </w:p>
          <w:p w:rsidR="00CC3220" w:rsidRPr="00222960" w:rsidRDefault="00CC3220" w:rsidP="009C0DF6">
            <w:pPr>
              <w:keepNext/>
              <w:spacing w:before="0" w:after="0"/>
              <w:rPr>
                <w:rFonts w:ascii="Arial Narrow" w:hAnsi="Arial Narrow"/>
                <w:sz w:val="20"/>
                <w:szCs w:val="20"/>
              </w:rPr>
            </w:pPr>
            <w:r w:rsidRPr="00DE0D42">
              <w:rPr>
                <w:rFonts w:ascii="Arial Narrow" w:hAnsi="Arial Narrow"/>
                <w:sz w:val="20"/>
                <w:szCs w:val="20"/>
              </w:rPr>
              <w:t>[95% CI]</w:t>
            </w:r>
          </w:p>
        </w:tc>
        <w:tc>
          <w:tcPr>
            <w:tcW w:w="64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971"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96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068"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CC3220" w:rsidRPr="00DE0D42" w:rsidTr="00340B7C">
        <w:tc>
          <w:tcPr>
            <w:tcW w:w="1361" w:type="pct"/>
            <w:shd w:val="clear" w:color="auto" w:fill="auto"/>
          </w:tcPr>
          <w:p w:rsidR="00CC3220" w:rsidRPr="00DE0D42" w:rsidRDefault="00CC3220" w:rsidP="009C0DF6">
            <w:pPr>
              <w:keepNext/>
              <w:spacing w:before="0" w:after="0"/>
              <w:rPr>
                <w:rFonts w:ascii="Arial Narrow" w:hAnsi="Arial Narrow"/>
                <w:sz w:val="20"/>
                <w:szCs w:val="20"/>
              </w:rPr>
            </w:pPr>
            <w:r w:rsidRPr="00DE0D42">
              <w:rPr>
                <w:rFonts w:ascii="Arial Narrow" w:hAnsi="Arial Narrow"/>
                <w:sz w:val="20"/>
                <w:szCs w:val="20"/>
              </w:rPr>
              <w:t>CRR n (%)</w:t>
            </w:r>
          </w:p>
          <w:p w:rsidR="00CC3220" w:rsidRPr="00222960" w:rsidRDefault="00CC3220" w:rsidP="009C0DF6">
            <w:pPr>
              <w:keepNext/>
              <w:spacing w:before="0" w:after="0"/>
              <w:rPr>
                <w:rFonts w:ascii="Arial Narrow" w:hAnsi="Arial Narrow"/>
                <w:sz w:val="20"/>
                <w:szCs w:val="20"/>
              </w:rPr>
            </w:pPr>
            <w:r w:rsidRPr="00DE0D42">
              <w:rPr>
                <w:rFonts w:ascii="Arial Narrow" w:hAnsi="Arial Narrow"/>
                <w:sz w:val="20"/>
                <w:szCs w:val="20"/>
              </w:rPr>
              <w:t>[95% CI]</w:t>
            </w:r>
          </w:p>
        </w:tc>
        <w:tc>
          <w:tcPr>
            <w:tcW w:w="64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971"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96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068"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CC3220" w:rsidRPr="00DE0D42" w:rsidTr="00340B7C">
        <w:tc>
          <w:tcPr>
            <w:tcW w:w="1361" w:type="pct"/>
            <w:shd w:val="clear" w:color="auto" w:fill="auto"/>
          </w:tcPr>
          <w:p w:rsidR="00CC3220" w:rsidRPr="00DE0D42" w:rsidRDefault="00CC3220" w:rsidP="009C0DF6">
            <w:pPr>
              <w:keepNext/>
              <w:spacing w:before="0" w:after="0"/>
              <w:rPr>
                <w:rFonts w:ascii="Arial Narrow" w:hAnsi="Arial Narrow"/>
                <w:sz w:val="20"/>
                <w:szCs w:val="20"/>
              </w:rPr>
            </w:pPr>
            <w:r w:rsidRPr="00DE0D42">
              <w:rPr>
                <w:rFonts w:ascii="Arial Narrow" w:hAnsi="Arial Narrow"/>
                <w:sz w:val="20"/>
                <w:szCs w:val="20"/>
              </w:rPr>
              <w:t xml:space="preserve">Median DOR, months </w:t>
            </w:r>
          </w:p>
          <w:p w:rsidR="00CC3220" w:rsidRPr="00222960" w:rsidRDefault="00CC3220" w:rsidP="009C0DF6">
            <w:pPr>
              <w:keepNext/>
              <w:spacing w:before="0" w:after="0"/>
              <w:rPr>
                <w:rFonts w:ascii="Arial Narrow" w:hAnsi="Arial Narrow"/>
                <w:sz w:val="20"/>
                <w:szCs w:val="20"/>
              </w:rPr>
            </w:pPr>
            <w:r w:rsidRPr="00DE0D42">
              <w:rPr>
                <w:rFonts w:ascii="Arial Narrow" w:hAnsi="Arial Narrow"/>
                <w:sz w:val="20"/>
                <w:szCs w:val="20"/>
              </w:rPr>
              <w:t>[95% CI]</w:t>
            </w:r>
          </w:p>
        </w:tc>
        <w:tc>
          <w:tcPr>
            <w:tcW w:w="64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971"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96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068"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CC3220" w:rsidRPr="00DE0D42" w:rsidTr="00340B7C">
        <w:tc>
          <w:tcPr>
            <w:tcW w:w="1361" w:type="pct"/>
            <w:shd w:val="clear" w:color="auto" w:fill="auto"/>
          </w:tcPr>
          <w:p w:rsidR="00CC3220" w:rsidRPr="00222960" w:rsidRDefault="00CC3220" w:rsidP="009C0DF6">
            <w:pPr>
              <w:keepNext/>
              <w:spacing w:before="0" w:after="0"/>
              <w:rPr>
                <w:rFonts w:ascii="Arial Narrow" w:hAnsi="Arial Narrow"/>
                <w:sz w:val="20"/>
                <w:szCs w:val="20"/>
              </w:rPr>
            </w:pPr>
            <w:r w:rsidRPr="00DE0D42">
              <w:rPr>
                <w:rFonts w:ascii="Arial Narrow" w:hAnsi="Arial Narrow"/>
                <w:sz w:val="20"/>
                <w:szCs w:val="20"/>
              </w:rPr>
              <w:t>Median PFS, months [95% CI]</w:t>
            </w:r>
          </w:p>
        </w:tc>
        <w:tc>
          <w:tcPr>
            <w:tcW w:w="64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971"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96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068" w:type="pct"/>
            <w:shd w:val="clear" w:color="auto" w:fill="auto"/>
          </w:tcPr>
          <w:p w:rsidR="00281B38" w:rsidRPr="00222960" w:rsidRDefault="00222960" w:rsidP="009C0DF6">
            <w:pPr>
              <w:keepNext/>
              <w:spacing w:before="0" w:after="0"/>
              <w:jc w:val="center"/>
              <w:rPr>
                <w:rFonts w:ascii="Arial Narrow" w:hAnsi="Arial Narrow"/>
                <w:sz w:val="20"/>
                <w:szCs w:val="20"/>
                <w:highlight w:val="black"/>
                <w:u w:val="single"/>
              </w:rPr>
            </w:pPr>
            <w:r>
              <w:rPr>
                <w:rFonts w:ascii="Arial Narrow" w:hAnsi="Arial Narrow"/>
                <w:noProof/>
                <w:color w:val="000000"/>
                <w:sz w:val="20"/>
                <w:szCs w:val="20"/>
                <w:highlight w:val="black"/>
                <w:u w:val="single"/>
              </w:rPr>
              <w:t>''''''</w:t>
            </w:r>
          </w:p>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 ''''''''</w:t>
            </w:r>
          </w:p>
          <w:p w:rsidR="00281B38" w:rsidRPr="00222960" w:rsidRDefault="00222960" w:rsidP="009C0DF6">
            <w:pPr>
              <w:keepNext/>
              <w:spacing w:before="0" w:after="0"/>
              <w:jc w:val="center"/>
              <w:rPr>
                <w:rFonts w:ascii="Arial Narrow" w:hAnsi="Arial Narrow"/>
                <w:sz w:val="20"/>
                <w:szCs w:val="20"/>
                <w:highlight w:val="black"/>
                <w:u w:val="single"/>
              </w:rPr>
            </w:pPr>
            <w:r>
              <w:rPr>
                <w:rFonts w:ascii="Arial Narrow" w:hAnsi="Arial Narrow"/>
                <w:noProof/>
                <w:color w:val="000000"/>
                <w:sz w:val="20"/>
                <w:szCs w:val="20"/>
                <w:highlight w:val="black"/>
                <w:u w:val="single"/>
              </w:rPr>
              <w:t>''''''' ''''''''''''''</w:t>
            </w:r>
          </w:p>
          <w:p w:rsidR="00281B38"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lang w:eastAsia="en-AU"/>
              </w:rPr>
              <w:t>'''''''''' '''''''''' '''''''''</w:t>
            </w:r>
          </w:p>
        </w:tc>
      </w:tr>
      <w:tr w:rsidR="00CC3220" w:rsidRPr="00DE0D42" w:rsidTr="00340B7C">
        <w:tc>
          <w:tcPr>
            <w:tcW w:w="1361" w:type="pct"/>
            <w:shd w:val="clear" w:color="auto" w:fill="auto"/>
          </w:tcPr>
          <w:p w:rsidR="00CC3220" w:rsidRPr="00222960" w:rsidRDefault="00CC3220" w:rsidP="009C0DF6">
            <w:pPr>
              <w:keepNext/>
              <w:spacing w:before="0" w:after="0"/>
              <w:rPr>
                <w:rFonts w:ascii="Arial Narrow" w:hAnsi="Arial Narrow"/>
                <w:sz w:val="20"/>
                <w:szCs w:val="20"/>
              </w:rPr>
            </w:pPr>
            <w:r w:rsidRPr="00DE0D42">
              <w:rPr>
                <w:rFonts w:ascii="Arial Narrow" w:hAnsi="Arial Narrow"/>
                <w:sz w:val="20"/>
                <w:szCs w:val="20"/>
              </w:rPr>
              <w:t>PFS rate at 9 months (%)</w:t>
            </w:r>
          </w:p>
        </w:tc>
        <w:tc>
          <w:tcPr>
            <w:tcW w:w="64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71"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8"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C3220" w:rsidRPr="00DE0D42" w:rsidTr="00340B7C">
        <w:tc>
          <w:tcPr>
            <w:tcW w:w="1361" w:type="pct"/>
            <w:shd w:val="clear" w:color="auto" w:fill="auto"/>
          </w:tcPr>
          <w:p w:rsidR="00CC3220" w:rsidRPr="00222960" w:rsidRDefault="00CC3220" w:rsidP="009C0DF6">
            <w:pPr>
              <w:keepNext/>
              <w:spacing w:before="0" w:after="0"/>
              <w:rPr>
                <w:rFonts w:ascii="Arial Narrow" w:hAnsi="Arial Narrow"/>
                <w:sz w:val="20"/>
                <w:szCs w:val="20"/>
              </w:rPr>
            </w:pPr>
            <w:r w:rsidRPr="00DE0D42">
              <w:rPr>
                <w:rFonts w:ascii="Arial Narrow" w:hAnsi="Arial Narrow"/>
                <w:sz w:val="20"/>
                <w:szCs w:val="20"/>
              </w:rPr>
              <w:t>PFS rate at 12 months (%)</w:t>
            </w:r>
          </w:p>
        </w:tc>
        <w:tc>
          <w:tcPr>
            <w:tcW w:w="64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71"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8"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281B38" w:rsidRPr="00DE0D42" w:rsidTr="00281B38">
        <w:tc>
          <w:tcPr>
            <w:tcW w:w="1361" w:type="pct"/>
            <w:shd w:val="clear" w:color="auto" w:fill="auto"/>
          </w:tcPr>
          <w:p w:rsidR="00281B38" w:rsidRPr="00222960" w:rsidRDefault="00281B38" w:rsidP="009C0DF6">
            <w:pPr>
              <w:keepNext/>
              <w:spacing w:before="0" w:after="0"/>
              <w:rPr>
                <w:rFonts w:ascii="Arial Narrow" w:hAnsi="Arial Narrow"/>
                <w:sz w:val="20"/>
                <w:szCs w:val="20"/>
              </w:rPr>
            </w:pPr>
            <w:r w:rsidRPr="00DE0D42">
              <w:rPr>
                <w:rFonts w:ascii="Arial Narrow" w:hAnsi="Arial Narrow"/>
                <w:sz w:val="20"/>
                <w:szCs w:val="20"/>
              </w:rPr>
              <w:t>Median OS, months [95% CI]</w:t>
            </w:r>
          </w:p>
        </w:tc>
        <w:tc>
          <w:tcPr>
            <w:tcW w:w="640" w:type="pct"/>
            <w:shd w:val="clear" w:color="auto" w:fill="auto"/>
          </w:tcPr>
          <w:p w:rsidR="00281B38"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71" w:type="pct"/>
            <w:shd w:val="clear" w:color="auto" w:fill="auto"/>
          </w:tcPr>
          <w:p w:rsidR="00281B38"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0" w:type="pct"/>
            <w:shd w:val="clear" w:color="auto" w:fill="auto"/>
          </w:tcPr>
          <w:p w:rsidR="00281B38"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8" w:type="pct"/>
            <w:shd w:val="clear" w:color="auto" w:fill="auto"/>
          </w:tcPr>
          <w:p w:rsidR="00281B38" w:rsidRPr="00222960" w:rsidRDefault="00222960" w:rsidP="009C0DF6">
            <w:pPr>
              <w:keepNext/>
              <w:spacing w:before="0" w:after="0"/>
              <w:jc w:val="center"/>
              <w:rPr>
                <w:rFonts w:ascii="Arial Narrow" w:hAnsi="Arial Narrow"/>
                <w:sz w:val="20"/>
                <w:szCs w:val="20"/>
                <w:highlight w:val="black"/>
                <w:u w:val="single"/>
              </w:rPr>
            </w:pPr>
            <w:r>
              <w:rPr>
                <w:rFonts w:ascii="Arial Narrow" w:hAnsi="Arial Narrow"/>
                <w:noProof/>
                <w:color w:val="000000"/>
                <w:sz w:val="20"/>
                <w:szCs w:val="20"/>
                <w:highlight w:val="black"/>
                <w:u w:val="single"/>
              </w:rPr>
              <w:t>''''''' ''''''''''''''</w:t>
            </w:r>
          </w:p>
          <w:p w:rsidR="00281B38"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CC3220" w:rsidRPr="00DE0D42" w:rsidTr="00340B7C">
        <w:tc>
          <w:tcPr>
            <w:tcW w:w="1361" w:type="pct"/>
            <w:shd w:val="clear" w:color="auto" w:fill="auto"/>
          </w:tcPr>
          <w:p w:rsidR="00CC3220" w:rsidRPr="00222960" w:rsidRDefault="00CC3220" w:rsidP="009C0DF6">
            <w:pPr>
              <w:keepNext/>
              <w:spacing w:before="0" w:after="0"/>
              <w:rPr>
                <w:rFonts w:ascii="Arial Narrow" w:hAnsi="Arial Narrow"/>
                <w:sz w:val="20"/>
                <w:szCs w:val="20"/>
              </w:rPr>
            </w:pPr>
            <w:r w:rsidRPr="00DE0D42">
              <w:rPr>
                <w:rFonts w:ascii="Arial Narrow" w:hAnsi="Arial Narrow"/>
                <w:sz w:val="20"/>
                <w:szCs w:val="20"/>
              </w:rPr>
              <w:t>OS rate at 12 months</w:t>
            </w:r>
            <w:r w:rsidR="00883CF9" w:rsidRPr="00DE0D42">
              <w:rPr>
                <w:rFonts w:ascii="Arial Narrow" w:hAnsi="Arial Narrow"/>
                <w:sz w:val="20"/>
                <w:szCs w:val="20"/>
              </w:rPr>
              <w:t xml:space="preserve"> (%)</w:t>
            </w:r>
          </w:p>
        </w:tc>
        <w:tc>
          <w:tcPr>
            <w:tcW w:w="64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71"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60" w:type="pct"/>
            <w:shd w:val="clear" w:color="auto" w:fill="auto"/>
          </w:tcPr>
          <w:p w:rsidR="00CC3220" w:rsidRPr="00222960" w:rsidRDefault="00222960" w:rsidP="009C0DF6">
            <w:pPr>
              <w:keepNext/>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68" w:type="pct"/>
            <w:shd w:val="clear" w:color="auto" w:fill="auto"/>
          </w:tcPr>
          <w:p w:rsidR="00CC3220" w:rsidRPr="00222960" w:rsidRDefault="00222960" w:rsidP="009C0DF6">
            <w:pPr>
              <w:keepNext/>
              <w:spacing w:before="0" w:after="0"/>
              <w:jc w:val="center"/>
              <w:rPr>
                <w:rFonts w:ascii="Arial Narrow" w:hAnsi="Arial Narrow"/>
                <w:sz w:val="20"/>
                <w:szCs w:val="20"/>
              </w:rPr>
            </w:pPr>
            <w:r>
              <w:rPr>
                <w:rFonts w:ascii="Arial Narrow" w:eastAsia="Calibri" w:hAnsi="Arial Narrow" w:cs="Arial"/>
                <w:noProof/>
                <w:color w:val="000000"/>
                <w:sz w:val="20"/>
                <w:szCs w:val="20"/>
                <w:highlight w:val="black"/>
              </w:rPr>
              <w:t>'''''''''</w:t>
            </w:r>
          </w:p>
        </w:tc>
      </w:tr>
    </w:tbl>
    <w:p w:rsidR="00CC3220" w:rsidRPr="00422FD5" w:rsidRDefault="00CC3220" w:rsidP="009C0DF6">
      <w:pPr>
        <w:pStyle w:val="Source"/>
        <w:keepNext/>
        <w:spacing w:before="0" w:after="0" w:line="240" w:lineRule="auto"/>
        <w:rPr>
          <w:rFonts w:ascii="Arial Narrow" w:hAnsi="Arial Narrow"/>
        </w:rPr>
      </w:pPr>
      <w:proofErr w:type="gramStart"/>
      <w:r w:rsidRPr="00422FD5">
        <w:rPr>
          <w:rFonts w:ascii="Arial Narrow" w:hAnsi="Arial Narrow"/>
        </w:rPr>
        <w:t>Data cut-off date September 2016.</w:t>
      </w:r>
      <w:proofErr w:type="gramEnd"/>
      <w:r w:rsidRPr="00422FD5">
        <w:rPr>
          <w:rFonts w:ascii="Arial Narrow" w:hAnsi="Arial Narrow"/>
        </w:rPr>
        <w:t xml:space="preserve"> Median duration of follow up: 10.1 months (Range 1.0 to 15.0 months)</w:t>
      </w:r>
    </w:p>
    <w:p w:rsidR="00CC3220" w:rsidRPr="00422FD5" w:rsidRDefault="00CC3220" w:rsidP="009C0DF6">
      <w:pPr>
        <w:pStyle w:val="Source"/>
        <w:spacing w:before="0" w:after="0" w:line="240" w:lineRule="auto"/>
        <w:rPr>
          <w:rFonts w:ascii="Arial Narrow" w:hAnsi="Arial Narrow"/>
        </w:rPr>
      </w:pPr>
      <w:r w:rsidRPr="00422FD5">
        <w:rPr>
          <w:rFonts w:ascii="Arial Narrow" w:hAnsi="Arial Narrow"/>
        </w:rPr>
        <w:t>Response data based on Central Independent Review</w:t>
      </w:r>
    </w:p>
    <w:p w:rsidR="00CC3220" w:rsidRPr="00DF20F8" w:rsidRDefault="00CC3220" w:rsidP="009C0DF6">
      <w:pPr>
        <w:pStyle w:val="Source"/>
        <w:spacing w:before="0" w:after="0" w:line="240" w:lineRule="auto"/>
        <w:rPr>
          <w:rFonts w:ascii="Arial Narrow" w:hAnsi="Arial Narrow"/>
        </w:rPr>
      </w:pPr>
      <w:r w:rsidRPr="00422FD5">
        <w:rPr>
          <w:rFonts w:ascii="Arial Narrow" w:hAnsi="Arial Narrow"/>
        </w:rPr>
        <w:t xml:space="preserve">CRR = complete response rate; ORR = objective response rate; DOR = duration of response; NE = not estimable (not reached); OS = </w:t>
      </w:r>
      <w:r w:rsidRPr="00DF20F8">
        <w:rPr>
          <w:rFonts w:ascii="Arial Narrow" w:hAnsi="Arial Narrow"/>
        </w:rPr>
        <w:t xml:space="preserve">overall survival; PFS = progression free survival; TTR = time to response; BV = </w:t>
      </w:r>
      <w:proofErr w:type="spellStart"/>
      <w:r w:rsidRPr="00DF20F8">
        <w:rPr>
          <w:rFonts w:ascii="Arial Narrow" w:hAnsi="Arial Narrow"/>
        </w:rPr>
        <w:t>brentuximab</w:t>
      </w:r>
      <w:proofErr w:type="spellEnd"/>
      <w:r w:rsidRPr="00DF20F8">
        <w:rPr>
          <w:rFonts w:ascii="Arial Narrow" w:hAnsi="Arial Narrow"/>
        </w:rPr>
        <w:t xml:space="preserve"> </w:t>
      </w:r>
      <w:proofErr w:type="spellStart"/>
      <w:r w:rsidRPr="00DF20F8">
        <w:rPr>
          <w:rFonts w:ascii="Arial Narrow" w:hAnsi="Arial Narrow"/>
        </w:rPr>
        <w:t>vedotin</w:t>
      </w:r>
      <w:proofErr w:type="spellEnd"/>
      <w:r w:rsidRPr="00DF20F8">
        <w:rPr>
          <w:rFonts w:ascii="Arial Narrow" w:hAnsi="Arial Narrow"/>
        </w:rPr>
        <w:t>; ASCT = autologous stem-cell transplants.</w:t>
      </w:r>
    </w:p>
    <w:p w:rsidR="00CC3220" w:rsidRPr="00DF20F8" w:rsidRDefault="00CC3220" w:rsidP="009C0DF6">
      <w:pPr>
        <w:pStyle w:val="Source"/>
        <w:spacing w:before="0" w:after="120" w:line="240" w:lineRule="auto"/>
        <w:contextualSpacing w:val="0"/>
        <w:rPr>
          <w:rFonts w:ascii="Arial Narrow" w:hAnsi="Arial Narrow"/>
        </w:rPr>
      </w:pPr>
      <w:r w:rsidRPr="00DF20F8">
        <w:rPr>
          <w:rFonts w:ascii="Arial Narrow" w:hAnsi="Arial Narrow"/>
        </w:rPr>
        <w:t>Source: Table 2A.5-9, p68 of the main submission.</w:t>
      </w:r>
    </w:p>
    <w:p w:rsidR="00CC3220" w:rsidRPr="00DF20F8" w:rsidRDefault="00CC3220" w:rsidP="009C0DF6">
      <w:pPr>
        <w:pStyle w:val="ListParagraph"/>
        <w:numPr>
          <w:ilvl w:val="1"/>
          <w:numId w:val="3"/>
        </w:numPr>
        <w:spacing w:before="0" w:after="120"/>
      </w:pPr>
      <w:r w:rsidRPr="00DF20F8">
        <w:t xml:space="preserve">The key results from Study 0003 are summarised below. </w:t>
      </w:r>
    </w:p>
    <w:p w:rsidR="00175B20" w:rsidRDefault="00175B20" w:rsidP="00175B20">
      <w:pPr>
        <w:pStyle w:val="Caption"/>
      </w:pPr>
      <w:r>
        <w:t xml:space="preserve">Table </w:t>
      </w:r>
      <w:r>
        <w:rPr>
          <w:noProof/>
        </w:rPr>
        <w:t>5</w:t>
      </w:r>
      <w:r w:rsidRPr="00AA210F">
        <w:t xml:space="preserve">: Study 0003 - Key effectiveness results from Study 0003 (single-arm study of </w:t>
      </w:r>
      <w:proofErr w:type="spellStart"/>
      <w:r w:rsidRPr="00AA210F">
        <w:t>brentuximab</w:t>
      </w:r>
      <w:proofErr w:type="spellEnd"/>
      <w:r w:rsidRPr="00AA210F">
        <w:t xml:space="preserve"> </w:t>
      </w:r>
      <w:proofErr w:type="spellStart"/>
      <w:r w:rsidRPr="00AA210F">
        <w:t>vedotin</w:t>
      </w:r>
      <w:proofErr w:type="spellEnd"/>
      <w:r w:rsidRPr="00AA210F">
        <w:t xml:space="preserve"> 1.8mg/kg)</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tudy 0003 - Key effectiveness results from Study 0003 (single-arm study of brentuximab vedotin 1.8mg/kg)"/>
      </w:tblPr>
      <w:tblGrid>
        <w:gridCol w:w="2606"/>
        <w:gridCol w:w="2181"/>
        <w:gridCol w:w="2645"/>
        <w:gridCol w:w="1810"/>
      </w:tblGrid>
      <w:tr w:rsidR="00CC3220" w:rsidRPr="00DF20F8" w:rsidTr="00AC5AFB">
        <w:trPr>
          <w:trHeight w:val="61"/>
          <w:tblHeader/>
        </w:trPr>
        <w:tc>
          <w:tcPr>
            <w:tcW w:w="1410" w:type="pct"/>
            <w:vMerge w:val="restart"/>
          </w:tcPr>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Outcome</w:t>
            </w:r>
          </w:p>
        </w:tc>
        <w:tc>
          <w:tcPr>
            <w:tcW w:w="3590" w:type="pct"/>
            <w:gridSpan w:val="3"/>
          </w:tcPr>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All patients</w:t>
            </w:r>
          </w:p>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(N=102)</w:t>
            </w:r>
          </w:p>
        </w:tc>
      </w:tr>
      <w:tr w:rsidR="00CC3220" w:rsidRPr="00DF20F8" w:rsidTr="00AC5AFB">
        <w:trPr>
          <w:trHeight w:val="284"/>
          <w:tblHeader/>
        </w:trPr>
        <w:tc>
          <w:tcPr>
            <w:tcW w:w="1410" w:type="pct"/>
            <w:vMerge/>
          </w:tcPr>
          <w:p w:rsidR="00CC3220" w:rsidRPr="00DF20F8" w:rsidRDefault="00CC3220" w:rsidP="009C0DF6">
            <w:pPr>
              <w:spacing w:before="0"/>
              <w:rPr>
                <w:rFonts w:ascii="Arial Narrow" w:hAnsi="Arial Narrow"/>
                <w:b/>
                <w:sz w:val="20"/>
                <w:szCs w:val="20"/>
              </w:rPr>
            </w:pPr>
          </w:p>
        </w:tc>
        <w:tc>
          <w:tcPr>
            <w:tcW w:w="1180" w:type="pct"/>
          </w:tcPr>
          <w:p w:rsidR="00CC3220" w:rsidRPr="00DF20F8" w:rsidRDefault="00CC3220" w:rsidP="009C0DF6">
            <w:pPr>
              <w:spacing w:before="0"/>
              <w:jc w:val="center"/>
              <w:rPr>
                <w:rFonts w:ascii="Arial Narrow" w:hAnsi="Arial Narrow"/>
                <w:b/>
                <w:sz w:val="20"/>
                <w:szCs w:val="20"/>
              </w:rPr>
            </w:pPr>
            <w:proofErr w:type="gramStart"/>
            <w:r w:rsidRPr="00DF20F8">
              <w:rPr>
                <w:rFonts w:ascii="Arial Narrow" w:hAnsi="Arial Narrow"/>
                <w:b/>
                <w:sz w:val="20"/>
                <w:szCs w:val="20"/>
              </w:rPr>
              <w:t>n</w:t>
            </w:r>
            <w:proofErr w:type="gramEnd"/>
            <w:r w:rsidRPr="00DF20F8">
              <w:rPr>
                <w:rFonts w:ascii="Arial Narrow" w:hAnsi="Arial Narrow"/>
                <w:b/>
                <w:sz w:val="20"/>
                <w:szCs w:val="20"/>
              </w:rPr>
              <w:t xml:space="preserve"> (%)</w:t>
            </w:r>
          </w:p>
        </w:tc>
        <w:tc>
          <w:tcPr>
            <w:tcW w:w="2410" w:type="pct"/>
            <w:gridSpan w:val="2"/>
          </w:tcPr>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[95% CI]</w:t>
            </w:r>
          </w:p>
        </w:tc>
      </w:tr>
      <w:tr w:rsidR="00CC3220" w:rsidRPr="00DF20F8" w:rsidTr="00D747FD">
        <w:trPr>
          <w:trHeight w:val="284"/>
        </w:trPr>
        <w:tc>
          <w:tcPr>
            <w:tcW w:w="1410" w:type="pct"/>
          </w:tcPr>
          <w:p w:rsidR="00CC3220" w:rsidRPr="00DF20F8" w:rsidRDefault="00CC3220" w:rsidP="009C0DF6">
            <w:pPr>
              <w:spacing w:before="0"/>
              <w:rPr>
                <w:rFonts w:ascii="Arial Narrow" w:hAnsi="Arial Narrow"/>
                <w:sz w:val="20"/>
                <w:szCs w:val="20"/>
              </w:rPr>
            </w:pPr>
            <w:r w:rsidRPr="00DF20F8">
              <w:rPr>
                <w:rFonts w:ascii="Arial Narrow" w:hAnsi="Arial Narrow"/>
                <w:sz w:val="20"/>
                <w:szCs w:val="20"/>
              </w:rPr>
              <w:t>CRR</w:t>
            </w:r>
          </w:p>
        </w:tc>
        <w:tc>
          <w:tcPr>
            <w:tcW w:w="1180"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35 (34)</w:t>
            </w:r>
          </w:p>
        </w:tc>
        <w:tc>
          <w:tcPr>
            <w:tcW w:w="2410" w:type="pct"/>
            <w:gridSpan w:val="2"/>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[24.3, 43.4]</w:t>
            </w:r>
          </w:p>
        </w:tc>
      </w:tr>
      <w:tr w:rsidR="00CC3220" w:rsidRPr="00DF20F8" w:rsidTr="00D747FD">
        <w:trPr>
          <w:trHeight w:val="284"/>
        </w:trPr>
        <w:tc>
          <w:tcPr>
            <w:tcW w:w="1410" w:type="pct"/>
          </w:tcPr>
          <w:p w:rsidR="00CC3220" w:rsidRPr="00DF20F8" w:rsidRDefault="00CC3220" w:rsidP="009C0DF6">
            <w:pPr>
              <w:spacing w:before="0"/>
              <w:rPr>
                <w:rFonts w:ascii="Arial Narrow" w:hAnsi="Arial Narrow"/>
                <w:sz w:val="20"/>
                <w:szCs w:val="20"/>
              </w:rPr>
            </w:pPr>
            <w:r w:rsidRPr="00DF20F8">
              <w:rPr>
                <w:rFonts w:ascii="Arial Narrow" w:hAnsi="Arial Narrow"/>
                <w:sz w:val="20"/>
                <w:szCs w:val="20"/>
              </w:rPr>
              <w:t>PR</w:t>
            </w:r>
          </w:p>
        </w:tc>
        <w:tc>
          <w:tcPr>
            <w:tcW w:w="1180"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41 (40)</w:t>
            </w:r>
          </w:p>
        </w:tc>
        <w:tc>
          <w:tcPr>
            <w:tcW w:w="2410" w:type="pct"/>
            <w:gridSpan w:val="2"/>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Not reported</w:t>
            </w:r>
          </w:p>
        </w:tc>
      </w:tr>
      <w:tr w:rsidR="00CC3220" w:rsidRPr="00DF20F8" w:rsidTr="00D747FD">
        <w:trPr>
          <w:trHeight w:val="284"/>
        </w:trPr>
        <w:tc>
          <w:tcPr>
            <w:tcW w:w="1410" w:type="pct"/>
          </w:tcPr>
          <w:p w:rsidR="00CC3220" w:rsidRPr="00DF20F8" w:rsidRDefault="00CC3220" w:rsidP="009C0DF6">
            <w:pPr>
              <w:spacing w:before="0"/>
              <w:rPr>
                <w:rFonts w:ascii="Arial Narrow" w:hAnsi="Arial Narrow"/>
                <w:sz w:val="20"/>
                <w:szCs w:val="20"/>
              </w:rPr>
            </w:pPr>
            <w:r w:rsidRPr="00DF20F8">
              <w:rPr>
                <w:rFonts w:ascii="Arial Narrow" w:hAnsi="Arial Narrow"/>
                <w:sz w:val="20"/>
                <w:szCs w:val="20"/>
              </w:rPr>
              <w:t>Objective Response (CR+PR)</w:t>
            </w:r>
          </w:p>
        </w:tc>
        <w:tc>
          <w:tcPr>
            <w:tcW w:w="1180"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76 (75)</w:t>
            </w:r>
          </w:p>
        </w:tc>
        <w:tc>
          <w:tcPr>
            <w:tcW w:w="2410" w:type="pct"/>
            <w:gridSpan w:val="2"/>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[64.9, 82.6]</w:t>
            </w:r>
          </w:p>
        </w:tc>
      </w:tr>
      <w:tr w:rsidR="00CC3220" w:rsidRPr="00DF20F8" w:rsidTr="00D747FD">
        <w:trPr>
          <w:trHeight w:val="284"/>
        </w:trPr>
        <w:tc>
          <w:tcPr>
            <w:tcW w:w="1410" w:type="pct"/>
          </w:tcPr>
          <w:p w:rsidR="00CC3220" w:rsidRPr="00DF20F8" w:rsidRDefault="00CC3220" w:rsidP="009C0DF6">
            <w:pPr>
              <w:spacing w:before="0"/>
              <w:rPr>
                <w:rFonts w:ascii="Arial Narrow" w:hAnsi="Arial Narrow"/>
                <w:sz w:val="20"/>
                <w:szCs w:val="20"/>
              </w:rPr>
            </w:pPr>
            <w:r w:rsidRPr="00DF20F8">
              <w:rPr>
                <w:rFonts w:ascii="Arial Narrow" w:hAnsi="Arial Narrow"/>
                <w:sz w:val="20"/>
                <w:szCs w:val="20"/>
              </w:rPr>
              <w:t>Stable Disease (SD)</w:t>
            </w:r>
          </w:p>
        </w:tc>
        <w:tc>
          <w:tcPr>
            <w:tcW w:w="1180"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22 (22)</w:t>
            </w:r>
          </w:p>
        </w:tc>
        <w:tc>
          <w:tcPr>
            <w:tcW w:w="2410" w:type="pct"/>
            <w:gridSpan w:val="2"/>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Not reported</w:t>
            </w:r>
          </w:p>
        </w:tc>
      </w:tr>
      <w:tr w:rsidR="00CC3220" w:rsidRPr="00DF20F8" w:rsidTr="00D747FD">
        <w:trPr>
          <w:trHeight w:val="284"/>
        </w:trPr>
        <w:tc>
          <w:tcPr>
            <w:tcW w:w="1410" w:type="pct"/>
          </w:tcPr>
          <w:p w:rsidR="00CC3220" w:rsidRPr="00DF20F8" w:rsidRDefault="00CC3220" w:rsidP="009C0DF6">
            <w:pPr>
              <w:spacing w:before="0"/>
              <w:rPr>
                <w:rFonts w:ascii="Arial Narrow" w:hAnsi="Arial Narrow"/>
                <w:sz w:val="20"/>
                <w:szCs w:val="20"/>
              </w:rPr>
            </w:pPr>
            <w:r w:rsidRPr="00DF20F8">
              <w:rPr>
                <w:rFonts w:ascii="Arial Narrow" w:hAnsi="Arial Narrow"/>
                <w:sz w:val="20"/>
                <w:szCs w:val="20"/>
              </w:rPr>
              <w:t>Progressive Disease (PD)</w:t>
            </w:r>
          </w:p>
        </w:tc>
        <w:tc>
          <w:tcPr>
            <w:tcW w:w="1180"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3 (3)</w:t>
            </w:r>
          </w:p>
        </w:tc>
        <w:tc>
          <w:tcPr>
            <w:tcW w:w="2410" w:type="pct"/>
            <w:gridSpan w:val="2"/>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Not reported</w:t>
            </w:r>
          </w:p>
        </w:tc>
      </w:tr>
      <w:tr w:rsidR="00CC3220" w:rsidRPr="00DF20F8" w:rsidTr="00D747FD">
        <w:trPr>
          <w:trHeight w:val="284"/>
        </w:trPr>
        <w:tc>
          <w:tcPr>
            <w:tcW w:w="1410" w:type="pct"/>
          </w:tcPr>
          <w:p w:rsidR="00CC3220" w:rsidRPr="00DF20F8" w:rsidRDefault="00CC3220" w:rsidP="009C0DF6">
            <w:pPr>
              <w:spacing w:before="0"/>
              <w:rPr>
                <w:rFonts w:ascii="Arial Narrow" w:hAnsi="Arial Narrow"/>
                <w:sz w:val="20"/>
                <w:szCs w:val="20"/>
              </w:rPr>
            </w:pPr>
          </w:p>
        </w:tc>
        <w:tc>
          <w:tcPr>
            <w:tcW w:w="1180" w:type="pct"/>
          </w:tcPr>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Median follow up</w:t>
            </w:r>
          </w:p>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18.5 months</w:t>
            </w:r>
          </w:p>
          <w:p w:rsidR="00CC3220" w:rsidRPr="00DF20F8" w:rsidRDefault="00CC3220" w:rsidP="009C0DF6">
            <w:pPr>
              <w:spacing w:before="0"/>
              <w:jc w:val="center"/>
              <w:rPr>
                <w:rFonts w:ascii="Arial Narrow" w:hAnsi="Arial Narrow"/>
                <w:sz w:val="20"/>
                <w:szCs w:val="20"/>
                <w:vertAlign w:val="superscript"/>
              </w:rPr>
            </w:pPr>
            <w:r w:rsidRPr="00DF20F8">
              <w:rPr>
                <w:rFonts w:ascii="Arial Narrow" w:hAnsi="Arial Narrow"/>
                <w:sz w:val="20"/>
                <w:szCs w:val="20"/>
              </w:rPr>
              <w:t>(</w:t>
            </w:r>
            <w:proofErr w:type="spellStart"/>
            <w:r w:rsidRPr="00DF20F8">
              <w:rPr>
                <w:rFonts w:ascii="Arial Narrow" w:hAnsi="Arial Narrow"/>
                <w:sz w:val="20"/>
                <w:szCs w:val="20"/>
              </w:rPr>
              <w:t>Younes</w:t>
            </w:r>
            <w:proofErr w:type="spellEnd"/>
            <w:r w:rsidRPr="00DF20F8">
              <w:rPr>
                <w:rFonts w:ascii="Arial Narrow" w:hAnsi="Arial Narrow"/>
                <w:sz w:val="20"/>
                <w:szCs w:val="20"/>
              </w:rPr>
              <w:t xml:space="preserve"> 2012)</w:t>
            </w:r>
          </w:p>
        </w:tc>
        <w:tc>
          <w:tcPr>
            <w:tcW w:w="1431" w:type="pct"/>
          </w:tcPr>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Median follow up</w:t>
            </w:r>
          </w:p>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33.3 months</w:t>
            </w:r>
          </w:p>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(Gopal 2015)</w:t>
            </w:r>
            <w:r w:rsidRPr="00DF20F8">
              <w:rPr>
                <w:rFonts w:ascii="Arial Narrow" w:hAnsi="Arial Narrow"/>
                <w:sz w:val="20"/>
                <w:szCs w:val="20"/>
                <w:vertAlign w:val="superscript"/>
              </w:rPr>
              <w:t xml:space="preserve"> 2</w:t>
            </w:r>
          </w:p>
        </w:tc>
        <w:tc>
          <w:tcPr>
            <w:tcW w:w="979" w:type="pct"/>
          </w:tcPr>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Median follow up</w:t>
            </w:r>
          </w:p>
          <w:p w:rsidR="00CC3220" w:rsidRPr="00DF20F8" w:rsidRDefault="00CC3220" w:rsidP="009C0DF6">
            <w:pPr>
              <w:spacing w:before="0"/>
              <w:jc w:val="center"/>
              <w:rPr>
                <w:rFonts w:ascii="Arial Narrow" w:hAnsi="Arial Narrow"/>
                <w:b/>
                <w:sz w:val="20"/>
                <w:szCs w:val="20"/>
              </w:rPr>
            </w:pPr>
            <w:r w:rsidRPr="00DF20F8">
              <w:rPr>
                <w:rFonts w:ascii="Arial Narrow" w:hAnsi="Arial Narrow"/>
                <w:b/>
                <w:sz w:val="20"/>
                <w:szCs w:val="20"/>
              </w:rPr>
              <w:t>35.1 months</w:t>
            </w:r>
          </w:p>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(Chen 2016)</w:t>
            </w:r>
            <w:r w:rsidRPr="00DF20F8">
              <w:rPr>
                <w:rFonts w:ascii="Arial Narrow" w:hAnsi="Arial Narrow"/>
                <w:sz w:val="20"/>
                <w:szCs w:val="20"/>
                <w:vertAlign w:val="superscript"/>
              </w:rPr>
              <w:t>2</w:t>
            </w:r>
          </w:p>
        </w:tc>
      </w:tr>
      <w:tr w:rsidR="00CC3220" w:rsidRPr="00DF20F8" w:rsidTr="00D747FD">
        <w:trPr>
          <w:trHeight w:val="284"/>
        </w:trPr>
        <w:tc>
          <w:tcPr>
            <w:tcW w:w="1410" w:type="pct"/>
          </w:tcPr>
          <w:p w:rsidR="00CC3220" w:rsidRPr="00DF20F8" w:rsidRDefault="00CC3220" w:rsidP="009C0DF6">
            <w:pPr>
              <w:spacing w:before="0"/>
              <w:rPr>
                <w:rFonts w:ascii="Arial Narrow" w:hAnsi="Arial Narrow"/>
                <w:sz w:val="20"/>
                <w:szCs w:val="20"/>
              </w:rPr>
            </w:pPr>
            <w:r w:rsidRPr="00DF20F8">
              <w:rPr>
                <w:rFonts w:ascii="Arial Narrow" w:hAnsi="Arial Narrow"/>
                <w:sz w:val="20"/>
                <w:szCs w:val="20"/>
              </w:rPr>
              <w:t>Median OS [95% CI]</w:t>
            </w:r>
          </w:p>
        </w:tc>
        <w:tc>
          <w:tcPr>
            <w:tcW w:w="1180"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22.4 [21.7, NE]</w:t>
            </w:r>
            <w:r w:rsidRPr="00DF20F8">
              <w:rPr>
                <w:rFonts w:ascii="Arial Narrow" w:hAnsi="Arial Narrow"/>
                <w:sz w:val="20"/>
                <w:szCs w:val="20"/>
                <w:vertAlign w:val="superscript"/>
              </w:rPr>
              <w:t>1</w:t>
            </w:r>
          </w:p>
        </w:tc>
        <w:tc>
          <w:tcPr>
            <w:tcW w:w="1431"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40.5 [28.7, NE]</w:t>
            </w:r>
          </w:p>
        </w:tc>
        <w:tc>
          <w:tcPr>
            <w:tcW w:w="979"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40.5 [28.7, 61.9]</w:t>
            </w:r>
          </w:p>
        </w:tc>
      </w:tr>
      <w:tr w:rsidR="00CC3220" w:rsidRPr="00DF20F8" w:rsidTr="00D747FD">
        <w:trPr>
          <w:trHeight w:val="284"/>
        </w:trPr>
        <w:tc>
          <w:tcPr>
            <w:tcW w:w="1410" w:type="pct"/>
          </w:tcPr>
          <w:p w:rsidR="00CC3220" w:rsidRPr="00DF20F8" w:rsidRDefault="00CC3220" w:rsidP="009C0DF6">
            <w:pPr>
              <w:spacing w:before="0"/>
              <w:rPr>
                <w:rFonts w:ascii="Arial Narrow" w:hAnsi="Arial Narrow"/>
                <w:sz w:val="20"/>
                <w:szCs w:val="20"/>
              </w:rPr>
            </w:pPr>
          </w:p>
          <w:p w:rsidR="00CC3220" w:rsidRPr="00DF20F8" w:rsidRDefault="00CC3220" w:rsidP="009C0DF6">
            <w:pPr>
              <w:spacing w:before="0"/>
              <w:rPr>
                <w:rFonts w:ascii="Arial Narrow" w:hAnsi="Arial Narrow"/>
                <w:sz w:val="20"/>
                <w:szCs w:val="20"/>
              </w:rPr>
            </w:pPr>
            <w:r w:rsidRPr="00DF20F8">
              <w:rPr>
                <w:rFonts w:ascii="Arial Narrow" w:hAnsi="Arial Narrow"/>
                <w:sz w:val="20"/>
                <w:szCs w:val="20"/>
              </w:rPr>
              <w:t xml:space="preserve">OS rate </w:t>
            </w:r>
          </w:p>
        </w:tc>
        <w:tc>
          <w:tcPr>
            <w:tcW w:w="1180"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At 12 months</w:t>
            </w:r>
          </w:p>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89%</w:t>
            </w:r>
          </w:p>
        </w:tc>
        <w:tc>
          <w:tcPr>
            <w:tcW w:w="1431"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At 3 years</w:t>
            </w:r>
          </w:p>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47%</w:t>
            </w:r>
          </w:p>
        </w:tc>
        <w:tc>
          <w:tcPr>
            <w:tcW w:w="979"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At 5 years</w:t>
            </w:r>
          </w:p>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41%</w:t>
            </w:r>
          </w:p>
        </w:tc>
      </w:tr>
      <w:tr w:rsidR="00CC3220" w:rsidRPr="00DF20F8" w:rsidTr="00D747FD">
        <w:trPr>
          <w:trHeight w:val="284"/>
        </w:trPr>
        <w:tc>
          <w:tcPr>
            <w:tcW w:w="1410" w:type="pct"/>
          </w:tcPr>
          <w:p w:rsidR="00CC3220" w:rsidRPr="00DF20F8" w:rsidRDefault="00CC3220" w:rsidP="009C0DF6">
            <w:pPr>
              <w:spacing w:before="0"/>
              <w:rPr>
                <w:rFonts w:ascii="Arial Narrow" w:hAnsi="Arial Narrow"/>
                <w:sz w:val="20"/>
                <w:szCs w:val="20"/>
              </w:rPr>
            </w:pPr>
            <w:r w:rsidRPr="00DF20F8">
              <w:rPr>
                <w:rFonts w:ascii="Arial Narrow" w:hAnsi="Arial Narrow"/>
                <w:sz w:val="20"/>
                <w:szCs w:val="20"/>
              </w:rPr>
              <w:t>Median PFS [95% CI]</w:t>
            </w:r>
          </w:p>
        </w:tc>
        <w:tc>
          <w:tcPr>
            <w:tcW w:w="1180"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5.6 [5.0, 9.0]</w:t>
            </w:r>
          </w:p>
        </w:tc>
        <w:tc>
          <w:tcPr>
            <w:tcW w:w="1431"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9.3 [7.1, 12.2]</w:t>
            </w:r>
          </w:p>
        </w:tc>
        <w:tc>
          <w:tcPr>
            <w:tcW w:w="979" w:type="pct"/>
          </w:tcPr>
          <w:p w:rsidR="00CC3220" w:rsidRPr="00DF20F8" w:rsidRDefault="00CC3220" w:rsidP="009C0DF6">
            <w:pPr>
              <w:spacing w:before="0"/>
              <w:jc w:val="center"/>
              <w:rPr>
                <w:rFonts w:ascii="Arial Narrow" w:hAnsi="Arial Narrow"/>
                <w:sz w:val="20"/>
                <w:szCs w:val="20"/>
              </w:rPr>
            </w:pPr>
            <w:r w:rsidRPr="00DF20F8">
              <w:rPr>
                <w:rFonts w:ascii="Arial Narrow" w:hAnsi="Arial Narrow"/>
                <w:sz w:val="20"/>
                <w:szCs w:val="20"/>
              </w:rPr>
              <w:t>9.3 [7.1, 12.2]</w:t>
            </w:r>
          </w:p>
        </w:tc>
      </w:tr>
    </w:tbl>
    <w:p w:rsidR="00CC3220" w:rsidRPr="00DF20F8" w:rsidRDefault="00CC3220" w:rsidP="009C0DF6">
      <w:pPr>
        <w:pStyle w:val="Source"/>
        <w:spacing w:before="0" w:after="0" w:line="240" w:lineRule="auto"/>
        <w:rPr>
          <w:rFonts w:ascii="Arial Narrow" w:hAnsi="Arial Narrow"/>
          <w:szCs w:val="18"/>
        </w:rPr>
      </w:pPr>
      <w:proofErr w:type="gramStart"/>
      <w:r w:rsidRPr="00DF20F8">
        <w:rPr>
          <w:rFonts w:ascii="Arial Narrow" w:hAnsi="Arial Narrow"/>
          <w:szCs w:val="18"/>
          <w:vertAlign w:val="superscript"/>
        </w:rPr>
        <w:t>1</w:t>
      </w:r>
      <w:r w:rsidRPr="00DF20F8">
        <w:rPr>
          <w:rFonts w:ascii="Arial Narrow" w:hAnsi="Arial Narrow"/>
          <w:szCs w:val="18"/>
        </w:rPr>
        <w:t xml:space="preserve">Sourced from </w:t>
      </w:r>
      <w:proofErr w:type="spellStart"/>
      <w:r w:rsidRPr="00DF20F8">
        <w:rPr>
          <w:rFonts w:ascii="Arial Narrow" w:hAnsi="Arial Narrow"/>
          <w:szCs w:val="18"/>
        </w:rPr>
        <w:t>Younes</w:t>
      </w:r>
      <w:proofErr w:type="spellEnd"/>
      <w:r w:rsidRPr="00DF20F8">
        <w:rPr>
          <w:rFonts w:ascii="Arial Narrow" w:hAnsi="Arial Narrow"/>
          <w:szCs w:val="18"/>
        </w:rPr>
        <w:t xml:space="preserve"> 2012.</w:t>
      </w:r>
      <w:proofErr w:type="gramEnd"/>
    </w:p>
    <w:p w:rsidR="00CC3220" w:rsidRPr="00DF20F8" w:rsidRDefault="00CC3220" w:rsidP="009C0DF6">
      <w:pPr>
        <w:pStyle w:val="Source"/>
        <w:spacing w:before="0" w:after="0" w:line="240" w:lineRule="auto"/>
        <w:rPr>
          <w:rFonts w:ascii="Arial Narrow" w:hAnsi="Arial Narrow"/>
          <w:szCs w:val="18"/>
        </w:rPr>
      </w:pPr>
      <w:r w:rsidRPr="00DF20F8">
        <w:rPr>
          <w:rFonts w:ascii="Arial Narrow" w:hAnsi="Arial Narrow"/>
          <w:szCs w:val="18"/>
          <w:vertAlign w:val="superscript"/>
        </w:rPr>
        <w:t>2</w:t>
      </w:r>
      <w:r w:rsidRPr="00DF20F8">
        <w:rPr>
          <w:rFonts w:ascii="Arial Narrow" w:hAnsi="Arial Narrow"/>
          <w:szCs w:val="18"/>
        </w:rPr>
        <w:t>3 year and 5 year follow up OS data sourced from Gopal (2015) and Chen (2016).</w:t>
      </w:r>
    </w:p>
    <w:p w:rsidR="00CC3220" w:rsidRPr="00DF20F8" w:rsidRDefault="00CC3220" w:rsidP="009C0DF6">
      <w:pPr>
        <w:spacing w:before="0" w:after="0"/>
        <w:rPr>
          <w:rFonts w:ascii="Arial Narrow" w:hAnsi="Arial Narrow"/>
          <w:sz w:val="18"/>
          <w:szCs w:val="18"/>
        </w:rPr>
      </w:pPr>
      <w:r w:rsidRPr="00DF20F8">
        <w:rPr>
          <w:rFonts w:ascii="Arial Narrow" w:hAnsi="Arial Narrow"/>
          <w:sz w:val="18"/>
          <w:szCs w:val="18"/>
        </w:rPr>
        <w:t>CRR = complete response rate; ORR = objective response rate (CR+PR); NE = not estimable (not reached); OS = overall survival; PFS = progression free survival.</w:t>
      </w:r>
    </w:p>
    <w:p w:rsidR="00CC3220" w:rsidRPr="00467B12" w:rsidRDefault="00CC3220" w:rsidP="009C0DF6">
      <w:pPr>
        <w:spacing w:before="0" w:after="120"/>
        <w:rPr>
          <w:i/>
        </w:rPr>
      </w:pPr>
      <w:r w:rsidRPr="00DF20F8">
        <w:rPr>
          <w:rFonts w:ascii="Arial Narrow" w:hAnsi="Arial Narrow"/>
          <w:sz w:val="18"/>
          <w:szCs w:val="18"/>
        </w:rPr>
        <w:t xml:space="preserve">Sources: </w:t>
      </w:r>
      <w:proofErr w:type="spellStart"/>
      <w:r w:rsidRPr="00DF20F8">
        <w:rPr>
          <w:rFonts w:ascii="Arial Narrow" w:hAnsi="Arial Narrow"/>
          <w:sz w:val="18"/>
          <w:szCs w:val="18"/>
        </w:rPr>
        <w:t>Younes</w:t>
      </w:r>
      <w:proofErr w:type="spellEnd"/>
      <w:r w:rsidRPr="00DF20F8">
        <w:rPr>
          <w:rFonts w:ascii="Arial Narrow" w:hAnsi="Arial Narrow"/>
          <w:sz w:val="18"/>
          <w:szCs w:val="18"/>
        </w:rPr>
        <w:t xml:space="preserve"> (2012), Gopal (2015), Chen (2016) and Section 2A of the main submission</w:t>
      </w:r>
    </w:p>
    <w:p w:rsidR="00CC3220" w:rsidRPr="00EE7A16" w:rsidRDefault="00CC3220" w:rsidP="009C0DF6">
      <w:pPr>
        <w:pStyle w:val="ListParagraph"/>
        <w:numPr>
          <w:ilvl w:val="1"/>
          <w:numId w:val="3"/>
        </w:numPr>
        <w:spacing w:before="0" w:after="120"/>
      </w:pPr>
      <w:r w:rsidRPr="00EE7A16">
        <w:t xml:space="preserve">Data for salvage </w:t>
      </w:r>
      <w:r w:rsidR="00A913E1">
        <w:t>chemo</w:t>
      </w:r>
      <w:r w:rsidRPr="00EE7A16">
        <w:t xml:space="preserve">therapy from </w:t>
      </w:r>
      <w:proofErr w:type="spellStart"/>
      <w:r w:rsidRPr="00EE7A16">
        <w:t>C</w:t>
      </w:r>
      <w:r w:rsidR="00D46580">
        <w:t>zy</w:t>
      </w:r>
      <w:r w:rsidRPr="00EE7A16">
        <w:t>z</w:t>
      </w:r>
      <w:proofErr w:type="spellEnd"/>
      <w:r w:rsidRPr="00EE7A16">
        <w:t xml:space="preserve"> 2013 were not used in the economic evaluation.  In </w:t>
      </w:r>
      <w:proofErr w:type="spellStart"/>
      <w:r w:rsidRPr="00EE7A16">
        <w:t>C</w:t>
      </w:r>
      <w:r w:rsidR="00D46580">
        <w:t>zy</w:t>
      </w:r>
      <w:r w:rsidRPr="00EE7A16">
        <w:t>z</w:t>
      </w:r>
      <w:proofErr w:type="spellEnd"/>
      <w:r w:rsidRPr="00EE7A16">
        <w:t xml:space="preserve"> 2013, patients had failed ASCT and the publication did not discuss whether patients were also previously exposed to BV before enrolment.</w:t>
      </w:r>
    </w:p>
    <w:p w:rsidR="00CC3220" w:rsidRPr="00EE7A16" w:rsidRDefault="00CC3220" w:rsidP="00262141">
      <w:pPr>
        <w:pStyle w:val="ListParagraph"/>
        <w:numPr>
          <w:ilvl w:val="0"/>
          <w:numId w:val="9"/>
        </w:numPr>
        <w:spacing w:before="0" w:after="120"/>
      </w:pPr>
      <w:r w:rsidRPr="00EE7A16">
        <w:t>For a median follow-up time among surviving patients of 26.4 months, the 2-year and 3-year OS rates for all patients were 36% (95% CI:</w:t>
      </w:r>
      <w:r w:rsidR="00BB2184">
        <w:t xml:space="preserve"> </w:t>
      </w:r>
      <w:r w:rsidRPr="00EE7A16">
        <w:t>19%, 53%) and 30% (95% CI:</w:t>
      </w:r>
      <w:r w:rsidR="00BB2184">
        <w:t xml:space="preserve"> </w:t>
      </w:r>
      <w:r w:rsidRPr="00EE7A16">
        <w:t xml:space="preserve">13%, 48%), respectively; </w:t>
      </w:r>
    </w:p>
    <w:p w:rsidR="00CC3220" w:rsidRPr="00CF3E16" w:rsidRDefault="00CC3220" w:rsidP="00262141">
      <w:pPr>
        <w:pStyle w:val="ListParagraph"/>
        <w:numPr>
          <w:ilvl w:val="0"/>
          <w:numId w:val="9"/>
        </w:numPr>
        <w:spacing w:before="0" w:after="120"/>
      </w:pPr>
      <w:r w:rsidRPr="00CF3E16">
        <w:t xml:space="preserve">Median OS and PFS times were 17 months and 8 months, respectively (confidence interval not reported). </w:t>
      </w:r>
      <w:r w:rsidR="00EB44DD">
        <w:t xml:space="preserve"> </w:t>
      </w:r>
      <w:r w:rsidRPr="00CF3E16">
        <w:t>The estimated 2-year PFS rate was 25% (95% CI: 11%, 40%); and</w:t>
      </w:r>
    </w:p>
    <w:p w:rsidR="00CC3220" w:rsidRDefault="00CC3220" w:rsidP="00262141">
      <w:pPr>
        <w:pStyle w:val="ListParagraph"/>
        <w:numPr>
          <w:ilvl w:val="0"/>
          <w:numId w:val="9"/>
        </w:numPr>
        <w:spacing w:before="0" w:after="120"/>
      </w:pPr>
      <w:r w:rsidRPr="00CF3E16">
        <w:t xml:space="preserve">Complete response rate and objective response rate were approximately 10% and 60%, respectively.  The combination of gemcitabine, cisplatin, and steroid appeared to be associated with higher response rates compared with </w:t>
      </w:r>
      <w:r w:rsidRPr="002E76C3">
        <w:t xml:space="preserve">gemcitabine plus </w:t>
      </w:r>
      <w:proofErr w:type="spellStart"/>
      <w:r w:rsidRPr="002E76C3">
        <w:t>vinorelbine</w:t>
      </w:r>
      <w:proofErr w:type="spellEnd"/>
      <w:r w:rsidRPr="002E76C3">
        <w:t>.</w:t>
      </w:r>
    </w:p>
    <w:p w:rsidR="00350F2F" w:rsidRPr="00262141" w:rsidRDefault="00872DC1" w:rsidP="009C0DF6">
      <w:pPr>
        <w:pStyle w:val="ListParagraph"/>
        <w:numPr>
          <w:ilvl w:val="1"/>
          <w:numId w:val="3"/>
        </w:numPr>
      </w:pPr>
      <w:r w:rsidRPr="00262141">
        <w:t xml:space="preserve">In addition to the immaturity of the clinical evidence presented and the inherent bias of </w:t>
      </w:r>
      <w:r w:rsidR="0049390F">
        <w:t xml:space="preserve">the </w:t>
      </w:r>
      <w:r w:rsidRPr="00262141">
        <w:t>comparisons</w:t>
      </w:r>
      <w:r w:rsidR="0049390F">
        <w:t xml:space="preserve"> across single-</w:t>
      </w:r>
      <w:r w:rsidR="0049390F" w:rsidRPr="00262141">
        <w:t>arm</w:t>
      </w:r>
      <w:r w:rsidR="0049390F">
        <w:t xml:space="preserve"> studies</w:t>
      </w:r>
      <w:r w:rsidRPr="00262141">
        <w:t xml:space="preserve">, the ESC considered that </w:t>
      </w:r>
      <w:r w:rsidR="00350F2F" w:rsidRPr="00262141">
        <w:t xml:space="preserve">the claim of clinical superiority was not supported by the response outcomes in the naïve indirect comparison (CR 24% vs 34% (KN087 vs 0003); ORR 69% vs 75% (KN087 vs 003)) and OS data for </w:t>
      </w:r>
      <w:proofErr w:type="spellStart"/>
      <w:r w:rsidR="00350F2F" w:rsidRPr="00262141">
        <w:t>pembrolizumab</w:t>
      </w:r>
      <w:proofErr w:type="spellEnd"/>
      <w:r w:rsidR="00350F2F" w:rsidRPr="00262141">
        <w:t xml:space="preserve"> was immature (OS</w:t>
      </w:r>
      <w:r w:rsidR="00782A4C" w:rsidRPr="00262141">
        <w:t xml:space="preserve"> at 12 months</w:t>
      </w:r>
      <w:r w:rsidR="00350F2F" w:rsidRPr="00262141">
        <w:t xml:space="preserve"> 97.6% vs 89% (KN087 vs 0003)). The ESC further considered that</w:t>
      </w:r>
      <w:r w:rsidR="00963C3A" w:rsidRPr="00262141">
        <w:t>,</w:t>
      </w:r>
      <w:r w:rsidR="00350F2F" w:rsidRPr="00262141">
        <w:t xml:space="preserve"> although an ORR of 69% in patients with relapsed, refractory disease was promising in a population most of whom were pre-treated with BV, the comparative effectiveness of </w:t>
      </w:r>
      <w:proofErr w:type="spellStart"/>
      <w:r w:rsidR="00350F2F" w:rsidRPr="00262141">
        <w:t>pembrolizumab</w:t>
      </w:r>
      <w:proofErr w:type="spellEnd"/>
      <w:r w:rsidR="00350F2F" w:rsidRPr="00262141">
        <w:t xml:space="preserve"> was difficult to determine. </w:t>
      </w:r>
    </w:p>
    <w:p w:rsidR="00CC3220" w:rsidRPr="002E76C3" w:rsidRDefault="00CC3220" w:rsidP="009C0DF6">
      <w:pPr>
        <w:pStyle w:val="Heading2"/>
      </w:pPr>
      <w:bookmarkStart w:id="14" w:name="_Toc413139279"/>
      <w:bookmarkStart w:id="15" w:name="_Toc482711244"/>
      <w:r w:rsidRPr="002E76C3">
        <w:t>Comparative harms</w:t>
      </w:r>
      <w:bookmarkEnd w:id="14"/>
      <w:bookmarkEnd w:id="15"/>
    </w:p>
    <w:p w:rsidR="00976F32" w:rsidRPr="00976F32" w:rsidRDefault="00CC3220" w:rsidP="009C0DF6">
      <w:pPr>
        <w:pStyle w:val="ListParagraph"/>
        <w:numPr>
          <w:ilvl w:val="1"/>
          <w:numId w:val="3"/>
        </w:numPr>
        <w:spacing w:before="0" w:after="120"/>
      </w:pPr>
      <w:r w:rsidRPr="002E76C3">
        <w:t xml:space="preserve">In the </w:t>
      </w:r>
      <w:proofErr w:type="spellStart"/>
      <w:r w:rsidRPr="002E76C3">
        <w:t>pembrolizumab</w:t>
      </w:r>
      <w:proofErr w:type="spellEnd"/>
      <w:r w:rsidRPr="002E76C3">
        <w:t xml:space="preserve"> study KN087, the majority of patients experienced an adverse event (AE) with </w:t>
      </w:r>
      <w:r w:rsidR="004C0D65" w:rsidRPr="002E76C3">
        <w:t>nearly 75%</w:t>
      </w:r>
      <w:r w:rsidRPr="002E76C3">
        <w:t xml:space="preserve"> </w:t>
      </w:r>
      <w:r w:rsidR="004C0D65" w:rsidRPr="002E76C3">
        <w:t xml:space="preserve">of these events </w:t>
      </w:r>
      <w:r w:rsidRPr="002E76C3">
        <w:t xml:space="preserve">being considered to be related to </w:t>
      </w:r>
      <w:proofErr w:type="spellStart"/>
      <w:r w:rsidRPr="002E76C3">
        <w:t>pembrolizumab</w:t>
      </w:r>
      <w:proofErr w:type="spellEnd"/>
      <w:r>
        <w:t xml:space="preserve">. </w:t>
      </w:r>
      <w:r w:rsidR="00EB44DD">
        <w:t xml:space="preserve"> </w:t>
      </w:r>
      <w:r>
        <w:t xml:space="preserve">The frequency of serious AEs was approximately 16% with a slightly lower rate (11%) of Grade </w:t>
      </w:r>
      <w:r w:rsidR="00EB44DD">
        <w:t>≥</w:t>
      </w:r>
      <w:r>
        <w:t xml:space="preserve">3 AEs. Grade </w:t>
      </w:r>
      <w:r w:rsidRPr="001F554B">
        <w:t>3-5 myocarditis was approximately 3% in Cohort 1 but only 1% in the whole KN087 population.  Other immune-mediated AEs occurred with low frequencies</w:t>
      </w:r>
      <w:r w:rsidR="007D674A">
        <w:t>.</w:t>
      </w:r>
      <w:r w:rsidRPr="001F554B">
        <w:t xml:space="preserve"> </w:t>
      </w:r>
      <w:r w:rsidR="00963C3A">
        <w:t xml:space="preserve"> </w:t>
      </w:r>
      <w:r>
        <w:t>Nine</w:t>
      </w:r>
      <w:r w:rsidRPr="001F554B">
        <w:t xml:space="preserve"> patients (9/210 = 4.3%) discontinued as a result of a drug-related AE.  The most common reason for discontinuation was pneumonitis, which lead to treatment discontinuation in 4 of the 6 </w:t>
      </w:r>
      <w:r w:rsidR="004C0D65">
        <w:t xml:space="preserve">affected </w:t>
      </w:r>
      <w:r w:rsidRPr="001F554B">
        <w:t>patients.</w:t>
      </w:r>
      <w:r>
        <w:t xml:space="preserve"> </w:t>
      </w:r>
      <w:r w:rsidRPr="00CF5D69">
        <w:t>Hypothyroidism was the most common AE</w:t>
      </w:r>
      <w:r w:rsidR="004C0D65">
        <w:t>, occurring in</w:t>
      </w:r>
      <w:r w:rsidRPr="00CF5D69">
        <w:t xml:space="preserve"> approximately 17% </w:t>
      </w:r>
      <w:r w:rsidR="004C0D65">
        <w:t xml:space="preserve">of patients </w:t>
      </w:r>
      <w:r w:rsidRPr="00CF5D69">
        <w:t xml:space="preserve">in Cohort 3 and 12% </w:t>
      </w:r>
      <w:r w:rsidR="004C0D65">
        <w:t xml:space="preserve">of patients </w:t>
      </w:r>
      <w:r w:rsidRPr="00CF5D69">
        <w:t>across all cohorts.</w:t>
      </w:r>
    </w:p>
    <w:p w:rsidR="00CC3220" w:rsidRPr="00262141" w:rsidRDefault="00A14BA2" w:rsidP="009C0DF6">
      <w:pPr>
        <w:pStyle w:val="ListParagraph"/>
        <w:numPr>
          <w:ilvl w:val="1"/>
          <w:numId w:val="3"/>
        </w:numPr>
        <w:spacing w:before="0" w:after="120"/>
      </w:pPr>
      <w:r w:rsidRPr="00262141">
        <w:t xml:space="preserve">The ESC advised that these AEs were not uncommon in this clinical setting and </w:t>
      </w:r>
      <w:r w:rsidR="0083374B" w:rsidRPr="00262141">
        <w:t xml:space="preserve">the clinical need should be considered </w:t>
      </w:r>
      <w:r w:rsidR="00BB2184">
        <w:t>from</w:t>
      </w:r>
      <w:r w:rsidR="0083374B" w:rsidRPr="00262141">
        <w:t xml:space="preserve"> this perspective</w:t>
      </w:r>
      <w:r w:rsidR="00963C3A" w:rsidRPr="00262141">
        <w:t>.</w:t>
      </w:r>
    </w:p>
    <w:p w:rsidR="00175B20" w:rsidRDefault="00175B20" w:rsidP="00175B20">
      <w:pPr>
        <w:pStyle w:val="Caption"/>
      </w:pPr>
      <w:r>
        <w:t xml:space="preserve">Table </w:t>
      </w:r>
      <w:r>
        <w:rPr>
          <w:noProof/>
        </w:rPr>
        <w:t>6</w:t>
      </w:r>
      <w:r w:rsidRPr="00FB17AB">
        <w:t xml:space="preserve">: KN087 – </w:t>
      </w:r>
      <w:proofErr w:type="spellStart"/>
      <w:r w:rsidRPr="00FB17AB">
        <w:t>Pembrolizumab</w:t>
      </w:r>
      <w:proofErr w:type="spellEnd"/>
      <w:r w:rsidRPr="00FB17AB">
        <w:t xml:space="preserve"> 200mg fixed dose AE summary by cohort (</w:t>
      </w:r>
      <w:proofErr w:type="spellStart"/>
      <w:proofErr w:type="gramStart"/>
      <w:r w:rsidRPr="00FB17AB">
        <w:t>ASaT</w:t>
      </w:r>
      <w:proofErr w:type="spellEnd"/>
      <w:proofErr w:type="gramEnd"/>
      <w:r w:rsidRPr="00FB17AB">
        <w:t xml:space="preserve"> population)</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N087 – Pembrolizumab 200mg fixed dose AE summary by cohort (ASaT population)"/>
      </w:tblPr>
      <w:tblGrid>
        <w:gridCol w:w="4077"/>
        <w:gridCol w:w="567"/>
        <w:gridCol w:w="710"/>
        <w:gridCol w:w="510"/>
        <w:gridCol w:w="765"/>
        <w:gridCol w:w="542"/>
        <w:gridCol w:w="749"/>
        <w:gridCol w:w="579"/>
        <w:gridCol w:w="743"/>
      </w:tblGrid>
      <w:tr w:rsidR="00CC3220" w:rsidRPr="00DE0D42" w:rsidTr="00AC5AFB">
        <w:trPr>
          <w:tblHeader/>
        </w:trPr>
        <w:tc>
          <w:tcPr>
            <w:tcW w:w="2206" w:type="pct"/>
          </w:tcPr>
          <w:p w:rsidR="00CC3220" w:rsidRPr="00222960" w:rsidRDefault="00CC3220" w:rsidP="009C0DF6">
            <w:pPr>
              <w:keepNext/>
              <w:spacing w:before="0"/>
              <w:rPr>
                <w:rFonts w:ascii="Arial Narrow" w:hAnsi="Arial Narrow"/>
                <w:b/>
                <w:sz w:val="20"/>
                <w:szCs w:val="20"/>
                <w:lang w:val="en-US"/>
              </w:rPr>
            </w:pPr>
          </w:p>
        </w:tc>
        <w:tc>
          <w:tcPr>
            <w:tcW w:w="691" w:type="pct"/>
            <w:gridSpan w:val="2"/>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COHORT 1</w:t>
            </w:r>
          </w:p>
        </w:tc>
        <w:tc>
          <w:tcPr>
            <w:tcW w:w="690" w:type="pct"/>
            <w:gridSpan w:val="2"/>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COHORT 2</w:t>
            </w:r>
          </w:p>
        </w:tc>
        <w:tc>
          <w:tcPr>
            <w:tcW w:w="698" w:type="pct"/>
            <w:gridSpan w:val="2"/>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COHORT 3</w:t>
            </w:r>
          </w:p>
        </w:tc>
        <w:tc>
          <w:tcPr>
            <w:tcW w:w="715" w:type="pct"/>
            <w:gridSpan w:val="2"/>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Total</w:t>
            </w:r>
          </w:p>
        </w:tc>
      </w:tr>
      <w:tr w:rsidR="00CC3220" w:rsidRPr="00DE0D42" w:rsidTr="00BB2184">
        <w:tc>
          <w:tcPr>
            <w:tcW w:w="2206" w:type="pct"/>
          </w:tcPr>
          <w:p w:rsidR="00CC3220" w:rsidRPr="00222960" w:rsidRDefault="00CC3220" w:rsidP="009C0DF6">
            <w:pPr>
              <w:keepNext/>
              <w:spacing w:before="0"/>
              <w:rPr>
                <w:rFonts w:ascii="Arial Narrow" w:hAnsi="Arial Narrow"/>
                <w:b/>
                <w:sz w:val="20"/>
                <w:szCs w:val="20"/>
                <w:lang w:val="en-US"/>
              </w:rPr>
            </w:pPr>
          </w:p>
        </w:tc>
        <w:tc>
          <w:tcPr>
            <w:tcW w:w="307" w:type="pct"/>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n</w:t>
            </w:r>
          </w:p>
        </w:tc>
        <w:tc>
          <w:tcPr>
            <w:tcW w:w="384" w:type="pct"/>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w:t>
            </w:r>
          </w:p>
        </w:tc>
        <w:tc>
          <w:tcPr>
            <w:tcW w:w="276" w:type="pct"/>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n</w:t>
            </w:r>
          </w:p>
        </w:tc>
        <w:tc>
          <w:tcPr>
            <w:tcW w:w="414" w:type="pct"/>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w:t>
            </w:r>
          </w:p>
        </w:tc>
        <w:tc>
          <w:tcPr>
            <w:tcW w:w="293" w:type="pct"/>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n</w:t>
            </w:r>
          </w:p>
        </w:tc>
        <w:tc>
          <w:tcPr>
            <w:tcW w:w="405" w:type="pct"/>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w:t>
            </w:r>
          </w:p>
        </w:tc>
        <w:tc>
          <w:tcPr>
            <w:tcW w:w="313" w:type="pct"/>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n</w:t>
            </w:r>
          </w:p>
        </w:tc>
        <w:tc>
          <w:tcPr>
            <w:tcW w:w="402" w:type="pct"/>
          </w:tcPr>
          <w:p w:rsidR="00CC3220" w:rsidRPr="00222960" w:rsidRDefault="00CC3220" w:rsidP="009C0DF6">
            <w:pPr>
              <w:keepNext/>
              <w:spacing w:before="0"/>
              <w:jc w:val="center"/>
              <w:rPr>
                <w:rFonts w:ascii="Arial Narrow" w:hAnsi="Arial Narrow"/>
                <w:b/>
                <w:sz w:val="20"/>
                <w:szCs w:val="20"/>
                <w:lang w:val="en-US"/>
              </w:rPr>
            </w:pPr>
            <w:r w:rsidRPr="00DE0D42">
              <w:rPr>
                <w:rFonts w:ascii="Arial Narrow" w:hAnsi="Arial Narrow"/>
                <w:b/>
                <w:sz w:val="20"/>
                <w:szCs w:val="20"/>
                <w:lang w:val="en-US"/>
              </w:rPr>
              <w:t>(%)</w:t>
            </w:r>
          </w:p>
        </w:tc>
      </w:tr>
      <w:tr w:rsidR="00CC3220" w:rsidRPr="00DE0D42" w:rsidTr="00BB2184">
        <w:tc>
          <w:tcPr>
            <w:tcW w:w="2206" w:type="pct"/>
          </w:tcPr>
          <w:p w:rsidR="00CC3220" w:rsidRPr="00222960" w:rsidRDefault="00CC3220" w:rsidP="009C0DF6">
            <w:pPr>
              <w:keepNext/>
              <w:spacing w:before="0"/>
              <w:rPr>
                <w:rFonts w:ascii="Arial Narrow" w:hAnsi="Arial Narrow"/>
                <w:sz w:val="20"/>
                <w:szCs w:val="20"/>
                <w:lang w:val="en-US"/>
              </w:rPr>
            </w:pPr>
            <w:r w:rsidRPr="00DE0D42">
              <w:rPr>
                <w:rFonts w:ascii="Arial Narrow" w:hAnsi="Arial Narrow"/>
                <w:sz w:val="20"/>
                <w:szCs w:val="20"/>
                <w:lang w:val="en-US"/>
              </w:rPr>
              <w:t xml:space="preserve">Subjects in population                                                         </w:t>
            </w:r>
          </w:p>
        </w:tc>
        <w:tc>
          <w:tcPr>
            <w:tcW w:w="307" w:type="pct"/>
          </w:tcPr>
          <w:p w:rsidR="00CC3220" w:rsidRPr="00222960" w:rsidRDefault="00CC3220" w:rsidP="009C0DF6">
            <w:pPr>
              <w:keepNext/>
              <w:spacing w:before="0"/>
              <w:jc w:val="center"/>
              <w:rPr>
                <w:rFonts w:ascii="Arial Narrow" w:hAnsi="Arial Narrow"/>
                <w:sz w:val="20"/>
                <w:szCs w:val="20"/>
                <w:lang w:val="en-US"/>
              </w:rPr>
            </w:pPr>
            <w:r w:rsidRPr="00DE0D42">
              <w:rPr>
                <w:rFonts w:ascii="Arial Narrow" w:hAnsi="Arial Narrow"/>
                <w:sz w:val="20"/>
                <w:szCs w:val="20"/>
                <w:lang w:val="en-US"/>
              </w:rPr>
              <w:t>69</w:t>
            </w:r>
          </w:p>
        </w:tc>
        <w:tc>
          <w:tcPr>
            <w:tcW w:w="384" w:type="pct"/>
          </w:tcPr>
          <w:p w:rsidR="00CC3220" w:rsidRPr="00222960" w:rsidRDefault="00CC3220" w:rsidP="009C0DF6">
            <w:pPr>
              <w:keepNext/>
              <w:spacing w:before="0"/>
              <w:jc w:val="center"/>
              <w:rPr>
                <w:rFonts w:ascii="Arial Narrow" w:hAnsi="Arial Narrow"/>
                <w:sz w:val="20"/>
                <w:szCs w:val="20"/>
                <w:lang w:val="en-US"/>
              </w:rPr>
            </w:pPr>
          </w:p>
        </w:tc>
        <w:tc>
          <w:tcPr>
            <w:tcW w:w="276" w:type="pct"/>
          </w:tcPr>
          <w:p w:rsidR="00CC3220" w:rsidRPr="00222960" w:rsidRDefault="00CC3220" w:rsidP="009C0DF6">
            <w:pPr>
              <w:keepNext/>
              <w:spacing w:before="0"/>
              <w:jc w:val="center"/>
              <w:rPr>
                <w:rFonts w:ascii="Arial Narrow" w:hAnsi="Arial Narrow"/>
                <w:sz w:val="20"/>
                <w:szCs w:val="20"/>
                <w:lang w:val="en-US"/>
              </w:rPr>
            </w:pPr>
            <w:r w:rsidRPr="00DE0D42">
              <w:rPr>
                <w:rFonts w:ascii="Arial Narrow" w:hAnsi="Arial Narrow"/>
                <w:sz w:val="20"/>
                <w:szCs w:val="20"/>
                <w:lang w:val="en-US"/>
              </w:rPr>
              <w:t>8</w:t>
            </w:r>
            <w:r w:rsidRPr="00DE0D42">
              <w:rPr>
                <w:rFonts w:ascii="Arial Narrow" w:hAnsi="Arial Narrow"/>
                <w:sz w:val="20"/>
                <w:szCs w:val="20"/>
              </w:rPr>
              <w:t>1</w:t>
            </w:r>
          </w:p>
        </w:tc>
        <w:tc>
          <w:tcPr>
            <w:tcW w:w="414" w:type="pct"/>
          </w:tcPr>
          <w:p w:rsidR="00CC3220" w:rsidRPr="00222960" w:rsidRDefault="00CC3220" w:rsidP="009C0DF6">
            <w:pPr>
              <w:keepNext/>
              <w:spacing w:before="0"/>
              <w:jc w:val="center"/>
              <w:rPr>
                <w:rFonts w:ascii="Arial Narrow" w:hAnsi="Arial Narrow"/>
                <w:sz w:val="20"/>
                <w:szCs w:val="20"/>
                <w:lang w:val="en-US"/>
              </w:rPr>
            </w:pPr>
          </w:p>
        </w:tc>
        <w:tc>
          <w:tcPr>
            <w:tcW w:w="293" w:type="pct"/>
          </w:tcPr>
          <w:p w:rsidR="00CC3220" w:rsidRPr="00222960" w:rsidRDefault="00CC3220" w:rsidP="009C0DF6">
            <w:pPr>
              <w:keepNext/>
              <w:spacing w:before="0"/>
              <w:jc w:val="center"/>
              <w:rPr>
                <w:rFonts w:ascii="Arial Narrow" w:hAnsi="Arial Narrow"/>
                <w:sz w:val="20"/>
                <w:szCs w:val="20"/>
                <w:lang w:val="en-US"/>
              </w:rPr>
            </w:pPr>
            <w:r w:rsidRPr="00DE0D42">
              <w:rPr>
                <w:rFonts w:ascii="Arial Narrow" w:hAnsi="Arial Narrow"/>
                <w:sz w:val="20"/>
                <w:szCs w:val="20"/>
                <w:lang w:val="en-US"/>
              </w:rPr>
              <w:t>60</w:t>
            </w:r>
          </w:p>
        </w:tc>
        <w:tc>
          <w:tcPr>
            <w:tcW w:w="405" w:type="pct"/>
          </w:tcPr>
          <w:p w:rsidR="00CC3220" w:rsidRPr="00222960" w:rsidRDefault="00CC3220" w:rsidP="009C0DF6">
            <w:pPr>
              <w:keepNext/>
              <w:spacing w:before="0"/>
              <w:jc w:val="center"/>
              <w:rPr>
                <w:rFonts w:ascii="Arial Narrow" w:hAnsi="Arial Narrow"/>
                <w:sz w:val="20"/>
                <w:szCs w:val="20"/>
                <w:lang w:val="en-US"/>
              </w:rPr>
            </w:pPr>
          </w:p>
        </w:tc>
        <w:tc>
          <w:tcPr>
            <w:tcW w:w="313" w:type="pct"/>
          </w:tcPr>
          <w:p w:rsidR="00CC3220" w:rsidRPr="00222960" w:rsidRDefault="00CC3220" w:rsidP="009C0DF6">
            <w:pPr>
              <w:keepNext/>
              <w:spacing w:before="0"/>
              <w:jc w:val="center"/>
              <w:rPr>
                <w:rFonts w:ascii="Arial Narrow" w:hAnsi="Arial Narrow"/>
                <w:sz w:val="20"/>
                <w:szCs w:val="20"/>
                <w:lang w:val="en-US"/>
              </w:rPr>
            </w:pPr>
            <w:r w:rsidRPr="00DE0D42">
              <w:rPr>
                <w:rFonts w:ascii="Arial Narrow" w:hAnsi="Arial Narrow"/>
                <w:sz w:val="20"/>
                <w:szCs w:val="20"/>
                <w:lang w:val="en-US"/>
              </w:rPr>
              <w:t>210</w:t>
            </w:r>
          </w:p>
        </w:tc>
        <w:tc>
          <w:tcPr>
            <w:tcW w:w="402" w:type="pct"/>
          </w:tcPr>
          <w:p w:rsidR="00CC3220" w:rsidRPr="00222960" w:rsidRDefault="00CC3220" w:rsidP="009C0DF6">
            <w:pPr>
              <w:keepNext/>
              <w:spacing w:before="0"/>
              <w:jc w:val="center"/>
              <w:rPr>
                <w:rFonts w:ascii="Arial Narrow" w:hAnsi="Arial Narrow"/>
                <w:sz w:val="20"/>
                <w:szCs w:val="20"/>
                <w:lang w:val="en-US"/>
              </w:rPr>
            </w:pPr>
          </w:p>
        </w:tc>
      </w:tr>
      <w:tr w:rsidR="00CC3220" w:rsidRPr="00DE0D42" w:rsidTr="00BB2184">
        <w:tc>
          <w:tcPr>
            <w:tcW w:w="2206" w:type="pct"/>
          </w:tcPr>
          <w:p w:rsidR="00CC3220" w:rsidRPr="00222960" w:rsidRDefault="00CC3220" w:rsidP="009C0DF6">
            <w:pPr>
              <w:keepNext/>
              <w:spacing w:before="0"/>
              <w:rPr>
                <w:rFonts w:ascii="Arial Narrow" w:hAnsi="Arial Narrow"/>
                <w:sz w:val="20"/>
                <w:szCs w:val="20"/>
                <w:lang w:val="en-US"/>
              </w:rPr>
            </w:pPr>
            <w:r w:rsidRPr="00DE0D42">
              <w:rPr>
                <w:rFonts w:ascii="Arial Narrow" w:hAnsi="Arial Narrow"/>
                <w:sz w:val="20"/>
                <w:szCs w:val="20"/>
                <w:lang w:val="en-US"/>
              </w:rPr>
              <w:t xml:space="preserve">   with one or more AEs                                              </w:t>
            </w:r>
          </w:p>
        </w:tc>
        <w:tc>
          <w:tcPr>
            <w:tcW w:w="307"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8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76"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1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9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5"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1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2"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r>
      <w:tr w:rsidR="00CC3220" w:rsidRPr="00DE0D42" w:rsidTr="00BB2184">
        <w:tc>
          <w:tcPr>
            <w:tcW w:w="2206" w:type="pct"/>
          </w:tcPr>
          <w:p w:rsidR="00CC3220" w:rsidRPr="00222960" w:rsidRDefault="00CC3220" w:rsidP="009C0DF6">
            <w:pPr>
              <w:keepNext/>
              <w:spacing w:before="0"/>
              <w:rPr>
                <w:rFonts w:ascii="Arial Narrow" w:hAnsi="Arial Narrow"/>
                <w:sz w:val="20"/>
                <w:szCs w:val="20"/>
                <w:lang w:val="en-US"/>
              </w:rPr>
            </w:pPr>
            <w:r w:rsidRPr="00DE0D42">
              <w:rPr>
                <w:rFonts w:ascii="Arial Narrow" w:hAnsi="Arial Narrow"/>
                <w:sz w:val="20"/>
                <w:szCs w:val="20"/>
                <w:lang w:val="en-US"/>
              </w:rPr>
              <w:t xml:space="preserve">   with drug-related</w:t>
            </w:r>
            <w:r w:rsidRPr="00DE0D42">
              <w:rPr>
                <w:rFonts w:ascii="Arial Narrow" w:hAnsi="Arial Narrow"/>
                <w:sz w:val="20"/>
                <w:szCs w:val="20"/>
                <w:vertAlign w:val="superscript"/>
                <w:lang w:val="en-US"/>
              </w:rPr>
              <w:t>†</w:t>
            </w:r>
            <w:r w:rsidRPr="00DE0D42">
              <w:rPr>
                <w:rFonts w:ascii="Arial Narrow" w:hAnsi="Arial Narrow"/>
                <w:sz w:val="20"/>
                <w:szCs w:val="20"/>
                <w:lang w:val="en-US"/>
              </w:rPr>
              <w:t xml:space="preserve"> AEs                     </w:t>
            </w:r>
          </w:p>
        </w:tc>
        <w:tc>
          <w:tcPr>
            <w:tcW w:w="307"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38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76"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1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9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5"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1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2"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r>
      <w:tr w:rsidR="00CC3220" w:rsidRPr="00DE0D42" w:rsidTr="00BB2184">
        <w:tc>
          <w:tcPr>
            <w:tcW w:w="2206" w:type="pct"/>
          </w:tcPr>
          <w:p w:rsidR="00CC3220" w:rsidRPr="00222960" w:rsidRDefault="00CC3220" w:rsidP="009C0DF6">
            <w:pPr>
              <w:keepNext/>
              <w:spacing w:before="0"/>
              <w:rPr>
                <w:rFonts w:ascii="Arial Narrow" w:hAnsi="Arial Narrow"/>
                <w:sz w:val="20"/>
                <w:szCs w:val="20"/>
                <w:lang w:val="en-US"/>
              </w:rPr>
            </w:pPr>
            <w:r w:rsidRPr="00DE0D42">
              <w:rPr>
                <w:rFonts w:ascii="Arial Narrow" w:hAnsi="Arial Narrow"/>
                <w:sz w:val="20"/>
                <w:szCs w:val="20"/>
                <w:lang w:val="en-US"/>
              </w:rPr>
              <w:t xml:space="preserve">   with toxicity grade 3-5 drug-related AEs                          </w:t>
            </w:r>
          </w:p>
        </w:tc>
        <w:tc>
          <w:tcPr>
            <w:tcW w:w="307"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38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76"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1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9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05"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1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02"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r>
      <w:tr w:rsidR="00CC3220" w:rsidRPr="00DE0D42" w:rsidTr="00BB2184">
        <w:tc>
          <w:tcPr>
            <w:tcW w:w="2206" w:type="pct"/>
          </w:tcPr>
          <w:p w:rsidR="00CC3220" w:rsidRPr="00222960" w:rsidRDefault="00CC3220" w:rsidP="009C0DF6">
            <w:pPr>
              <w:keepNext/>
              <w:spacing w:before="0"/>
              <w:rPr>
                <w:rFonts w:ascii="Arial Narrow" w:hAnsi="Arial Narrow"/>
                <w:sz w:val="20"/>
                <w:szCs w:val="20"/>
                <w:lang w:val="en-US"/>
              </w:rPr>
            </w:pPr>
            <w:r w:rsidRPr="00DE0D42">
              <w:rPr>
                <w:rFonts w:ascii="Arial Narrow" w:hAnsi="Arial Narrow"/>
                <w:sz w:val="20"/>
                <w:szCs w:val="20"/>
                <w:lang w:val="en-US"/>
              </w:rPr>
              <w:t xml:space="preserve">   with serious AEs                                                  </w:t>
            </w:r>
          </w:p>
        </w:tc>
        <w:tc>
          <w:tcPr>
            <w:tcW w:w="307"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38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76"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1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9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05"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1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02"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r>
      <w:tr w:rsidR="00CC3220" w:rsidRPr="00DE0D42" w:rsidTr="00BB2184">
        <w:tc>
          <w:tcPr>
            <w:tcW w:w="2206" w:type="pct"/>
          </w:tcPr>
          <w:p w:rsidR="00CC3220" w:rsidRPr="00222960" w:rsidRDefault="00CC3220" w:rsidP="009C0DF6">
            <w:pPr>
              <w:keepNext/>
              <w:spacing w:before="0"/>
              <w:rPr>
                <w:rFonts w:ascii="Arial Narrow" w:hAnsi="Arial Narrow"/>
                <w:sz w:val="20"/>
                <w:szCs w:val="20"/>
                <w:lang w:val="en-US"/>
              </w:rPr>
            </w:pPr>
            <w:r w:rsidRPr="00DE0D42">
              <w:rPr>
                <w:rFonts w:ascii="Arial Narrow" w:hAnsi="Arial Narrow"/>
                <w:sz w:val="20"/>
                <w:szCs w:val="20"/>
                <w:lang w:val="en-US"/>
              </w:rPr>
              <w:t xml:space="preserve">   with serious drug-related AEs                                     </w:t>
            </w:r>
          </w:p>
        </w:tc>
        <w:tc>
          <w:tcPr>
            <w:tcW w:w="307"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8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76"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1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9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05"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1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02"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r>
      <w:tr w:rsidR="00CC3220" w:rsidRPr="00DE0D42" w:rsidTr="00BB2184">
        <w:tc>
          <w:tcPr>
            <w:tcW w:w="2206" w:type="pct"/>
          </w:tcPr>
          <w:p w:rsidR="00CC3220" w:rsidRPr="00222960" w:rsidRDefault="00CC3220" w:rsidP="009C0DF6">
            <w:pPr>
              <w:keepNext/>
              <w:spacing w:before="0"/>
              <w:rPr>
                <w:rFonts w:ascii="Arial Narrow" w:hAnsi="Arial Narrow"/>
                <w:sz w:val="20"/>
                <w:szCs w:val="20"/>
                <w:lang w:val="en-US"/>
              </w:rPr>
            </w:pPr>
            <w:r w:rsidRPr="00DE0D42">
              <w:rPr>
                <w:rFonts w:ascii="Arial Narrow" w:hAnsi="Arial Narrow"/>
                <w:sz w:val="20"/>
                <w:szCs w:val="20"/>
                <w:lang w:val="en-US"/>
              </w:rPr>
              <w:t xml:space="preserve">   who died                                                                     </w:t>
            </w:r>
          </w:p>
        </w:tc>
        <w:tc>
          <w:tcPr>
            <w:tcW w:w="307"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8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76"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1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9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5"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1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2"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r>
      <w:tr w:rsidR="00CC3220" w:rsidRPr="00DE0D42" w:rsidTr="00BB2184">
        <w:tc>
          <w:tcPr>
            <w:tcW w:w="2206" w:type="pct"/>
          </w:tcPr>
          <w:p w:rsidR="00CC3220" w:rsidRPr="00222960" w:rsidRDefault="00CC3220" w:rsidP="009C0DF6">
            <w:pPr>
              <w:keepNext/>
              <w:spacing w:before="0"/>
              <w:rPr>
                <w:rFonts w:ascii="Arial Narrow" w:hAnsi="Arial Narrow"/>
                <w:sz w:val="20"/>
                <w:szCs w:val="20"/>
                <w:lang w:val="en-US"/>
              </w:rPr>
            </w:pPr>
            <w:r w:rsidRPr="00DE0D42">
              <w:rPr>
                <w:rFonts w:ascii="Arial Narrow" w:hAnsi="Arial Narrow"/>
                <w:sz w:val="20"/>
                <w:szCs w:val="20"/>
                <w:lang w:val="en-US"/>
              </w:rPr>
              <w:t xml:space="preserve">   who died due to a drug-related </w:t>
            </w:r>
            <w:r w:rsidRPr="00DE0D42">
              <w:rPr>
                <w:rFonts w:ascii="Arial Narrow" w:hAnsi="Arial Narrow"/>
                <w:sz w:val="20"/>
                <w:szCs w:val="20"/>
              </w:rPr>
              <w:t>AE</w:t>
            </w:r>
          </w:p>
        </w:tc>
        <w:tc>
          <w:tcPr>
            <w:tcW w:w="307"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8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76"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1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9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5"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1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2"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r>
      <w:tr w:rsidR="00CC3220" w:rsidRPr="00DE0D42" w:rsidTr="00BB2184">
        <w:trPr>
          <w:trHeight w:val="198"/>
        </w:trPr>
        <w:tc>
          <w:tcPr>
            <w:tcW w:w="2206" w:type="pct"/>
          </w:tcPr>
          <w:p w:rsidR="00CC3220" w:rsidRPr="00222960" w:rsidRDefault="00CC3220" w:rsidP="009C0DF6">
            <w:pPr>
              <w:keepNext/>
              <w:spacing w:before="0"/>
              <w:rPr>
                <w:rFonts w:ascii="Arial Narrow" w:hAnsi="Arial Narrow"/>
                <w:sz w:val="20"/>
                <w:szCs w:val="20"/>
                <w:lang w:val="en-US"/>
              </w:rPr>
            </w:pPr>
            <w:r w:rsidRPr="00DE0D42">
              <w:rPr>
                <w:rFonts w:ascii="Arial Narrow" w:hAnsi="Arial Narrow"/>
                <w:sz w:val="20"/>
                <w:szCs w:val="20"/>
                <w:lang w:val="en-US"/>
              </w:rPr>
              <w:t xml:space="preserve">   discontinued due to a drug-related AE                             </w:t>
            </w:r>
          </w:p>
        </w:tc>
        <w:tc>
          <w:tcPr>
            <w:tcW w:w="307"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38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76"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1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9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5"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1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402"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r>
      <w:tr w:rsidR="00CC3220" w:rsidRPr="00DE0D42" w:rsidTr="00BB2184">
        <w:tc>
          <w:tcPr>
            <w:tcW w:w="2206" w:type="pct"/>
          </w:tcPr>
          <w:p w:rsidR="00CC3220" w:rsidRPr="00222960" w:rsidRDefault="00CC3220" w:rsidP="00BB2184">
            <w:pPr>
              <w:keepNext/>
              <w:spacing w:before="0"/>
              <w:rPr>
                <w:rFonts w:ascii="Arial Narrow" w:hAnsi="Arial Narrow"/>
                <w:sz w:val="20"/>
                <w:szCs w:val="20"/>
                <w:lang w:val="en-US"/>
              </w:rPr>
            </w:pPr>
            <w:r w:rsidRPr="00DE0D42">
              <w:rPr>
                <w:rFonts w:ascii="Arial Narrow" w:hAnsi="Arial Narrow"/>
                <w:sz w:val="20"/>
                <w:szCs w:val="20"/>
                <w:lang w:val="en-US"/>
              </w:rPr>
              <w:t xml:space="preserve">   discontinued due to a serious drug-related AE                     </w:t>
            </w:r>
          </w:p>
        </w:tc>
        <w:tc>
          <w:tcPr>
            <w:tcW w:w="307"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8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76"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14"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29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5"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313" w:type="pct"/>
          </w:tcPr>
          <w:p w:rsidR="00CC3220" w:rsidRPr="00222960" w:rsidRDefault="00222960" w:rsidP="009C0DF6">
            <w:pPr>
              <w:keepNext/>
              <w:spacing w:before="0"/>
              <w:jc w:val="center"/>
              <w:rPr>
                <w:rFonts w:ascii="Arial Narrow" w:hAnsi="Arial Narrow"/>
                <w:sz w:val="20"/>
                <w:szCs w:val="20"/>
                <w:highlight w:val="black"/>
                <w:lang w:val="en-US"/>
              </w:rPr>
            </w:pPr>
            <w:r>
              <w:rPr>
                <w:rFonts w:ascii="Arial Narrow" w:hAnsi="Arial Narrow"/>
                <w:noProof/>
                <w:color w:val="000000"/>
                <w:sz w:val="20"/>
                <w:szCs w:val="20"/>
                <w:highlight w:val="black"/>
                <w:lang w:val="en-US"/>
              </w:rPr>
              <w:t>''''</w:t>
            </w:r>
          </w:p>
        </w:tc>
        <w:tc>
          <w:tcPr>
            <w:tcW w:w="402" w:type="pct"/>
          </w:tcPr>
          <w:p w:rsidR="00CC3220" w:rsidRPr="00222960" w:rsidRDefault="00222960" w:rsidP="009C0DF6">
            <w:pPr>
              <w:keepNext/>
              <w:spacing w:before="0"/>
              <w:jc w:val="center"/>
              <w:rPr>
                <w:rFonts w:ascii="Arial Narrow" w:hAnsi="Arial Narrow"/>
                <w:sz w:val="20"/>
                <w:szCs w:val="20"/>
                <w:lang w:val="en-US"/>
              </w:rPr>
            </w:pPr>
            <w:r>
              <w:rPr>
                <w:rFonts w:ascii="Arial Narrow" w:eastAsia="Calibri" w:hAnsi="Arial Narrow" w:cs="Arial"/>
                <w:noProof/>
                <w:color w:val="000000"/>
                <w:sz w:val="20"/>
                <w:szCs w:val="20"/>
                <w:highlight w:val="black"/>
                <w:lang w:val="en-US"/>
              </w:rPr>
              <w:t>'''''''''''</w:t>
            </w:r>
          </w:p>
        </w:tc>
      </w:tr>
    </w:tbl>
    <w:p w:rsidR="00CC3220" w:rsidRPr="001E5279" w:rsidRDefault="00CC3220" w:rsidP="009C0DF6">
      <w:pPr>
        <w:pStyle w:val="TableFooter"/>
        <w:widowControl/>
      </w:pPr>
      <w:r w:rsidRPr="001E5279">
        <w:rPr>
          <w:lang w:val="en-US"/>
        </w:rPr>
        <w:t>(Database Cutoff Date: 2</w:t>
      </w:r>
      <w:r w:rsidRPr="001E5279">
        <w:t>5SEP</w:t>
      </w:r>
      <w:r w:rsidRPr="001E5279">
        <w:rPr>
          <w:lang w:val="en-US"/>
        </w:rPr>
        <w:t>2016).</w:t>
      </w:r>
    </w:p>
    <w:p w:rsidR="00CC3220" w:rsidRPr="001E5279" w:rsidRDefault="00CC3220" w:rsidP="009C0DF6">
      <w:pPr>
        <w:pStyle w:val="TableFooter"/>
        <w:widowControl/>
        <w:rPr>
          <w:lang w:val="en-US"/>
        </w:rPr>
      </w:pPr>
      <w:r w:rsidRPr="001E5279">
        <w:rPr>
          <w:vertAlign w:val="superscript"/>
          <w:lang w:val="en-US"/>
        </w:rPr>
        <w:t>†</w:t>
      </w:r>
      <w:r w:rsidRPr="001E5279">
        <w:rPr>
          <w:lang w:val="en-US"/>
        </w:rPr>
        <w:t xml:space="preserve"> Determined by the investigator to be related to the drug.</w:t>
      </w:r>
    </w:p>
    <w:p w:rsidR="00CC3220" w:rsidRPr="001E5279" w:rsidRDefault="00CC3220" w:rsidP="009C0DF6">
      <w:pPr>
        <w:pStyle w:val="TableFooter"/>
        <w:widowControl/>
        <w:rPr>
          <w:lang w:val="en-US"/>
        </w:rPr>
      </w:pPr>
      <w:r w:rsidRPr="001E5279">
        <w:rPr>
          <w:vertAlign w:val="superscript"/>
          <w:lang w:val="en-US"/>
        </w:rPr>
        <w:t xml:space="preserve"> ‡</w:t>
      </w:r>
      <w:r w:rsidRPr="001E5279">
        <w:rPr>
          <w:lang w:val="en-US"/>
        </w:rPr>
        <w:t xml:space="preserve"> Study medication withdrawn.</w:t>
      </w:r>
    </w:p>
    <w:p w:rsidR="00CC3220" w:rsidRPr="001E5279" w:rsidRDefault="00CC3220" w:rsidP="009C0DF6">
      <w:pPr>
        <w:pStyle w:val="TableFooter"/>
        <w:widowControl/>
        <w:rPr>
          <w:lang w:val="en-US"/>
        </w:rPr>
      </w:pPr>
      <w:r w:rsidRPr="001E5279">
        <w:rPr>
          <w:lang w:val="en-US"/>
        </w:rPr>
        <w:t>Grades are based on National Cancer Institute (NCI) Common Terminology Criteria for Adverse Events (CTCAE) version 4.0.</w:t>
      </w:r>
    </w:p>
    <w:p w:rsidR="00CC3220" w:rsidRPr="001E5279" w:rsidRDefault="00CC3220" w:rsidP="009C0DF6">
      <w:pPr>
        <w:pStyle w:val="TableFooter"/>
        <w:widowControl/>
        <w:rPr>
          <w:lang w:val="en-US"/>
        </w:rPr>
      </w:pPr>
      <w:r w:rsidRPr="001E5279">
        <w:rPr>
          <w:lang w:val="en-US"/>
        </w:rPr>
        <w:t xml:space="preserve">AEs = Adverse events. </w:t>
      </w:r>
      <w:proofErr w:type="spellStart"/>
      <w:proofErr w:type="gramStart"/>
      <w:r w:rsidRPr="001E5279">
        <w:rPr>
          <w:lang w:val="en-US"/>
        </w:rPr>
        <w:t>ASaT</w:t>
      </w:r>
      <w:proofErr w:type="spellEnd"/>
      <w:proofErr w:type="gramEnd"/>
      <w:r w:rsidRPr="001E5279">
        <w:rPr>
          <w:lang w:val="en-US"/>
        </w:rPr>
        <w:t xml:space="preserve"> = All </w:t>
      </w:r>
      <w:r>
        <w:rPr>
          <w:lang w:val="en-US"/>
        </w:rPr>
        <w:t>subject</w:t>
      </w:r>
      <w:r w:rsidRPr="001E5279">
        <w:rPr>
          <w:lang w:val="en-US"/>
        </w:rPr>
        <w:t>s as treated.</w:t>
      </w:r>
    </w:p>
    <w:p w:rsidR="00CC3220" w:rsidRPr="00A120D7" w:rsidRDefault="00CC3220" w:rsidP="009C0DF6">
      <w:pPr>
        <w:pStyle w:val="TableFooter"/>
        <w:widowControl/>
        <w:rPr>
          <w:lang w:val="en-US"/>
        </w:rPr>
      </w:pPr>
      <w:r w:rsidRPr="001E5279">
        <w:rPr>
          <w:lang w:val="en-US"/>
        </w:rPr>
        <w:t xml:space="preserve">Non-serious AEs up to </w:t>
      </w:r>
      <w:r w:rsidRPr="00A120D7">
        <w:rPr>
          <w:lang w:val="en-US"/>
        </w:rPr>
        <w:t xml:space="preserve">30 days of last dose and serious AEs up to 90 days of last dose are included. </w:t>
      </w:r>
      <w:proofErr w:type="spellStart"/>
      <w:r w:rsidRPr="00A120D7">
        <w:rPr>
          <w:lang w:val="en-US"/>
        </w:rPr>
        <w:t>MedDRA</w:t>
      </w:r>
      <w:proofErr w:type="spellEnd"/>
      <w:r w:rsidRPr="00A120D7">
        <w:rPr>
          <w:lang w:val="en-US"/>
        </w:rPr>
        <w:t xml:space="preserve"> preferred terms "Neoplasm progression", "Malignant neoplasm progression" and "Disease progression" not related to the drug are excluded.</w:t>
      </w:r>
    </w:p>
    <w:p w:rsidR="00CC3220" w:rsidRPr="00DD5145" w:rsidRDefault="00CC3220" w:rsidP="009C0DF6">
      <w:pPr>
        <w:pStyle w:val="TableFooter"/>
        <w:widowControl/>
      </w:pPr>
      <w:r w:rsidRPr="00A120D7">
        <w:rPr>
          <w:lang w:val="en-US"/>
        </w:rPr>
        <w:t xml:space="preserve">Source: </w:t>
      </w:r>
      <w:r w:rsidRPr="00A120D7">
        <w:t>Table 2A.5-13, p77 of the main submission</w:t>
      </w:r>
      <w:r w:rsidRPr="00DD5145">
        <w:t xml:space="preserve">. </w:t>
      </w:r>
    </w:p>
    <w:p w:rsidR="00CC3220" w:rsidRDefault="00CC3220" w:rsidP="009C0DF6">
      <w:pPr>
        <w:pStyle w:val="ListParagraph"/>
        <w:numPr>
          <w:ilvl w:val="1"/>
          <w:numId w:val="3"/>
        </w:numPr>
        <w:spacing w:before="0" w:after="120"/>
      </w:pPr>
      <w:r>
        <w:t xml:space="preserve">In the BV Study 0003, 14% and 6% of patients </w:t>
      </w:r>
      <w:r w:rsidRPr="002C7113">
        <w:t>experienced Grade 3 and Grade 4 neutropenia, respectively.  Additionally, 8% of patients had a Grade 3 peripheral neuropathy (PN).</w:t>
      </w:r>
    </w:p>
    <w:p w:rsidR="00CC3220" w:rsidRPr="00920F2D" w:rsidRDefault="00CC3220" w:rsidP="009C0DF6">
      <w:pPr>
        <w:pStyle w:val="ListParagraph"/>
        <w:numPr>
          <w:ilvl w:val="1"/>
          <w:numId w:val="3"/>
        </w:numPr>
        <w:spacing w:before="0" w:after="120"/>
      </w:pPr>
      <w:r w:rsidRPr="00920F2D">
        <w:t xml:space="preserve">In the </w:t>
      </w:r>
      <w:r w:rsidR="00A913E1">
        <w:t xml:space="preserve">salvage </w:t>
      </w:r>
      <w:r w:rsidRPr="00920F2D">
        <w:t xml:space="preserve">chemotherapy study </w:t>
      </w:r>
      <w:proofErr w:type="spellStart"/>
      <w:r w:rsidRPr="00920F2D">
        <w:t>Czyz</w:t>
      </w:r>
      <w:proofErr w:type="spellEnd"/>
      <w:r w:rsidRPr="00920F2D">
        <w:t xml:space="preserve"> 2013, </w:t>
      </w:r>
      <w:r w:rsidR="00A913E1" w:rsidRPr="00920F2D">
        <w:t xml:space="preserve">the most frequent AEs </w:t>
      </w:r>
      <w:r w:rsidR="00A913E1">
        <w:t xml:space="preserve">were </w:t>
      </w:r>
      <w:r w:rsidRPr="00920F2D">
        <w:t>Grade 3-4 neutropenia/thrombocytopenia. The proportion</w:t>
      </w:r>
      <w:r w:rsidR="005D30D5">
        <w:t>s</w:t>
      </w:r>
      <w:r w:rsidRPr="00920F2D">
        <w:t xml:space="preserve"> of patients with Grade 3-4 neutropenia, thrombocytopenia and anaemia were 41%, 35% and 35%, respectively.</w:t>
      </w:r>
    </w:p>
    <w:p w:rsidR="00CC3220" w:rsidRDefault="00CC3220" w:rsidP="009C0DF6">
      <w:pPr>
        <w:pStyle w:val="ListParagraph"/>
        <w:numPr>
          <w:ilvl w:val="1"/>
          <w:numId w:val="3"/>
        </w:numPr>
        <w:spacing w:before="0" w:after="120"/>
      </w:pPr>
      <w:r w:rsidRPr="00920F2D">
        <w:t xml:space="preserve">The immaturity of the </w:t>
      </w:r>
      <w:r w:rsidR="005C2CF8" w:rsidRPr="00920F2D">
        <w:t xml:space="preserve">data from the </w:t>
      </w:r>
      <w:r w:rsidRPr="00920F2D">
        <w:t xml:space="preserve">KN087 study </w:t>
      </w:r>
      <w:r w:rsidR="00F05186" w:rsidRPr="00920F2D">
        <w:t xml:space="preserve">made </w:t>
      </w:r>
      <w:r w:rsidRPr="00920F2D">
        <w:t xml:space="preserve">it difficult to draw any conclusions regarding absolute longer-term safety.  In addition, a meaningful comparison of safety between </w:t>
      </w:r>
      <w:proofErr w:type="spellStart"/>
      <w:r w:rsidRPr="00920F2D">
        <w:t>pembrolizumab</w:t>
      </w:r>
      <w:proofErr w:type="spellEnd"/>
      <w:r w:rsidRPr="00920F2D">
        <w:t xml:space="preserve">, </w:t>
      </w:r>
      <w:r w:rsidR="00D747FD" w:rsidRPr="00920F2D">
        <w:t>BV,</w:t>
      </w:r>
      <w:r w:rsidRPr="00920F2D">
        <w:t xml:space="preserve"> and </w:t>
      </w:r>
      <w:r w:rsidR="00A913E1">
        <w:t xml:space="preserve">salvage </w:t>
      </w:r>
      <w:r w:rsidRPr="00920F2D">
        <w:t xml:space="preserve">chemotherapy </w:t>
      </w:r>
      <w:r w:rsidR="005C2CF8" w:rsidRPr="00920F2D">
        <w:t>wa</w:t>
      </w:r>
      <w:r w:rsidRPr="00920F2D">
        <w:t xml:space="preserve">s difficult to </w:t>
      </w:r>
      <w:r w:rsidR="005C2CF8" w:rsidRPr="00920F2D">
        <w:t xml:space="preserve">undertake, </w:t>
      </w:r>
      <w:r w:rsidR="0049390F">
        <w:t>given the comparisons across</w:t>
      </w:r>
      <w:r w:rsidRPr="00920F2D">
        <w:t xml:space="preserve"> </w:t>
      </w:r>
      <w:r w:rsidR="0049390F">
        <w:t>single-</w:t>
      </w:r>
      <w:r w:rsidR="0049390F" w:rsidRPr="00920F2D">
        <w:t xml:space="preserve">arm </w:t>
      </w:r>
      <w:r w:rsidRPr="00920F2D">
        <w:t>studies and differences across the studies in terms of treatment lines</w:t>
      </w:r>
      <w:r w:rsidR="005C2CF8" w:rsidRPr="00920F2D">
        <w:t>, ASCT status</w:t>
      </w:r>
      <w:r w:rsidRPr="00920F2D">
        <w:t xml:space="preserve"> and other patient characteristics</w:t>
      </w:r>
      <w:r w:rsidR="004C0D65" w:rsidRPr="00920F2D">
        <w:t>.</w:t>
      </w:r>
    </w:p>
    <w:p w:rsidR="00BD1E67" w:rsidRPr="00A913E1" w:rsidRDefault="00BD1E67" w:rsidP="00183F41">
      <w:pPr>
        <w:pStyle w:val="ListParagraph"/>
        <w:numPr>
          <w:ilvl w:val="1"/>
          <w:numId w:val="3"/>
        </w:numPr>
        <w:spacing w:before="0" w:after="120"/>
      </w:pPr>
      <w:r w:rsidRPr="00262141">
        <w:t xml:space="preserve">The ESC noted that the proposed listing did not exclude patients </w:t>
      </w:r>
      <w:r w:rsidR="003E35C3" w:rsidRPr="00262141">
        <w:t xml:space="preserve">who have had </w:t>
      </w:r>
      <w:proofErr w:type="gramStart"/>
      <w:r w:rsidR="003E35C3" w:rsidRPr="00262141">
        <w:t xml:space="preserve">an </w:t>
      </w:r>
      <w:r w:rsidRPr="00262141">
        <w:t>allogeneic</w:t>
      </w:r>
      <w:proofErr w:type="gramEnd"/>
      <w:r w:rsidRPr="00262141">
        <w:t xml:space="preserve"> bone marrow transplantation, a procedure that would be a clinical consideration in a significant proportion of relapsed / refractory patients with HL. </w:t>
      </w:r>
      <w:r w:rsidR="00963C3A" w:rsidRPr="00262141">
        <w:t xml:space="preserve"> </w:t>
      </w:r>
      <w:r w:rsidR="00AD464E">
        <w:t>A recent publication</w:t>
      </w:r>
      <w:r w:rsidR="000D6120" w:rsidRPr="00262141">
        <w:rPr>
          <w:rStyle w:val="FootnoteReference"/>
        </w:rPr>
        <w:footnoteReference w:id="3"/>
      </w:r>
      <w:r w:rsidRPr="00262141">
        <w:t xml:space="preserve"> indicated that the immune effe</w:t>
      </w:r>
      <w:r w:rsidR="00A913E1">
        <w:t>cts of PD-1 inhibition increase</w:t>
      </w:r>
      <w:r w:rsidRPr="00262141">
        <w:t xml:space="preserve"> the risk of fatal </w:t>
      </w:r>
      <w:r w:rsidR="0048196C" w:rsidRPr="00262141">
        <w:t>GVHD</w:t>
      </w:r>
      <w:r w:rsidRPr="00262141">
        <w:t xml:space="preserve"> in </w:t>
      </w:r>
      <w:r w:rsidR="00AD464E">
        <w:t xml:space="preserve">patients who have undergone an allograft. Other studies reported that reactivation was not </w:t>
      </w:r>
      <w:r w:rsidR="00C3624D">
        <w:t>observed</w:t>
      </w:r>
      <w:r w:rsidRPr="00262141">
        <w:t xml:space="preserve">.  </w:t>
      </w:r>
      <w:r w:rsidR="000304B9" w:rsidRPr="00262141">
        <w:t>T</w:t>
      </w:r>
      <w:r w:rsidRPr="00262141">
        <w:t xml:space="preserve">he ESC noted that the TGA Clinical Evaluation Report (round 2) for </w:t>
      </w:r>
      <w:proofErr w:type="spellStart"/>
      <w:r w:rsidRPr="00262141">
        <w:t>pembrolizumab</w:t>
      </w:r>
      <w:proofErr w:type="spellEnd"/>
      <w:r w:rsidRPr="00262141">
        <w:t xml:space="preserve"> </w:t>
      </w:r>
      <w:r w:rsidR="00FB0A02" w:rsidRPr="00262141">
        <w:t xml:space="preserve">also stated that more data </w:t>
      </w:r>
      <w:r w:rsidR="00B73773" w:rsidRPr="00262141">
        <w:t xml:space="preserve">were </w:t>
      </w:r>
      <w:r w:rsidR="00FB0A02" w:rsidRPr="00262141">
        <w:t xml:space="preserve">required to understand the contribution of </w:t>
      </w:r>
      <w:proofErr w:type="spellStart"/>
      <w:r w:rsidR="00FB0A02" w:rsidRPr="00262141">
        <w:t>pembrolizumab</w:t>
      </w:r>
      <w:proofErr w:type="spellEnd"/>
      <w:r w:rsidR="00FB0A02" w:rsidRPr="00262141">
        <w:t xml:space="preserve"> in the development of GVHD in patients receiving allogeneic </w:t>
      </w:r>
      <w:r w:rsidR="00963C3A" w:rsidRPr="00262141">
        <w:t xml:space="preserve">bone marrow </w:t>
      </w:r>
      <w:r w:rsidR="00FB0A02" w:rsidRPr="00262141">
        <w:t>transplantation.</w:t>
      </w:r>
      <w:r w:rsidR="003E35C3">
        <w:rPr>
          <w:i/>
        </w:rPr>
        <w:t xml:space="preserve"> </w:t>
      </w:r>
      <w:r w:rsidR="00183F41" w:rsidRPr="00183F41">
        <w:t xml:space="preserve"> </w:t>
      </w:r>
      <w:r w:rsidR="00183F41">
        <w:t xml:space="preserve">The Pre-PBAC response (p.1) stated that the Product Information of </w:t>
      </w:r>
      <w:proofErr w:type="spellStart"/>
      <w:r w:rsidR="00183F41">
        <w:t>pembrolizumab</w:t>
      </w:r>
      <w:proofErr w:type="spellEnd"/>
      <w:r w:rsidR="00183F41">
        <w:t xml:space="preserve"> </w:t>
      </w:r>
      <w:r w:rsidR="00183F41" w:rsidRPr="00183F41">
        <w:t xml:space="preserve">will include a statement noting that close monitoring for early evidence of transplant-related complications is recommended. </w:t>
      </w:r>
      <w:r w:rsidR="00183F41">
        <w:t xml:space="preserve">The Pre-PBAC response (p.1) further proposed that </w:t>
      </w:r>
      <w:r w:rsidR="00A14A18">
        <w:t>i</w:t>
      </w:r>
      <w:r w:rsidR="00183F41" w:rsidRPr="00183F41">
        <w:t xml:space="preserve">f deemed appropriate, a similar statement could be included </w:t>
      </w:r>
      <w:r w:rsidR="00AF7EE1">
        <w:t>as a</w:t>
      </w:r>
      <w:r w:rsidR="00183F41" w:rsidRPr="00183F41">
        <w:t xml:space="preserve"> </w:t>
      </w:r>
      <w:r w:rsidR="00AF7EE1">
        <w:t>‘</w:t>
      </w:r>
      <w:r w:rsidR="00183F41" w:rsidRPr="00183F41">
        <w:t>note</w:t>
      </w:r>
      <w:r w:rsidR="00AF7EE1">
        <w:t>’</w:t>
      </w:r>
      <w:r w:rsidR="00183F41" w:rsidRPr="00183F41">
        <w:t xml:space="preserve"> to the </w:t>
      </w:r>
      <w:r w:rsidR="00A14A18">
        <w:t xml:space="preserve">PBS </w:t>
      </w:r>
      <w:r w:rsidR="00183F41" w:rsidRPr="00183F41">
        <w:t>restriction.</w:t>
      </w:r>
      <w:r w:rsidR="00C3624D">
        <w:t xml:space="preserve"> </w:t>
      </w:r>
      <w:r w:rsidR="00C866E4">
        <w:t xml:space="preserve">The </w:t>
      </w:r>
      <w:r w:rsidR="00C3624D">
        <w:t>PBAC considered that</w:t>
      </w:r>
      <w:r w:rsidR="00C50452">
        <w:t>,</w:t>
      </w:r>
      <w:r w:rsidR="00C3624D">
        <w:t xml:space="preserve"> given the very small number of allografts for HD</w:t>
      </w:r>
      <w:r w:rsidR="00C50452">
        <w:t>,</w:t>
      </w:r>
      <w:r w:rsidR="00C3624D">
        <w:t xml:space="preserve"> it would be appropriate to leave this matter in the hands of the specialists rather than adding notes to the </w:t>
      </w:r>
      <w:r w:rsidR="00C50452">
        <w:t>PBS listing</w:t>
      </w:r>
      <w:r w:rsidR="00C3624D">
        <w:t>.</w:t>
      </w:r>
    </w:p>
    <w:p w:rsidR="00CC3220" w:rsidRPr="00963C3A" w:rsidRDefault="00CC3220" w:rsidP="009C0DF6">
      <w:pPr>
        <w:pStyle w:val="Heading2"/>
      </w:pPr>
      <w:bookmarkStart w:id="16" w:name="_Toc482711245"/>
      <w:bookmarkStart w:id="17" w:name="_Toc413139281"/>
      <w:r w:rsidRPr="00963C3A">
        <w:t>Benefits and harms</w:t>
      </w:r>
      <w:bookmarkEnd w:id="16"/>
    </w:p>
    <w:p w:rsidR="00CC3220" w:rsidRPr="00920F2D" w:rsidRDefault="00CC3220" w:rsidP="009C0DF6">
      <w:pPr>
        <w:pStyle w:val="ListParagraph"/>
        <w:numPr>
          <w:ilvl w:val="1"/>
          <w:numId w:val="3"/>
        </w:numPr>
        <w:spacing w:before="0" w:after="120"/>
      </w:pPr>
      <w:r w:rsidRPr="00920F2D">
        <w:t xml:space="preserve">The naïve indirect comparison presented in the submission did not allow for a meaningful comparison of the benefits and harms between </w:t>
      </w:r>
      <w:proofErr w:type="spellStart"/>
      <w:r w:rsidRPr="00920F2D">
        <w:t>pembrolizumab</w:t>
      </w:r>
      <w:proofErr w:type="spellEnd"/>
      <w:r w:rsidRPr="00920F2D">
        <w:t xml:space="preserve"> and either BV or salvage chemotherapy. </w:t>
      </w:r>
      <w:r w:rsidR="00EB44DD" w:rsidRPr="00920F2D">
        <w:t xml:space="preserve"> </w:t>
      </w:r>
      <w:r w:rsidRPr="00920F2D">
        <w:t>Accordingly, a benefits/harms table has not been presented.</w:t>
      </w:r>
    </w:p>
    <w:p w:rsidR="00CC3220" w:rsidRPr="00963C3A" w:rsidRDefault="00CC3220" w:rsidP="009C0DF6">
      <w:pPr>
        <w:pStyle w:val="Heading2"/>
      </w:pPr>
      <w:bookmarkStart w:id="18" w:name="_Toc482711246"/>
      <w:r w:rsidRPr="00963C3A">
        <w:t>Clinical claim</w:t>
      </w:r>
      <w:bookmarkEnd w:id="17"/>
      <w:bookmarkEnd w:id="18"/>
    </w:p>
    <w:p w:rsidR="00CC3220" w:rsidRPr="00920F2D" w:rsidRDefault="00CC3220" w:rsidP="009C0DF6">
      <w:pPr>
        <w:pStyle w:val="ListParagraph"/>
        <w:numPr>
          <w:ilvl w:val="1"/>
          <w:numId w:val="3"/>
        </w:numPr>
        <w:spacing w:before="0" w:after="120"/>
      </w:pPr>
      <w:r w:rsidRPr="00920F2D">
        <w:t xml:space="preserve">For the </w:t>
      </w:r>
      <w:r w:rsidR="007D674A" w:rsidRPr="00920F2D">
        <w:t xml:space="preserve">naïve indirect </w:t>
      </w:r>
      <w:r w:rsidRPr="00920F2D">
        <w:t xml:space="preserve">comparison of </w:t>
      </w:r>
      <w:proofErr w:type="spellStart"/>
      <w:r w:rsidRPr="00920F2D">
        <w:t>pembrolizumab</w:t>
      </w:r>
      <w:proofErr w:type="spellEnd"/>
      <w:r w:rsidRPr="00920F2D">
        <w:t xml:space="preserve"> and BV</w:t>
      </w:r>
      <w:r w:rsidR="007D674A" w:rsidRPr="00920F2D">
        <w:t xml:space="preserve"> from </w:t>
      </w:r>
      <w:r w:rsidR="00D747FD" w:rsidRPr="00920F2D">
        <w:t xml:space="preserve">Studies </w:t>
      </w:r>
      <w:r w:rsidR="007D674A" w:rsidRPr="00920F2D">
        <w:t>KN087 and 0003</w:t>
      </w:r>
      <w:r w:rsidR="00F05186" w:rsidRPr="00920F2D">
        <w:t xml:space="preserve"> respectively</w:t>
      </w:r>
      <w:r w:rsidRPr="00920F2D">
        <w:t xml:space="preserve">, the therapeutic claim made in the submission was that </w:t>
      </w:r>
      <w:proofErr w:type="spellStart"/>
      <w:r w:rsidRPr="00920F2D">
        <w:t>pembrolizumab</w:t>
      </w:r>
      <w:proofErr w:type="spellEnd"/>
      <w:r w:rsidRPr="00920F2D">
        <w:t xml:space="preserve"> provides superior clinical benefit in terms of PFS and OS compared to BV</w:t>
      </w:r>
      <w:r w:rsidR="005C2CF8" w:rsidRPr="00920F2D">
        <w:t>,</w:t>
      </w:r>
      <w:r w:rsidRPr="00920F2D">
        <w:t xml:space="preserve"> and superior safety in terms of severe Grade 3 or Grade 4 AEs.</w:t>
      </w:r>
      <w:r w:rsidR="00F32934" w:rsidRPr="00920F2D">
        <w:t xml:space="preserve"> </w:t>
      </w:r>
    </w:p>
    <w:p w:rsidR="00CC3220" w:rsidRPr="00920F2D" w:rsidRDefault="00CC3220" w:rsidP="009C0DF6">
      <w:pPr>
        <w:pStyle w:val="ListParagraph"/>
        <w:numPr>
          <w:ilvl w:val="1"/>
          <w:numId w:val="3"/>
        </w:numPr>
        <w:spacing w:before="0" w:after="120"/>
      </w:pPr>
      <w:r w:rsidRPr="00920F2D">
        <w:t xml:space="preserve">For the comparison of </w:t>
      </w:r>
      <w:proofErr w:type="spellStart"/>
      <w:r w:rsidRPr="00920F2D">
        <w:t>pembrolizumab</w:t>
      </w:r>
      <w:proofErr w:type="spellEnd"/>
      <w:r w:rsidRPr="00920F2D">
        <w:t xml:space="preserve"> </w:t>
      </w:r>
      <w:r w:rsidR="004C0D65" w:rsidRPr="00920F2D">
        <w:t>with</w:t>
      </w:r>
      <w:r w:rsidRPr="00920F2D">
        <w:t xml:space="preserve"> gemcitabine plus </w:t>
      </w:r>
      <w:proofErr w:type="spellStart"/>
      <w:r w:rsidRPr="00920F2D">
        <w:t>vinorelbine</w:t>
      </w:r>
      <w:proofErr w:type="spellEnd"/>
      <w:r w:rsidRPr="00920F2D">
        <w:t>, the therapeutic claim made in the submission was since BV was shown to be superior to this combination</w:t>
      </w:r>
      <w:r w:rsidR="00ED7CC6" w:rsidRPr="00920F2D">
        <w:t xml:space="preserve"> (</w:t>
      </w:r>
      <w:proofErr w:type="spellStart"/>
      <w:r w:rsidR="007E424D">
        <w:t>Brentuximab</w:t>
      </w:r>
      <w:proofErr w:type="spellEnd"/>
      <w:r w:rsidR="007E424D">
        <w:t xml:space="preserve"> </w:t>
      </w:r>
      <w:proofErr w:type="spellStart"/>
      <w:r w:rsidR="007E424D">
        <w:t>vedotin</w:t>
      </w:r>
      <w:proofErr w:type="spellEnd"/>
      <w:r w:rsidR="007E424D">
        <w:t xml:space="preserve"> (Post-ASCT) Public Summary Document, November 2016</w:t>
      </w:r>
      <w:r w:rsidR="00ED7CC6" w:rsidRPr="00920F2D">
        <w:t>)</w:t>
      </w:r>
      <w:r w:rsidRPr="00920F2D">
        <w:t xml:space="preserve">, by extension, </w:t>
      </w:r>
      <w:proofErr w:type="spellStart"/>
      <w:r w:rsidRPr="00920F2D">
        <w:t>pembrolizumab</w:t>
      </w:r>
      <w:proofErr w:type="spellEnd"/>
      <w:r w:rsidRPr="00920F2D">
        <w:t xml:space="preserve"> </w:t>
      </w:r>
      <w:r w:rsidR="00F05186" w:rsidRPr="00920F2D">
        <w:t>also provide</w:t>
      </w:r>
      <w:r w:rsidR="00A913E1">
        <w:t>s</w:t>
      </w:r>
      <w:r w:rsidR="00F05186" w:rsidRPr="00920F2D">
        <w:t xml:space="preserve"> </w:t>
      </w:r>
      <w:r w:rsidRPr="00920F2D">
        <w:t>superior</w:t>
      </w:r>
      <w:r w:rsidR="00F05186" w:rsidRPr="00920F2D">
        <w:t xml:space="preserve"> effectiveness compared with gemcitabine plus </w:t>
      </w:r>
      <w:proofErr w:type="spellStart"/>
      <w:r w:rsidR="00F05186" w:rsidRPr="00920F2D">
        <w:t>vinorelbine</w:t>
      </w:r>
      <w:proofErr w:type="spellEnd"/>
      <w:r w:rsidRPr="00920F2D">
        <w:t>.</w:t>
      </w:r>
    </w:p>
    <w:p w:rsidR="00CC3220" w:rsidRPr="00920F2D" w:rsidRDefault="00CC3220" w:rsidP="009C0DF6">
      <w:pPr>
        <w:pStyle w:val="ListParagraph"/>
        <w:numPr>
          <w:ilvl w:val="1"/>
          <w:numId w:val="3"/>
        </w:numPr>
        <w:spacing w:before="0" w:after="120"/>
      </w:pPr>
      <w:r w:rsidRPr="00920F2D">
        <w:t xml:space="preserve">The </w:t>
      </w:r>
      <w:r w:rsidR="005D189E" w:rsidRPr="00D55417">
        <w:t xml:space="preserve">ESC </w:t>
      </w:r>
      <w:r w:rsidR="00B73773" w:rsidRPr="00D55417">
        <w:t>considered</w:t>
      </w:r>
      <w:r w:rsidR="005D189E" w:rsidRPr="00D55417">
        <w:t xml:space="preserve"> that the</w:t>
      </w:r>
      <w:r w:rsidR="005D189E">
        <w:rPr>
          <w:i/>
        </w:rPr>
        <w:t xml:space="preserve"> </w:t>
      </w:r>
      <w:r w:rsidRPr="00920F2D">
        <w:t xml:space="preserve">therapeutic conclusion presented in the submission </w:t>
      </w:r>
      <w:r w:rsidR="00F05186" w:rsidRPr="00920F2D">
        <w:t>wa</w:t>
      </w:r>
      <w:r w:rsidRPr="00920F2D">
        <w:t>s not adequately supported by the evidence presented in the submission:</w:t>
      </w:r>
    </w:p>
    <w:p w:rsidR="00CC3220" w:rsidRPr="00920F2D" w:rsidRDefault="00CC3220" w:rsidP="00EE5263">
      <w:pPr>
        <w:pStyle w:val="ListParagraph"/>
        <w:numPr>
          <w:ilvl w:val="2"/>
          <w:numId w:val="6"/>
        </w:numPr>
        <w:spacing w:before="0" w:after="0"/>
        <w:ind w:left="993" w:hanging="284"/>
      </w:pPr>
      <w:r w:rsidRPr="00920F2D">
        <w:t xml:space="preserve">The evidence was based on </w:t>
      </w:r>
      <w:r w:rsidR="009A259C" w:rsidRPr="00920F2D">
        <w:t xml:space="preserve">non-transitive </w:t>
      </w:r>
      <w:r w:rsidR="0049390F">
        <w:t xml:space="preserve">comparisons across </w:t>
      </w:r>
      <w:r w:rsidR="0049390F" w:rsidRPr="00920F2D">
        <w:t>single</w:t>
      </w:r>
      <w:r w:rsidR="0049390F">
        <w:t>-a</w:t>
      </w:r>
      <w:r w:rsidR="0049390F" w:rsidRPr="00920F2D">
        <w:t xml:space="preserve">rm </w:t>
      </w:r>
      <w:r w:rsidR="0049390F">
        <w:t xml:space="preserve">studies </w:t>
      </w:r>
      <w:r w:rsidRPr="00920F2D">
        <w:t>with</w:t>
      </w:r>
      <w:r w:rsidR="009A259C" w:rsidRPr="00920F2D">
        <w:t xml:space="preserve"> no</w:t>
      </w:r>
      <w:r w:rsidRPr="00920F2D">
        <w:t xml:space="preserve"> common </w:t>
      </w:r>
      <w:r w:rsidR="009A259C" w:rsidRPr="00920F2D">
        <w:t>comparator</w:t>
      </w:r>
      <w:r w:rsidRPr="00920F2D">
        <w:t xml:space="preserve"> </w:t>
      </w:r>
      <w:r w:rsidR="00F32934" w:rsidRPr="00920F2D">
        <w:t xml:space="preserve">to enable </w:t>
      </w:r>
      <w:r w:rsidR="001C7EE3" w:rsidRPr="00920F2D">
        <w:t>a</w:t>
      </w:r>
      <w:r w:rsidR="00F32934" w:rsidRPr="00920F2D">
        <w:t xml:space="preserve"> formal adjusted</w:t>
      </w:r>
      <w:r w:rsidRPr="00920F2D">
        <w:t xml:space="preserve"> </w:t>
      </w:r>
      <w:r w:rsidR="00F32934" w:rsidRPr="00920F2D">
        <w:t xml:space="preserve">indirect </w:t>
      </w:r>
      <w:r w:rsidRPr="00920F2D">
        <w:t xml:space="preserve">statistical </w:t>
      </w:r>
      <w:r w:rsidR="0049390F">
        <w:t>analysis</w:t>
      </w:r>
      <w:r w:rsidR="00ED7CC6" w:rsidRPr="00920F2D">
        <w:t>.</w:t>
      </w:r>
    </w:p>
    <w:p w:rsidR="00CC3220" w:rsidRPr="00920F2D" w:rsidRDefault="004C0D65" w:rsidP="00EE5263">
      <w:pPr>
        <w:pStyle w:val="ListParagraph"/>
        <w:numPr>
          <w:ilvl w:val="2"/>
          <w:numId w:val="6"/>
        </w:numPr>
        <w:spacing w:before="0" w:after="0"/>
        <w:ind w:left="993" w:hanging="284"/>
      </w:pPr>
      <w:r w:rsidRPr="00920F2D">
        <w:t>T</w:t>
      </w:r>
      <w:r w:rsidR="00CC3220" w:rsidRPr="00920F2D">
        <w:t xml:space="preserve">he included studies represent non-comparable </w:t>
      </w:r>
      <w:proofErr w:type="gramStart"/>
      <w:r w:rsidR="00CC3220" w:rsidRPr="00920F2D">
        <w:t>populations</w:t>
      </w:r>
      <w:r w:rsidRPr="00920F2D">
        <w:t>,</w:t>
      </w:r>
      <w:proofErr w:type="gramEnd"/>
      <w:r w:rsidRPr="00920F2D">
        <w:t xml:space="preserve"> therefore they d</w:t>
      </w:r>
      <w:r w:rsidR="00F05186" w:rsidRPr="00920F2D">
        <w:t>id</w:t>
      </w:r>
      <w:r w:rsidRPr="00920F2D">
        <w:t xml:space="preserve"> not </w:t>
      </w:r>
      <w:r w:rsidR="00CC3220" w:rsidRPr="00920F2D">
        <w:t xml:space="preserve">enable any reasonable naïve comparison to inform the proposed treatment line where </w:t>
      </w:r>
      <w:proofErr w:type="spellStart"/>
      <w:r w:rsidR="00CC3220" w:rsidRPr="00920F2D">
        <w:t>pembrolizumab</w:t>
      </w:r>
      <w:proofErr w:type="spellEnd"/>
      <w:r w:rsidR="00CC3220" w:rsidRPr="00920F2D">
        <w:t xml:space="preserve"> is expected to </w:t>
      </w:r>
      <w:r w:rsidR="005C2CF8" w:rsidRPr="00920F2D">
        <w:t>replace</w:t>
      </w:r>
      <w:r w:rsidR="00CC3220" w:rsidRPr="00920F2D">
        <w:t xml:space="preserve"> BV.  The evidence</w:t>
      </w:r>
      <w:r w:rsidR="005C2CF8" w:rsidRPr="00920F2D">
        <w:t xml:space="preserve"> presented in the submission</w:t>
      </w:r>
      <w:r w:rsidR="00CC3220" w:rsidRPr="00920F2D">
        <w:t xml:space="preserve"> was primarily based on patients who had failed BV, whether in patients post ASCT or who were ASCT ineligible.</w:t>
      </w:r>
    </w:p>
    <w:p w:rsidR="00E03BF8" w:rsidRPr="00920F2D" w:rsidRDefault="00E03BF8" w:rsidP="00EE5263">
      <w:pPr>
        <w:pStyle w:val="ListParagraph"/>
        <w:numPr>
          <w:ilvl w:val="2"/>
          <w:numId w:val="6"/>
        </w:numPr>
        <w:spacing w:before="0" w:after="0"/>
        <w:ind w:left="993" w:hanging="284"/>
      </w:pPr>
      <w:r w:rsidRPr="00920F2D">
        <w:t xml:space="preserve">Comparative BV data were not provided for the ASCT ineligible population, thereby making it difficult to evaluate </w:t>
      </w:r>
      <w:proofErr w:type="spellStart"/>
      <w:r w:rsidRPr="00920F2D">
        <w:t>pembrolizumab’s</w:t>
      </w:r>
      <w:proofErr w:type="spellEnd"/>
      <w:r w:rsidRPr="00920F2D">
        <w:t xml:space="preserve"> comparative eff</w:t>
      </w:r>
      <w:r w:rsidR="005C2CF8" w:rsidRPr="00920F2D">
        <w:t>ectiveness</w:t>
      </w:r>
      <w:r w:rsidRPr="00920F2D">
        <w:t xml:space="preserve"> in this population.</w:t>
      </w:r>
    </w:p>
    <w:p w:rsidR="00CC3220" w:rsidRDefault="00E03BF8" w:rsidP="00EE5263">
      <w:pPr>
        <w:pStyle w:val="ListParagraph"/>
        <w:numPr>
          <w:ilvl w:val="2"/>
          <w:numId w:val="6"/>
        </w:numPr>
        <w:spacing w:before="0" w:after="0"/>
        <w:ind w:left="993" w:hanging="284"/>
      </w:pPr>
      <w:r w:rsidRPr="00920F2D">
        <w:t>N</w:t>
      </w:r>
      <w:r w:rsidR="00CC3220" w:rsidRPr="00920F2D">
        <w:t xml:space="preserve">o preliminary data from the forthcoming KN204 randomised trial </w:t>
      </w:r>
      <w:r w:rsidRPr="00920F2D">
        <w:t xml:space="preserve">were available at the time of evaluation </w:t>
      </w:r>
      <w:r w:rsidR="00CC3220" w:rsidRPr="00920F2D">
        <w:t xml:space="preserve">to enable any </w:t>
      </w:r>
      <w:r w:rsidR="00F32934" w:rsidRPr="00920F2D">
        <w:t xml:space="preserve">reasonable </w:t>
      </w:r>
      <w:r w:rsidR="00CC3220" w:rsidRPr="00920F2D">
        <w:t>judgement on comparative effectiveness and safety</w:t>
      </w:r>
      <w:r w:rsidR="006B2ECA" w:rsidRPr="00920F2D">
        <w:t xml:space="preserve"> in the populations and line of therapy for which BV is </w:t>
      </w:r>
      <w:r w:rsidR="006B2ECA" w:rsidRPr="00DF20F8">
        <w:t>currently listed.</w:t>
      </w:r>
    </w:p>
    <w:p w:rsidR="00EE5263" w:rsidRPr="00DF20F8" w:rsidRDefault="00EE5263" w:rsidP="00A913E1">
      <w:pPr>
        <w:spacing w:before="0" w:after="0"/>
      </w:pPr>
    </w:p>
    <w:p w:rsidR="00CC3220" w:rsidRPr="007E3EA1" w:rsidRDefault="005D189E" w:rsidP="009C0DF6">
      <w:pPr>
        <w:pStyle w:val="ListParagraph"/>
        <w:numPr>
          <w:ilvl w:val="1"/>
          <w:numId w:val="3"/>
        </w:numPr>
        <w:spacing w:before="0" w:after="120"/>
      </w:pPr>
      <w:r w:rsidRPr="005D189E">
        <w:t>O</w:t>
      </w:r>
      <w:r w:rsidR="00CC3220" w:rsidRPr="005D189E">
        <w:t xml:space="preserve">verall, magnitude and direction of the comparative benefit and harm </w:t>
      </w:r>
      <w:r w:rsidR="00E03BF8" w:rsidRPr="005D189E">
        <w:t>wa</w:t>
      </w:r>
      <w:r w:rsidR="00CC3220" w:rsidRPr="005D189E">
        <w:t>s difficult to determine</w:t>
      </w:r>
      <w:r w:rsidR="00CC3220" w:rsidRPr="007E3EA1">
        <w:t xml:space="preserve"> from the data provided</w:t>
      </w:r>
      <w:r w:rsidR="00ED7CC6" w:rsidRPr="007E3EA1">
        <w:t>.</w:t>
      </w:r>
      <w:r w:rsidR="00CC3220" w:rsidRPr="007E3EA1">
        <w:t xml:space="preserve"> </w:t>
      </w:r>
    </w:p>
    <w:p w:rsidR="00C14978" w:rsidRDefault="00F23A12" w:rsidP="009C0DF6">
      <w:pPr>
        <w:pStyle w:val="ListParagraph"/>
        <w:numPr>
          <w:ilvl w:val="1"/>
          <w:numId w:val="3"/>
        </w:numPr>
        <w:spacing w:before="0" w:after="120"/>
      </w:pPr>
      <w:r w:rsidRPr="00DF20F8">
        <w:t xml:space="preserve">The submission acknowledged there are uncertainties with the superiority claim due to the nature of the currently available evidence and that these uncertainties would be resolved </w:t>
      </w:r>
      <w:r w:rsidR="00B83B9C" w:rsidRPr="00DF20F8">
        <w:t xml:space="preserve">as data from KN204 become available (refer to “Managed Entry Scheme/Managed Access </w:t>
      </w:r>
      <w:r w:rsidR="009C18F6" w:rsidRPr="00DF20F8">
        <w:t>Programme</w:t>
      </w:r>
      <w:r w:rsidR="001C516F">
        <w:t>” section below).</w:t>
      </w:r>
    </w:p>
    <w:p w:rsidR="00EE5263" w:rsidRDefault="00EE5263" w:rsidP="009C0DF6">
      <w:pPr>
        <w:pStyle w:val="ListParagraph"/>
        <w:numPr>
          <w:ilvl w:val="1"/>
          <w:numId w:val="3"/>
        </w:numPr>
        <w:spacing w:before="0" w:after="120"/>
      </w:pPr>
      <w:r>
        <w:t xml:space="preserve">The Pre-PBAC response (p.1) acknowledged the concerns </w:t>
      </w:r>
      <w:proofErr w:type="gramStart"/>
      <w:r>
        <w:t>raised</w:t>
      </w:r>
      <w:proofErr w:type="gramEnd"/>
      <w:r>
        <w:t xml:space="preserve"> by ESC regarding the inadequacy of the evidence to support the submission’s claim of </w:t>
      </w:r>
      <w:r w:rsidR="004A41BA">
        <w:t>superiority</w:t>
      </w:r>
      <w:r>
        <w:t xml:space="preserve">, and </w:t>
      </w:r>
      <w:r w:rsidR="004A41BA">
        <w:t>proposed to vary the clinical claim to one of non-inferior</w:t>
      </w:r>
      <w:r w:rsidR="00391577">
        <w:t>it</w:t>
      </w:r>
      <w:r w:rsidR="004A41BA">
        <w:t>y against BV, on the basis of OS data from single-arm studies.</w:t>
      </w:r>
    </w:p>
    <w:p w:rsidR="00140D15" w:rsidRDefault="00140D15" w:rsidP="00E27A2A">
      <w:pPr>
        <w:pStyle w:val="ListParagraph"/>
        <w:numPr>
          <w:ilvl w:val="1"/>
          <w:numId w:val="3"/>
        </w:numPr>
      </w:pPr>
      <w:r w:rsidRPr="00140D15">
        <w:t>The</w:t>
      </w:r>
      <w:r>
        <w:t xml:space="preserve"> PBAC noted </w:t>
      </w:r>
      <w:r w:rsidR="00BC1309">
        <w:t xml:space="preserve">the amended claim of non-inferiority put forth in the Pre-PBAC response, </w:t>
      </w:r>
      <w:r w:rsidR="00C577ED">
        <w:t>and</w:t>
      </w:r>
      <w:r w:rsidR="00BC1309">
        <w:t xml:space="preserve"> considered that cost-minimisation to BV </w:t>
      </w:r>
      <w:r w:rsidR="00D02BCE">
        <w:t xml:space="preserve">could </w:t>
      </w:r>
      <w:r w:rsidR="00BC1309">
        <w:t xml:space="preserve">be </w:t>
      </w:r>
      <w:r w:rsidR="00A913E1">
        <w:t>an</w:t>
      </w:r>
      <w:r w:rsidR="00BC1309">
        <w:t xml:space="preserve"> appropriate way forward in recommending </w:t>
      </w:r>
      <w:proofErr w:type="spellStart"/>
      <w:r w:rsidR="00BC1309">
        <w:t>pembrolizumab</w:t>
      </w:r>
      <w:proofErr w:type="spellEnd"/>
      <w:r w:rsidR="00BC1309">
        <w:t xml:space="preserve"> for PBS listing.</w:t>
      </w:r>
    </w:p>
    <w:p w:rsidR="00C577ED" w:rsidRPr="00C577ED" w:rsidRDefault="00C577ED" w:rsidP="00C577ED">
      <w:pPr>
        <w:pStyle w:val="ListParagraph"/>
        <w:spacing w:before="0" w:after="120"/>
        <w:rPr>
          <w:rFonts w:ascii="Calibri" w:eastAsia="Times New Roman" w:hAnsi="Calibri" w:cs="Times New Roman"/>
          <w:i/>
          <w:szCs w:val="24"/>
        </w:rPr>
      </w:pPr>
      <w:r w:rsidRPr="00C577ED">
        <w:rPr>
          <w:rFonts w:ascii="Calibri" w:eastAsia="Times New Roman" w:hAnsi="Calibri" w:cs="Times New Roman"/>
          <w:i/>
          <w:szCs w:val="24"/>
        </w:rPr>
        <w:t>For more detail on PBAC’s view, see section 7 “PBAC outcome.”</w:t>
      </w:r>
    </w:p>
    <w:p w:rsidR="004D66C1" w:rsidRPr="001C516F" w:rsidRDefault="004D66C1" w:rsidP="009C0DF6">
      <w:pPr>
        <w:pStyle w:val="Heading2"/>
      </w:pPr>
      <w:bookmarkStart w:id="19" w:name="_Toc413139282"/>
      <w:bookmarkStart w:id="20" w:name="_Toc482711247"/>
      <w:r w:rsidRPr="001C516F">
        <w:t>Economic analysis</w:t>
      </w:r>
      <w:bookmarkEnd w:id="19"/>
      <w:bookmarkEnd w:id="20"/>
    </w:p>
    <w:p w:rsidR="008F7B4F" w:rsidRPr="008F7B4F" w:rsidRDefault="008F7B4F" w:rsidP="009C0DF6">
      <w:pPr>
        <w:pStyle w:val="ListParagraph"/>
        <w:numPr>
          <w:ilvl w:val="1"/>
          <w:numId w:val="3"/>
        </w:numPr>
        <w:spacing w:before="0" w:after="120"/>
      </w:pPr>
      <w:bookmarkStart w:id="21" w:name="_Toc413139285"/>
      <w:r w:rsidRPr="008F7B4F">
        <w:rPr>
          <w:szCs w:val="24"/>
        </w:rPr>
        <w:t xml:space="preserve">The type of economic </w:t>
      </w:r>
      <w:r w:rsidRPr="00DE3F2B">
        <w:rPr>
          <w:szCs w:val="24"/>
        </w:rPr>
        <w:t xml:space="preserve">evaluation presented </w:t>
      </w:r>
      <w:r w:rsidR="006F2B5F">
        <w:rPr>
          <w:szCs w:val="24"/>
        </w:rPr>
        <w:t xml:space="preserve">in the submission </w:t>
      </w:r>
      <w:r w:rsidRPr="00DE3F2B">
        <w:rPr>
          <w:szCs w:val="24"/>
        </w:rPr>
        <w:t xml:space="preserve">was a threshold analysis (ICER limit of </w:t>
      </w:r>
      <w:r w:rsidR="00E70877">
        <w:rPr>
          <w:szCs w:val="24"/>
        </w:rPr>
        <w:t>$45,000</w:t>
      </w:r>
      <w:r w:rsidRPr="00DE3F2B">
        <w:rPr>
          <w:szCs w:val="24"/>
        </w:rPr>
        <w:t>/QALY</w:t>
      </w:r>
      <w:r w:rsidR="00E70877">
        <w:rPr>
          <w:szCs w:val="24"/>
        </w:rPr>
        <w:t xml:space="preserve"> - $75,000/QALY</w:t>
      </w:r>
      <w:r w:rsidRPr="00DE3F2B">
        <w:rPr>
          <w:szCs w:val="24"/>
        </w:rPr>
        <w:t xml:space="preserve">) based on a </w:t>
      </w:r>
      <w:r w:rsidRPr="008F7B4F">
        <w:rPr>
          <w:szCs w:val="24"/>
          <w:u w:val="single"/>
        </w:rPr>
        <w:t>hypothetical</w:t>
      </w:r>
      <w:r w:rsidRPr="008F7B4F">
        <w:rPr>
          <w:szCs w:val="24"/>
        </w:rPr>
        <w:t xml:space="preserve"> cost-utility analysis of </w:t>
      </w:r>
      <w:proofErr w:type="spellStart"/>
      <w:r w:rsidRPr="008F7B4F">
        <w:rPr>
          <w:szCs w:val="24"/>
        </w:rPr>
        <w:t>pembrolizumab</w:t>
      </w:r>
      <w:proofErr w:type="spellEnd"/>
      <w:r w:rsidRPr="008F7B4F">
        <w:rPr>
          <w:szCs w:val="24"/>
        </w:rPr>
        <w:t xml:space="preserve"> versus BV in patients with </w:t>
      </w:r>
      <w:proofErr w:type="spellStart"/>
      <w:r w:rsidRPr="008F7B4F">
        <w:rPr>
          <w:szCs w:val="24"/>
        </w:rPr>
        <w:t>rrcHL</w:t>
      </w:r>
      <w:proofErr w:type="spellEnd"/>
      <w:r w:rsidRPr="008F7B4F">
        <w:rPr>
          <w:szCs w:val="24"/>
        </w:rPr>
        <w:t xml:space="preserve">. The submission did not use the effectiveness data for </w:t>
      </w:r>
      <w:proofErr w:type="spellStart"/>
      <w:r w:rsidRPr="008F7B4F">
        <w:rPr>
          <w:szCs w:val="24"/>
        </w:rPr>
        <w:t>pembrolizumab</w:t>
      </w:r>
      <w:proofErr w:type="spellEnd"/>
      <w:r w:rsidRPr="008F7B4F">
        <w:rPr>
          <w:szCs w:val="24"/>
        </w:rPr>
        <w:t xml:space="preserve"> reported in KN087 and KN013 studies in the economic evaluation. </w:t>
      </w:r>
      <w:proofErr w:type="spellStart"/>
      <w:r w:rsidRPr="008F7B4F">
        <w:rPr>
          <w:szCs w:val="24"/>
        </w:rPr>
        <w:t>Pembrolizumab</w:t>
      </w:r>
      <w:proofErr w:type="spellEnd"/>
      <w:r w:rsidRPr="008F7B4F">
        <w:rPr>
          <w:szCs w:val="24"/>
        </w:rPr>
        <w:t xml:space="preserve"> survival curves in the economic evaluation were estimated using the hazard ratios (HRs) used for the power calculations of KN204 trial (0.600 for OS and 0.622 for PFS), and applied to the BV survival data reported in Study 0003. The rationale for the selection of the assumed HRs used in </w:t>
      </w:r>
      <w:r w:rsidR="001C516F">
        <w:rPr>
          <w:szCs w:val="24"/>
        </w:rPr>
        <w:t xml:space="preserve">these </w:t>
      </w:r>
      <w:r w:rsidRPr="008F7B4F">
        <w:rPr>
          <w:szCs w:val="24"/>
        </w:rPr>
        <w:t>power calculations was not provided in the KN204 trial protocol.</w:t>
      </w:r>
    </w:p>
    <w:p w:rsidR="004D66C1" w:rsidRPr="00262141" w:rsidRDefault="00976F32" w:rsidP="009C0DF6">
      <w:pPr>
        <w:pStyle w:val="ListParagraph"/>
        <w:numPr>
          <w:ilvl w:val="1"/>
          <w:numId w:val="3"/>
        </w:numPr>
        <w:spacing w:before="0" w:after="120"/>
      </w:pPr>
      <w:r w:rsidRPr="00262141">
        <w:rPr>
          <w:szCs w:val="24"/>
        </w:rPr>
        <w:t xml:space="preserve">The PSCR (p.3) contended that the KN087 data closely matched the modelled </w:t>
      </w:r>
      <w:proofErr w:type="spellStart"/>
      <w:r w:rsidRPr="00262141">
        <w:rPr>
          <w:szCs w:val="24"/>
        </w:rPr>
        <w:t>pembrolizumab</w:t>
      </w:r>
      <w:proofErr w:type="spellEnd"/>
      <w:r w:rsidRPr="00262141">
        <w:rPr>
          <w:szCs w:val="24"/>
        </w:rPr>
        <w:t xml:space="preserve"> survival curves</w:t>
      </w:r>
      <w:r w:rsidR="005067E6" w:rsidRPr="00262141">
        <w:rPr>
          <w:szCs w:val="24"/>
        </w:rPr>
        <w:t>,</w:t>
      </w:r>
      <w:r w:rsidRPr="00262141">
        <w:rPr>
          <w:szCs w:val="24"/>
        </w:rPr>
        <w:t xml:space="preserve"> and claimed that the use of KN087 Kaplan-Meier curves for the first 12 to 15 months of follow-up would yield similar results. However, t</w:t>
      </w:r>
      <w:r w:rsidR="00D5222E" w:rsidRPr="00262141">
        <w:rPr>
          <w:szCs w:val="24"/>
        </w:rPr>
        <w:t xml:space="preserve">he ESC </w:t>
      </w:r>
      <w:r w:rsidRPr="00262141">
        <w:rPr>
          <w:szCs w:val="24"/>
        </w:rPr>
        <w:t xml:space="preserve">considered </w:t>
      </w:r>
      <w:r w:rsidR="00D5222E" w:rsidRPr="00262141">
        <w:rPr>
          <w:szCs w:val="24"/>
        </w:rPr>
        <w:t xml:space="preserve">that this </w:t>
      </w:r>
      <w:r w:rsidR="00DC4E19" w:rsidRPr="00262141">
        <w:rPr>
          <w:szCs w:val="24"/>
        </w:rPr>
        <w:t xml:space="preserve">issue </w:t>
      </w:r>
      <w:r w:rsidR="00D5222E" w:rsidRPr="00262141">
        <w:rPr>
          <w:szCs w:val="24"/>
        </w:rPr>
        <w:t xml:space="preserve">was not </w:t>
      </w:r>
      <w:r w:rsidRPr="00262141">
        <w:rPr>
          <w:szCs w:val="24"/>
        </w:rPr>
        <w:t>adequately</w:t>
      </w:r>
      <w:r w:rsidR="00D5222E" w:rsidRPr="00262141">
        <w:rPr>
          <w:szCs w:val="24"/>
        </w:rPr>
        <w:t xml:space="preserve"> addressed in the PSCR. </w:t>
      </w:r>
      <w:r w:rsidR="008F7B4F" w:rsidRPr="00262141">
        <w:t xml:space="preserve">The available 1-year data from KN087 were not mature enough to predict the final shape of the </w:t>
      </w:r>
      <w:proofErr w:type="spellStart"/>
      <w:r w:rsidR="008F7B4F" w:rsidRPr="00262141">
        <w:t>pembrolizumab</w:t>
      </w:r>
      <w:proofErr w:type="spellEnd"/>
      <w:r w:rsidR="008F7B4F" w:rsidRPr="00262141">
        <w:t xml:space="preserve"> survival curves. In addition, the modelled </w:t>
      </w:r>
      <w:proofErr w:type="spellStart"/>
      <w:r w:rsidR="008F7B4F" w:rsidRPr="00262141">
        <w:t>pembrolizumab</w:t>
      </w:r>
      <w:proofErr w:type="spellEnd"/>
      <w:r w:rsidR="008F7B4F" w:rsidRPr="00262141">
        <w:t xml:space="preserve"> PFS estimates were more optimistic than the KN087 data within the first year of the time horizon. </w:t>
      </w:r>
      <w:r w:rsidR="00DC4E19" w:rsidRPr="00262141">
        <w:rPr>
          <w:szCs w:val="24"/>
        </w:rPr>
        <w:t>Further, the ESC noted that</w:t>
      </w:r>
      <w:r w:rsidR="00BA28A2" w:rsidRPr="00262141">
        <w:rPr>
          <w:szCs w:val="24"/>
        </w:rPr>
        <w:t>,</w:t>
      </w:r>
      <w:r w:rsidR="00DC4E19" w:rsidRPr="00262141">
        <w:rPr>
          <w:szCs w:val="24"/>
        </w:rPr>
        <w:t xml:space="preserve"> in the economic model, </w:t>
      </w:r>
      <w:r w:rsidR="00B73773" w:rsidRPr="00262141">
        <w:rPr>
          <w:szCs w:val="24"/>
        </w:rPr>
        <w:t xml:space="preserve">the </w:t>
      </w:r>
      <w:r w:rsidR="00DC4E19" w:rsidRPr="00262141">
        <w:rPr>
          <w:szCs w:val="24"/>
        </w:rPr>
        <w:t>death</w:t>
      </w:r>
      <w:r w:rsidR="00B73773" w:rsidRPr="00262141">
        <w:rPr>
          <w:szCs w:val="24"/>
        </w:rPr>
        <w:t xml:space="preserve"> rate</w:t>
      </w:r>
      <w:r w:rsidR="00DC4E19" w:rsidRPr="00262141">
        <w:rPr>
          <w:szCs w:val="24"/>
        </w:rPr>
        <w:t xml:space="preserve"> in the </w:t>
      </w:r>
      <w:proofErr w:type="spellStart"/>
      <w:r w:rsidR="00DC4E19" w:rsidRPr="00262141">
        <w:rPr>
          <w:szCs w:val="24"/>
        </w:rPr>
        <w:t>pembrolizumab</w:t>
      </w:r>
      <w:proofErr w:type="spellEnd"/>
      <w:r w:rsidR="00DC4E19" w:rsidRPr="00262141">
        <w:rPr>
          <w:szCs w:val="24"/>
        </w:rPr>
        <w:t xml:space="preserve"> arm at 12 months was higher than in study KN087 (97% still alive vs 89% still alive in BV arm </w:t>
      </w:r>
      <w:r w:rsidR="00C3624D">
        <w:rPr>
          <w:szCs w:val="24"/>
        </w:rPr>
        <w:t>[</w:t>
      </w:r>
      <w:r w:rsidR="00DC4E19" w:rsidRPr="00262141">
        <w:rPr>
          <w:szCs w:val="24"/>
        </w:rPr>
        <w:t>Study 003</w:t>
      </w:r>
      <w:r w:rsidR="00C3624D">
        <w:rPr>
          <w:szCs w:val="24"/>
        </w:rPr>
        <w:t>]</w:t>
      </w:r>
      <w:r w:rsidR="00DC4E19" w:rsidRPr="00262141">
        <w:rPr>
          <w:szCs w:val="24"/>
        </w:rPr>
        <w:t xml:space="preserve">). As such, the ESC considered that it was unlikely that the assumed HRs </w:t>
      </w:r>
      <w:r w:rsidRPr="00262141">
        <w:rPr>
          <w:szCs w:val="24"/>
        </w:rPr>
        <w:t>were an appropriate representation of</w:t>
      </w:r>
      <w:r w:rsidR="00DC4E19" w:rsidRPr="00262141">
        <w:rPr>
          <w:szCs w:val="24"/>
        </w:rPr>
        <w:t xml:space="preserve"> </w:t>
      </w:r>
      <w:r w:rsidR="00BA28A2" w:rsidRPr="00262141">
        <w:rPr>
          <w:szCs w:val="24"/>
        </w:rPr>
        <w:t>the clinical evidence.</w:t>
      </w:r>
    </w:p>
    <w:p w:rsidR="00F371D2" w:rsidRPr="00F371D2" w:rsidRDefault="004D66C1" w:rsidP="009C0DF6">
      <w:pPr>
        <w:pStyle w:val="ListParagraph"/>
        <w:keepNext/>
        <w:numPr>
          <w:ilvl w:val="1"/>
          <w:numId w:val="3"/>
        </w:numPr>
        <w:spacing w:before="0" w:after="60"/>
        <w:rPr>
          <w:rFonts w:ascii="Arial Narrow" w:hAnsi="Arial Narrow"/>
          <w:b/>
          <w:sz w:val="20"/>
        </w:rPr>
      </w:pPr>
      <w:r w:rsidRPr="00920F2D">
        <w:t>Table 7 below summarises the key components of the economic evaluation</w:t>
      </w:r>
      <w:r w:rsidRPr="004D66C1">
        <w:t>.</w:t>
      </w:r>
    </w:p>
    <w:p w:rsidR="00F371D2" w:rsidRPr="00F371D2" w:rsidRDefault="00F371D2" w:rsidP="00F371D2">
      <w:pPr>
        <w:pStyle w:val="ListParagraph"/>
        <w:keepNext/>
        <w:spacing w:before="0" w:after="60"/>
        <w:rPr>
          <w:rFonts w:ascii="Arial Narrow" w:hAnsi="Arial Narrow"/>
          <w:b/>
          <w:sz w:val="20"/>
        </w:rPr>
      </w:pPr>
    </w:p>
    <w:p w:rsidR="00175B20" w:rsidRDefault="00175B20" w:rsidP="00175B20">
      <w:pPr>
        <w:pStyle w:val="Caption"/>
      </w:pPr>
      <w:r>
        <w:t xml:space="preserve">Table </w:t>
      </w:r>
      <w:r>
        <w:rPr>
          <w:noProof/>
        </w:rPr>
        <w:t>7</w:t>
      </w:r>
      <w:r w:rsidRPr="007141C2">
        <w:t>: Summary of model structure and rationale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686"/>
        <w:gridCol w:w="3826"/>
      </w:tblGrid>
      <w:tr w:rsidR="004D66C1" w:rsidRPr="004D66C1" w:rsidTr="00422FD5">
        <w:trPr>
          <w:cantSplit/>
          <w:tblHeader/>
        </w:trPr>
        <w:tc>
          <w:tcPr>
            <w:tcW w:w="1555" w:type="dxa"/>
            <w:shd w:val="clear" w:color="auto" w:fill="auto"/>
          </w:tcPr>
          <w:p w:rsidR="004D66C1" w:rsidRPr="004D66C1" w:rsidRDefault="004D66C1" w:rsidP="009C0DF6">
            <w:pPr>
              <w:keepNext/>
              <w:spacing w:before="40" w:after="40"/>
              <w:rPr>
                <w:rFonts w:ascii="Arial Narrow" w:hAnsi="Arial Narrow"/>
                <w:b/>
                <w:sz w:val="20"/>
              </w:rPr>
            </w:pPr>
            <w:r w:rsidRPr="004D66C1">
              <w:rPr>
                <w:rFonts w:ascii="Arial Narrow" w:hAnsi="Arial Narrow"/>
                <w:b/>
                <w:sz w:val="20"/>
              </w:rPr>
              <w:t xml:space="preserve">Component </w:t>
            </w:r>
          </w:p>
        </w:tc>
        <w:tc>
          <w:tcPr>
            <w:tcW w:w="3686" w:type="dxa"/>
            <w:shd w:val="clear" w:color="auto" w:fill="auto"/>
          </w:tcPr>
          <w:p w:rsidR="004D66C1" w:rsidRPr="004D66C1" w:rsidRDefault="004D66C1" w:rsidP="009C0DF6">
            <w:pPr>
              <w:keepNext/>
              <w:spacing w:before="40" w:after="40"/>
              <w:rPr>
                <w:rFonts w:ascii="Arial Narrow" w:hAnsi="Arial Narrow"/>
                <w:b/>
                <w:sz w:val="20"/>
              </w:rPr>
            </w:pPr>
            <w:r w:rsidRPr="004D66C1">
              <w:rPr>
                <w:rFonts w:ascii="Arial Narrow" w:hAnsi="Arial Narrow"/>
                <w:b/>
                <w:sz w:val="20"/>
              </w:rPr>
              <w:t>Description</w:t>
            </w:r>
          </w:p>
        </w:tc>
        <w:tc>
          <w:tcPr>
            <w:tcW w:w="3826" w:type="dxa"/>
          </w:tcPr>
          <w:p w:rsidR="004D66C1" w:rsidRPr="004D66C1" w:rsidRDefault="004D66C1" w:rsidP="009C0DF6">
            <w:pPr>
              <w:keepNext/>
              <w:spacing w:before="40" w:after="40"/>
              <w:rPr>
                <w:rFonts w:ascii="Arial Narrow" w:hAnsi="Arial Narrow"/>
                <w:b/>
                <w:sz w:val="20"/>
              </w:rPr>
            </w:pPr>
            <w:r w:rsidRPr="004D66C1">
              <w:rPr>
                <w:rFonts w:ascii="Arial Narrow" w:hAnsi="Arial Narrow"/>
                <w:b/>
                <w:sz w:val="20"/>
              </w:rPr>
              <w:t>Rationale</w:t>
            </w:r>
            <w:r w:rsidRPr="00DE3F2B">
              <w:rPr>
                <w:rFonts w:ascii="Arial Narrow" w:hAnsi="Arial Narrow"/>
                <w:b/>
                <w:sz w:val="20"/>
              </w:rPr>
              <w:t>/comments</w:t>
            </w:r>
          </w:p>
        </w:tc>
      </w:tr>
      <w:tr w:rsidR="004D66C1" w:rsidRPr="004D66C1" w:rsidTr="00422FD5">
        <w:trPr>
          <w:cantSplit/>
        </w:trPr>
        <w:tc>
          <w:tcPr>
            <w:tcW w:w="1555" w:type="dxa"/>
            <w:shd w:val="clear" w:color="auto" w:fill="auto"/>
          </w:tcPr>
          <w:p w:rsidR="004D66C1" w:rsidRPr="004D66C1" w:rsidRDefault="004D66C1" w:rsidP="009C0DF6">
            <w:pPr>
              <w:keepNext/>
              <w:spacing w:before="40" w:after="40"/>
              <w:rPr>
                <w:rFonts w:ascii="Arial Narrow" w:hAnsi="Arial Narrow"/>
                <w:sz w:val="20"/>
              </w:rPr>
            </w:pPr>
            <w:r w:rsidRPr="004D66C1">
              <w:rPr>
                <w:rFonts w:ascii="Arial Narrow" w:hAnsi="Arial Narrow"/>
                <w:sz w:val="20"/>
              </w:rPr>
              <w:t xml:space="preserve">Type of analysis </w:t>
            </w:r>
          </w:p>
        </w:tc>
        <w:tc>
          <w:tcPr>
            <w:tcW w:w="3686" w:type="dxa"/>
            <w:shd w:val="clear" w:color="auto" w:fill="auto"/>
          </w:tcPr>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Cost-utility analysis</w:t>
            </w:r>
          </w:p>
        </w:tc>
        <w:tc>
          <w:tcPr>
            <w:tcW w:w="3826" w:type="dxa"/>
          </w:tcPr>
          <w:p w:rsidR="004D66C1" w:rsidRPr="00920F2D" w:rsidRDefault="004D66C1" w:rsidP="009C0DF6">
            <w:pPr>
              <w:keepNext/>
              <w:spacing w:before="40" w:after="40"/>
              <w:rPr>
                <w:rFonts w:ascii="Arial Narrow" w:hAnsi="Arial Narrow"/>
                <w:sz w:val="20"/>
              </w:rPr>
            </w:pPr>
            <w:r w:rsidRPr="00920F2D">
              <w:rPr>
                <w:rFonts w:ascii="Arial Narrow" w:hAnsi="Arial Narrow"/>
                <w:sz w:val="20"/>
              </w:rPr>
              <w:t>This would be reasonable if the superiority clinical claim (</w:t>
            </w:r>
            <w:proofErr w:type="spellStart"/>
            <w:r w:rsidRPr="00920F2D">
              <w:rPr>
                <w:rFonts w:ascii="Arial Narrow" w:hAnsi="Arial Narrow"/>
                <w:sz w:val="20"/>
              </w:rPr>
              <w:t>pembrolizumab</w:t>
            </w:r>
            <w:proofErr w:type="spellEnd"/>
            <w:r w:rsidRPr="00920F2D">
              <w:rPr>
                <w:rFonts w:ascii="Arial Narrow" w:hAnsi="Arial Narrow"/>
                <w:sz w:val="20"/>
              </w:rPr>
              <w:t xml:space="preserve"> vs BV) was accept</w:t>
            </w:r>
            <w:r w:rsidR="00F70D47" w:rsidRPr="00920F2D">
              <w:rPr>
                <w:rFonts w:ascii="Arial Narrow" w:hAnsi="Arial Narrow"/>
                <w:sz w:val="20"/>
              </w:rPr>
              <w:t>able</w:t>
            </w:r>
            <w:r w:rsidRPr="00920F2D">
              <w:rPr>
                <w:rFonts w:ascii="Arial Narrow" w:hAnsi="Arial Narrow"/>
                <w:sz w:val="20"/>
              </w:rPr>
              <w:t xml:space="preserve">. </w:t>
            </w:r>
          </w:p>
        </w:tc>
      </w:tr>
      <w:tr w:rsidR="004D66C1" w:rsidRPr="004D66C1" w:rsidTr="00422FD5">
        <w:trPr>
          <w:cantSplit/>
        </w:trPr>
        <w:tc>
          <w:tcPr>
            <w:tcW w:w="1555" w:type="dxa"/>
            <w:shd w:val="clear" w:color="auto" w:fill="auto"/>
          </w:tcPr>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Outcomes</w:t>
            </w:r>
          </w:p>
        </w:tc>
        <w:tc>
          <w:tcPr>
            <w:tcW w:w="3686" w:type="dxa"/>
            <w:shd w:val="clear" w:color="auto" w:fill="auto"/>
          </w:tcPr>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Quality-adjusted life years, life years</w:t>
            </w:r>
          </w:p>
        </w:tc>
        <w:tc>
          <w:tcPr>
            <w:tcW w:w="3826" w:type="dxa"/>
          </w:tcPr>
          <w:p w:rsidR="004D66C1" w:rsidRPr="00920F2D" w:rsidRDefault="004D66C1" w:rsidP="009C0DF6">
            <w:pPr>
              <w:keepNext/>
              <w:spacing w:before="40" w:after="40"/>
              <w:rPr>
                <w:rFonts w:ascii="Arial Narrow" w:hAnsi="Arial Narrow"/>
                <w:sz w:val="20"/>
              </w:rPr>
            </w:pPr>
            <w:r w:rsidRPr="00920F2D">
              <w:rPr>
                <w:rFonts w:ascii="Arial Narrow" w:hAnsi="Arial Narrow"/>
                <w:sz w:val="20"/>
              </w:rPr>
              <w:t>These are appropriate health outcomes for a cost-utility analysis.</w:t>
            </w:r>
          </w:p>
        </w:tc>
      </w:tr>
      <w:tr w:rsidR="004D66C1" w:rsidRPr="004D66C1" w:rsidTr="00422FD5">
        <w:trPr>
          <w:cantSplit/>
        </w:trPr>
        <w:tc>
          <w:tcPr>
            <w:tcW w:w="1555" w:type="dxa"/>
            <w:shd w:val="clear" w:color="auto" w:fill="auto"/>
          </w:tcPr>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Time horizon</w:t>
            </w:r>
          </w:p>
        </w:tc>
        <w:tc>
          <w:tcPr>
            <w:tcW w:w="3686" w:type="dxa"/>
            <w:shd w:val="clear" w:color="auto" w:fill="auto"/>
          </w:tcPr>
          <w:p w:rsidR="004D66C1" w:rsidRPr="004D66C1" w:rsidRDefault="004D66C1" w:rsidP="009C0DF6">
            <w:pPr>
              <w:keepNext/>
              <w:spacing w:before="40" w:after="40"/>
              <w:rPr>
                <w:rFonts w:ascii="Arial Narrow" w:hAnsi="Arial Narrow"/>
                <w:sz w:val="20"/>
              </w:rPr>
            </w:pPr>
            <w:r w:rsidRPr="004D66C1">
              <w:rPr>
                <w:rFonts w:ascii="Arial Narrow" w:hAnsi="Arial Narrow"/>
                <w:sz w:val="20"/>
              </w:rPr>
              <w:t>8 years in the base case of the model</w:t>
            </w:r>
          </w:p>
          <w:p w:rsidR="004D66C1" w:rsidRPr="004D66C1" w:rsidRDefault="004D66C1" w:rsidP="009C0DF6">
            <w:pPr>
              <w:keepNext/>
              <w:spacing w:before="40" w:after="40"/>
              <w:rPr>
                <w:rFonts w:ascii="Arial Narrow" w:hAnsi="Arial Narrow"/>
                <w:sz w:val="20"/>
              </w:rPr>
            </w:pPr>
            <w:r w:rsidRPr="004D66C1">
              <w:rPr>
                <w:rFonts w:ascii="Arial Narrow" w:hAnsi="Arial Narrow"/>
                <w:sz w:val="20"/>
              </w:rPr>
              <w:t>(</w:t>
            </w:r>
            <w:r w:rsidRPr="004D66C1">
              <w:rPr>
                <w:rFonts w:ascii="Arial Narrow" w:hAnsi="Arial Narrow"/>
                <w:i/>
                <w:sz w:val="20"/>
              </w:rPr>
              <w:t>vs</w:t>
            </w:r>
            <w:r w:rsidRPr="004D66C1">
              <w:rPr>
                <w:rFonts w:ascii="Arial Narrow" w:hAnsi="Arial Narrow"/>
                <w:sz w:val="20"/>
              </w:rPr>
              <w:t xml:space="preserve"> expected median follow-up of 2 years in the key trial of KN204)</w:t>
            </w:r>
          </w:p>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Sensitivity analyses: time horizons of 5 years and 10 years.</w:t>
            </w:r>
          </w:p>
        </w:tc>
        <w:tc>
          <w:tcPr>
            <w:tcW w:w="3826" w:type="dxa"/>
          </w:tcPr>
          <w:p w:rsidR="004D66C1" w:rsidRPr="00086091" w:rsidRDefault="004D66C1" w:rsidP="009C0DF6">
            <w:pPr>
              <w:keepNext/>
              <w:spacing w:before="40" w:after="40"/>
              <w:rPr>
                <w:rFonts w:ascii="Arial Narrow" w:hAnsi="Arial Narrow"/>
                <w:i/>
                <w:sz w:val="20"/>
              </w:rPr>
            </w:pPr>
            <w:r w:rsidRPr="00920F2D">
              <w:rPr>
                <w:rFonts w:ascii="Arial Narrow" w:hAnsi="Arial Narrow"/>
                <w:sz w:val="20"/>
              </w:rPr>
              <w:t xml:space="preserve">An 8-year time horizon was considered appropriate by the PBAC when the Committee considered the BV submission at the March 2015 PBAC meeting. </w:t>
            </w:r>
          </w:p>
        </w:tc>
      </w:tr>
      <w:tr w:rsidR="004D66C1" w:rsidRPr="004D66C1" w:rsidTr="00422FD5">
        <w:trPr>
          <w:cantSplit/>
        </w:trPr>
        <w:tc>
          <w:tcPr>
            <w:tcW w:w="1555" w:type="dxa"/>
            <w:shd w:val="clear" w:color="auto" w:fill="auto"/>
          </w:tcPr>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Methods used to generate results</w:t>
            </w:r>
          </w:p>
        </w:tc>
        <w:tc>
          <w:tcPr>
            <w:tcW w:w="3686" w:type="dxa"/>
            <w:shd w:val="clear" w:color="auto" w:fill="auto"/>
          </w:tcPr>
          <w:p w:rsidR="004D66C1" w:rsidRPr="004D66C1" w:rsidRDefault="004D66C1" w:rsidP="009C0DF6">
            <w:pPr>
              <w:keepNext/>
              <w:spacing w:before="40" w:after="40"/>
              <w:rPr>
                <w:rFonts w:ascii="Arial Narrow" w:hAnsi="Arial Narrow"/>
                <w:sz w:val="20"/>
              </w:rPr>
            </w:pPr>
            <w:r w:rsidRPr="004D66C1">
              <w:rPr>
                <w:rFonts w:ascii="Arial Narrow" w:hAnsi="Arial Narrow"/>
                <w:sz w:val="20"/>
              </w:rPr>
              <w:t>Cohort expected value, partitioned survival analysis (</w:t>
            </w:r>
            <w:r w:rsidR="00553E7A" w:rsidRPr="004D66C1">
              <w:rPr>
                <w:rFonts w:ascii="Arial Narrow" w:hAnsi="Arial Narrow"/>
                <w:i/>
                <w:sz w:val="20"/>
              </w:rPr>
              <w:t>i.e.</w:t>
            </w:r>
            <w:r w:rsidRPr="004D66C1">
              <w:rPr>
                <w:rFonts w:ascii="Arial Narrow" w:hAnsi="Arial Narrow"/>
                <w:sz w:val="20"/>
              </w:rPr>
              <w:t xml:space="preserve"> area under the curve)</w:t>
            </w:r>
          </w:p>
        </w:tc>
        <w:tc>
          <w:tcPr>
            <w:tcW w:w="3826" w:type="dxa"/>
          </w:tcPr>
          <w:p w:rsidR="004D66C1" w:rsidRPr="00920F2D" w:rsidRDefault="004D66C1" w:rsidP="009C0DF6">
            <w:pPr>
              <w:keepNext/>
              <w:spacing w:before="40" w:after="40"/>
              <w:rPr>
                <w:rFonts w:ascii="Arial Narrow" w:hAnsi="Arial Narrow"/>
                <w:sz w:val="20"/>
              </w:rPr>
            </w:pPr>
            <w:r w:rsidRPr="00920F2D">
              <w:rPr>
                <w:rFonts w:ascii="Arial Narrow" w:hAnsi="Arial Narrow"/>
                <w:sz w:val="20"/>
              </w:rPr>
              <w:t xml:space="preserve">This is reasonable. </w:t>
            </w:r>
          </w:p>
        </w:tc>
      </w:tr>
      <w:tr w:rsidR="004D66C1" w:rsidRPr="004D66C1" w:rsidTr="00422FD5">
        <w:trPr>
          <w:cantSplit/>
        </w:trPr>
        <w:tc>
          <w:tcPr>
            <w:tcW w:w="1555" w:type="dxa"/>
            <w:shd w:val="clear" w:color="auto" w:fill="auto"/>
          </w:tcPr>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Health states</w:t>
            </w:r>
          </w:p>
        </w:tc>
        <w:tc>
          <w:tcPr>
            <w:tcW w:w="3686" w:type="dxa"/>
            <w:shd w:val="clear" w:color="auto" w:fill="auto"/>
          </w:tcPr>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Progression-free, progressive disease and death</w:t>
            </w:r>
          </w:p>
        </w:tc>
        <w:tc>
          <w:tcPr>
            <w:tcW w:w="3826" w:type="dxa"/>
          </w:tcPr>
          <w:p w:rsidR="004D66C1" w:rsidRPr="00920F2D" w:rsidRDefault="004D66C1" w:rsidP="009C0DF6">
            <w:pPr>
              <w:keepNext/>
              <w:spacing w:before="40" w:after="40"/>
              <w:rPr>
                <w:rFonts w:ascii="Arial Narrow" w:hAnsi="Arial Narrow"/>
                <w:sz w:val="20"/>
              </w:rPr>
            </w:pPr>
            <w:r w:rsidRPr="00920F2D">
              <w:rPr>
                <w:rFonts w:ascii="Arial Narrow" w:hAnsi="Arial Narrow"/>
                <w:sz w:val="20"/>
              </w:rPr>
              <w:t xml:space="preserve">This is reasonable. </w:t>
            </w:r>
          </w:p>
        </w:tc>
      </w:tr>
      <w:tr w:rsidR="004D66C1" w:rsidRPr="004D66C1" w:rsidTr="00422FD5">
        <w:trPr>
          <w:cantSplit/>
          <w:trHeight w:val="460"/>
        </w:trPr>
        <w:tc>
          <w:tcPr>
            <w:tcW w:w="1555" w:type="dxa"/>
            <w:shd w:val="clear" w:color="auto" w:fill="auto"/>
          </w:tcPr>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Cycle length</w:t>
            </w:r>
          </w:p>
        </w:tc>
        <w:tc>
          <w:tcPr>
            <w:tcW w:w="3686" w:type="dxa"/>
            <w:shd w:val="clear" w:color="auto" w:fill="auto"/>
          </w:tcPr>
          <w:p w:rsidR="004D66C1" w:rsidRPr="004D66C1" w:rsidRDefault="004D66C1" w:rsidP="009C0DF6">
            <w:pPr>
              <w:keepNext/>
              <w:spacing w:before="40" w:after="40"/>
              <w:rPr>
                <w:rFonts w:ascii="Times" w:eastAsia="Times New Roman" w:hAnsi="Times" w:cs="Times New Roman"/>
                <w:sz w:val="20"/>
                <w:szCs w:val="20"/>
                <w:lang w:val="en-US"/>
              </w:rPr>
            </w:pPr>
            <w:r w:rsidRPr="004D66C1">
              <w:rPr>
                <w:rFonts w:ascii="Arial Narrow" w:hAnsi="Arial Narrow"/>
                <w:sz w:val="20"/>
              </w:rPr>
              <w:t>3 weeks</w:t>
            </w:r>
          </w:p>
        </w:tc>
        <w:tc>
          <w:tcPr>
            <w:tcW w:w="3826" w:type="dxa"/>
          </w:tcPr>
          <w:p w:rsidR="004D66C1" w:rsidRPr="00920F2D" w:rsidRDefault="004D66C1" w:rsidP="009C0DF6">
            <w:pPr>
              <w:keepNext/>
              <w:spacing w:before="40" w:after="40"/>
              <w:rPr>
                <w:rFonts w:ascii="Arial Narrow" w:hAnsi="Arial Narrow"/>
                <w:sz w:val="20"/>
              </w:rPr>
            </w:pPr>
            <w:r w:rsidRPr="00920F2D">
              <w:rPr>
                <w:rFonts w:ascii="Arial Narrow" w:hAnsi="Arial Narrow"/>
                <w:sz w:val="20"/>
              </w:rPr>
              <w:t xml:space="preserve">This is appropriate and consistent with the treatment cycle for both </w:t>
            </w:r>
            <w:proofErr w:type="spellStart"/>
            <w:r w:rsidRPr="00920F2D">
              <w:rPr>
                <w:rFonts w:ascii="Arial Narrow" w:hAnsi="Arial Narrow"/>
                <w:sz w:val="20"/>
              </w:rPr>
              <w:t>pembrolizumab</w:t>
            </w:r>
            <w:proofErr w:type="spellEnd"/>
            <w:r w:rsidRPr="00920F2D">
              <w:rPr>
                <w:rFonts w:ascii="Arial Narrow" w:hAnsi="Arial Narrow"/>
                <w:sz w:val="20"/>
              </w:rPr>
              <w:t xml:space="preserve"> and BV.</w:t>
            </w:r>
            <w:r w:rsidR="00576525" w:rsidRPr="00920F2D">
              <w:rPr>
                <w:rFonts w:ascii="Arial Narrow" w:hAnsi="Arial Narrow"/>
                <w:sz w:val="20"/>
              </w:rPr>
              <w:t xml:space="preserve"> Note</w:t>
            </w:r>
            <w:proofErr w:type="gramStart"/>
            <w:r w:rsidR="00576525" w:rsidRPr="00920F2D">
              <w:rPr>
                <w:rFonts w:ascii="Arial Narrow" w:hAnsi="Arial Narrow"/>
                <w:sz w:val="20"/>
              </w:rPr>
              <w:t>,</w:t>
            </w:r>
            <w:proofErr w:type="gramEnd"/>
            <w:r w:rsidR="00576525" w:rsidRPr="00920F2D">
              <w:rPr>
                <w:rFonts w:ascii="Arial Narrow" w:hAnsi="Arial Narrow"/>
                <w:sz w:val="20"/>
              </w:rPr>
              <w:t xml:space="preserve"> the model</w:t>
            </w:r>
            <w:r w:rsidRPr="00920F2D">
              <w:rPr>
                <w:rFonts w:ascii="Arial Narrow" w:hAnsi="Arial Narrow"/>
                <w:sz w:val="20"/>
              </w:rPr>
              <w:t xml:space="preserve"> </w:t>
            </w:r>
            <w:r w:rsidR="00576525" w:rsidRPr="00920F2D">
              <w:rPr>
                <w:rFonts w:ascii="Arial Narrow" w:hAnsi="Arial Narrow"/>
                <w:sz w:val="20"/>
              </w:rPr>
              <w:t>incorrectly used a cycle length of 1 month</w:t>
            </w:r>
            <w:r w:rsidR="001729AE" w:rsidRPr="00920F2D">
              <w:rPr>
                <w:rFonts w:ascii="Arial Narrow" w:hAnsi="Arial Narrow"/>
                <w:sz w:val="20"/>
              </w:rPr>
              <w:t xml:space="preserve"> in calculating the accumulative costs and/or health outcomes over the model time horizon</w:t>
            </w:r>
            <w:r w:rsidR="008C0AB4" w:rsidRPr="00920F2D">
              <w:rPr>
                <w:rFonts w:ascii="Arial Narrow" w:hAnsi="Arial Narrow"/>
                <w:sz w:val="20"/>
              </w:rPr>
              <w:t>. Results were corrected during the evaluation (see Table 9).</w:t>
            </w:r>
          </w:p>
        </w:tc>
      </w:tr>
      <w:tr w:rsidR="004D66C1" w:rsidRPr="004D66C1" w:rsidTr="00422FD5">
        <w:trPr>
          <w:cantSplit/>
          <w:trHeight w:val="460"/>
        </w:trPr>
        <w:tc>
          <w:tcPr>
            <w:tcW w:w="1555" w:type="dxa"/>
            <w:shd w:val="clear" w:color="auto" w:fill="auto"/>
          </w:tcPr>
          <w:p w:rsidR="004D66C1" w:rsidRPr="004D66C1" w:rsidRDefault="004D66C1" w:rsidP="009C0DF6">
            <w:pPr>
              <w:keepNext/>
              <w:spacing w:before="40" w:after="40"/>
              <w:rPr>
                <w:rFonts w:ascii="Arial Narrow" w:hAnsi="Arial Narrow"/>
                <w:sz w:val="20"/>
              </w:rPr>
            </w:pPr>
            <w:r w:rsidRPr="004D66C1">
              <w:rPr>
                <w:rFonts w:ascii="Arial Narrow" w:hAnsi="Arial Narrow"/>
                <w:sz w:val="20"/>
              </w:rPr>
              <w:t>Utilities</w:t>
            </w:r>
          </w:p>
        </w:tc>
        <w:tc>
          <w:tcPr>
            <w:tcW w:w="3686" w:type="dxa"/>
            <w:shd w:val="clear" w:color="auto" w:fill="auto"/>
          </w:tcPr>
          <w:p w:rsidR="004D66C1" w:rsidRPr="004D66C1" w:rsidRDefault="004D66C1" w:rsidP="009C0DF6">
            <w:pPr>
              <w:keepNext/>
              <w:spacing w:before="40" w:after="40"/>
              <w:rPr>
                <w:rFonts w:ascii="Arial Narrow" w:hAnsi="Arial Narrow"/>
                <w:sz w:val="20"/>
              </w:rPr>
            </w:pPr>
            <w:r w:rsidRPr="004D66C1">
              <w:rPr>
                <w:rFonts w:ascii="Arial Narrow" w:hAnsi="Arial Narrow"/>
                <w:sz w:val="20"/>
              </w:rPr>
              <w:t>Utility values applied to the PFS and PD health states in the base case economic model were sourced from the EQ-5D utility scores measured at Week 12 in Study KN087.</w:t>
            </w:r>
          </w:p>
        </w:tc>
        <w:tc>
          <w:tcPr>
            <w:tcW w:w="3826" w:type="dxa"/>
          </w:tcPr>
          <w:p w:rsidR="004D66C1" w:rsidRPr="00920F2D" w:rsidRDefault="004D66C1" w:rsidP="009C0DF6">
            <w:pPr>
              <w:keepNext/>
              <w:spacing w:before="40" w:after="40"/>
              <w:rPr>
                <w:rFonts w:ascii="Arial Narrow" w:hAnsi="Arial Narrow"/>
                <w:sz w:val="20"/>
              </w:rPr>
            </w:pPr>
            <w:r w:rsidRPr="00920F2D">
              <w:rPr>
                <w:rFonts w:ascii="Arial Narrow" w:hAnsi="Arial Narrow"/>
                <w:sz w:val="20"/>
              </w:rPr>
              <w:t xml:space="preserve">KN087 subjects may be more heavily pre-treated than the proposed PBS population and the majority of patients had received BV before enrolment. </w:t>
            </w:r>
            <w:r w:rsidR="00576525" w:rsidRPr="00920F2D">
              <w:rPr>
                <w:rFonts w:ascii="Arial Narrow" w:hAnsi="Arial Narrow"/>
                <w:sz w:val="20"/>
              </w:rPr>
              <w:t>T</w:t>
            </w:r>
            <w:r w:rsidRPr="00920F2D">
              <w:rPr>
                <w:rFonts w:ascii="Arial Narrow" w:hAnsi="Arial Narrow"/>
                <w:sz w:val="20"/>
              </w:rPr>
              <w:t>herefore</w:t>
            </w:r>
            <w:r w:rsidR="00576525" w:rsidRPr="00920F2D">
              <w:rPr>
                <w:rFonts w:ascii="Arial Narrow" w:hAnsi="Arial Narrow"/>
                <w:sz w:val="20"/>
              </w:rPr>
              <w:t>,</w:t>
            </w:r>
            <w:r w:rsidRPr="00920F2D">
              <w:rPr>
                <w:rFonts w:ascii="Arial Narrow" w:hAnsi="Arial Narrow"/>
                <w:sz w:val="20"/>
              </w:rPr>
              <w:t xml:space="preserve"> the EQ-5D utility values observed from KN087 study may not be applicable to the proposed PBS population. In addition, EQ-5D utility scores measured at a single time point of the study from a small number of patients before and after disease progression may not represent the overall utility weights for patients in the PFS and progressive health states, respectively.</w:t>
            </w:r>
          </w:p>
        </w:tc>
      </w:tr>
      <w:tr w:rsidR="004D66C1" w:rsidRPr="004D66C1" w:rsidTr="00422FD5">
        <w:trPr>
          <w:cantSplit/>
        </w:trPr>
        <w:tc>
          <w:tcPr>
            <w:tcW w:w="1555" w:type="dxa"/>
            <w:shd w:val="clear" w:color="auto" w:fill="auto"/>
          </w:tcPr>
          <w:p w:rsidR="004D66C1" w:rsidRPr="004D66C1" w:rsidRDefault="004D66C1" w:rsidP="009C0DF6">
            <w:pPr>
              <w:keepNext/>
              <w:spacing w:before="40" w:after="40"/>
              <w:rPr>
                <w:rFonts w:ascii="Arial Narrow" w:hAnsi="Arial Narrow"/>
                <w:sz w:val="20"/>
              </w:rPr>
            </w:pPr>
            <w:r w:rsidRPr="004D66C1">
              <w:rPr>
                <w:rFonts w:ascii="Arial Narrow" w:hAnsi="Arial Narrow"/>
                <w:sz w:val="20"/>
              </w:rPr>
              <w:t xml:space="preserve">Transition probability </w:t>
            </w:r>
          </w:p>
        </w:tc>
        <w:tc>
          <w:tcPr>
            <w:tcW w:w="3686" w:type="dxa"/>
            <w:shd w:val="clear" w:color="auto" w:fill="auto"/>
          </w:tcPr>
          <w:p w:rsidR="004D66C1" w:rsidRPr="004D66C1" w:rsidRDefault="004D66C1" w:rsidP="009C0DF6">
            <w:pPr>
              <w:keepNext/>
              <w:spacing w:before="40" w:after="40"/>
              <w:rPr>
                <w:rFonts w:ascii="Arial Narrow" w:hAnsi="Arial Narrow"/>
                <w:sz w:val="20"/>
              </w:rPr>
            </w:pPr>
            <w:r w:rsidRPr="004D66C1">
              <w:rPr>
                <w:rFonts w:ascii="Arial Narrow" w:hAnsi="Arial Narrow"/>
                <w:sz w:val="20"/>
              </w:rPr>
              <w:t xml:space="preserve">PFS and OS data were the basis for determining the proportions of patients remaining in the PFS health state and death health state, respectively, per cycle. The proportion of patients in the progressive disease state was assumed to be the difference between OS and PFS. The PFS and OS estimates were determined by: </w:t>
            </w:r>
          </w:p>
          <w:p w:rsidR="004D66C1" w:rsidRPr="004D66C1" w:rsidRDefault="004D66C1" w:rsidP="00262141">
            <w:pPr>
              <w:keepNext/>
              <w:numPr>
                <w:ilvl w:val="0"/>
                <w:numId w:val="10"/>
              </w:numPr>
              <w:spacing w:before="40" w:after="40"/>
              <w:ind w:left="459"/>
              <w:rPr>
                <w:rFonts w:ascii="Arial Narrow" w:hAnsi="Arial Narrow"/>
                <w:sz w:val="20"/>
              </w:rPr>
            </w:pPr>
            <w:proofErr w:type="spellStart"/>
            <w:r w:rsidRPr="004D66C1">
              <w:rPr>
                <w:rFonts w:ascii="Arial Narrow" w:hAnsi="Arial Narrow"/>
                <w:sz w:val="20"/>
              </w:rPr>
              <w:t>Pembrolizumab</w:t>
            </w:r>
            <w:proofErr w:type="spellEnd"/>
            <w:r w:rsidRPr="004D66C1">
              <w:rPr>
                <w:rFonts w:ascii="Arial Narrow" w:hAnsi="Arial Narrow"/>
                <w:sz w:val="20"/>
              </w:rPr>
              <w:t xml:space="preserve"> arm: applying assumed HRs to PFS and OS estimates from the BV 0003 study for the first 2 years. Then the </w:t>
            </w:r>
            <w:proofErr w:type="spellStart"/>
            <w:r w:rsidRPr="004D66C1">
              <w:rPr>
                <w:rFonts w:ascii="Arial Narrow" w:hAnsi="Arial Narrow"/>
                <w:sz w:val="20"/>
              </w:rPr>
              <w:t>pembrolizumab</w:t>
            </w:r>
            <w:proofErr w:type="spellEnd"/>
            <w:r w:rsidRPr="004D66C1">
              <w:rPr>
                <w:rFonts w:ascii="Arial Narrow" w:hAnsi="Arial Narrow"/>
                <w:sz w:val="20"/>
              </w:rPr>
              <w:t xml:space="preserve"> survival curves converged towards the BV curves from Year 3 to Year 8.</w:t>
            </w:r>
          </w:p>
          <w:p w:rsidR="004D66C1" w:rsidRPr="004D66C1" w:rsidRDefault="004D66C1" w:rsidP="00262141">
            <w:pPr>
              <w:keepNext/>
              <w:numPr>
                <w:ilvl w:val="0"/>
                <w:numId w:val="10"/>
              </w:numPr>
              <w:spacing w:before="40" w:after="40"/>
              <w:ind w:left="459"/>
              <w:rPr>
                <w:rFonts w:ascii="Arial Narrow" w:hAnsi="Arial Narrow"/>
                <w:sz w:val="20"/>
              </w:rPr>
            </w:pPr>
            <w:r w:rsidRPr="004D66C1">
              <w:rPr>
                <w:rFonts w:ascii="Arial Narrow" w:hAnsi="Arial Narrow"/>
                <w:sz w:val="20"/>
              </w:rPr>
              <w:t xml:space="preserve">BV arm: using 5-year survival data from Study 0003. The survival curves were extrapolated to the 8-year time horizon using parametric survival functions. </w:t>
            </w:r>
          </w:p>
        </w:tc>
        <w:tc>
          <w:tcPr>
            <w:tcW w:w="3826" w:type="dxa"/>
          </w:tcPr>
          <w:p w:rsidR="004D66C1" w:rsidRPr="00920F2D" w:rsidRDefault="004D66C1" w:rsidP="009C0DF6">
            <w:pPr>
              <w:keepNext/>
              <w:spacing w:before="40" w:after="40"/>
              <w:rPr>
                <w:rFonts w:ascii="Arial Narrow" w:hAnsi="Arial Narrow"/>
                <w:sz w:val="20"/>
              </w:rPr>
            </w:pPr>
            <w:r w:rsidRPr="00920F2D">
              <w:rPr>
                <w:rFonts w:ascii="Arial Narrow" w:hAnsi="Arial Narrow"/>
                <w:sz w:val="20"/>
              </w:rPr>
              <w:t xml:space="preserve">The use of an assumed comparative treatment effect of </w:t>
            </w:r>
            <w:proofErr w:type="spellStart"/>
            <w:r w:rsidRPr="00920F2D">
              <w:rPr>
                <w:rFonts w:ascii="Arial Narrow" w:hAnsi="Arial Narrow"/>
                <w:sz w:val="20"/>
              </w:rPr>
              <w:t>pembrolizumab</w:t>
            </w:r>
            <w:proofErr w:type="spellEnd"/>
            <w:r w:rsidRPr="00920F2D">
              <w:rPr>
                <w:rFonts w:ascii="Arial Narrow" w:hAnsi="Arial Narrow"/>
                <w:sz w:val="20"/>
              </w:rPr>
              <w:t xml:space="preserve"> relative to BV is the main economic uncertainty. In addition, it is unknown whether the BV survival estimates reported in Study 0003 are applicable to the Australian target population, as this study did not recruit a proportion of patients who were ineligible for ASCT. </w:t>
            </w:r>
          </w:p>
        </w:tc>
      </w:tr>
    </w:tbl>
    <w:p w:rsidR="004D66C1" w:rsidRPr="00A120D7" w:rsidRDefault="004D66C1" w:rsidP="009C0DF6">
      <w:pPr>
        <w:spacing w:before="0" w:after="120"/>
        <w:contextualSpacing/>
        <w:rPr>
          <w:rFonts w:ascii="Arial Narrow" w:eastAsia="Times New Roman" w:hAnsi="Arial Narrow" w:cs="Arial"/>
          <w:snapToGrid w:val="0"/>
          <w:sz w:val="18"/>
          <w:szCs w:val="20"/>
        </w:rPr>
      </w:pPr>
      <w:r w:rsidRPr="00A120D7">
        <w:rPr>
          <w:rFonts w:ascii="Arial Narrow" w:eastAsia="Times New Roman" w:hAnsi="Arial Narrow" w:cs="Arial"/>
          <w:snapToGrid w:val="0"/>
          <w:sz w:val="18"/>
          <w:szCs w:val="20"/>
        </w:rPr>
        <w:t xml:space="preserve">ASCT = autologous stem cell transplantation; BV = </w:t>
      </w:r>
      <w:proofErr w:type="spellStart"/>
      <w:r w:rsidRPr="00A120D7">
        <w:rPr>
          <w:rFonts w:ascii="Arial Narrow" w:eastAsia="Times New Roman" w:hAnsi="Arial Narrow" w:cs="Arial"/>
          <w:snapToGrid w:val="0"/>
          <w:sz w:val="18"/>
          <w:szCs w:val="20"/>
        </w:rPr>
        <w:t>brentuximab</w:t>
      </w:r>
      <w:proofErr w:type="spellEnd"/>
      <w:r w:rsidRPr="00A120D7">
        <w:rPr>
          <w:rFonts w:ascii="Arial Narrow" w:eastAsia="Times New Roman" w:hAnsi="Arial Narrow" w:cs="Arial"/>
          <w:snapToGrid w:val="0"/>
          <w:sz w:val="18"/>
          <w:szCs w:val="20"/>
        </w:rPr>
        <w:t xml:space="preserve"> </w:t>
      </w:r>
      <w:proofErr w:type="spellStart"/>
      <w:r w:rsidRPr="00A120D7">
        <w:rPr>
          <w:rFonts w:ascii="Arial Narrow" w:eastAsia="Times New Roman" w:hAnsi="Arial Narrow" w:cs="Arial"/>
          <w:snapToGrid w:val="0"/>
          <w:sz w:val="18"/>
          <w:szCs w:val="20"/>
        </w:rPr>
        <w:t>vedotin</w:t>
      </w:r>
      <w:proofErr w:type="spellEnd"/>
      <w:r w:rsidRPr="00A120D7">
        <w:rPr>
          <w:rFonts w:ascii="Arial Narrow" w:eastAsia="Times New Roman" w:hAnsi="Arial Narrow" w:cs="Arial"/>
          <w:snapToGrid w:val="0"/>
          <w:sz w:val="18"/>
          <w:szCs w:val="20"/>
        </w:rPr>
        <w:t>; OS = overall survival; PD = progressive disease; PFS = progression-free survival</w:t>
      </w:r>
    </w:p>
    <w:p w:rsidR="004D66C1" w:rsidRPr="00A120D7" w:rsidRDefault="004D66C1" w:rsidP="009C0DF6">
      <w:pPr>
        <w:spacing w:before="0" w:after="120"/>
        <w:contextualSpacing/>
        <w:rPr>
          <w:rFonts w:ascii="Arial Narrow" w:eastAsia="Times New Roman" w:hAnsi="Arial Narrow" w:cs="Arial"/>
          <w:snapToGrid w:val="0"/>
          <w:sz w:val="18"/>
          <w:szCs w:val="20"/>
        </w:rPr>
      </w:pPr>
      <w:r w:rsidRPr="00A120D7">
        <w:rPr>
          <w:rFonts w:ascii="Arial Narrow" w:eastAsia="Times New Roman" w:hAnsi="Arial Narrow" w:cs="Arial"/>
          <w:snapToGrid w:val="0"/>
          <w:sz w:val="18"/>
          <w:szCs w:val="20"/>
        </w:rPr>
        <w:t>Source: Table 3A.1.1, p106 of the submission</w:t>
      </w:r>
    </w:p>
    <w:p w:rsidR="004D66C1" w:rsidRPr="00A120D7" w:rsidRDefault="004D66C1" w:rsidP="009C0DF6">
      <w:pPr>
        <w:pStyle w:val="ListParagraph"/>
        <w:numPr>
          <w:ilvl w:val="1"/>
          <w:numId w:val="3"/>
        </w:numPr>
        <w:spacing w:before="0" w:after="120"/>
      </w:pPr>
      <w:r w:rsidRPr="00A120D7">
        <w:t>The key drivers of the model are summarised in Table 8 below.</w:t>
      </w:r>
    </w:p>
    <w:p w:rsidR="00175B20" w:rsidRDefault="00175B20" w:rsidP="00175B20">
      <w:pPr>
        <w:pStyle w:val="Caption"/>
      </w:pPr>
      <w:r>
        <w:t xml:space="preserve">Table </w:t>
      </w:r>
      <w:r>
        <w:rPr>
          <w:noProof/>
        </w:rPr>
        <w:t>8</w:t>
      </w:r>
      <w:r w:rsidRPr="004E4909">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4"/>
        <w:gridCol w:w="5244"/>
        <w:gridCol w:w="1684"/>
      </w:tblGrid>
      <w:tr w:rsidR="004D66C1" w:rsidRPr="00A120D7" w:rsidTr="006F2B5F">
        <w:trPr>
          <w:tblHeader/>
        </w:trPr>
        <w:tc>
          <w:tcPr>
            <w:tcW w:w="1186" w:type="pct"/>
            <w:shd w:val="clear" w:color="auto" w:fill="auto"/>
            <w:vAlign w:val="center"/>
          </w:tcPr>
          <w:p w:rsidR="004D66C1" w:rsidRPr="00A120D7" w:rsidRDefault="004D66C1" w:rsidP="009C0DF6">
            <w:pPr>
              <w:pStyle w:val="TableText"/>
              <w:rPr>
                <w:b/>
              </w:rPr>
            </w:pPr>
            <w:r w:rsidRPr="00A120D7">
              <w:rPr>
                <w:b/>
              </w:rPr>
              <w:t>Description</w:t>
            </w:r>
          </w:p>
        </w:tc>
        <w:tc>
          <w:tcPr>
            <w:tcW w:w="2887" w:type="pct"/>
            <w:shd w:val="clear" w:color="auto" w:fill="auto"/>
            <w:vAlign w:val="center"/>
          </w:tcPr>
          <w:p w:rsidR="004D66C1" w:rsidRPr="00A120D7" w:rsidRDefault="004D66C1" w:rsidP="009C0DF6">
            <w:pPr>
              <w:pStyle w:val="TableText"/>
              <w:rPr>
                <w:b/>
              </w:rPr>
            </w:pPr>
            <w:r w:rsidRPr="00A120D7">
              <w:rPr>
                <w:b/>
              </w:rPr>
              <w:t>Method/Value</w:t>
            </w:r>
          </w:p>
        </w:tc>
        <w:tc>
          <w:tcPr>
            <w:tcW w:w="927" w:type="pct"/>
            <w:shd w:val="clear" w:color="auto" w:fill="auto"/>
            <w:vAlign w:val="center"/>
          </w:tcPr>
          <w:p w:rsidR="004D66C1" w:rsidRPr="00A120D7" w:rsidRDefault="004D66C1" w:rsidP="009C0DF6">
            <w:pPr>
              <w:pStyle w:val="TableText"/>
              <w:rPr>
                <w:b/>
              </w:rPr>
            </w:pPr>
            <w:r w:rsidRPr="00A120D7">
              <w:rPr>
                <w:b/>
              </w:rPr>
              <w:t>Impact</w:t>
            </w:r>
          </w:p>
        </w:tc>
      </w:tr>
      <w:tr w:rsidR="004D66C1" w:rsidRPr="00A120D7" w:rsidTr="006F2B5F">
        <w:trPr>
          <w:trHeight w:val="244"/>
        </w:trPr>
        <w:tc>
          <w:tcPr>
            <w:tcW w:w="1186" w:type="pct"/>
            <w:shd w:val="clear" w:color="auto" w:fill="auto"/>
            <w:vAlign w:val="center"/>
          </w:tcPr>
          <w:p w:rsidR="004D66C1" w:rsidRPr="00A120D7" w:rsidRDefault="004D66C1" w:rsidP="009C0DF6">
            <w:pPr>
              <w:pStyle w:val="TableText"/>
              <w:ind w:right="182"/>
            </w:pPr>
            <w:r w:rsidRPr="00A120D7">
              <w:t>Drug  costs for BV (including the price of BV and the number of cycles of BV)</w:t>
            </w:r>
          </w:p>
        </w:tc>
        <w:tc>
          <w:tcPr>
            <w:tcW w:w="2887" w:type="pct"/>
            <w:shd w:val="clear" w:color="auto" w:fill="auto"/>
            <w:vAlign w:val="center"/>
          </w:tcPr>
          <w:p w:rsidR="004D66C1" w:rsidRPr="00A120D7" w:rsidRDefault="004D66C1" w:rsidP="009C0DF6">
            <w:pPr>
              <w:pStyle w:val="TableText"/>
              <w:ind w:right="183"/>
            </w:pPr>
            <w:r w:rsidRPr="00A120D7">
              <w:t>Published BV price was used in the model</w:t>
            </w:r>
          </w:p>
          <w:p w:rsidR="004D66C1" w:rsidRPr="00A120D7" w:rsidRDefault="004D66C1" w:rsidP="009C0DF6">
            <w:pPr>
              <w:pStyle w:val="TableText"/>
              <w:ind w:right="183"/>
            </w:pPr>
            <w:r w:rsidRPr="00A120D7">
              <w:t xml:space="preserve">The number of BV cycles was estimated by assuming that patients would receive BV for a maximum number of cycles (16) unless they experienced disease progression (determined on the basis of the PFS curve in Study 0003) earlier </w:t>
            </w:r>
          </w:p>
        </w:tc>
        <w:tc>
          <w:tcPr>
            <w:tcW w:w="927" w:type="pct"/>
            <w:shd w:val="clear" w:color="auto" w:fill="auto"/>
            <w:vAlign w:val="center"/>
          </w:tcPr>
          <w:p w:rsidR="004D66C1" w:rsidRPr="00A120D7" w:rsidRDefault="004D66C1" w:rsidP="009C0DF6">
            <w:pPr>
              <w:pStyle w:val="TableText"/>
            </w:pPr>
            <w:r w:rsidRPr="00A120D7">
              <w:t>High, favours BV</w:t>
            </w:r>
          </w:p>
        </w:tc>
      </w:tr>
      <w:tr w:rsidR="00246644" w:rsidRPr="00A120D7" w:rsidTr="006F2B5F">
        <w:trPr>
          <w:trHeight w:val="244"/>
        </w:trPr>
        <w:tc>
          <w:tcPr>
            <w:tcW w:w="1186" w:type="pct"/>
            <w:shd w:val="clear" w:color="auto" w:fill="auto"/>
            <w:vAlign w:val="center"/>
          </w:tcPr>
          <w:p w:rsidR="00246644" w:rsidRPr="00A120D7" w:rsidRDefault="00246644" w:rsidP="009C0DF6">
            <w:pPr>
              <w:pStyle w:val="TableText"/>
              <w:ind w:right="182"/>
            </w:pPr>
            <w:r w:rsidRPr="00A120D7">
              <w:t xml:space="preserve">Hazard ratio of PFS for </w:t>
            </w:r>
            <w:proofErr w:type="spellStart"/>
            <w:r w:rsidRPr="00A120D7">
              <w:t>pembrolizumab</w:t>
            </w:r>
            <w:proofErr w:type="spellEnd"/>
            <w:r w:rsidRPr="00A120D7">
              <w:t xml:space="preserve"> over BV</w:t>
            </w:r>
          </w:p>
        </w:tc>
        <w:tc>
          <w:tcPr>
            <w:tcW w:w="2887" w:type="pct"/>
            <w:shd w:val="clear" w:color="auto" w:fill="auto"/>
            <w:vAlign w:val="center"/>
          </w:tcPr>
          <w:p w:rsidR="00246644" w:rsidRPr="00A120D7" w:rsidRDefault="00246644" w:rsidP="009C0DF6">
            <w:pPr>
              <w:pStyle w:val="TableText"/>
              <w:ind w:right="183"/>
            </w:pPr>
            <w:r w:rsidRPr="00A120D7">
              <w:t xml:space="preserve">Assumed to be 0.622 as used in the </w:t>
            </w:r>
            <w:r>
              <w:t xml:space="preserve">power calculations in the </w:t>
            </w:r>
            <w:r w:rsidRPr="00A120D7">
              <w:t>trial KN204 protocol</w:t>
            </w:r>
          </w:p>
        </w:tc>
        <w:tc>
          <w:tcPr>
            <w:tcW w:w="927" w:type="pct"/>
            <w:shd w:val="clear" w:color="auto" w:fill="auto"/>
            <w:vAlign w:val="center"/>
          </w:tcPr>
          <w:p w:rsidR="00246644" w:rsidRPr="00A120D7" w:rsidRDefault="00246644" w:rsidP="009C0DF6">
            <w:pPr>
              <w:pStyle w:val="TableText"/>
            </w:pPr>
            <w:r w:rsidRPr="00A120D7">
              <w:t xml:space="preserve">High, </w:t>
            </w:r>
            <w:r w:rsidR="002F17A1">
              <w:t xml:space="preserve">likely to favour </w:t>
            </w:r>
            <w:r>
              <w:t xml:space="preserve"> </w:t>
            </w:r>
            <w:proofErr w:type="spellStart"/>
            <w:r>
              <w:t>pembrolizumab</w:t>
            </w:r>
            <w:proofErr w:type="spellEnd"/>
          </w:p>
        </w:tc>
      </w:tr>
      <w:tr w:rsidR="00246644" w:rsidRPr="00A120D7" w:rsidTr="006F2B5F">
        <w:trPr>
          <w:trHeight w:val="244"/>
        </w:trPr>
        <w:tc>
          <w:tcPr>
            <w:tcW w:w="1186" w:type="pct"/>
            <w:shd w:val="clear" w:color="auto" w:fill="auto"/>
            <w:vAlign w:val="center"/>
          </w:tcPr>
          <w:p w:rsidR="00246644" w:rsidRPr="00A120D7" w:rsidRDefault="00246644" w:rsidP="009C0DF6">
            <w:pPr>
              <w:pStyle w:val="TableText"/>
              <w:ind w:right="182"/>
            </w:pPr>
            <w:r w:rsidRPr="00A120D7">
              <w:t xml:space="preserve">Hazard ratio of OS for </w:t>
            </w:r>
            <w:proofErr w:type="spellStart"/>
            <w:r w:rsidRPr="00A120D7">
              <w:t>pembrolizumab</w:t>
            </w:r>
            <w:proofErr w:type="spellEnd"/>
            <w:r w:rsidRPr="00A120D7">
              <w:t xml:space="preserve"> over BV</w:t>
            </w:r>
          </w:p>
        </w:tc>
        <w:tc>
          <w:tcPr>
            <w:tcW w:w="2887" w:type="pct"/>
            <w:shd w:val="clear" w:color="auto" w:fill="auto"/>
            <w:vAlign w:val="center"/>
          </w:tcPr>
          <w:p w:rsidR="00246644" w:rsidRPr="00A120D7" w:rsidRDefault="00246644" w:rsidP="009C0DF6">
            <w:pPr>
              <w:pStyle w:val="TableText"/>
              <w:ind w:right="183"/>
            </w:pPr>
            <w:r w:rsidRPr="00A120D7">
              <w:t xml:space="preserve">Assumed to be 0.6 as used in the </w:t>
            </w:r>
            <w:r>
              <w:t xml:space="preserve">power calculations in the </w:t>
            </w:r>
            <w:r w:rsidRPr="00A120D7">
              <w:t>trial KN204 protocol</w:t>
            </w:r>
          </w:p>
        </w:tc>
        <w:tc>
          <w:tcPr>
            <w:tcW w:w="927" w:type="pct"/>
            <w:shd w:val="clear" w:color="auto" w:fill="auto"/>
            <w:vAlign w:val="center"/>
          </w:tcPr>
          <w:p w:rsidR="00246644" w:rsidRPr="00A120D7" w:rsidRDefault="00246644" w:rsidP="009C0DF6">
            <w:pPr>
              <w:pStyle w:val="TableText"/>
            </w:pPr>
            <w:r w:rsidRPr="00A120D7">
              <w:t>High, uncertain</w:t>
            </w:r>
          </w:p>
        </w:tc>
      </w:tr>
      <w:tr w:rsidR="00246644" w:rsidRPr="00A120D7" w:rsidTr="006F2B5F">
        <w:trPr>
          <w:trHeight w:val="626"/>
        </w:trPr>
        <w:tc>
          <w:tcPr>
            <w:tcW w:w="1186" w:type="pct"/>
            <w:shd w:val="clear" w:color="auto" w:fill="auto"/>
            <w:vAlign w:val="center"/>
          </w:tcPr>
          <w:p w:rsidR="00246644" w:rsidRPr="00A120D7" w:rsidRDefault="00246644" w:rsidP="009C0DF6">
            <w:pPr>
              <w:pStyle w:val="TableText"/>
              <w:ind w:right="182"/>
            </w:pPr>
            <w:r w:rsidRPr="00A120D7">
              <w:t xml:space="preserve">The number of treatment cycles for </w:t>
            </w:r>
            <w:proofErr w:type="spellStart"/>
            <w:r w:rsidRPr="00A120D7">
              <w:t>pembrolizumab</w:t>
            </w:r>
            <w:proofErr w:type="spellEnd"/>
            <w:r w:rsidRPr="00A120D7">
              <w:t xml:space="preserve"> </w:t>
            </w:r>
          </w:p>
        </w:tc>
        <w:tc>
          <w:tcPr>
            <w:tcW w:w="2887" w:type="pct"/>
            <w:shd w:val="clear" w:color="auto" w:fill="auto"/>
            <w:vAlign w:val="center"/>
          </w:tcPr>
          <w:p w:rsidR="00246644" w:rsidRPr="00A120D7" w:rsidRDefault="00246644" w:rsidP="009C0DF6">
            <w:pPr>
              <w:pStyle w:val="TableText"/>
              <w:ind w:right="183"/>
            </w:pPr>
            <w:r w:rsidRPr="00A120D7">
              <w:t xml:space="preserve">The number of </w:t>
            </w:r>
            <w:proofErr w:type="spellStart"/>
            <w:r w:rsidRPr="00A120D7">
              <w:t>pembrolizumab</w:t>
            </w:r>
            <w:proofErr w:type="spellEnd"/>
            <w:r w:rsidRPr="00A120D7">
              <w:t xml:space="preserve"> treatment cycles was estimated by assuming that patients would receive </w:t>
            </w:r>
            <w:proofErr w:type="spellStart"/>
            <w:r w:rsidRPr="00A120D7">
              <w:t>pembrolizumab</w:t>
            </w:r>
            <w:proofErr w:type="spellEnd"/>
            <w:r w:rsidRPr="00A120D7">
              <w:t xml:space="preserve"> for a maximum number of cycles (35) unless they experienced disease progression (determined on the basis of the modelled PFS curve) earlier</w:t>
            </w:r>
          </w:p>
        </w:tc>
        <w:tc>
          <w:tcPr>
            <w:tcW w:w="927" w:type="pct"/>
            <w:shd w:val="clear" w:color="auto" w:fill="auto"/>
            <w:vAlign w:val="center"/>
          </w:tcPr>
          <w:p w:rsidR="00246644" w:rsidRPr="00A120D7" w:rsidRDefault="00246644" w:rsidP="009C0DF6">
            <w:pPr>
              <w:pStyle w:val="TableText"/>
            </w:pPr>
            <w:r w:rsidRPr="00A120D7">
              <w:t xml:space="preserve">High, </w:t>
            </w:r>
            <w:r w:rsidR="002F17A1">
              <w:t xml:space="preserve">likely to favour  </w:t>
            </w:r>
            <w:proofErr w:type="spellStart"/>
            <w:r w:rsidR="002F17A1">
              <w:t>pembrolizumab</w:t>
            </w:r>
            <w:proofErr w:type="spellEnd"/>
          </w:p>
        </w:tc>
      </w:tr>
      <w:tr w:rsidR="00246644" w:rsidRPr="00A120D7" w:rsidTr="006F2B5F">
        <w:tc>
          <w:tcPr>
            <w:tcW w:w="1186" w:type="pct"/>
            <w:shd w:val="clear" w:color="auto" w:fill="auto"/>
            <w:vAlign w:val="center"/>
          </w:tcPr>
          <w:p w:rsidR="00246644" w:rsidRPr="00A120D7" w:rsidRDefault="00246644" w:rsidP="009C0DF6">
            <w:pPr>
              <w:pStyle w:val="TableText"/>
            </w:pPr>
            <w:r w:rsidRPr="00A120D7">
              <w:t>Continuation of treatment effect</w:t>
            </w:r>
          </w:p>
        </w:tc>
        <w:tc>
          <w:tcPr>
            <w:tcW w:w="2887" w:type="pct"/>
            <w:shd w:val="clear" w:color="auto" w:fill="auto"/>
            <w:vAlign w:val="center"/>
          </w:tcPr>
          <w:p w:rsidR="00246644" w:rsidRPr="00A120D7" w:rsidRDefault="00246644" w:rsidP="009C0DF6">
            <w:pPr>
              <w:pStyle w:val="TableText"/>
              <w:ind w:right="183"/>
            </w:pPr>
            <w:r w:rsidRPr="00A120D7">
              <w:t xml:space="preserve">The model assumed that the survival curves (both PFS and OS) for </w:t>
            </w:r>
            <w:proofErr w:type="spellStart"/>
            <w:r w:rsidRPr="00A120D7">
              <w:t>pembrolizumab</w:t>
            </w:r>
            <w:proofErr w:type="spellEnd"/>
            <w:r w:rsidRPr="00A120D7">
              <w:t xml:space="preserve"> would converge with that for BV at 8 years in the base case</w:t>
            </w:r>
          </w:p>
        </w:tc>
        <w:tc>
          <w:tcPr>
            <w:tcW w:w="927" w:type="pct"/>
            <w:shd w:val="clear" w:color="auto" w:fill="auto"/>
            <w:vAlign w:val="center"/>
          </w:tcPr>
          <w:p w:rsidR="00246644" w:rsidRPr="00A120D7" w:rsidRDefault="00246644" w:rsidP="009C0DF6">
            <w:pPr>
              <w:pStyle w:val="TableText"/>
            </w:pPr>
            <w:r w:rsidRPr="00A120D7">
              <w:t xml:space="preserve">High, </w:t>
            </w:r>
            <w:r w:rsidR="002F17A1">
              <w:t xml:space="preserve">likely to favour  </w:t>
            </w:r>
            <w:proofErr w:type="spellStart"/>
            <w:r w:rsidR="002F17A1">
              <w:t>pembrolizumab</w:t>
            </w:r>
            <w:proofErr w:type="spellEnd"/>
          </w:p>
        </w:tc>
      </w:tr>
    </w:tbl>
    <w:p w:rsidR="004D66C1" w:rsidRPr="00A120D7" w:rsidRDefault="004D66C1" w:rsidP="009C0DF6">
      <w:pPr>
        <w:pStyle w:val="TableFooter"/>
        <w:widowControl/>
      </w:pPr>
      <w:r w:rsidRPr="00A120D7">
        <w:t xml:space="preserve">BV = </w:t>
      </w:r>
      <w:proofErr w:type="spellStart"/>
      <w:r w:rsidRPr="00A120D7">
        <w:t>brentuximab</w:t>
      </w:r>
      <w:proofErr w:type="spellEnd"/>
      <w:r w:rsidRPr="00A120D7">
        <w:t xml:space="preserve">; </w:t>
      </w:r>
      <w:proofErr w:type="spellStart"/>
      <w:r w:rsidRPr="00A120D7">
        <w:t>vedotin</w:t>
      </w:r>
      <w:proofErr w:type="spellEnd"/>
      <w:r w:rsidRPr="00A120D7">
        <w:t>; OS = overall survival; PFS = progression-free survival</w:t>
      </w:r>
    </w:p>
    <w:p w:rsidR="004D66C1" w:rsidRPr="00A120D7" w:rsidRDefault="004D66C1" w:rsidP="009C0DF6">
      <w:pPr>
        <w:pStyle w:val="TableFooter"/>
        <w:widowControl/>
      </w:pPr>
      <w:r w:rsidRPr="00A120D7">
        <w:t>Source: Table compiled during the evaluation</w:t>
      </w:r>
    </w:p>
    <w:p w:rsidR="004D66C1" w:rsidRPr="004D66C1" w:rsidRDefault="004D66C1" w:rsidP="009C0DF6">
      <w:pPr>
        <w:pStyle w:val="ListParagraph"/>
        <w:numPr>
          <w:ilvl w:val="1"/>
          <w:numId w:val="3"/>
        </w:numPr>
        <w:spacing w:before="0" w:after="120"/>
      </w:pPr>
      <w:r w:rsidRPr="004D66C1">
        <w:t>The results of the economic evaluation are summarised below.</w:t>
      </w:r>
    </w:p>
    <w:p w:rsidR="00175B20" w:rsidRDefault="00175B20" w:rsidP="00175B20">
      <w:pPr>
        <w:pStyle w:val="Caption"/>
      </w:pPr>
      <w:r>
        <w:t xml:space="preserve">Table </w:t>
      </w:r>
      <w:r>
        <w:rPr>
          <w:noProof/>
        </w:rPr>
        <w:t>9</w:t>
      </w:r>
      <w:r w:rsidRPr="00751413">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71"/>
        <w:gridCol w:w="2379"/>
        <w:gridCol w:w="2379"/>
        <w:gridCol w:w="2053"/>
      </w:tblGrid>
      <w:tr w:rsidR="004D66C1" w:rsidRPr="004D66C1" w:rsidTr="00175B20">
        <w:tc>
          <w:tcPr>
            <w:tcW w:w="1250" w:type="pct"/>
          </w:tcPr>
          <w:p w:rsidR="004D66C1" w:rsidRPr="004D66C1" w:rsidRDefault="004D66C1" w:rsidP="009C0DF6">
            <w:pPr>
              <w:keepNext/>
              <w:spacing w:before="40" w:after="40"/>
              <w:rPr>
                <w:rFonts w:ascii="Arial Narrow" w:hAnsi="Arial Narrow"/>
                <w:b/>
                <w:sz w:val="20"/>
              </w:rPr>
            </w:pPr>
          </w:p>
        </w:tc>
        <w:tc>
          <w:tcPr>
            <w:tcW w:w="1310" w:type="pct"/>
          </w:tcPr>
          <w:p w:rsidR="004D66C1" w:rsidRPr="004D66C1" w:rsidRDefault="004D66C1" w:rsidP="009C0DF6">
            <w:pPr>
              <w:keepNext/>
              <w:spacing w:before="40" w:after="40"/>
              <w:jc w:val="center"/>
              <w:rPr>
                <w:rFonts w:ascii="Arial Narrow" w:hAnsi="Arial Narrow"/>
                <w:b/>
                <w:sz w:val="20"/>
              </w:rPr>
            </w:pPr>
            <w:proofErr w:type="spellStart"/>
            <w:r w:rsidRPr="004D66C1">
              <w:rPr>
                <w:rFonts w:ascii="Arial Narrow" w:hAnsi="Arial Narrow"/>
                <w:b/>
                <w:sz w:val="20"/>
              </w:rPr>
              <w:t>Pembrolizumab</w:t>
            </w:r>
            <w:proofErr w:type="spellEnd"/>
          </w:p>
        </w:tc>
        <w:tc>
          <w:tcPr>
            <w:tcW w:w="1310" w:type="pct"/>
          </w:tcPr>
          <w:p w:rsidR="004D66C1" w:rsidRPr="004D66C1" w:rsidRDefault="004D66C1" w:rsidP="009C0DF6">
            <w:pPr>
              <w:keepNext/>
              <w:spacing w:before="40" w:after="40"/>
              <w:jc w:val="center"/>
              <w:rPr>
                <w:rFonts w:ascii="Arial Narrow" w:hAnsi="Arial Narrow"/>
                <w:b/>
                <w:sz w:val="20"/>
              </w:rPr>
            </w:pPr>
            <w:proofErr w:type="spellStart"/>
            <w:r w:rsidRPr="004D66C1">
              <w:rPr>
                <w:rFonts w:ascii="Arial Narrow" w:hAnsi="Arial Narrow"/>
                <w:b/>
                <w:sz w:val="20"/>
              </w:rPr>
              <w:t>Brentuximab</w:t>
            </w:r>
            <w:proofErr w:type="spellEnd"/>
            <w:r w:rsidRPr="004D66C1">
              <w:rPr>
                <w:rFonts w:ascii="Arial Narrow" w:hAnsi="Arial Narrow"/>
                <w:b/>
                <w:sz w:val="20"/>
              </w:rPr>
              <w:t xml:space="preserve"> </w:t>
            </w:r>
            <w:proofErr w:type="spellStart"/>
            <w:r w:rsidRPr="004D66C1">
              <w:rPr>
                <w:rFonts w:ascii="Arial Narrow" w:hAnsi="Arial Narrow"/>
                <w:b/>
                <w:sz w:val="20"/>
              </w:rPr>
              <w:t>vedotin</w:t>
            </w:r>
            <w:proofErr w:type="spellEnd"/>
          </w:p>
        </w:tc>
        <w:tc>
          <w:tcPr>
            <w:tcW w:w="1130" w:type="pct"/>
          </w:tcPr>
          <w:p w:rsidR="004D66C1" w:rsidRPr="004D66C1" w:rsidRDefault="004D66C1" w:rsidP="009C0DF6">
            <w:pPr>
              <w:keepNext/>
              <w:spacing w:before="40" w:after="40"/>
              <w:jc w:val="center"/>
              <w:rPr>
                <w:rFonts w:ascii="Arial Narrow" w:hAnsi="Arial Narrow"/>
                <w:b/>
                <w:sz w:val="20"/>
              </w:rPr>
            </w:pPr>
            <w:r w:rsidRPr="004D66C1">
              <w:rPr>
                <w:rFonts w:ascii="Arial Narrow" w:hAnsi="Arial Narrow"/>
                <w:b/>
                <w:sz w:val="20"/>
              </w:rPr>
              <w:t>Increment</w:t>
            </w:r>
          </w:p>
        </w:tc>
      </w:tr>
      <w:tr w:rsidR="004D66C1" w:rsidRPr="004D66C1" w:rsidTr="004D66C1">
        <w:tc>
          <w:tcPr>
            <w:tcW w:w="5000" w:type="pct"/>
            <w:gridSpan w:val="4"/>
          </w:tcPr>
          <w:p w:rsidR="004D66C1" w:rsidRPr="004D66C1" w:rsidRDefault="004D66C1" w:rsidP="009C0DF6">
            <w:pPr>
              <w:keepNext/>
              <w:spacing w:before="40" w:after="40"/>
              <w:rPr>
                <w:rFonts w:ascii="Arial Narrow" w:hAnsi="Arial Narrow"/>
                <w:b/>
                <w:sz w:val="20"/>
              </w:rPr>
            </w:pPr>
            <w:r w:rsidRPr="004D66C1">
              <w:rPr>
                <w:rFonts w:ascii="Arial Narrow" w:hAnsi="Arial Narrow"/>
                <w:b/>
                <w:sz w:val="20"/>
              </w:rPr>
              <w:t>As presented in the submission</w:t>
            </w:r>
          </w:p>
        </w:tc>
      </w:tr>
      <w:tr w:rsidR="004D66C1" w:rsidRPr="004D66C1" w:rsidTr="00175B20">
        <w:tc>
          <w:tcPr>
            <w:tcW w:w="1250" w:type="pct"/>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Costs</w:t>
            </w:r>
          </w:p>
        </w:tc>
        <w:tc>
          <w:tcPr>
            <w:tcW w:w="1310" w:type="pct"/>
            <w:shd w:val="clear" w:color="auto" w:fill="auto"/>
            <w:vAlign w:val="center"/>
          </w:tcPr>
          <w:p w:rsidR="004D66C1" w:rsidRPr="00D5222E" w:rsidRDefault="004D66C1" w:rsidP="009C0DF6">
            <w:pPr>
              <w:keepNext/>
              <w:spacing w:before="40" w:after="40"/>
              <w:jc w:val="right"/>
              <w:rPr>
                <w:rFonts w:ascii="Arial Narrow" w:hAnsi="Arial Narrow"/>
                <w:sz w:val="20"/>
              </w:rPr>
            </w:pPr>
            <w:r w:rsidRPr="00D5222E">
              <w:rPr>
                <w:rFonts w:ascii="Arial Narrow" w:hAnsi="Arial Narrow"/>
                <w:sz w:val="20"/>
              </w:rPr>
              <w:t>$</w:t>
            </w:r>
            <w:r w:rsidR="00222960">
              <w:rPr>
                <w:rFonts w:ascii="Arial Narrow" w:hAnsi="Arial Narrow"/>
                <w:noProof/>
                <w:color w:val="000000"/>
                <w:sz w:val="20"/>
                <w:highlight w:val="black"/>
              </w:rPr>
              <w:t>''''''''''''''''''</w:t>
            </w:r>
          </w:p>
        </w:tc>
        <w:tc>
          <w:tcPr>
            <w:tcW w:w="1310" w:type="pct"/>
            <w:shd w:val="clear" w:color="auto" w:fill="auto"/>
            <w:vAlign w:val="center"/>
          </w:tcPr>
          <w:p w:rsidR="004D66C1" w:rsidRPr="00D5222E" w:rsidRDefault="004D66C1" w:rsidP="009C0DF6">
            <w:pPr>
              <w:keepNext/>
              <w:spacing w:before="40" w:after="40"/>
              <w:jc w:val="right"/>
              <w:rPr>
                <w:rFonts w:ascii="Arial Narrow" w:hAnsi="Arial Narrow"/>
                <w:sz w:val="20"/>
              </w:rPr>
            </w:pPr>
            <w:r w:rsidRPr="00D5222E">
              <w:rPr>
                <w:rFonts w:ascii="Arial Narrow" w:hAnsi="Arial Narrow"/>
                <w:sz w:val="20"/>
              </w:rPr>
              <w:t>$257,572</w:t>
            </w:r>
          </w:p>
        </w:tc>
        <w:tc>
          <w:tcPr>
            <w:tcW w:w="1130" w:type="pct"/>
            <w:shd w:val="clear" w:color="auto" w:fill="auto"/>
            <w:vAlign w:val="center"/>
          </w:tcPr>
          <w:p w:rsidR="004D66C1" w:rsidRPr="00D5222E" w:rsidRDefault="004D66C1" w:rsidP="009C0DF6">
            <w:pPr>
              <w:keepNext/>
              <w:spacing w:before="40" w:after="40"/>
              <w:jc w:val="right"/>
              <w:rPr>
                <w:rFonts w:ascii="Arial Narrow" w:hAnsi="Arial Narrow"/>
                <w:sz w:val="20"/>
              </w:rPr>
            </w:pPr>
            <w:r w:rsidRPr="00D5222E">
              <w:rPr>
                <w:rFonts w:ascii="Arial Narrow" w:hAnsi="Arial Narrow"/>
                <w:sz w:val="20"/>
              </w:rPr>
              <w:t>$</w:t>
            </w:r>
            <w:r w:rsidR="00222960">
              <w:rPr>
                <w:rFonts w:ascii="Arial Narrow" w:hAnsi="Arial Narrow"/>
                <w:noProof/>
                <w:color w:val="000000"/>
                <w:sz w:val="20"/>
                <w:highlight w:val="black"/>
              </w:rPr>
              <w:t>''''''''''''''''''</w:t>
            </w:r>
          </w:p>
        </w:tc>
      </w:tr>
      <w:tr w:rsidR="004D66C1" w:rsidRPr="004D66C1" w:rsidTr="00175B20">
        <w:tc>
          <w:tcPr>
            <w:tcW w:w="1250" w:type="pct"/>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Life years</w:t>
            </w:r>
          </w:p>
        </w:tc>
        <w:tc>
          <w:tcPr>
            <w:tcW w:w="1310" w:type="pct"/>
            <w:shd w:val="clear" w:color="auto" w:fill="auto"/>
            <w:vAlign w:val="bottom"/>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5.925</w:t>
            </w:r>
          </w:p>
        </w:tc>
        <w:tc>
          <w:tcPr>
            <w:tcW w:w="1310" w:type="pct"/>
            <w:shd w:val="clear" w:color="auto" w:fill="auto"/>
            <w:vAlign w:val="bottom"/>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4.399</w:t>
            </w:r>
          </w:p>
        </w:tc>
        <w:tc>
          <w:tcPr>
            <w:tcW w:w="1130" w:type="pct"/>
            <w:shd w:val="clear" w:color="auto" w:fill="auto"/>
            <w:vAlign w:val="bottom"/>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1.526</w:t>
            </w:r>
          </w:p>
        </w:tc>
      </w:tr>
      <w:tr w:rsidR="004D66C1" w:rsidRPr="004D66C1" w:rsidTr="00175B20">
        <w:tc>
          <w:tcPr>
            <w:tcW w:w="1250" w:type="pct"/>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Quality-adjusted life years</w:t>
            </w:r>
          </w:p>
        </w:tc>
        <w:tc>
          <w:tcPr>
            <w:tcW w:w="1310" w:type="pct"/>
            <w:shd w:val="clear" w:color="auto" w:fill="auto"/>
            <w:vAlign w:val="bottom"/>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4.568</w:t>
            </w:r>
          </w:p>
        </w:tc>
        <w:tc>
          <w:tcPr>
            <w:tcW w:w="1310" w:type="pct"/>
            <w:shd w:val="clear" w:color="auto" w:fill="auto"/>
            <w:vAlign w:val="bottom"/>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3.330</w:t>
            </w:r>
          </w:p>
        </w:tc>
        <w:tc>
          <w:tcPr>
            <w:tcW w:w="1130" w:type="pct"/>
            <w:shd w:val="clear" w:color="auto" w:fill="auto"/>
            <w:vAlign w:val="bottom"/>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1.238</w:t>
            </w:r>
          </w:p>
        </w:tc>
      </w:tr>
      <w:tr w:rsidR="004D66C1" w:rsidRPr="004D66C1" w:rsidTr="00175B20">
        <w:tc>
          <w:tcPr>
            <w:tcW w:w="3870" w:type="pct"/>
            <w:gridSpan w:val="3"/>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Incremental cost per life year gained</w:t>
            </w:r>
          </w:p>
        </w:tc>
        <w:tc>
          <w:tcPr>
            <w:tcW w:w="1130" w:type="pct"/>
            <w:vAlign w:val="center"/>
          </w:tcPr>
          <w:p w:rsidR="004D66C1" w:rsidRPr="00D5222E" w:rsidRDefault="004D66C1" w:rsidP="009C0DF6">
            <w:pPr>
              <w:keepNext/>
              <w:spacing w:before="40" w:after="40"/>
              <w:jc w:val="right"/>
              <w:rPr>
                <w:rFonts w:ascii="Arial Narrow" w:hAnsi="Arial Narrow"/>
                <w:b/>
                <w:sz w:val="20"/>
              </w:rPr>
            </w:pPr>
            <w:r w:rsidRPr="00D5222E">
              <w:rPr>
                <w:rFonts w:ascii="Arial Narrow" w:hAnsi="Arial Narrow"/>
                <w:b/>
                <w:sz w:val="20"/>
              </w:rPr>
              <w:t>$</w:t>
            </w:r>
            <w:r w:rsidR="00222960">
              <w:rPr>
                <w:rFonts w:ascii="Arial Narrow" w:hAnsi="Arial Narrow"/>
                <w:b/>
                <w:noProof/>
                <w:color w:val="000000"/>
                <w:sz w:val="20"/>
                <w:highlight w:val="black"/>
              </w:rPr>
              <w:t>''''''''''''''</w:t>
            </w:r>
          </w:p>
        </w:tc>
      </w:tr>
      <w:tr w:rsidR="004D66C1" w:rsidRPr="004D66C1" w:rsidTr="00175B20">
        <w:tc>
          <w:tcPr>
            <w:tcW w:w="3870" w:type="pct"/>
            <w:gridSpan w:val="3"/>
            <w:tcBorders>
              <w:bottom w:val="double" w:sz="4" w:space="0" w:color="auto"/>
            </w:tcBorders>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Incremental cost per quality-adjusted life year gained</w:t>
            </w:r>
          </w:p>
        </w:tc>
        <w:tc>
          <w:tcPr>
            <w:tcW w:w="1130" w:type="pct"/>
            <w:tcBorders>
              <w:bottom w:val="double" w:sz="4" w:space="0" w:color="auto"/>
            </w:tcBorders>
            <w:vAlign w:val="center"/>
          </w:tcPr>
          <w:p w:rsidR="004D66C1" w:rsidRPr="00D5222E" w:rsidRDefault="004D66C1" w:rsidP="009C0DF6">
            <w:pPr>
              <w:keepNext/>
              <w:spacing w:before="40" w:after="40"/>
              <w:jc w:val="right"/>
              <w:rPr>
                <w:rFonts w:ascii="Arial Narrow" w:hAnsi="Arial Narrow"/>
                <w:b/>
                <w:sz w:val="20"/>
              </w:rPr>
            </w:pPr>
            <w:r w:rsidRPr="00D5222E">
              <w:rPr>
                <w:rFonts w:ascii="Arial Narrow" w:hAnsi="Arial Narrow"/>
                <w:b/>
                <w:sz w:val="20"/>
              </w:rPr>
              <w:t>$</w:t>
            </w:r>
            <w:r w:rsidR="00222960">
              <w:rPr>
                <w:rFonts w:ascii="Arial Narrow" w:hAnsi="Arial Narrow"/>
                <w:b/>
                <w:noProof/>
                <w:color w:val="000000"/>
                <w:sz w:val="20"/>
                <w:highlight w:val="black"/>
              </w:rPr>
              <w:t>'''''''''''''</w:t>
            </w:r>
          </w:p>
        </w:tc>
      </w:tr>
      <w:tr w:rsidR="004D66C1" w:rsidRPr="004D66C1" w:rsidTr="004D66C1">
        <w:tc>
          <w:tcPr>
            <w:tcW w:w="5000" w:type="pct"/>
            <w:gridSpan w:val="4"/>
            <w:tcBorders>
              <w:top w:val="double" w:sz="4" w:space="0" w:color="auto"/>
            </w:tcBorders>
          </w:tcPr>
          <w:p w:rsidR="004D66C1" w:rsidRPr="00D5222E" w:rsidRDefault="004D66C1" w:rsidP="009C0DF6">
            <w:pPr>
              <w:keepNext/>
              <w:spacing w:before="40" w:after="40"/>
              <w:rPr>
                <w:rFonts w:ascii="Arial Narrow" w:hAnsi="Arial Narrow"/>
                <w:sz w:val="20"/>
              </w:rPr>
            </w:pPr>
            <w:proofErr w:type="spellStart"/>
            <w:r w:rsidRPr="00D5222E">
              <w:rPr>
                <w:rFonts w:ascii="Arial Narrow" w:hAnsi="Arial Narrow"/>
                <w:b/>
                <w:sz w:val="20"/>
              </w:rPr>
              <w:t>Revised</w:t>
            </w:r>
            <w:r w:rsidRPr="00D5222E">
              <w:rPr>
                <w:rFonts w:ascii="Arial Narrow" w:hAnsi="Arial Narrow"/>
                <w:b/>
                <w:sz w:val="20"/>
                <w:vertAlign w:val="superscript"/>
              </w:rPr>
              <w:t>a</w:t>
            </w:r>
            <w:proofErr w:type="spellEnd"/>
          </w:p>
        </w:tc>
      </w:tr>
      <w:tr w:rsidR="004D66C1" w:rsidRPr="004D66C1" w:rsidTr="00175B20">
        <w:tc>
          <w:tcPr>
            <w:tcW w:w="1250" w:type="pct"/>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Costs</w:t>
            </w:r>
          </w:p>
        </w:tc>
        <w:tc>
          <w:tcPr>
            <w:tcW w:w="1310" w:type="pct"/>
            <w:shd w:val="clear" w:color="auto" w:fill="auto"/>
          </w:tcPr>
          <w:p w:rsidR="004D66C1" w:rsidRPr="00D5222E" w:rsidRDefault="004D66C1" w:rsidP="009C0DF6">
            <w:pPr>
              <w:keepNext/>
              <w:spacing w:before="40" w:after="40"/>
              <w:jc w:val="right"/>
              <w:rPr>
                <w:rFonts w:ascii="Arial Narrow" w:hAnsi="Arial Narrow"/>
                <w:sz w:val="20"/>
              </w:rPr>
            </w:pPr>
            <w:r w:rsidRPr="00D5222E">
              <w:rPr>
                <w:rFonts w:ascii="Arial Narrow" w:hAnsi="Arial Narrow"/>
                <w:sz w:val="20"/>
              </w:rPr>
              <w:t>$</w:t>
            </w:r>
            <w:r w:rsidR="00222960">
              <w:rPr>
                <w:rFonts w:ascii="Arial Narrow" w:hAnsi="Arial Narrow"/>
                <w:noProof/>
                <w:color w:val="000000"/>
                <w:sz w:val="20"/>
                <w:highlight w:val="black"/>
              </w:rPr>
              <w:t>''''''''''''''''''</w:t>
            </w:r>
          </w:p>
        </w:tc>
        <w:tc>
          <w:tcPr>
            <w:tcW w:w="1310" w:type="pct"/>
            <w:shd w:val="clear" w:color="auto" w:fill="auto"/>
          </w:tcPr>
          <w:p w:rsidR="004D66C1" w:rsidRPr="00D5222E" w:rsidRDefault="004D66C1" w:rsidP="009C0DF6">
            <w:pPr>
              <w:keepNext/>
              <w:spacing w:before="40" w:after="40"/>
              <w:jc w:val="right"/>
              <w:rPr>
                <w:rFonts w:ascii="Arial Narrow" w:hAnsi="Arial Narrow"/>
                <w:sz w:val="20"/>
              </w:rPr>
            </w:pPr>
            <w:r w:rsidRPr="00D5222E">
              <w:rPr>
                <w:rFonts w:ascii="Arial Narrow" w:hAnsi="Arial Narrow"/>
                <w:sz w:val="20"/>
              </w:rPr>
              <w:t>$267,288</w:t>
            </w:r>
          </w:p>
        </w:tc>
        <w:tc>
          <w:tcPr>
            <w:tcW w:w="1130" w:type="pct"/>
            <w:shd w:val="clear" w:color="auto" w:fill="auto"/>
          </w:tcPr>
          <w:p w:rsidR="004D66C1" w:rsidRPr="00D5222E" w:rsidRDefault="004D66C1" w:rsidP="009C0DF6">
            <w:pPr>
              <w:keepNext/>
              <w:spacing w:before="40" w:after="40"/>
              <w:jc w:val="right"/>
              <w:rPr>
                <w:rFonts w:ascii="Arial Narrow" w:hAnsi="Arial Narrow"/>
                <w:sz w:val="20"/>
              </w:rPr>
            </w:pPr>
            <w:r w:rsidRPr="00D5222E">
              <w:rPr>
                <w:rFonts w:ascii="Arial Narrow" w:hAnsi="Arial Narrow"/>
                <w:sz w:val="20"/>
              </w:rPr>
              <w:t>$</w:t>
            </w:r>
            <w:r w:rsidR="00222960">
              <w:rPr>
                <w:rFonts w:ascii="Arial Narrow" w:hAnsi="Arial Narrow"/>
                <w:noProof/>
                <w:color w:val="000000"/>
                <w:sz w:val="20"/>
                <w:highlight w:val="black"/>
              </w:rPr>
              <w:t>''''''''''''''''</w:t>
            </w:r>
          </w:p>
        </w:tc>
      </w:tr>
      <w:tr w:rsidR="004D66C1" w:rsidRPr="004D66C1" w:rsidTr="00175B20">
        <w:tc>
          <w:tcPr>
            <w:tcW w:w="1250" w:type="pct"/>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Life years</w:t>
            </w:r>
          </w:p>
        </w:tc>
        <w:tc>
          <w:tcPr>
            <w:tcW w:w="1310" w:type="pct"/>
            <w:shd w:val="clear" w:color="auto" w:fill="auto"/>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4.262</w:t>
            </w:r>
          </w:p>
        </w:tc>
        <w:tc>
          <w:tcPr>
            <w:tcW w:w="1310" w:type="pct"/>
            <w:shd w:val="clear" w:color="auto" w:fill="auto"/>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3.676</w:t>
            </w:r>
          </w:p>
        </w:tc>
        <w:tc>
          <w:tcPr>
            <w:tcW w:w="1130" w:type="pct"/>
            <w:shd w:val="clear" w:color="auto" w:fill="auto"/>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0.586</w:t>
            </w:r>
          </w:p>
        </w:tc>
      </w:tr>
      <w:tr w:rsidR="004D66C1" w:rsidRPr="004D66C1" w:rsidTr="00175B20">
        <w:tc>
          <w:tcPr>
            <w:tcW w:w="1250" w:type="pct"/>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Quality-adjusted life years</w:t>
            </w:r>
          </w:p>
        </w:tc>
        <w:tc>
          <w:tcPr>
            <w:tcW w:w="1310" w:type="pct"/>
            <w:shd w:val="clear" w:color="auto" w:fill="auto"/>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3.284</w:t>
            </w:r>
          </w:p>
        </w:tc>
        <w:tc>
          <w:tcPr>
            <w:tcW w:w="1310" w:type="pct"/>
            <w:shd w:val="clear" w:color="auto" w:fill="auto"/>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2.782</w:t>
            </w:r>
          </w:p>
        </w:tc>
        <w:tc>
          <w:tcPr>
            <w:tcW w:w="1130" w:type="pct"/>
            <w:shd w:val="clear" w:color="auto" w:fill="auto"/>
          </w:tcPr>
          <w:p w:rsidR="004D66C1" w:rsidRPr="00D5222E" w:rsidRDefault="004D66C1" w:rsidP="009C0DF6">
            <w:pPr>
              <w:keepNext/>
              <w:spacing w:before="40" w:after="40"/>
              <w:jc w:val="center"/>
              <w:rPr>
                <w:rFonts w:ascii="Arial Narrow" w:hAnsi="Arial Narrow"/>
                <w:sz w:val="20"/>
              </w:rPr>
            </w:pPr>
            <w:r w:rsidRPr="00D5222E">
              <w:rPr>
                <w:rFonts w:ascii="Arial Narrow" w:hAnsi="Arial Narrow"/>
                <w:sz w:val="20"/>
              </w:rPr>
              <w:t>0.502</w:t>
            </w:r>
          </w:p>
        </w:tc>
      </w:tr>
      <w:tr w:rsidR="004D66C1" w:rsidRPr="004D66C1" w:rsidTr="00175B20">
        <w:tc>
          <w:tcPr>
            <w:tcW w:w="3870" w:type="pct"/>
            <w:gridSpan w:val="3"/>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Incremental cost per life year gained</w:t>
            </w:r>
          </w:p>
        </w:tc>
        <w:tc>
          <w:tcPr>
            <w:tcW w:w="1130" w:type="pct"/>
          </w:tcPr>
          <w:p w:rsidR="004D66C1" w:rsidRPr="00D5222E" w:rsidRDefault="004D66C1" w:rsidP="009C0DF6">
            <w:pPr>
              <w:keepNext/>
              <w:spacing w:before="40" w:after="40"/>
              <w:jc w:val="right"/>
              <w:rPr>
                <w:rFonts w:ascii="Arial Narrow" w:hAnsi="Arial Narrow"/>
                <w:b/>
                <w:sz w:val="20"/>
              </w:rPr>
            </w:pPr>
            <w:r w:rsidRPr="00D5222E">
              <w:rPr>
                <w:rFonts w:ascii="Arial Narrow" w:hAnsi="Arial Narrow"/>
                <w:b/>
                <w:sz w:val="20"/>
              </w:rPr>
              <w:t>$</w:t>
            </w:r>
            <w:r w:rsidR="00222960">
              <w:rPr>
                <w:rFonts w:ascii="Arial Narrow" w:hAnsi="Arial Narrow"/>
                <w:b/>
                <w:noProof/>
                <w:color w:val="000000"/>
                <w:sz w:val="20"/>
                <w:highlight w:val="black"/>
              </w:rPr>
              <w:t>''''''''''''''''</w:t>
            </w:r>
          </w:p>
        </w:tc>
      </w:tr>
      <w:tr w:rsidR="004D66C1" w:rsidRPr="004D66C1" w:rsidTr="00175B20">
        <w:tc>
          <w:tcPr>
            <w:tcW w:w="3870" w:type="pct"/>
            <w:gridSpan w:val="3"/>
          </w:tcPr>
          <w:p w:rsidR="004D66C1" w:rsidRPr="00D5222E" w:rsidRDefault="004D66C1" w:rsidP="009C0DF6">
            <w:pPr>
              <w:keepNext/>
              <w:spacing w:before="40" w:after="40"/>
              <w:rPr>
                <w:rFonts w:ascii="Arial Narrow" w:hAnsi="Arial Narrow"/>
                <w:sz w:val="20"/>
              </w:rPr>
            </w:pPr>
            <w:r w:rsidRPr="00D5222E">
              <w:rPr>
                <w:rFonts w:ascii="Arial Narrow" w:hAnsi="Arial Narrow"/>
                <w:sz w:val="20"/>
              </w:rPr>
              <w:t>Incremental cost per quality-adjusted life year gained</w:t>
            </w:r>
          </w:p>
        </w:tc>
        <w:tc>
          <w:tcPr>
            <w:tcW w:w="1130" w:type="pct"/>
          </w:tcPr>
          <w:p w:rsidR="004D66C1" w:rsidRPr="00D5222E" w:rsidRDefault="004D66C1" w:rsidP="009C0DF6">
            <w:pPr>
              <w:keepNext/>
              <w:spacing w:before="40" w:after="40"/>
              <w:jc w:val="right"/>
              <w:rPr>
                <w:rFonts w:ascii="Arial Narrow" w:hAnsi="Arial Narrow"/>
                <w:b/>
                <w:sz w:val="20"/>
              </w:rPr>
            </w:pPr>
            <w:r w:rsidRPr="00D5222E">
              <w:rPr>
                <w:rFonts w:ascii="Arial Narrow" w:hAnsi="Arial Narrow"/>
                <w:b/>
                <w:sz w:val="20"/>
              </w:rPr>
              <w:t>$</w:t>
            </w:r>
            <w:r w:rsidR="00222960">
              <w:rPr>
                <w:rFonts w:ascii="Arial Narrow" w:hAnsi="Arial Narrow"/>
                <w:b/>
                <w:noProof/>
                <w:color w:val="000000"/>
                <w:sz w:val="20"/>
                <w:highlight w:val="black"/>
              </w:rPr>
              <w:t>''''''''''''''''</w:t>
            </w:r>
          </w:p>
        </w:tc>
      </w:tr>
    </w:tbl>
    <w:p w:rsidR="004D66C1" w:rsidRPr="00A120D7" w:rsidRDefault="004D66C1" w:rsidP="009C0DF6">
      <w:pPr>
        <w:spacing w:before="0" w:after="120"/>
        <w:contextualSpacing/>
        <w:rPr>
          <w:rFonts w:ascii="Arial Narrow" w:eastAsia="Times New Roman" w:hAnsi="Arial Narrow" w:cs="Arial"/>
          <w:snapToGrid w:val="0"/>
          <w:sz w:val="18"/>
          <w:szCs w:val="20"/>
        </w:rPr>
      </w:pPr>
      <w:r w:rsidRPr="00A120D7">
        <w:rPr>
          <w:rFonts w:ascii="Arial Narrow" w:eastAsia="Times New Roman" w:hAnsi="Arial Narrow" w:cs="Arial"/>
          <w:snapToGrid w:val="0"/>
          <w:sz w:val="18"/>
          <w:szCs w:val="20"/>
        </w:rPr>
        <w:t>Notes: Numbers may not be exact due to rounding</w:t>
      </w:r>
    </w:p>
    <w:p w:rsidR="004D66C1" w:rsidRPr="00A120D7" w:rsidRDefault="004D66C1" w:rsidP="009C0DF6">
      <w:pPr>
        <w:spacing w:before="0" w:after="120"/>
        <w:contextualSpacing/>
        <w:rPr>
          <w:rFonts w:ascii="Arial Narrow" w:eastAsia="Times New Roman" w:hAnsi="Arial Narrow" w:cs="Arial"/>
          <w:snapToGrid w:val="0"/>
          <w:sz w:val="18"/>
          <w:szCs w:val="20"/>
        </w:rPr>
      </w:pPr>
      <w:proofErr w:type="spellStart"/>
      <w:r w:rsidRPr="00A120D7">
        <w:rPr>
          <w:rFonts w:ascii="Arial Narrow" w:eastAsia="Times New Roman" w:hAnsi="Arial Narrow" w:cs="Arial"/>
          <w:snapToGrid w:val="0"/>
          <w:sz w:val="18"/>
          <w:szCs w:val="20"/>
          <w:vertAlign w:val="superscript"/>
        </w:rPr>
        <w:t>a</w:t>
      </w:r>
      <w:proofErr w:type="spellEnd"/>
      <w:r w:rsidRPr="00A120D7">
        <w:rPr>
          <w:rFonts w:ascii="Arial Narrow" w:eastAsia="Times New Roman" w:hAnsi="Arial Narrow" w:cs="Arial"/>
          <w:snapToGrid w:val="0"/>
          <w:sz w:val="18"/>
          <w:szCs w:val="20"/>
        </w:rPr>
        <w:t xml:space="preserve"> </w:t>
      </w:r>
      <w:r w:rsidR="001729AE" w:rsidRPr="00A120D7">
        <w:rPr>
          <w:rFonts w:ascii="Arial Narrow" w:eastAsia="Times New Roman" w:hAnsi="Arial Narrow" w:cs="Arial"/>
          <w:snapToGrid w:val="0"/>
          <w:sz w:val="18"/>
          <w:szCs w:val="20"/>
        </w:rPr>
        <w:t xml:space="preserve">It was noted that a monthly cycle length (rather than 3-week cycle) was incorrectly used in: 1) calculating the life years accrued each cycle for both treatment arms; 2) discounting the life years gained over time for the two treatment arms; and 3) calculating the accumulative costs and health outcomes over the model time horizon in the comparator BV arm. </w:t>
      </w:r>
      <w:r w:rsidRPr="00A120D7">
        <w:rPr>
          <w:rFonts w:ascii="Arial Narrow" w:eastAsia="Times New Roman" w:hAnsi="Arial Narrow" w:cs="Arial"/>
          <w:snapToGrid w:val="0"/>
          <w:sz w:val="18"/>
          <w:szCs w:val="20"/>
        </w:rPr>
        <w:t xml:space="preserve">These errors were corrected during the evaluation. </w:t>
      </w:r>
    </w:p>
    <w:p w:rsidR="004D66C1" w:rsidRPr="00A120D7" w:rsidRDefault="004D66C1" w:rsidP="009C0DF6">
      <w:pPr>
        <w:spacing w:before="0" w:after="120"/>
        <w:contextualSpacing/>
        <w:rPr>
          <w:rFonts w:ascii="Arial Narrow" w:eastAsia="Times New Roman" w:hAnsi="Arial Narrow" w:cs="Arial"/>
          <w:snapToGrid w:val="0"/>
          <w:sz w:val="18"/>
          <w:szCs w:val="20"/>
        </w:rPr>
      </w:pPr>
      <w:r w:rsidRPr="00A120D7">
        <w:rPr>
          <w:rFonts w:ascii="Arial Narrow" w:eastAsia="Times New Roman" w:hAnsi="Arial Narrow" w:cs="Arial"/>
          <w:snapToGrid w:val="0"/>
          <w:sz w:val="18"/>
          <w:szCs w:val="20"/>
        </w:rPr>
        <w:t>Source: Table 3A.8-3, p137 of the submission.</w:t>
      </w:r>
      <w:r w:rsidRPr="00A120D7">
        <w:t xml:space="preserve"> </w:t>
      </w:r>
      <w:r w:rsidR="002F17A1">
        <w:rPr>
          <w:rFonts w:ascii="Arial Narrow" w:eastAsia="Times New Roman" w:hAnsi="Arial Narrow" w:cs="Arial"/>
          <w:snapToGrid w:val="0"/>
          <w:sz w:val="18"/>
          <w:szCs w:val="20"/>
        </w:rPr>
        <w:t>Revised results</w:t>
      </w:r>
      <w:r w:rsidRPr="00A120D7">
        <w:rPr>
          <w:rFonts w:ascii="Arial Narrow" w:eastAsia="Times New Roman" w:hAnsi="Arial Narrow" w:cs="Arial"/>
          <w:snapToGrid w:val="0"/>
          <w:sz w:val="18"/>
          <w:szCs w:val="20"/>
        </w:rPr>
        <w:t xml:space="preserve"> were recalculated during the evaluation.  </w:t>
      </w:r>
    </w:p>
    <w:p w:rsidR="00086091" w:rsidRPr="00262141" w:rsidRDefault="004D66C1" w:rsidP="009C0DF6">
      <w:pPr>
        <w:pStyle w:val="ListParagraph"/>
        <w:numPr>
          <w:ilvl w:val="1"/>
          <w:numId w:val="3"/>
        </w:numPr>
        <w:spacing w:before="0" w:after="120"/>
      </w:pPr>
      <w:r w:rsidRPr="00262141">
        <w:t xml:space="preserve">As stated in the submission, one of the purposes of the economic evaluation was to determine an appropriate price </w:t>
      </w:r>
      <w:r w:rsidR="006F2B5F">
        <w:t>advantage</w:t>
      </w:r>
      <w:r w:rsidRPr="00262141">
        <w:t xml:space="preserve"> for </w:t>
      </w:r>
      <w:proofErr w:type="spellStart"/>
      <w:r w:rsidRPr="00262141">
        <w:t>pembrolizumab</w:t>
      </w:r>
      <w:proofErr w:type="spellEnd"/>
      <w:r w:rsidRPr="00262141">
        <w:t xml:space="preserve"> over BV on the assumption that the comparative treatment effect of </w:t>
      </w:r>
      <w:proofErr w:type="spellStart"/>
      <w:r w:rsidRPr="00262141">
        <w:t>pembrolizumab</w:t>
      </w:r>
      <w:proofErr w:type="spellEnd"/>
      <w:r w:rsidRPr="00262141">
        <w:t xml:space="preserve"> versus BV would be the same as assumed in the KN204 protocol. As such, the price of </w:t>
      </w:r>
      <w:proofErr w:type="spellStart"/>
      <w:r w:rsidRPr="00262141">
        <w:t>pembrolizumab</w:t>
      </w:r>
      <w:proofErr w:type="spellEnd"/>
      <w:r w:rsidRPr="00262141">
        <w:t xml:space="preserve"> proposed for th</w:t>
      </w:r>
      <w:r w:rsidR="006F2B5F">
        <w:t>e</w:t>
      </w:r>
      <w:r w:rsidRPr="00262141">
        <w:t xml:space="preserve"> submission was calculated so that an incremental cost-effectiveness ratio (ICER) of $</w:t>
      </w:r>
      <w:r w:rsidR="00E70877">
        <w:t>45,000</w:t>
      </w:r>
      <w:r w:rsidRPr="00262141">
        <w:t>/QALY</w:t>
      </w:r>
      <w:r w:rsidR="00E70877">
        <w:t xml:space="preserve"> - $75,000/QALY</w:t>
      </w:r>
      <w:r w:rsidRPr="00262141">
        <w:t xml:space="preserve"> was the result of the hypothetical economic evaluation. It </w:t>
      </w:r>
      <w:r w:rsidR="006F2B5F">
        <w:t xml:space="preserve">would </w:t>
      </w:r>
      <w:r w:rsidRPr="00262141">
        <w:t>remain for PBAC consideration whether $</w:t>
      </w:r>
      <w:r w:rsidR="00E70877">
        <w:t>45,000</w:t>
      </w:r>
      <w:r w:rsidRPr="00262141">
        <w:t>/QALY</w:t>
      </w:r>
      <w:r w:rsidR="00E70877">
        <w:t xml:space="preserve"> - $75,000/QALY</w:t>
      </w:r>
      <w:r w:rsidRPr="00262141">
        <w:t xml:space="preserve"> is an acceptable cost-effectiveness threshold to determine the price </w:t>
      </w:r>
      <w:r w:rsidR="006F2B5F">
        <w:t>o</w:t>
      </w:r>
      <w:r w:rsidRPr="00262141">
        <w:t xml:space="preserve">f </w:t>
      </w:r>
      <w:proofErr w:type="spellStart"/>
      <w:r w:rsidRPr="00262141">
        <w:t>pembrolizumab</w:t>
      </w:r>
      <w:proofErr w:type="spellEnd"/>
      <w:r w:rsidRPr="00262141">
        <w:t>. After revising the errors contained in the economic model</w:t>
      </w:r>
      <w:r w:rsidRPr="00262141">
        <w:rPr>
          <w:rStyle w:val="FootnoteReference"/>
        </w:rPr>
        <w:footnoteReference w:id="4"/>
      </w:r>
      <w:r w:rsidRPr="00262141">
        <w:t xml:space="preserve">, the ICER in the base case would </w:t>
      </w:r>
      <w:r w:rsidR="00FD1292">
        <w:t>increase to $105,000/QALY - $200,000/QALY</w:t>
      </w:r>
      <w:r w:rsidR="00FD1292" w:rsidRPr="00262141">
        <w:t xml:space="preserve"> </w:t>
      </w:r>
      <w:r w:rsidRPr="00262141">
        <w:t xml:space="preserve">at the </w:t>
      </w:r>
      <w:proofErr w:type="spellStart"/>
      <w:r w:rsidRPr="00262141">
        <w:t>pembrolizumab</w:t>
      </w:r>
      <w:proofErr w:type="spellEnd"/>
      <w:r w:rsidRPr="00262141">
        <w:t xml:space="preserve"> price proposed by the submission (</w:t>
      </w:r>
      <w:r w:rsidR="00BC31A4" w:rsidRPr="00262141">
        <w:t>i.e.</w:t>
      </w:r>
      <w:r w:rsidRPr="00262141">
        <w:t xml:space="preserve"> $</w:t>
      </w:r>
      <w:r w:rsidR="00222960">
        <w:rPr>
          <w:noProof/>
          <w:color w:val="000000"/>
          <w:highlight w:val="black"/>
        </w:rPr>
        <w:t>''''''''''''''</w:t>
      </w:r>
      <w:r w:rsidRPr="00262141">
        <w:t xml:space="preserve"> per cycle (4 x 50</w:t>
      </w:r>
      <w:r w:rsidR="006F2B5F">
        <w:t xml:space="preserve"> </w:t>
      </w:r>
      <w:r w:rsidRPr="00262141">
        <w:t xml:space="preserve">mg vials)). </w:t>
      </w:r>
      <w:r w:rsidR="00086091" w:rsidRPr="00262141">
        <w:t>The PSCR (p.4) acknowledged the error in the economic model</w:t>
      </w:r>
      <w:r w:rsidR="006F2B5F">
        <w:t>,</w:t>
      </w:r>
      <w:r w:rsidR="00086091" w:rsidRPr="00262141">
        <w:t xml:space="preserve"> and stated that correcting for this error </w:t>
      </w:r>
      <w:r w:rsidR="001C516F" w:rsidRPr="00262141">
        <w:t>would require</w:t>
      </w:r>
      <w:r w:rsidR="00086091" w:rsidRPr="00262141">
        <w:t xml:space="preserve"> a </w:t>
      </w:r>
      <w:r w:rsidR="00906D9A" w:rsidRPr="00262141">
        <w:t xml:space="preserve">decrease of </w:t>
      </w:r>
      <w:r w:rsidR="00222960">
        <w:rPr>
          <w:noProof/>
          <w:color w:val="000000"/>
          <w:highlight w:val="black"/>
        </w:rPr>
        <w:t>'''''</w:t>
      </w:r>
      <w:r w:rsidR="00906D9A" w:rsidRPr="00262141">
        <w:t>%</w:t>
      </w:r>
      <w:r w:rsidR="00086091" w:rsidRPr="00262141">
        <w:t xml:space="preserve"> on </w:t>
      </w:r>
      <w:r w:rsidR="00222960">
        <w:rPr>
          <w:noProof/>
          <w:color w:val="000000"/>
          <w:highlight w:val="black"/>
        </w:rPr>
        <w:t>''''''' ''''''''''''''' ''''''''''</w:t>
      </w:r>
      <w:r w:rsidR="006F2B5F">
        <w:t xml:space="preserve"> per </w:t>
      </w:r>
      <w:proofErr w:type="spellStart"/>
      <w:r w:rsidR="006F2B5F">
        <w:t>pembrolizumab</w:t>
      </w:r>
      <w:proofErr w:type="spellEnd"/>
      <w:r w:rsidR="006F2B5F">
        <w:t xml:space="preserve"> 50 </w:t>
      </w:r>
      <w:r w:rsidR="00086091" w:rsidRPr="00262141">
        <w:t>mg vial ($</w:t>
      </w:r>
      <w:r w:rsidR="00222960">
        <w:rPr>
          <w:noProof/>
          <w:color w:val="000000"/>
          <w:highlight w:val="black"/>
        </w:rPr>
        <w:t>''''''''''</w:t>
      </w:r>
      <w:r w:rsidR="00086091" w:rsidRPr="00262141">
        <w:t xml:space="preserve"> decreased to $</w:t>
      </w:r>
      <w:r w:rsidR="00222960">
        <w:rPr>
          <w:noProof/>
          <w:color w:val="000000"/>
          <w:highlight w:val="black"/>
        </w:rPr>
        <w:t>'''''''''''</w:t>
      </w:r>
      <w:r w:rsidR="00086091" w:rsidRPr="00262141">
        <w:t>)</w:t>
      </w:r>
      <w:r w:rsidR="00906D9A" w:rsidRPr="00262141">
        <w:t>.</w:t>
      </w:r>
      <w:r w:rsidR="00086091" w:rsidRPr="00262141">
        <w:t xml:space="preserve"> </w:t>
      </w:r>
      <w:r w:rsidR="00C577ED">
        <w:t>T</w:t>
      </w:r>
      <w:r w:rsidR="00086091" w:rsidRPr="00262141">
        <w:t xml:space="preserve">he </w:t>
      </w:r>
      <w:r w:rsidR="00906D9A" w:rsidRPr="00262141">
        <w:t xml:space="preserve">revised </w:t>
      </w:r>
      <w:proofErr w:type="spellStart"/>
      <w:r w:rsidR="00906D9A" w:rsidRPr="00262141">
        <w:t>pembrolizumab</w:t>
      </w:r>
      <w:proofErr w:type="spellEnd"/>
      <w:r w:rsidR="00906D9A" w:rsidRPr="00262141">
        <w:t xml:space="preserve"> price </w:t>
      </w:r>
      <w:r w:rsidR="00C577ED">
        <w:t xml:space="preserve">would need to be lower </w:t>
      </w:r>
      <w:r w:rsidR="00906D9A" w:rsidRPr="00262141">
        <w:t>using the effective BV</w:t>
      </w:r>
      <w:r w:rsidR="00086091" w:rsidRPr="00262141">
        <w:t xml:space="preserve"> </w:t>
      </w:r>
      <w:r w:rsidR="00906D9A" w:rsidRPr="00262141">
        <w:rPr>
          <w:bCs/>
        </w:rPr>
        <w:t>price in the model</w:t>
      </w:r>
      <w:r w:rsidR="00086091" w:rsidRPr="00262141">
        <w:rPr>
          <w:bCs/>
        </w:rPr>
        <w:t>.</w:t>
      </w:r>
    </w:p>
    <w:p w:rsidR="00175B20" w:rsidRDefault="00175B20" w:rsidP="00175B20">
      <w:pPr>
        <w:pStyle w:val="Caption"/>
      </w:pPr>
      <w:r>
        <w:t xml:space="preserve">Table </w:t>
      </w:r>
      <w:r>
        <w:rPr>
          <w:noProof/>
        </w:rPr>
        <w:t>10</w:t>
      </w:r>
      <w:r w:rsidRPr="001E33D8">
        <w:t xml:space="preserve">: Result of economic analysis, using the </w:t>
      </w:r>
      <w:proofErr w:type="spellStart"/>
      <w:r w:rsidRPr="001E33D8">
        <w:t>pembrolizumab</w:t>
      </w:r>
      <w:proofErr w:type="spellEnd"/>
      <w:r w:rsidRPr="001E33D8">
        <w:t xml:space="preserve"> price to achieve an ICER of $</w:t>
      </w:r>
      <w:r w:rsidR="00222960">
        <w:rPr>
          <w:noProof/>
          <w:color w:val="000000"/>
          <w:highlight w:val="black"/>
        </w:rPr>
        <w:t>''''''''''''</w:t>
      </w:r>
      <w:r w:rsidRPr="001E33D8">
        <w:t>/QALY ($</w:t>
      </w:r>
      <w:r w:rsidR="00222960">
        <w:rPr>
          <w:noProof/>
          <w:color w:val="000000"/>
          <w:highlight w:val="black"/>
        </w:rPr>
        <w:t>''''''''''''''''</w:t>
      </w:r>
      <w:r w:rsidRPr="001E33D8">
        <w:t xml:space="preserve"> per 50mg vial, </w:t>
      </w:r>
      <w:r w:rsidR="00222960">
        <w:rPr>
          <w:noProof/>
          <w:color w:val="000000"/>
          <w:highlight w:val="black"/>
        </w:rPr>
        <w:t>''''''</w:t>
      </w:r>
      <w:r w:rsidRPr="001E33D8">
        <w:t xml:space="preserve">% price reduction for </w:t>
      </w:r>
      <w:proofErr w:type="spellStart"/>
      <w:r w:rsidRPr="001E33D8">
        <w:t>pembrolizumab</w:t>
      </w:r>
      <w:proofErr w:type="spellEnd"/>
      <w:r w:rsidRPr="001E33D8">
        <w:t xml:space="preserve"> price, PSCR p.4)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1"/>
        <w:gridCol w:w="2379"/>
        <w:gridCol w:w="2379"/>
        <w:gridCol w:w="2053"/>
      </w:tblGrid>
      <w:tr w:rsidR="00906D9A" w:rsidRPr="00DE3F2B" w:rsidTr="006444C8">
        <w:tc>
          <w:tcPr>
            <w:tcW w:w="1250" w:type="pct"/>
            <w:tcMar>
              <w:top w:w="0" w:type="dxa"/>
              <w:left w:w="28" w:type="dxa"/>
              <w:bottom w:w="0" w:type="dxa"/>
              <w:right w:w="28" w:type="dxa"/>
            </w:tcMar>
          </w:tcPr>
          <w:p w:rsidR="00906D9A" w:rsidRPr="00DE3F2B" w:rsidRDefault="00906D9A" w:rsidP="009C0DF6">
            <w:pPr>
              <w:keepNext/>
              <w:spacing w:before="40" w:after="40" w:line="252" w:lineRule="auto"/>
              <w:rPr>
                <w:rFonts w:ascii="Arial Narrow" w:hAnsi="Arial Narrow"/>
                <w:b/>
                <w:bCs/>
                <w:sz w:val="20"/>
                <w:szCs w:val="20"/>
              </w:rPr>
            </w:pPr>
          </w:p>
        </w:tc>
        <w:tc>
          <w:tcPr>
            <w:tcW w:w="1310" w:type="pct"/>
            <w:tcMar>
              <w:top w:w="0" w:type="dxa"/>
              <w:left w:w="28" w:type="dxa"/>
              <w:bottom w:w="0" w:type="dxa"/>
              <w:right w:w="28" w:type="dxa"/>
            </w:tcMar>
            <w:hideMark/>
          </w:tcPr>
          <w:p w:rsidR="00906D9A" w:rsidRPr="00DE3F2B" w:rsidRDefault="00906D9A" w:rsidP="009C0DF6">
            <w:pPr>
              <w:keepNext/>
              <w:spacing w:before="40" w:after="40" w:line="252" w:lineRule="auto"/>
              <w:jc w:val="center"/>
              <w:rPr>
                <w:rFonts w:ascii="Arial Narrow" w:hAnsi="Arial Narrow"/>
                <w:b/>
                <w:bCs/>
                <w:sz w:val="20"/>
                <w:szCs w:val="20"/>
              </w:rPr>
            </w:pPr>
            <w:proofErr w:type="spellStart"/>
            <w:r w:rsidRPr="00DE3F2B">
              <w:rPr>
                <w:rFonts w:ascii="Arial Narrow" w:hAnsi="Arial Narrow"/>
                <w:b/>
                <w:bCs/>
                <w:sz w:val="20"/>
                <w:szCs w:val="20"/>
              </w:rPr>
              <w:t>Pembrolizumab</w:t>
            </w:r>
            <w:proofErr w:type="spellEnd"/>
          </w:p>
        </w:tc>
        <w:tc>
          <w:tcPr>
            <w:tcW w:w="1310" w:type="pct"/>
            <w:tcMar>
              <w:top w:w="0" w:type="dxa"/>
              <w:left w:w="28" w:type="dxa"/>
              <w:bottom w:w="0" w:type="dxa"/>
              <w:right w:w="28" w:type="dxa"/>
            </w:tcMar>
            <w:hideMark/>
          </w:tcPr>
          <w:p w:rsidR="00906D9A" w:rsidRPr="00DE3F2B" w:rsidRDefault="00906D9A" w:rsidP="009C0DF6">
            <w:pPr>
              <w:keepNext/>
              <w:spacing w:before="40" w:after="40" w:line="252" w:lineRule="auto"/>
              <w:jc w:val="center"/>
              <w:rPr>
                <w:rFonts w:ascii="Arial Narrow" w:hAnsi="Arial Narrow"/>
                <w:b/>
                <w:bCs/>
                <w:sz w:val="20"/>
                <w:szCs w:val="20"/>
              </w:rPr>
            </w:pPr>
            <w:proofErr w:type="spellStart"/>
            <w:r w:rsidRPr="00DE3F2B">
              <w:rPr>
                <w:rFonts w:ascii="Arial Narrow" w:hAnsi="Arial Narrow"/>
                <w:b/>
                <w:bCs/>
                <w:sz w:val="20"/>
                <w:szCs w:val="20"/>
              </w:rPr>
              <w:t>Brentuximab</w:t>
            </w:r>
            <w:proofErr w:type="spellEnd"/>
            <w:r w:rsidRPr="00DE3F2B">
              <w:rPr>
                <w:rFonts w:ascii="Arial Narrow" w:hAnsi="Arial Narrow"/>
                <w:b/>
                <w:bCs/>
                <w:sz w:val="20"/>
                <w:szCs w:val="20"/>
              </w:rPr>
              <w:t xml:space="preserve"> </w:t>
            </w:r>
            <w:proofErr w:type="spellStart"/>
            <w:r w:rsidRPr="00DE3F2B">
              <w:rPr>
                <w:rFonts w:ascii="Arial Narrow" w:hAnsi="Arial Narrow"/>
                <w:b/>
                <w:bCs/>
                <w:sz w:val="20"/>
                <w:szCs w:val="20"/>
              </w:rPr>
              <w:t>vedotin</w:t>
            </w:r>
            <w:proofErr w:type="spellEnd"/>
          </w:p>
        </w:tc>
        <w:tc>
          <w:tcPr>
            <w:tcW w:w="1130" w:type="pct"/>
            <w:tcMar>
              <w:top w:w="0" w:type="dxa"/>
              <w:left w:w="28" w:type="dxa"/>
              <w:bottom w:w="0" w:type="dxa"/>
              <w:right w:w="28" w:type="dxa"/>
            </w:tcMar>
            <w:hideMark/>
          </w:tcPr>
          <w:p w:rsidR="00906D9A" w:rsidRPr="00DE3F2B" w:rsidRDefault="00906D9A" w:rsidP="009C0DF6">
            <w:pPr>
              <w:keepNext/>
              <w:spacing w:before="40" w:after="40" w:line="252" w:lineRule="auto"/>
              <w:jc w:val="center"/>
              <w:rPr>
                <w:rFonts w:ascii="Arial Narrow" w:hAnsi="Arial Narrow"/>
                <w:b/>
                <w:bCs/>
                <w:sz w:val="20"/>
                <w:szCs w:val="20"/>
              </w:rPr>
            </w:pPr>
            <w:r w:rsidRPr="00DE3F2B">
              <w:rPr>
                <w:rFonts w:ascii="Arial Narrow" w:hAnsi="Arial Narrow"/>
                <w:b/>
                <w:bCs/>
                <w:sz w:val="20"/>
                <w:szCs w:val="20"/>
              </w:rPr>
              <w:t>Increment</w:t>
            </w:r>
          </w:p>
        </w:tc>
      </w:tr>
      <w:tr w:rsidR="00906D9A" w:rsidRPr="00DE3F2B" w:rsidTr="006444C8">
        <w:tc>
          <w:tcPr>
            <w:tcW w:w="1250" w:type="pct"/>
            <w:tcMar>
              <w:top w:w="0" w:type="dxa"/>
              <w:left w:w="28" w:type="dxa"/>
              <w:bottom w:w="0" w:type="dxa"/>
              <w:right w:w="28" w:type="dxa"/>
            </w:tcMar>
            <w:hideMark/>
          </w:tcPr>
          <w:p w:rsidR="00906D9A" w:rsidRPr="00DE3F2B" w:rsidRDefault="00906D9A" w:rsidP="009C0DF6">
            <w:pPr>
              <w:keepNext/>
              <w:spacing w:before="40" w:after="40" w:line="252" w:lineRule="auto"/>
              <w:rPr>
                <w:rFonts w:ascii="Arial Narrow" w:hAnsi="Arial Narrow"/>
                <w:sz w:val="20"/>
                <w:szCs w:val="20"/>
              </w:rPr>
            </w:pPr>
            <w:r w:rsidRPr="00DE3F2B">
              <w:rPr>
                <w:rFonts w:ascii="Arial Narrow" w:hAnsi="Arial Narrow"/>
                <w:sz w:val="20"/>
                <w:szCs w:val="20"/>
              </w:rPr>
              <w:t>Costs</w:t>
            </w:r>
          </w:p>
        </w:tc>
        <w:tc>
          <w:tcPr>
            <w:tcW w:w="1310" w:type="pct"/>
            <w:tcMar>
              <w:top w:w="0" w:type="dxa"/>
              <w:left w:w="28" w:type="dxa"/>
              <w:bottom w:w="0" w:type="dxa"/>
              <w:right w:w="28" w:type="dxa"/>
            </w:tcMar>
            <w:hideMark/>
          </w:tcPr>
          <w:p w:rsidR="00906D9A" w:rsidRPr="00DE3F2B" w:rsidRDefault="00906D9A" w:rsidP="009C0DF6">
            <w:pPr>
              <w:keepNext/>
              <w:spacing w:before="40" w:after="40" w:line="252" w:lineRule="auto"/>
              <w:jc w:val="right"/>
              <w:rPr>
                <w:rFonts w:ascii="Arial Narrow" w:hAnsi="Arial Narrow"/>
                <w:sz w:val="20"/>
                <w:szCs w:val="20"/>
              </w:rPr>
            </w:pPr>
            <w:r w:rsidRPr="00DE3F2B">
              <w:rPr>
                <w:rFonts w:ascii="Arial Narrow" w:hAnsi="Arial Narrow"/>
                <w:sz w:val="20"/>
                <w:szCs w:val="20"/>
              </w:rPr>
              <w:t>$</w:t>
            </w:r>
            <w:r w:rsidR="00222960">
              <w:rPr>
                <w:rFonts w:ascii="Arial Narrow" w:hAnsi="Arial Narrow"/>
                <w:noProof/>
                <w:color w:val="000000"/>
                <w:sz w:val="20"/>
                <w:szCs w:val="20"/>
                <w:highlight w:val="black"/>
              </w:rPr>
              <w:t>''''''''''''''''''</w:t>
            </w:r>
          </w:p>
        </w:tc>
        <w:tc>
          <w:tcPr>
            <w:tcW w:w="1310" w:type="pct"/>
            <w:tcMar>
              <w:top w:w="0" w:type="dxa"/>
              <w:left w:w="28" w:type="dxa"/>
              <w:bottom w:w="0" w:type="dxa"/>
              <w:right w:w="28" w:type="dxa"/>
            </w:tcMar>
            <w:hideMark/>
          </w:tcPr>
          <w:p w:rsidR="00906D9A" w:rsidRPr="00DE3F2B" w:rsidRDefault="00906D9A" w:rsidP="009C0DF6">
            <w:pPr>
              <w:keepNext/>
              <w:spacing w:before="40" w:after="40" w:line="252" w:lineRule="auto"/>
              <w:jc w:val="right"/>
              <w:rPr>
                <w:rFonts w:ascii="Arial Narrow" w:hAnsi="Arial Narrow"/>
                <w:sz w:val="20"/>
                <w:szCs w:val="20"/>
              </w:rPr>
            </w:pPr>
            <w:r w:rsidRPr="00DE3F2B">
              <w:rPr>
                <w:rFonts w:ascii="Arial Narrow" w:hAnsi="Arial Narrow"/>
                <w:sz w:val="20"/>
                <w:szCs w:val="20"/>
              </w:rPr>
              <w:t>$267,288</w:t>
            </w:r>
          </w:p>
        </w:tc>
        <w:tc>
          <w:tcPr>
            <w:tcW w:w="1130" w:type="pct"/>
            <w:tcMar>
              <w:top w:w="0" w:type="dxa"/>
              <w:left w:w="28" w:type="dxa"/>
              <w:bottom w:w="0" w:type="dxa"/>
              <w:right w:w="28" w:type="dxa"/>
            </w:tcMar>
            <w:hideMark/>
          </w:tcPr>
          <w:p w:rsidR="00906D9A" w:rsidRPr="00DE3F2B" w:rsidRDefault="00906D9A" w:rsidP="009C0DF6">
            <w:pPr>
              <w:keepNext/>
              <w:spacing w:before="40" w:after="40" w:line="252" w:lineRule="auto"/>
              <w:jc w:val="right"/>
              <w:rPr>
                <w:rFonts w:ascii="Arial Narrow" w:hAnsi="Arial Narrow"/>
                <w:sz w:val="20"/>
                <w:szCs w:val="20"/>
              </w:rPr>
            </w:pPr>
            <w:r w:rsidRPr="00DE3F2B">
              <w:rPr>
                <w:rFonts w:ascii="Arial Narrow" w:hAnsi="Arial Narrow"/>
                <w:sz w:val="20"/>
                <w:szCs w:val="20"/>
              </w:rPr>
              <w:t>$</w:t>
            </w:r>
            <w:r w:rsidR="00222960">
              <w:rPr>
                <w:rFonts w:ascii="Arial Narrow" w:hAnsi="Arial Narrow"/>
                <w:noProof/>
                <w:color w:val="000000"/>
                <w:sz w:val="20"/>
                <w:szCs w:val="20"/>
                <w:highlight w:val="black"/>
              </w:rPr>
              <w:t>'''''''''''''''''</w:t>
            </w:r>
          </w:p>
        </w:tc>
      </w:tr>
      <w:tr w:rsidR="00906D9A" w:rsidRPr="00DE3F2B" w:rsidTr="006444C8">
        <w:tc>
          <w:tcPr>
            <w:tcW w:w="1250" w:type="pct"/>
            <w:tcMar>
              <w:top w:w="0" w:type="dxa"/>
              <w:left w:w="28" w:type="dxa"/>
              <w:bottom w:w="0" w:type="dxa"/>
              <w:right w:w="28" w:type="dxa"/>
            </w:tcMar>
            <w:hideMark/>
          </w:tcPr>
          <w:p w:rsidR="00906D9A" w:rsidRPr="00DE3F2B" w:rsidRDefault="00906D9A" w:rsidP="009C0DF6">
            <w:pPr>
              <w:keepNext/>
              <w:spacing w:before="40" w:after="40" w:line="252" w:lineRule="auto"/>
              <w:rPr>
                <w:rFonts w:ascii="Arial Narrow" w:hAnsi="Arial Narrow"/>
                <w:sz w:val="20"/>
                <w:szCs w:val="20"/>
              </w:rPr>
            </w:pPr>
            <w:r w:rsidRPr="00DE3F2B">
              <w:rPr>
                <w:rFonts w:ascii="Arial Narrow" w:hAnsi="Arial Narrow"/>
                <w:sz w:val="20"/>
                <w:szCs w:val="20"/>
              </w:rPr>
              <w:t>Quality-adjusted life years</w:t>
            </w:r>
          </w:p>
        </w:tc>
        <w:tc>
          <w:tcPr>
            <w:tcW w:w="1310" w:type="pct"/>
            <w:tcMar>
              <w:top w:w="0" w:type="dxa"/>
              <w:left w:w="28" w:type="dxa"/>
              <w:bottom w:w="0" w:type="dxa"/>
              <w:right w:w="28" w:type="dxa"/>
            </w:tcMar>
            <w:vAlign w:val="bottom"/>
            <w:hideMark/>
          </w:tcPr>
          <w:p w:rsidR="00906D9A" w:rsidRPr="00DE3F2B" w:rsidRDefault="00906D9A" w:rsidP="009C0DF6">
            <w:pPr>
              <w:keepNext/>
              <w:spacing w:before="40" w:after="40" w:line="252" w:lineRule="auto"/>
              <w:jc w:val="center"/>
              <w:rPr>
                <w:rFonts w:ascii="Arial Narrow" w:hAnsi="Arial Narrow"/>
                <w:sz w:val="20"/>
                <w:szCs w:val="20"/>
              </w:rPr>
            </w:pPr>
            <w:r w:rsidRPr="00DE3F2B">
              <w:rPr>
                <w:rFonts w:ascii="Arial Narrow" w:hAnsi="Arial Narrow"/>
                <w:sz w:val="20"/>
                <w:szCs w:val="20"/>
              </w:rPr>
              <w:t>3.284</w:t>
            </w:r>
          </w:p>
        </w:tc>
        <w:tc>
          <w:tcPr>
            <w:tcW w:w="1310" w:type="pct"/>
            <w:tcMar>
              <w:top w:w="0" w:type="dxa"/>
              <w:left w:w="28" w:type="dxa"/>
              <w:bottom w:w="0" w:type="dxa"/>
              <w:right w:w="28" w:type="dxa"/>
            </w:tcMar>
            <w:vAlign w:val="bottom"/>
            <w:hideMark/>
          </w:tcPr>
          <w:p w:rsidR="00906D9A" w:rsidRPr="00DE3F2B" w:rsidRDefault="00906D9A" w:rsidP="009C0DF6">
            <w:pPr>
              <w:keepNext/>
              <w:spacing w:before="40" w:after="40" w:line="252" w:lineRule="auto"/>
              <w:jc w:val="center"/>
              <w:rPr>
                <w:rFonts w:ascii="Arial Narrow" w:hAnsi="Arial Narrow"/>
                <w:sz w:val="20"/>
                <w:szCs w:val="20"/>
              </w:rPr>
            </w:pPr>
            <w:r w:rsidRPr="00DE3F2B">
              <w:rPr>
                <w:rFonts w:ascii="Arial Narrow" w:hAnsi="Arial Narrow"/>
                <w:sz w:val="20"/>
                <w:szCs w:val="20"/>
              </w:rPr>
              <w:t>2.782</w:t>
            </w:r>
          </w:p>
        </w:tc>
        <w:tc>
          <w:tcPr>
            <w:tcW w:w="1130" w:type="pct"/>
            <w:tcMar>
              <w:top w:w="0" w:type="dxa"/>
              <w:left w:w="28" w:type="dxa"/>
              <w:bottom w:w="0" w:type="dxa"/>
              <w:right w:w="28" w:type="dxa"/>
            </w:tcMar>
            <w:vAlign w:val="bottom"/>
            <w:hideMark/>
          </w:tcPr>
          <w:p w:rsidR="00906D9A" w:rsidRPr="00DE3F2B" w:rsidRDefault="00906D9A" w:rsidP="009C0DF6">
            <w:pPr>
              <w:keepNext/>
              <w:spacing w:before="40" w:after="40" w:line="252" w:lineRule="auto"/>
              <w:jc w:val="center"/>
              <w:rPr>
                <w:rFonts w:ascii="Arial Narrow" w:hAnsi="Arial Narrow"/>
                <w:sz w:val="20"/>
                <w:szCs w:val="20"/>
              </w:rPr>
            </w:pPr>
            <w:r w:rsidRPr="00DE3F2B">
              <w:rPr>
                <w:rFonts w:ascii="Arial Narrow" w:hAnsi="Arial Narrow"/>
                <w:sz w:val="20"/>
                <w:szCs w:val="20"/>
              </w:rPr>
              <w:t>0.502</w:t>
            </w:r>
          </w:p>
        </w:tc>
      </w:tr>
      <w:tr w:rsidR="00906D9A" w:rsidRPr="00DE3F2B" w:rsidTr="006444C8">
        <w:tc>
          <w:tcPr>
            <w:tcW w:w="3870" w:type="pct"/>
            <w:gridSpan w:val="3"/>
            <w:tcMar>
              <w:top w:w="0" w:type="dxa"/>
              <w:left w:w="28" w:type="dxa"/>
              <w:bottom w:w="0" w:type="dxa"/>
              <w:right w:w="28" w:type="dxa"/>
            </w:tcMar>
            <w:hideMark/>
          </w:tcPr>
          <w:p w:rsidR="00906D9A" w:rsidRPr="00DE3F2B" w:rsidRDefault="00906D9A" w:rsidP="009C0DF6">
            <w:pPr>
              <w:keepNext/>
              <w:spacing w:before="40" w:after="40" w:line="252" w:lineRule="auto"/>
              <w:rPr>
                <w:rFonts w:ascii="Arial Narrow" w:hAnsi="Arial Narrow"/>
                <w:sz w:val="20"/>
                <w:szCs w:val="20"/>
              </w:rPr>
            </w:pPr>
            <w:r w:rsidRPr="00DE3F2B">
              <w:rPr>
                <w:rFonts w:ascii="Arial Narrow" w:hAnsi="Arial Narrow"/>
                <w:sz w:val="20"/>
                <w:szCs w:val="20"/>
              </w:rPr>
              <w:t>Incremental cost per quality-adjusted life year gained</w:t>
            </w:r>
          </w:p>
        </w:tc>
        <w:tc>
          <w:tcPr>
            <w:tcW w:w="1130" w:type="pct"/>
            <w:tcMar>
              <w:top w:w="0" w:type="dxa"/>
              <w:left w:w="28" w:type="dxa"/>
              <w:bottom w:w="0" w:type="dxa"/>
              <w:right w:w="28" w:type="dxa"/>
            </w:tcMar>
            <w:vAlign w:val="center"/>
            <w:hideMark/>
          </w:tcPr>
          <w:p w:rsidR="00906D9A" w:rsidRPr="00DE3F2B" w:rsidRDefault="00906D9A" w:rsidP="009C0DF6">
            <w:pPr>
              <w:keepNext/>
              <w:spacing w:before="40" w:after="40" w:line="252" w:lineRule="auto"/>
              <w:jc w:val="right"/>
              <w:rPr>
                <w:rFonts w:ascii="Arial Narrow" w:hAnsi="Arial Narrow"/>
                <w:b/>
                <w:bCs/>
                <w:sz w:val="20"/>
                <w:szCs w:val="20"/>
              </w:rPr>
            </w:pPr>
            <w:r w:rsidRPr="00DE3F2B">
              <w:rPr>
                <w:rFonts w:ascii="Arial Narrow" w:hAnsi="Arial Narrow"/>
                <w:b/>
                <w:bCs/>
                <w:sz w:val="20"/>
                <w:szCs w:val="20"/>
              </w:rPr>
              <w:t>$</w:t>
            </w:r>
            <w:r w:rsidR="00222960">
              <w:rPr>
                <w:rFonts w:ascii="Arial Narrow" w:hAnsi="Arial Narrow"/>
                <w:b/>
                <w:bCs/>
                <w:noProof/>
                <w:color w:val="000000"/>
                <w:sz w:val="20"/>
                <w:szCs w:val="20"/>
                <w:highlight w:val="black"/>
              </w:rPr>
              <w:t>'''''''''''''</w:t>
            </w:r>
          </w:p>
        </w:tc>
      </w:tr>
    </w:tbl>
    <w:p w:rsidR="006444C8" w:rsidRPr="00DE3F2B" w:rsidRDefault="006444C8" w:rsidP="00BB2184">
      <w:pPr>
        <w:spacing w:before="0" w:after="120"/>
      </w:pPr>
    </w:p>
    <w:p w:rsidR="004D66C1" w:rsidRPr="00920F2D" w:rsidRDefault="004D66C1" w:rsidP="009C0DF6">
      <w:pPr>
        <w:pStyle w:val="ListParagraph"/>
        <w:numPr>
          <w:ilvl w:val="1"/>
          <w:numId w:val="3"/>
        </w:numPr>
        <w:spacing w:before="0" w:after="120"/>
      </w:pPr>
      <w:r w:rsidRPr="00920F2D">
        <w:t xml:space="preserve">The economic result was subject to the following </w:t>
      </w:r>
      <w:r w:rsidR="00BA28A2">
        <w:t xml:space="preserve">additional </w:t>
      </w:r>
      <w:r w:rsidRPr="00920F2D">
        <w:t>assumptions:</w:t>
      </w:r>
    </w:p>
    <w:p w:rsidR="004D66C1" w:rsidRPr="00262141" w:rsidRDefault="004D66C1" w:rsidP="00262141">
      <w:pPr>
        <w:pStyle w:val="ListParagraph"/>
        <w:numPr>
          <w:ilvl w:val="2"/>
          <w:numId w:val="6"/>
        </w:numPr>
        <w:spacing w:before="0" w:after="120"/>
        <w:ind w:left="993" w:hanging="284"/>
      </w:pPr>
      <w:r w:rsidRPr="00262141">
        <w:t xml:space="preserve">Patients in the </w:t>
      </w:r>
      <w:proofErr w:type="spellStart"/>
      <w:r w:rsidRPr="00262141">
        <w:t>pembrolizumab</w:t>
      </w:r>
      <w:proofErr w:type="spellEnd"/>
      <w:r w:rsidRPr="00262141">
        <w:t xml:space="preserve"> arm would not receive BV following </w:t>
      </w:r>
      <w:proofErr w:type="spellStart"/>
      <w:r w:rsidRPr="00262141">
        <w:t>pembrolizumab</w:t>
      </w:r>
      <w:proofErr w:type="spellEnd"/>
      <w:r w:rsidRPr="00262141">
        <w:t xml:space="preserve"> treatment failure</w:t>
      </w:r>
      <w:r w:rsidR="00D5222E" w:rsidRPr="00262141">
        <w:t xml:space="preserve">. </w:t>
      </w:r>
      <w:r w:rsidR="006444C8" w:rsidRPr="00262141">
        <w:t xml:space="preserve">The ESC considered that this assumption was not representative of </w:t>
      </w:r>
      <w:r w:rsidR="00BA28A2" w:rsidRPr="00262141">
        <w:t xml:space="preserve">the </w:t>
      </w:r>
      <w:r w:rsidR="006444C8" w:rsidRPr="00262141">
        <w:t xml:space="preserve">likely use </w:t>
      </w:r>
      <w:r w:rsidR="00BA28A2" w:rsidRPr="00262141">
        <w:t xml:space="preserve">of these medicines </w:t>
      </w:r>
      <w:r w:rsidR="006444C8" w:rsidRPr="00262141">
        <w:t xml:space="preserve">in the PBS context. </w:t>
      </w:r>
      <w:r w:rsidR="009760B1" w:rsidRPr="00262141">
        <w:t>The PSCR (p.3) acknowledged that adjustment for treatment switching w</w:t>
      </w:r>
      <w:r w:rsidR="00B873C4" w:rsidRPr="00262141">
        <w:t>ould</w:t>
      </w:r>
      <w:r w:rsidR="009760B1" w:rsidRPr="00262141">
        <w:t xml:space="preserve"> b</w:t>
      </w:r>
      <w:r w:rsidR="00B873C4" w:rsidRPr="00262141">
        <w:t>e required should it occur to a</w:t>
      </w:r>
      <w:r w:rsidR="009760B1" w:rsidRPr="00262141">
        <w:t xml:space="preserve"> great extent in the KN204 trial</w:t>
      </w:r>
      <w:r w:rsidR="00BA28A2" w:rsidRPr="00262141">
        <w:t>,</w:t>
      </w:r>
      <w:r w:rsidR="009760B1" w:rsidRPr="00262141">
        <w:t xml:space="preserve"> </w:t>
      </w:r>
      <w:r w:rsidR="00B873C4" w:rsidRPr="00262141">
        <w:t>and proposed that the economic model be updated to account for the costs of any treatments which are received post progression if observed in KN204</w:t>
      </w:r>
      <w:r w:rsidR="006444C8" w:rsidRPr="00262141">
        <w:t>.</w:t>
      </w:r>
    </w:p>
    <w:p w:rsidR="004D66C1" w:rsidRPr="00262141" w:rsidRDefault="004D66C1" w:rsidP="00262141">
      <w:pPr>
        <w:pStyle w:val="ListParagraph"/>
        <w:numPr>
          <w:ilvl w:val="2"/>
          <w:numId w:val="6"/>
        </w:numPr>
        <w:spacing w:before="0" w:after="120"/>
        <w:ind w:left="993" w:hanging="284"/>
      </w:pPr>
      <w:r w:rsidRPr="00262141">
        <w:t xml:space="preserve">Patients would receive </w:t>
      </w:r>
      <w:proofErr w:type="spellStart"/>
      <w:r w:rsidRPr="00262141">
        <w:t>pembrolizumab</w:t>
      </w:r>
      <w:proofErr w:type="spellEnd"/>
      <w:r w:rsidRPr="00262141">
        <w:t xml:space="preserve"> or BV for the maximum number of cycles, unless they experience disease progression earlier</w:t>
      </w:r>
      <w:r w:rsidR="00B873C4" w:rsidRPr="00262141">
        <w:t xml:space="preserve">. The PSCR (p.3-4) acknowledged that the maximum number of cycles for </w:t>
      </w:r>
      <w:proofErr w:type="spellStart"/>
      <w:r w:rsidR="00B873C4" w:rsidRPr="00262141">
        <w:t>pembrolizumab</w:t>
      </w:r>
      <w:proofErr w:type="spellEnd"/>
      <w:r w:rsidR="00B873C4" w:rsidRPr="00262141">
        <w:t xml:space="preserve"> and BV in the economic model did not reflect clinical practice, as treatment discontinuations due to reasons other than disease progression were not accounted for. However, the PSCR claimed that this was likely biased against </w:t>
      </w:r>
      <w:proofErr w:type="spellStart"/>
      <w:r w:rsidR="00B873C4" w:rsidRPr="00262141">
        <w:t>pembrolizumab</w:t>
      </w:r>
      <w:proofErr w:type="spellEnd"/>
      <w:r w:rsidR="00B873C4" w:rsidRPr="00262141">
        <w:t xml:space="preserve">. The ESC </w:t>
      </w:r>
      <w:r w:rsidR="00BA28A2" w:rsidRPr="00262141">
        <w:t>was not convinced</w:t>
      </w:r>
      <w:r w:rsidR="00B873C4" w:rsidRPr="00262141">
        <w:t xml:space="preserve">, noting the lack of comparative data on the treatment duration for </w:t>
      </w:r>
      <w:proofErr w:type="spellStart"/>
      <w:r w:rsidR="00B873C4" w:rsidRPr="00262141">
        <w:t>pembrolizumab</w:t>
      </w:r>
      <w:proofErr w:type="spellEnd"/>
      <w:r w:rsidR="00B873C4" w:rsidRPr="00262141">
        <w:t xml:space="preserve"> versus BV</w:t>
      </w:r>
      <w:r w:rsidR="006444C8" w:rsidRPr="00262141">
        <w:t>.</w:t>
      </w:r>
    </w:p>
    <w:p w:rsidR="006444C8" w:rsidRPr="00262141" w:rsidRDefault="004D66C1" w:rsidP="00262141">
      <w:pPr>
        <w:pStyle w:val="ListParagraph"/>
        <w:numPr>
          <w:ilvl w:val="2"/>
          <w:numId w:val="6"/>
        </w:numPr>
        <w:spacing w:before="0" w:after="120"/>
        <w:ind w:left="993" w:hanging="284"/>
      </w:pPr>
      <w:r w:rsidRPr="00262141">
        <w:t>The results of PFS and OS for BV reported in Study 0003 in subjects who failed ASCT prior to study enrolment would be applicable to patients who are ineligible for ASCT.</w:t>
      </w:r>
      <w:r w:rsidR="006E795A" w:rsidRPr="00262141">
        <w:t xml:space="preserve"> </w:t>
      </w:r>
      <w:r w:rsidR="003D003A" w:rsidRPr="00262141">
        <w:t xml:space="preserve">The ESC considered this </w:t>
      </w:r>
      <w:r w:rsidR="004F7E39" w:rsidRPr="00262141">
        <w:t>approach may not be conservative, because</w:t>
      </w:r>
      <w:r w:rsidR="006444C8" w:rsidRPr="00262141">
        <w:t xml:space="preserve"> </w:t>
      </w:r>
      <w:r w:rsidR="00630309" w:rsidRPr="00262141">
        <w:t>how patient characteristics and prognosis differ for patients who are ASCT</w:t>
      </w:r>
      <w:r w:rsidR="000C4F94">
        <w:t xml:space="preserve"> </w:t>
      </w:r>
      <w:r w:rsidR="00630309" w:rsidRPr="00262141">
        <w:t>naïve versus post</w:t>
      </w:r>
      <w:r w:rsidR="000C4F94">
        <w:t xml:space="preserve"> </w:t>
      </w:r>
      <w:r w:rsidR="00630309" w:rsidRPr="00262141">
        <w:t xml:space="preserve">ASCT and what </w:t>
      </w:r>
      <w:r w:rsidR="00BA28A2" w:rsidRPr="00262141">
        <w:t xml:space="preserve">consequences these </w:t>
      </w:r>
      <w:r w:rsidR="00630309" w:rsidRPr="00262141">
        <w:t>may have on</w:t>
      </w:r>
      <w:r w:rsidR="006444C8" w:rsidRPr="00262141">
        <w:t xml:space="preserve"> </w:t>
      </w:r>
      <w:r w:rsidR="00BA28A2" w:rsidRPr="00262141">
        <w:t xml:space="preserve">the </w:t>
      </w:r>
      <w:r w:rsidR="006444C8" w:rsidRPr="00262141">
        <w:t xml:space="preserve">comparative effectiveness of </w:t>
      </w:r>
      <w:proofErr w:type="spellStart"/>
      <w:r w:rsidR="006444C8" w:rsidRPr="00262141">
        <w:t>pembrolizumab</w:t>
      </w:r>
      <w:proofErr w:type="spellEnd"/>
      <w:r w:rsidR="006444C8" w:rsidRPr="00262141">
        <w:t xml:space="preserve"> versus BV </w:t>
      </w:r>
      <w:r w:rsidR="00BA28A2" w:rsidRPr="00262141">
        <w:t>are</w:t>
      </w:r>
      <w:r w:rsidR="006444C8" w:rsidRPr="00262141">
        <w:t xml:space="preserve"> unknown.</w:t>
      </w:r>
    </w:p>
    <w:p w:rsidR="00D5222E" w:rsidRPr="00262141" w:rsidRDefault="00B729A2" w:rsidP="00262141">
      <w:pPr>
        <w:pStyle w:val="ListParagraph"/>
        <w:numPr>
          <w:ilvl w:val="2"/>
          <w:numId w:val="6"/>
        </w:numPr>
        <w:spacing w:before="0" w:after="120"/>
        <w:ind w:left="993" w:hanging="284"/>
      </w:pPr>
      <w:r w:rsidRPr="00262141">
        <w:t xml:space="preserve">The ESC noted that </w:t>
      </w:r>
      <w:r w:rsidR="00BA28A2" w:rsidRPr="00262141">
        <w:t xml:space="preserve">the </w:t>
      </w:r>
      <w:r w:rsidRPr="00262141">
        <w:t>costs for progression-free and progressed-disease states were ba</w:t>
      </w:r>
      <w:r w:rsidR="00D5222E" w:rsidRPr="00262141">
        <w:t xml:space="preserve">sed on </w:t>
      </w:r>
      <w:r w:rsidRPr="00262141">
        <w:t xml:space="preserve">a Canadian study which </w:t>
      </w:r>
      <w:r w:rsidR="004F7E39" w:rsidRPr="00262141">
        <w:t>may not be representative of the</w:t>
      </w:r>
      <w:r w:rsidR="00D02E6B" w:rsidRPr="00262141">
        <w:t xml:space="preserve"> Australian clinical setting.</w:t>
      </w:r>
    </w:p>
    <w:p w:rsidR="004D66C1" w:rsidRPr="00262141" w:rsidRDefault="004D66C1" w:rsidP="009C0DF6">
      <w:pPr>
        <w:spacing w:before="0" w:after="120"/>
        <w:ind w:left="709"/>
      </w:pPr>
      <w:r w:rsidRPr="00262141">
        <w:t xml:space="preserve">The </w:t>
      </w:r>
      <w:r w:rsidR="006F2B5F">
        <w:t xml:space="preserve">ESC considered that the </w:t>
      </w:r>
      <w:r w:rsidRPr="00262141">
        <w:t>above assumptions d</w:t>
      </w:r>
      <w:r w:rsidR="006F2B5F">
        <w:t>id</w:t>
      </w:r>
      <w:r w:rsidRPr="00262141">
        <w:t xml:space="preserve"> not reflect clinical practice or </w:t>
      </w:r>
      <w:r w:rsidR="006F2B5F">
        <w:t xml:space="preserve">were </w:t>
      </w:r>
      <w:r w:rsidRPr="00262141">
        <w:t xml:space="preserve">not supported by clinical evidence. </w:t>
      </w:r>
      <w:r w:rsidR="00D02E6B" w:rsidRPr="00262141">
        <w:t xml:space="preserve"> </w:t>
      </w:r>
      <w:r w:rsidRPr="00262141">
        <w:t xml:space="preserve">Their impacts on the ICER result, however, </w:t>
      </w:r>
      <w:r w:rsidR="00470CC9" w:rsidRPr="00262141">
        <w:t xml:space="preserve">could not </w:t>
      </w:r>
      <w:r w:rsidRPr="00262141">
        <w:t>be examined given the lack of relevant study/trial data.</w:t>
      </w:r>
    </w:p>
    <w:p w:rsidR="001E2C60" w:rsidRPr="00262141" w:rsidRDefault="00DD4AB8" w:rsidP="009C0DF6">
      <w:pPr>
        <w:pStyle w:val="ListParagraph"/>
        <w:numPr>
          <w:ilvl w:val="1"/>
          <w:numId w:val="3"/>
        </w:numPr>
        <w:spacing w:before="0" w:after="120"/>
      </w:pPr>
      <w:r w:rsidRPr="00262141">
        <w:t>The</w:t>
      </w:r>
      <w:r w:rsidR="004D66C1" w:rsidRPr="00262141">
        <w:t xml:space="preserve"> results of the key sensitivity analyses </w:t>
      </w:r>
      <w:r w:rsidR="006F2B5F">
        <w:t xml:space="preserve">presented </w:t>
      </w:r>
      <w:r w:rsidR="004D66C1" w:rsidRPr="00262141">
        <w:t>are summarised below.</w:t>
      </w:r>
      <w:r w:rsidR="00D02E6B" w:rsidRPr="00262141">
        <w:t xml:space="preserve"> </w:t>
      </w:r>
      <w:r w:rsidR="004D66C1" w:rsidRPr="00262141">
        <w:t xml:space="preserve"> </w:t>
      </w:r>
      <w:r w:rsidR="001E2C60" w:rsidRPr="00262141">
        <w:t xml:space="preserve">The ESC considered that sensitivity analyses exploring different methods of extrapolation would </w:t>
      </w:r>
      <w:r w:rsidR="006F2B5F">
        <w:t xml:space="preserve">also </w:t>
      </w:r>
      <w:r w:rsidR="001E2C60" w:rsidRPr="00262141">
        <w:t>have been informative.</w:t>
      </w:r>
    </w:p>
    <w:p w:rsidR="00175B20" w:rsidRDefault="00175B20" w:rsidP="00175B20">
      <w:pPr>
        <w:pStyle w:val="Caption"/>
      </w:pPr>
      <w:r>
        <w:t xml:space="preserve">Table </w:t>
      </w:r>
      <w:r>
        <w:rPr>
          <w:noProof/>
        </w:rPr>
        <w:t>11</w:t>
      </w:r>
      <w:r w:rsidRPr="00AC79F2">
        <w:t>: Results of univariate sensitivity analyses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57"/>
        <w:gridCol w:w="1417"/>
        <w:gridCol w:w="1418"/>
        <w:gridCol w:w="1304"/>
      </w:tblGrid>
      <w:tr w:rsidR="004D66C1" w:rsidRPr="004D66C1" w:rsidTr="003B415F">
        <w:trPr>
          <w:cantSplit/>
          <w:trHeight w:val="255"/>
          <w:tblHeader/>
        </w:trPr>
        <w:tc>
          <w:tcPr>
            <w:tcW w:w="4928" w:type="dxa"/>
            <w:gridSpan w:val="2"/>
            <w:shd w:val="clear" w:color="auto" w:fill="FFFFFF" w:themeFill="background1"/>
            <w:noWrap/>
          </w:tcPr>
          <w:p w:rsidR="004D66C1" w:rsidRPr="004D66C1" w:rsidRDefault="004D66C1" w:rsidP="009C0DF6">
            <w:pPr>
              <w:keepNext/>
              <w:spacing w:before="40" w:after="40"/>
              <w:rPr>
                <w:rFonts w:ascii="Arial Narrow" w:hAnsi="Arial Narrow"/>
                <w:b/>
                <w:sz w:val="20"/>
                <w:szCs w:val="20"/>
              </w:rPr>
            </w:pPr>
            <w:r w:rsidRPr="004D66C1">
              <w:rPr>
                <w:rFonts w:ascii="Arial Narrow" w:hAnsi="Arial Narrow"/>
                <w:b/>
                <w:sz w:val="20"/>
                <w:szCs w:val="20"/>
              </w:rPr>
              <w:t>Description of sensitivity analysis</w:t>
            </w:r>
          </w:p>
        </w:tc>
        <w:tc>
          <w:tcPr>
            <w:tcW w:w="1417" w:type="dxa"/>
            <w:shd w:val="clear" w:color="auto" w:fill="FFFFFF" w:themeFill="background1"/>
            <w:noWrap/>
          </w:tcPr>
          <w:p w:rsidR="004D66C1" w:rsidRPr="004D66C1" w:rsidRDefault="004D66C1" w:rsidP="009C0DF6">
            <w:pPr>
              <w:keepNext/>
              <w:spacing w:before="40" w:after="40"/>
              <w:jc w:val="center"/>
              <w:rPr>
                <w:rFonts w:ascii="Arial Narrow" w:hAnsi="Arial Narrow"/>
                <w:b/>
                <w:sz w:val="20"/>
                <w:szCs w:val="20"/>
              </w:rPr>
            </w:pPr>
            <w:r w:rsidRPr="004D66C1">
              <w:rPr>
                <w:rFonts w:ascii="Arial Narrow" w:hAnsi="Arial Narrow"/>
                <w:b/>
                <w:sz w:val="20"/>
                <w:szCs w:val="20"/>
              </w:rPr>
              <w:t>Incremental costs</w:t>
            </w:r>
          </w:p>
        </w:tc>
        <w:tc>
          <w:tcPr>
            <w:tcW w:w="1418" w:type="dxa"/>
            <w:shd w:val="clear" w:color="auto" w:fill="FFFFFF" w:themeFill="background1"/>
            <w:noWrap/>
          </w:tcPr>
          <w:p w:rsidR="004D66C1" w:rsidRPr="004D66C1" w:rsidRDefault="004D66C1" w:rsidP="009C0DF6">
            <w:pPr>
              <w:keepNext/>
              <w:spacing w:before="40" w:after="40"/>
              <w:jc w:val="center"/>
              <w:rPr>
                <w:rFonts w:ascii="Arial Narrow" w:hAnsi="Arial Narrow"/>
                <w:b/>
                <w:sz w:val="20"/>
                <w:szCs w:val="20"/>
              </w:rPr>
            </w:pPr>
            <w:r w:rsidRPr="004D66C1">
              <w:rPr>
                <w:rFonts w:ascii="Arial Narrow" w:hAnsi="Arial Narrow"/>
                <w:b/>
                <w:sz w:val="20"/>
                <w:szCs w:val="20"/>
              </w:rPr>
              <w:t>Incremental QALYs</w:t>
            </w:r>
          </w:p>
        </w:tc>
        <w:tc>
          <w:tcPr>
            <w:tcW w:w="1304" w:type="dxa"/>
            <w:shd w:val="clear" w:color="auto" w:fill="FFFFFF" w:themeFill="background1"/>
            <w:noWrap/>
          </w:tcPr>
          <w:p w:rsidR="004D66C1" w:rsidRPr="004D66C1" w:rsidRDefault="004D66C1" w:rsidP="009C0DF6">
            <w:pPr>
              <w:keepNext/>
              <w:spacing w:before="40" w:after="40"/>
              <w:jc w:val="center"/>
              <w:rPr>
                <w:rFonts w:ascii="Arial Narrow" w:hAnsi="Arial Narrow"/>
                <w:b/>
                <w:sz w:val="20"/>
                <w:szCs w:val="20"/>
              </w:rPr>
            </w:pPr>
            <w:r w:rsidRPr="004D66C1">
              <w:rPr>
                <w:rFonts w:ascii="Arial Narrow" w:hAnsi="Arial Narrow"/>
                <w:b/>
                <w:sz w:val="20"/>
                <w:szCs w:val="20"/>
              </w:rPr>
              <w:t>ICER</w:t>
            </w:r>
          </w:p>
        </w:tc>
      </w:tr>
      <w:tr w:rsidR="004D66C1" w:rsidRPr="00D5222E" w:rsidTr="003B415F">
        <w:trPr>
          <w:cantSplit/>
          <w:trHeight w:val="255"/>
        </w:trPr>
        <w:tc>
          <w:tcPr>
            <w:tcW w:w="4928" w:type="dxa"/>
            <w:gridSpan w:val="2"/>
            <w:tcBorders>
              <w:bottom w:val="single" w:sz="4" w:space="0" w:color="auto"/>
            </w:tcBorders>
            <w:shd w:val="clear" w:color="auto" w:fill="auto"/>
            <w:noWrap/>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Base case</w:t>
            </w:r>
          </w:p>
        </w:tc>
        <w:tc>
          <w:tcPr>
            <w:tcW w:w="1417" w:type="dxa"/>
            <w:tcBorders>
              <w:bottom w:val="single" w:sz="4" w:space="0" w:color="auto"/>
            </w:tcBorders>
            <w:shd w:val="clear" w:color="auto" w:fill="auto"/>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bottom w:val="single" w:sz="4" w:space="0" w:color="auto"/>
            </w:tcBorders>
            <w:shd w:val="clear" w:color="auto" w:fill="auto"/>
            <w:noWrap/>
            <w:vAlign w:val="bottom"/>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0.502</w:t>
            </w:r>
          </w:p>
        </w:tc>
        <w:tc>
          <w:tcPr>
            <w:tcW w:w="1304" w:type="dxa"/>
            <w:tcBorders>
              <w:bottom w:val="single" w:sz="4" w:space="0" w:color="auto"/>
            </w:tcBorders>
            <w:shd w:val="clear" w:color="auto" w:fill="auto"/>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4D66C1" w:rsidRPr="00D5222E" w:rsidTr="003B415F">
        <w:trPr>
          <w:cantSplit/>
          <w:trHeight w:val="255"/>
        </w:trPr>
        <w:tc>
          <w:tcPr>
            <w:tcW w:w="4928" w:type="dxa"/>
            <w:gridSpan w:val="2"/>
            <w:tcBorders>
              <w:bottom w:val="dotted" w:sz="4" w:space="0" w:color="auto"/>
              <w:right w:val="nil"/>
            </w:tcBorders>
            <w:shd w:val="clear" w:color="auto" w:fill="FFFFFF" w:themeFill="background1"/>
            <w:noWrap/>
          </w:tcPr>
          <w:p w:rsidR="004D66C1" w:rsidRPr="00D5222E" w:rsidRDefault="004D66C1" w:rsidP="009C0DF6">
            <w:pPr>
              <w:keepNext/>
              <w:spacing w:before="40" w:after="40"/>
              <w:rPr>
                <w:rFonts w:ascii="Arial Narrow" w:hAnsi="Arial Narrow"/>
                <w:b/>
                <w:sz w:val="20"/>
                <w:szCs w:val="20"/>
              </w:rPr>
            </w:pPr>
            <w:r w:rsidRPr="00D5222E">
              <w:rPr>
                <w:rFonts w:ascii="Arial Narrow" w:hAnsi="Arial Narrow"/>
                <w:b/>
                <w:sz w:val="20"/>
                <w:szCs w:val="20"/>
              </w:rPr>
              <w:t>Costs</w:t>
            </w:r>
          </w:p>
        </w:tc>
        <w:tc>
          <w:tcPr>
            <w:tcW w:w="1417" w:type="dxa"/>
            <w:tcBorders>
              <w:left w:val="nil"/>
              <w:bottom w:val="dotted" w:sz="4" w:space="0" w:color="auto"/>
              <w:right w:val="nil"/>
            </w:tcBorders>
            <w:shd w:val="clear" w:color="auto" w:fill="FFFFFF" w:themeFill="background1"/>
            <w:noWrap/>
          </w:tcPr>
          <w:p w:rsidR="004D66C1" w:rsidRPr="00D5222E" w:rsidRDefault="004D66C1" w:rsidP="009C0DF6">
            <w:pPr>
              <w:keepNext/>
              <w:spacing w:before="40" w:after="40"/>
              <w:jc w:val="right"/>
              <w:rPr>
                <w:rFonts w:ascii="Arial Narrow" w:hAnsi="Arial Narrow"/>
                <w:b/>
                <w:sz w:val="20"/>
                <w:szCs w:val="20"/>
              </w:rPr>
            </w:pPr>
          </w:p>
        </w:tc>
        <w:tc>
          <w:tcPr>
            <w:tcW w:w="1418" w:type="dxa"/>
            <w:tcBorders>
              <w:left w:val="nil"/>
              <w:bottom w:val="dotted" w:sz="4" w:space="0" w:color="auto"/>
              <w:right w:val="nil"/>
            </w:tcBorders>
            <w:shd w:val="clear" w:color="auto" w:fill="FFFFFF" w:themeFill="background1"/>
            <w:noWrap/>
          </w:tcPr>
          <w:p w:rsidR="004D66C1" w:rsidRPr="00D5222E" w:rsidRDefault="004D66C1" w:rsidP="009C0DF6">
            <w:pPr>
              <w:keepNext/>
              <w:spacing w:before="40" w:after="40"/>
              <w:jc w:val="center"/>
              <w:rPr>
                <w:rFonts w:ascii="Arial Narrow" w:hAnsi="Arial Narrow"/>
                <w:b/>
                <w:sz w:val="20"/>
                <w:szCs w:val="20"/>
              </w:rPr>
            </w:pPr>
          </w:p>
        </w:tc>
        <w:tc>
          <w:tcPr>
            <w:tcW w:w="1304" w:type="dxa"/>
            <w:tcBorders>
              <w:left w:val="nil"/>
              <w:bottom w:val="dotted" w:sz="4" w:space="0" w:color="auto"/>
            </w:tcBorders>
            <w:shd w:val="clear" w:color="auto" w:fill="FFFFFF" w:themeFill="background1"/>
            <w:noWrap/>
          </w:tcPr>
          <w:p w:rsidR="004D66C1" w:rsidRPr="00D5222E" w:rsidRDefault="004D66C1" w:rsidP="009C0DF6">
            <w:pPr>
              <w:keepNext/>
              <w:spacing w:before="40" w:after="40"/>
              <w:jc w:val="right"/>
              <w:rPr>
                <w:rFonts w:ascii="Arial Narrow" w:hAnsi="Arial Narrow"/>
                <w:b/>
                <w:sz w:val="20"/>
                <w:szCs w:val="20"/>
              </w:rPr>
            </w:pPr>
          </w:p>
        </w:tc>
      </w:tr>
      <w:tr w:rsidR="004D66C1" w:rsidRPr="00D5222E" w:rsidTr="003B415F">
        <w:trPr>
          <w:cantSplit/>
          <w:trHeight w:val="255"/>
        </w:trPr>
        <w:tc>
          <w:tcPr>
            <w:tcW w:w="4928" w:type="dxa"/>
            <w:gridSpan w:val="2"/>
            <w:tcBorders>
              <w:top w:val="dotted" w:sz="4" w:space="0" w:color="auto"/>
              <w:bottom w:val="dotted" w:sz="4" w:space="0" w:color="auto"/>
            </w:tcBorders>
            <w:shd w:val="clear" w:color="auto" w:fill="FFFFFF" w:themeFill="background1"/>
            <w:noWrap/>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Drug costs only</w:t>
            </w:r>
          </w:p>
        </w:tc>
        <w:tc>
          <w:tcPr>
            <w:tcW w:w="1417" w:type="dxa"/>
            <w:tcBorders>
              <w:top w:val="dotted" w:sz="4" w:space="0" w:color="auto"/>
              <w:bottom w:val="dotted" w:sz="4" w:space="0" w:color="auto"/>
            </w:tcBorders>
            <w:shd w:val="clear" w:color="auto" w:fill="FFFFFF" w:themeFill="background1"/>
            <w:noWrap/>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FFFFFF" w:themeFill="background1"/>
            <w:noWrap/>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sz w:val="20"/>
                <w:szCs w:val="20"/>
              </w:rPr>
              <w:t>0.502</w:t>
            </w:r>
          </w:p>
        </w:tc>
        <w:tc>
          <w:tcPr>
            <w:tcW w:w="1304" w:type="dxa"/>
            <w:tcBorders>
              <w:top w:val="dotted" w:sz="4" w:space="0" w:color="auto"/>
              <w:bottom w:val="dotted" w:sz="4" w:space="0" w:color="auto"/>
            </w:tcBorders>
            <w:shd w:val="clear" w:color="auto" w:fill="FFFFFF" w:themeFill="background1"/>
            <w:noWrap/>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sz w:val="20"/>
                <w:szCs w:val="20"/>
              </w:rPr>
              <w:t>$</w:t>
            </w:r>
            <w:r w:rsidR="00222960">
              <w:rPr>
                <w:rFonts w:ascii="Arial Narrow" w:hAnsi="Arial Narrow"/>
                <w:noProof/>
                <w:color w:val="000000"/>
                <w:sz w:val="20"/>
                <w:szCs w:val="20"/>
                <w:highlight w:val="black"/>
              </w:rPr>
              <w:t>'''''''''''''''''''''</w:t>
            </w:r>
          </w:p>
        </w:tc>
      </w:tr>
      <w:tr w:rsidR="004D66C1" w:rsidRPr="00D5222E" w:rsidTr="003B415F">
        <w:trPr>
          <w:cantSplit/>
          <w:trHeight w:val="255"/>
        </w:trPr>
        <w:tc>
          <w:tcPr>
            <w:tcW w:w="4928" w:type="dxa"/>
            <w:gridSpan w:val="2"/>
            <w:tcBorders>
              <w:top w:val="dotted" w:sz="4" w:space="0" w:color="auto"/>
              <w:bottom w:val="dotted" w:sz="4" w:space="0" w:color="auto"/>
            </w:tcBorders>
            <w:shd w:val="clear" w:color="auto" w:fill="FFFFFF" w:themeFill="background1"/>
            <w:noWrap/>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50% of the listed BV costs</w:t>
            </w:r>
          </w:p>
        </w:tc>
        <w:tc>
          <w:tcPr>
            <w:tcW w:w="1417"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0.502</w:t>
            </w:r>
          </w:p>
        </w:tc>
        <w:tc>
          <w:tcPr>
            <w:tcW w:w="1304"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D5222E" w:rsidRPr="00D5222E" w:rsidTr="003B415F">
        <w:trPr>
          <w:cantSplit/>
          <w:trHeight w:val="255"/>
        </w:trPr>
        <w:tc>
          <w:tcPr>
            <w:tcW w:w="4928" w:type="dxa"/>
            <w:gridSpan w:val="2"/>
            <w:tcBorders>
              <w:top w:val="dotted" w:sz="4" w:space="0" w:color="auto"/>
              <w:bottom w:val="dotted" w:sz="4" w:space="0" w:color="auto"/>
            </w:tcBorders>
            <w:shd w:val="clear" w:color="auto" w:fill="FFFFFF" w:themeFill="background1"/>
            <w:noWrap/>
          </w:tcPr>
          <w:p w:rsidR="00D5222E" w:rsidRPr="00D5222E" w:rsidRDefault="00D5222E" w:rsidP="009C0DF6">
            <w:pPr>
              <w:keepNext/>
              <w:spacing w:before="40" w:after="40"/>
              <w:rPr>
                <w:rFonts w:ascii="Arial Narrow" w:hAnsi="Arial Narrow"/>
                <w:i/>
                <w:sz w:val="20"/>
                <w:szCs w:val="20"/>
              </w:rPr>
            </w:pPr>
            <w:r w:rsidRPr="00D5222E">
              <w:rPr>
                <w:rFonts w:ascii="Arial Narrow" w:hAnsi="Arial Narrow"/>
                <w:i/>
                <w:sz w:val="20"/>
                <w:szCs w:val="20"/>
              </w:rPr>
              <w:t>30% increase in PF costs</w:t>
            </w:r>
          </w:p>
        </w:tc>
        <w:tc>
          <w:tcPr>
            <w:tcW w:w="1417" w:type="dxa"/>
            <w:tcBorders>
              <w:top w:val="dotted" w:sz="4" w:space="0" w:color="auto"/>
              <w:bottom w:val="dotted" w:sz="4" w:space="0" w:color="auto"/>
            </w:tcBorders>
            <w:shd w:val="clear" w:color="auto" w:fill="FFFFFF" w:themeFill="background1"/>
            <w:noWrap/>
            <w:vAlign w:val="bottom"/>
          </w:tcPr>
          <w:p w:rsidR="00D5222E" w:rsidRPr="00D5222E" w:rsidRDefault="00D5222E" w:rsidP="009C0DF6">
            <w:pPr>
              <w:keepNext/>
              <w:spacing w:before="40" w:after="40"/>
              <w:jc w:val="right"/>
              <w:rPr>
                <w:rFonts w:ascii="Arial Narrow" w:hAnsi="Arial Narrow"/>
                <w:i/>
                <w:color w:val="000000"/>
                <w:sz w:val="20"/>
                <w:szCs w:val="20"/>
              </w:rPr>
            </w:pPr>
          </w:p>
        </w:tc>
        <w:tc>
          <w:tcPr>
            <w:tcW w:w="1418" w:type="dxa"/>
            <w:tcBorders>
              <w:top w:val="dotted" w:sz="4" w:space="0" w:color="auto"/>
              <w:bottom w:val="dotted" w:sz="4" w:space="0" w:color="auto"/>
            </w:tcBorders>
            <w:shd w:val="clear" w:color="auto" w:fill="FFFFFF" w:themeFill="background1"/>
            <w:noWrap/>
            <w:vAlign w:val="bottom"/>
          </w:tcPr>
          <w:p w:rsidR="00D5222E" w:rsidRPr="00D5222E" w:rsidRDefault="00D5222E" w:rsidP="009C0DF6">
            <w:pPr>
              <w:keepNext/>
              <w:spacing w:before="40" w:after="40"/>
              <w:jc w:val="center"/>
              <w:rPr>
                <w:rFonts w:ascii="Arial Narrow" w:hAnsi="Arial Narrow"/>
                <w:i/>
                <w:color w:val="000000"/>
                <w:sz w:val="20"/>
                <w:szCs w:val="20"/>
              </w:rPr>
            </w:pPr>
          </w:p>
        </w:tc>
        <w:tc>
          <w:tcPr>
            <w:tcW w:w="1304" w:type="dxa"/>
            <w:tcBorders>
              <w:top w:val="dotted" w:sz="4" w:space="0" w:color="auto"/>
              <w:bottom w:val="dotted" w:sz="4" w:space="0" w:color="auto"/>
            </w:tcBorders>
            <w:shd w:val="clear" w:color="auto" w:fill="FFFFFF" w:themeFill="background1"/>
            <w:noWrap/>
            <w:vAlign w:val="bottom"/>
          </w:tcPr>
          <w:p w:rsidR="00D5222E" w:rsidRPr="00D5222E" w:rsidRDefault="00D5222E" w:rsidP="009C0DF6">
            <w:pPr>
              <w:keepNext/>
              <w:spacing w:before="40" w:after="40"/>
              <w:jc w:val="right"/>
              <w:rPr>
                <w:rFonts w:ascii="Arial Narrow" w:hAnsi="Arial Narrow"/>
                <w:i/>
                <w:color w:val="000000"/>
                <w:sz w:val="20"/>
                <w:szCs w:val="20"/>
              </w:rPr>
            </w:pPr>
            <w:r w:rsidRPr="00D5222E">
              <w:rPr>
                <w:rFonts w:ascii="Arial Narrow" w:hAnsi="Arial Narrow"/>
                <w:i/>
                <w:color w:val="000000"/>
                <w:sz w:val="20"/>
                <w:szCs w:val="20"/>
              </w:rPr>
              <w:t>$</w:t>
            </w:r>
            <w:r w:rsidR="00222960">
              <w:rPr>
                <w:rFonts w:ascii="Arial Narrow" w:hAnsi="Arial Narrow"/>
                <w:i/>
                <w:noProof/>
                <w:color w:val="000000"/>
                <w:sz w:val="20"/>
                <w:szCs w:val="20"/>
                <w:highlight w:val="black"/>
              </w:rPr>
              <w:t>''''''''''''''''''</w:t>
            </w:r>
          </w:p>
        </w:tc>
      </w:tr>
      <w:tr w:rsidR="004D66C1" w:rsidRPr="00D5222E" w:rsidTr="004D66C1">
        <w:trPr>
          <w:cantSplit/>
          <w:trHeight w:val="255"/>
        </w:trPr>
        <w:tc>
          <w:tcPr>
            <w:tcW w:w="9067" w:type="dxa"/>
            <w:gridSpan w:val="5"/>
            <w:tcBorders>
              <w:bottom w:val="dotted" w:sz="4" w:space="0" w:color="auto"/>
            </w:tcBorders>
            <w:shd w:val="clear" w:color="auto" w:fill="auto"/>
            <w:noWrap/>
          </w:tcPr>
          <w:p w:rsidR="004D66C1" w:rsidRPr="00D5222E" w:rsidRDefault="004D66C1" w:rsidP="009C0DF6">
            <w:pPr>
              <w:keepNext/>
              <w:spacing w:before="40" w:after="40"/>
              <w:rPr>
                <w:rFonts w:ascii="Arial Narrow" w:hAnsi="Arial Narrow"/>
                <w:b/>
                <w:color w:val="000000"/>
                <w:sz w:val="20"/>
                <w:szCs w:val="20"/>
              </w:rPr>
            </w:pPr>
            <w:r w:rsidRPr="00D5222E">
              <w:rPr>
                <w:rFonts w:ascii="Arial Narrow" w:hAnsi="Arial Narrow"/>
                <w:b/>
                <w:sz w:val="20"/>
                <w:szCs w:val="20"/>
              </w:rPr>
              <w:t>Hazard ratio (hypothetically set at 0.600 for OS and 0.622 for PFS in base case)</w:t>
            </w:r>
          </w:p>
        </w:tc>
      </w:tr>
      <w:tr w:rsidR="004D66C1" w:rsidRPr="00D5222E" w:rsidTr="003B415F">
        <w:trPr>
          <w:cantSplit/>
          <w:trHeight w:val="255"/>
        </w:trPr>
        <w:tc>
          <w:tcPr>
            <w:tcW w:w="4928" w:type="dxa"/>
            <w:gridSpan w:val="2"/>
            <w:tcBorders>
              <w:top w:val="dotted" w:sz="4" w:space="0" w:color="auto"/>
              <w:bottom w:val="dotted" w:sz="4" w:space="0" w:color="auto"/>
            </w:tcBorders>
            <w:shd w:val="clear" w:color="auto" w:fill="auto"/>
            <w:noWrap/>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Reduction of treatment effect in terms of OS by 50% (OS HR of 0.800, no change in PFS HR)</w:t>
            </w:r>
            <w:r w:rsidRPr="00D5222E">
              <w:rPr>
                <w:rFonts w:ascii="Arial Narrow" w:hAnsi="Arial Narrow"/>
                <w:sz w:val="20"/>
                <w:szCs w:val="20"/>
                <w:vertAlign w:val="superscript"/>
              </w:rPr>
              <w:t>a</w:t>
            </w:r>
          </w:p>
        </w:tc>
        <w:tc>
          <w:tcPr>
            <w:tcW w:w="1417" w:type="dxa"/>
            <w:tcBorders>
              <w:top w:val="dotted" w:sz="4" w:space="0" w:color="auto"/>
              <w:bottom w:val="dotted" w:sz="4" w:space="0" w:color="auto"/>
            </w:tcBorders>
            <w:shd w:val="clear" w:color="auto" w:fill="auto"/>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auto"/>
            <w:noWrap/>
            <w:vAlign w:val="bottom"/>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0.334</w:t>
            </w:r>
          </w:p>
        </w:tc>
        <w:tc>
          <w:tcPr>
            <w:tcW w:w="1304" w:type="dxa"/>
            <w:tcBorders>
              <w:top w:val="dotted" w:sz="4" w:space="0" w:color="auto"/>
              <w:bottom w:val="dotted" w:sz="4" w:space="0" w:color="auto"/>
            </w:tcBorders>
            <w:shd w:val="clear" w:color="auto" w:fill="auto"/>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4D66C1" w:rsidRPr="00D5222E" w:rsidTr="003B415F">
        <w:trPr>
          <w:cantSplit/>
          <w:trHeight w:val="255"/>
        </w:trPr>
        <w:tc>
          <w:tcPr>
            <w:tcW w:w="4928" w:type="dxa"/>
            <w:gridSpan w:val="2"/>
            <w:tcBorders>
              <w:top w:val="dotted" w:sz="4" w:space="0" w:color="auto"/>
              <w:bottom w:val="dotted" w:sz="4" w:space="0" w:color="auto"/>
            </w:tcBorders>
            <w:shd w:val="clear" w:color="auto" w:fill="auto"/>
            <w:noWrap/>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Reduction of treatment effect in terms of PFS by 50% (PFS HR of 0.811, no change in OS HR)</w:t>
            </w:r>
            <w:r w:rsidRPr="00D5222E">
              <w:rPr>
                <w:rFonts w:ascii="Arial Narrow" w:hAnsi="Arial Narrow"/>
                <w:sz w:val="20"/>
                <w:szCs w:val="20"/>
                <w:vertAlign w:val="superscript"/>
              </w:rPr>
              <w:t>a</w:t>
            </w:r>
          </w:p>
        </w:tc>
        <w:tc>
          <w:tcPr>
            <w:tcW w:w="1417" w:type="dxa"/>
            <w:tcBorders>
              <w:top w:val="dotted" w:sz="4" w:space="0" w:color="auto"/>
              <w:bottom w:val="dotted" w:sz="4" w:space="0" w:color="auto"/>
            </w:tcBorders>
            <w:shd w:val="clear" w:color="auto" w:fill="auto"/>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auto"/>
            <w:noWrap/>
            <w:vAlign w:val="bottom"/>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0.448</w:t>
            </w:r>
          </w:p>
        </w:tc>
        <w:tc>
          <w:tcPr>
            <w:tcW w:w="1304" w:type="dxa"/>
            <w:tcBorders>
              <w:top w:val="dotted" w:sz="4" w:space="0" w:color="auto"/>
              <w:bottom w:val="dotted" w:sz="4" w:space="0" w:color="auto"/>
            </w:tcBorders>
            <w:shd w:val="clear" w:color="auto" w:fill="auto"/>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4D66C1" w:rsidRPr="00D5222E" w:rsidTr="003B415F">
        <w:trPr>
          <w:cantSplit/>
          <w:trHeight w:val="255"/>
        </w:trPr>
        <w:tc>
          <w:tcPr>
            <w:tcW w:w="4928" w:type="dxa"/>
            <w:gridSpan w:val="2"/>
            <w:tcBorders>
              <w:top w:val="dotted" w:sz="4" w:space="0" w:color="auto"/>
              <w:bottom w:val="dotted" w:sz="4" w:space="0" w:color="auto"/>
            </w:tcBorders>
            <w:shd w:val="clear" w:color="auto" w:fill="auto"/>
            <w:noWrap/>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Reduction of treatment effect in terms of both PFS and OS by 50% (0.800 and 0.811 for OS and PFS)</w:t>
            </w:r>
          </w:p>
        </w:tc>
        <w:tc>
          <w:tcPr>
            <w:tcW w:w="1417" w:type="dxa"/>
            <w:tcBorders>
              <w:top w:val="dotted" w:sz="4" w:space="0" w:color="auto"/>
              <w:bottom w:val="dotted" w:sz="4" w:space="0" w:color="auto"/>
            </w:tcBorders>
            <w:shd w:val="clear" w:color="auto" w:fill="auto"/>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auto"/>
            <w:noWrap/>
            <w:vAlign w:val="bottom"/>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0.280</w:t>
            </w:r>
          </w:p>
        </w:tc>
        <w:tc>
          <w:tcPr>
            <w:tcW w:w="1304" w:type="dxa"/>
            <w:tcBorders>
              <w:top w:val="dotted" w:sz="4" w:space="0" w:color="auto"/>
              <w:bottom w:val="dotted" w:sz="4" w:space="0" w:color="auto"/>
            </w:tcBorders>
            <w:shd w:val="clear" w:color="auto" w:fill="auto"/>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4D66C1" w:rsidRPr="00D5222E" w:rsidTr="003B415F">
        <w:trPr>
          <w:cantSplit/>
          <w:trHeight w:val="255"/>
        </w:trPr>
        <w:tc>
          <w:tcPr>
            <w:tcW w:w="4928" w:type="dxa"/>
            <w:gridSpan w:val="2"/>
            <w:tcBorders>
              <w:top w:val="dotted" w:sz="4" w:space="0" w:color="auto"/>
              <w:bottom w:val="dotted" w:sz="4" w:space="0" w:color="auto"/>
            </w:tcBorders>
            <w:shd w:val="clear" w:color="auto" w:fill="FFFFFF" w:themeFill="background1"/>
            <w:noWrap/>
          </w:tcPr>
          <w:p w:rsidR="004D66C1" w:rsidRPr="00D5222E" w:rsidRDefault="004D66C1" w:rsidP="009C0DF6">
            <w:pPr>
              <w:pStyle w:val="TableText"/>
            </w:pPr>
            <w:r w:rsidRPr="00D5222E">
              <w:t>No superior treatment effect in terms of OS (OS HR of 1.00, no change in PFS HR)</w:t>
            </w:r>
            <w:r w:rsidRPr="00D5222E">
              <w:rPr>
                <w:vertAlign w:val="superscript"/>
              </w:rPr>
              <w:t>a</w:t>
            </w:r>
          </w:p>
        </w:tc>
        <w:tc>
          <w:tcPr>
            <w:tcW w:w="1417" w:type="dxa"/>
            <w:tcBorders>
              <w:top w:val="dotted" w:sz="4" w:space="0" w:color="auto"/>
              <w:bottom w:val="dotted" w:sz="4" w:space="0" w:color="auto"/>
            </w:tcBorders>
            <w:shd w:val="clear" w:color="auto" w:fill="FFFFFF" w:themeFill="background1"/>
            <w:noWrap/>
            <w:vAlign w:val="center"/>
          </w:tcPr>
          <w:p w:rsidR="004D66C1" w:rsidRPr="00D5222E" w:rsidRDefault="004D66C1" w:rsidP="009C0DF6">
            <w:pPr>
              <w:pStyle w:val="TableText"/>
              <w:jc w:val="right"/>
              <w:rPr>
                <w:color w:val="000000"/>
              </w:rPr>
            </w:pPr>
            <w:r w:rsidRPr="00D5222E">
              <w:t>$</w:t>
            </w:r>
            <w:r w:rsidR="00222960">
              <w:rPr>
                <w:noProof/>
                <w:color w:val="000000"/>
                <w:highlight w:val="black"/>
              </w:rPr>
              <w:t>'''''''''''''''''</w:t>
            </w:r>
          </w:p>
        </w:tc>
        <w:tc>
          <w:tcPr>
            <w:tcW w:w="1418" w:type="dxa"/>
            <w:tcBorders>
              <w:top w:val="dotted" w:sz="4" w:space="0" w:color="auto"/>
              <w:bottom w:val="dotted" w:sz="4" w:space="0" w:color="auto"/>
            </w:tcBorders>
            <w:shd w:val="clear" w:color="auto" w:fill="FFFFFF" w:themeFill="background1"/>
            <w:noWrap/>
            <w:vAlign w:val="center"/>
          </w:tcPr>
          <w:p w:rsidR="004D66C1" w:rsidRPr="00D5222E" w:rsidRDefault="004D66C1" w:rsidP="009C0DF6">
            <w:pPr>
              <w:pStyle w:val="TableText"/>
              <w:jc w:val="center"/>
              <w:rPr>
                <w:color w:val="000000"/>
              </w:rPr>
            </w:pPr>
            <w:r w:rsidRPr="00D5222E">
              <w:t>0.113</w:t>
            </w:r>
          </w:p>
        </w:tc>
        <w:tc>
          <w:tcPr>
            <w:tcW w:w="1304" w:type="dxa"/>
            <w:tcBorders>
              <w:top w:val="dotted" w:sz="4" w:space="0" w:color="auto"/>
              <w:bottom w:val="dotted" w:sz="4" w:space="0" w:color="auto"/>
            </w:tcBorders>
            <w:shd w:val="clear" w:color="auto" w:fill="FFFFFF" w:themeFill="background1"/>
            <w:noWrap/>
            <w:vAlign w:val="center"/>
          </w:tcPr>
          <w:p w:rsidR="004D66C1" w:rsidRPr="00D5222E" w:rsidRDefault="004D66C1" w:rsidP="009C0DF6">
            <w:pPr>
              <w:pStyle w:val="TableText"/>
              <w:jc w:val="right"/>
              <w:rPr>
                <w:color w:val="000000"/>
              </w:rPr>
            </w:pPr>
            <w:r w:rsidRPr="00D5222E">
              <w:t>$</w:t>
            </w:r>
            <w:r w:rsidR="00222960">
              <w:rPr>
                <w:noProof/>
                <w:color w:val="000000"/>
                <w:highlight w:val="black"/>
              </w:rPr>
              <w:t>'''''''''''''''''''</w:t>
            </w:r>
          </w:p>
        </w:tc>
      </w:tr>
      <w:tr w:rsidR="004D66C1" w:rsidRPr="00D5222E" w:rsidTr="003B415F">
        <w:trPr>
          <w:cantSplit/>
          <w:trHeight w:val="255"/>
        </w:trPr>
        <w:tc>
          <w:tcPr>
            <w:tcW w:w="4928" w:type="dxa"/>
            <w:gridSpan w:val="2"/>
            <w:tcBorders>
              <w:top w:val="dotted" w:sz="4" w:space="0" w:color="auto"/>
              <w:bottom w:val="dotted" w:sz="4" w:space="0" w:color="auto"/>
            </w:tcBorders>
            <w:shd w:val="clear" w:color="auto" w:fill="FFFFFF" w:themeFill="background1"/>
            <w:noWrap/>
          </w:tcPr>
          <w:p w:rsidR="004D66C1" w:rsidRPr="00D5222E" w:rsidRDefault="004D66C1" w:rsidP="009C0DF6">
            <w:pPr>
              <w:pStyle w:val="TableText"/>
            </w:pPr>
            <w:r w:rsidRPr="00D5222E">
              <w:t>No superior treatment effect in terms of PFS (PFS HR of 1.00, no change in OS HR)</w:t>
            </w:r>
            <w:r w:rsidRPr="00D5222E">
              <w:rPr>
                <w:vertAlign w:val="superscript"/>
              </w:rPr>
              <w:t>a</w:t>
            </w:r>
          </w:p>
        </w:tc>
        <w:tc>
          <w:tcPr>
            <w:tcW w:w="1417" w:type="dxa"/>
            <w:tcBorders>
              <w:top w:val="dotted" w:sz="4" w:space="0" w:color="auto"/>
              <w:bottom w:val="dotted" w:sz="4" w:space="0" w:color="auto"/>
            </w:tcBorders>
            <w:shd w:val="clear" w:color="auto" w:fill="FFFFFF" w:themeFill="background1"/>
            <w:noWrap/>
            <w:vAlign w:val="center"/>
          </w:tcPr>
          <w:p w:rsidR="004D66C1" w:rsidRPr="00D5222E" w:rsidRDefault="004D66C1" w:rsidP="009C0DF6">
            <w:pPr>
              <w:pStyle w:val="TableText"/>
              <w:jc w:val="right"/>
              <w:rPr>
                <w:color w:val="000000"/>
              </w:rPr>
            </w:pPr>
            <w:r w:rsidRPr="00D5222E">
              <w:t>$</w:t>
            </w:r>
            <w:r w:rsidR="00222960">
              <w:rPr>
                <w:noProof/>
                <w:color w:val="000000"/>
                <w:highlight w:val="black"/>
              </w:rPr>
              <w:t>'''''''''''''''</w:t>
            </w:r>
          </w:p>
        </w:tc>
        <w:tc>
          <w:tcPr>
            <w:tcW w:w="1418" w:type="dxa"/>
            <w:tcBorders>
              <w:top w:val="dotted" w:sz="4" w:space="0" w:color="auto"/>
              <w:bottom w:val="dotted" w:sz="4" w:space="0" w:color="auto"/>
            </w:tcBorders>
            <w:shd w:val="clear" w:color="auto" w:fill="FFFFFF" w:themeFill="background1"/>
            <w:noWrap/>
            <w:vAlign w:val="center"/>
          </w:tcPr>
          <w:p w:rsidR="004D66C1" w:rsidRPr="00D5222E" w:rsidRDefault="004D66C1" w:rsidP="009C0DF6">
            <w:pPr>
              <w:pStyle w:val="TableText"/>
              <w:jc w:val="center"/>
              <w:rPr>
                <w:color w:val="000000"/>
              </w:rPr>
            </w:pPr>
            <w:r w:rsidRPr="00D5222E">
              <w:t>0.404</w:t>
            </w:r>
          </w:p>
        </w:tc>
        <w:tc>
          <w:tcPr>
            <w:tcW w:w="1304" w:type="dxa"/>
            <w:tcBorders>
              <w:top w:val="dotted" w:sz="4" w:space="0" w:color="auto"/>
              <w:bottom w:val="dotted" w:sz="4" w:space="0" w:color="auto"/>
            </w:tcBorders>
            <w:shd w:val="clear" w:color="auto" w:fill="FFFFFF" w:themeFill="background1"/>
            <w:noWrap/>
            <w:vAlign w:val="center"/>
          </w:tcPr>
          <w:p w:rsidR="004D66C1" w:rsidRPr="00D5222E" w:rsidRDefault="004D66C1" w:rsidP="009C0DF6">
            <w:pPr>
              <w:pStyle w:val="TableText"/>
              <w:jc w:val="right"/>
              <w:rPr>
                <w:color w:val="000000"/>
              </w:rPr>
            </w:pPr>
            <w:r w:rsidRPr="00D5222E">
              <w:t>$</w:t>
            </w:r>
            <w:r w:rsidR="00222960">
              <w:rPr>
                <w:noProof/>
                <w:color w:val="000000"/>
                <w:highlight w:val="black"/>
              </w:rPr>
              <w:t>''''''''''''''''</w:t>
            </w:r>
          </w:p>
        </w:tc>
      </w:tr>
      <w:tr w:rsidR="004D66C1" w:rsidRPr="00D5222E" w:rsidTr="003B415F">
        <w:trPr>
          <w:cantSplit/>
          <w:trHeight w:val="255"/>
        </w:trPr>
        <w:tc>
          <w:tcPr>
            <w:tcW w:w="4928" w:type="dxa"/>
            <w:gridSpan w:val="2"/>
            <w:tcBorders>
              <w:top w:val="dotted" w:sz="4" w:space="0" w:color="auto"/>
              <w:bottom w:val="dotted" w:sz="4" w:space="0" w:color="auto"/>
            </w:tcBorders>
            <w:shd w:val="clear" w:color="auto" w:fill="FFFFFF" w:themeFill="background1"/>
            <w:noWrap/>
          </w:tcPr>
          <w:p w:rsidR="004D66C1" w:rsidRPr="00D5222E" w:rsidRDefault="004D66C1" w:rsidP="009C0DF6">
            <w:pPr>
              <w:pStyle w:val="TableText"/>
            </w:pPr>
            <w:r w:rsidRPr="00D5222E">
              <w:t>No superior treatment effect in terms of both OS and PFS (both HR of 1.00)</w:t>
            </w:r>
            <w:r w:rsidRPr="00D5222E">
              <w:rPr>
                <w:vertAlign w:val="superscript"/>
              </w:rPr>
              <w:t>a</w:t>
            </w:r>
          </w:p>
        </w:tc>
        <w:tc>
          <w:tcPr>
            <w:tcW w:w="1417" w:type="dxa"/>
            <w:tcBorders>
              <w:top w:val="dotted" w:sz="4" w:space="0" w:color="auto"/>
              <w:bottom w:val="dotted" w:sz="4" w:space="0" w:color="auto"/>
            </w:tcBorders>
            <w:shd w:val="clear" w:color="auto" w:fill="FFFFFF" w:themeFill="background1"/>
            <w:noWrap/>
            <w:vAlign w:val="center"/>
          </w:tcPr>
          <w:p w:rsidR="004D66C1" w:rsidRPr="00D5222E" w:rsidRDefault="004D66C1" w:rsidP="009C0DF6">
            <w:pPr>
              <w:pStyle w:val="TableText"/>
              <w:jc w:val="right"/>
              <w:rPr>
                <w:color w:val="000000"/>
              </w:rPr>
            </w:pPr>
            <w:r w:rsidRPr="00D5222E">
              <w:t>$</w:t>
            </w:r>
            <w:r w:rsidR="00222960">
              <w:rPr>
                <w:noProof/>
                <w:color w:val="000000"/>
                <w:highlight w:val="black"/>
              </w:rPr>
              <w:t>'''''''''''''''</w:t>
            </w:r>
            <w:r w:rsidRPr="00D5222E">
              <w:rPr>
                <w:vertAlign w:val="superscript"/>
              </w:rPr>
              <w:t>b</w:t>
            </w:r>
          </w:p>
        </w:tc>
        <w:tc>
          <w:tcPr>
            <w:tcW w:w="1418" w:type="dxa"/>
            <w:tcBorders>
              <w:top w:val="dotted" w:sz="4" w:space="0" w:color="auto"/>
              <w:bottom w:val="dotted" w:sz="4" w:space="0" w:color="auto"/>
            </w:tcBorders>
            <w:shd w:val="clear" w:color="auto" w:fill="FFFFFF" w:themeFill="background1"/>
            <w:noWrap/>
            <w:vAlign w:val="center"/>
          </w:tcPr>
          <w:p w:rsidR="004D66C1" w:rsidRPr="00D5222E" w:rsidRDefault="004D66C1" w:rsidP="009C0DF6">
            <w:pPr>
              <w:pStyle w:val="TableText"/>
              <w:jc w:val="center"/>
              <w:rPr>
                <w:color w:val="000000"/>
              </w:rPr>
            </w:pPr>
            <w:r w:rsidRPr="00D5222E">
              <w:t>0.000</w:t>
            </w:r>
            <w:r w:rsidRPr="00D5222E">
              <w:rPr>
                <w:vertAlign w:val="superscript"/>
              </w:rPr>
              <w:t>b</w:t>
            </w:r>
          </w:p>
        </w:tc>
        <w:tc>
          <w:tcPr>
            <w:tcW w:w="1304" w:type="dxa"/>
            <w:tcBorders>
              <w:top w:val="dotted" w:sz="4" w:space="0" w:color="auto"/>
              <w:bottom w:val="dotted" w:sz="4" w:space="0" w:color="auto"/>
            </w:tcBorders>
            <w:shd w:val="clear" w:color="auto" w:fill="FFFFFF" w:themeFill="background1"/>
            <w:noWrap/>
            <w:vAlign w:val="center"/>
          </w:tcPr>
          <w:p w:rsidR="004D66C1" w:rsidRPr="00D5222E" w:rsidRDefault="004D66C1" w:rsidP="009C0DF6">
            <w:pPr>
              <w:pStyle w:val="TableText"/>
              <w:jc w:val="right"/>
              <w:rPr>
                <w:color w:val="000000"/>
              </w:rPr>
            </w:pPr>
            <w:r w:rsidRPr="00D5222E">
              <w:t>Not calculable</w:t>
            </w:r>
          </w:p>
        </w:tc>
      </w:tr>
      <w:tr w:rsidR="004D66C1" w:rsidRPr="00D5222E" w:rsidTr="004D66C1">
        <w:trPr>
          <w:cantSplit/>
          <w:trHeight w:val="255"/>
        </w:trPr>
        <w:tc>
          <w:tcPr>
            <w:tcW w:w="9067" w:type="dxa"/>
            <w:gridSpan w:val="5"/>
            <w:tcBorders>
              <w:bottom w:val="dotted" w:sz="4" w:space="0" w:color="auto"/>
            </w:tcBorders>
            <w:shd w:val="clear" w:color="auto" w:fill="FFFFFF" w:themeFill="background1"/>
            <w:noWrap/>
          </w:tcPr>
          <w:p w:rsidR="004D66C1" w:rsidRPr="00D5222E" w:rsidRDefault="004D66C1" w:rsidP="009C0DF6">
            <w:pPr>
              <w:keepNext/>
              <w:spacing w:before="40" w:after="40"/>
              <w:rPr>
                <w:rFonts w:ascii="Arial Narrow" w:hAnsi="Arial Narrow"/>
                <w:b/>
                <w:color w:val="000000"/>
                <w:sz w:val="20"/>
                <w:szCs w:val="20"/>
              </w:rPr>
            </w:pPr>
            <w:r w:rsidRPr="00D5222E">
              <w:rPr>
                <w:rFonts w:ascii="Arial Narrow" w:hAnsi="Arial Narrow"/>
                <w:b/>
                <w:sz w:val="20"/>
                <w:szCs w:val="20"/>
              </w:rPr>
              <w:t>Application of assumed HRs (2 years in base case, after which time point the survival curves start to converge)</w:t>
            </w:r>
          </w:p>
        </w:tc>
      </w:tr>
      <w:tr w:rsidR="004D66C1" w:rsidRPr="00D5222E" w:rsidTr="003B415F">
        <w:trPr>
          <w:cantSplit/>
          <w:trHeight w:val="255"/>
        </w:trPr>
        <w:tc>
          <w:tcPr>
            <w:tcW w:w="4928" w:type="dxa"/>
            <w:gridSpan w:val="2"/>
            <w:tcBorders>
              <w:top w:val="dotted" w:sz="4" w:space="0" w:color="auto"/>
              <w:bottom w:val="single" w:sz="4" w:space="0" w:color="auto"/>
            </w:tcBorders>
            <w:shd w:val="clear" w:color="auto" w:fill="FFFFFF" w:themeFill="background1"/>
            <w:noWrap/>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1 year</w:t>
            </w:r>
          </w:p>
        </w:tc>
        <w:tc>
          <w:tcPr>
            <w:tcW w:w="1417" w:type="dxa"/>
            <w:tcBorders>
              <w:top w:val="dotted" w:sz="4" w:space="0" w:color="auto"/>
              <w:bottom w:val="single"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single" w:sz="4" w:space="0" w:color="auto"/>
            </w:tcBorders>
            <w:shd w:val="clear" w:color="auto" w:fill="FFFFFF" w:themeFill="background1"/>
            <w:noWrap/>
            <w:vAlign w:val="bottom"/>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0.569</w:t>
            </w:r>
          </w:p>
        </w:tc>
        <w:tc>
          <w:tcPr>
            <w:tcW w:w="1304" w:type="dxa"/>
            <w:tcBorders>
              <w:top w:val="dotted" w:sz="4" w:space="0" w:color="auto"/>
              <w:bottom w:val="single"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4D66C1" w:rsidRPr="00D5222E" w:rsidTr="004D66C1">
        <w:trPr>
          <w:cantSplit/>
          <w:trHeight w:val="255"/>
        </w:trPr>
        <w:tc>
          <w:tcPr>
            <w:tcW w:w="9067" w:type="dxa"/>
            <w:gridSpan w:val="5"/>
            <w:tcBorders>
              <w:bottom w:val="dotted" w:sz="4" w:space="0" w:color="auto"/>
            </w:tcBorders>
            <w:shd w:val="clear" w:color="auto" w:fill="FFFFFF" w:themeFill="background1"/>
            <w:noWrap/>
          </w:tcPr>
          <w:p w:rsidR="004D66C1" w:rsidRPr="00D5222E" w:rsidRDefault="004D66C1" w:rsidP="009C0DF6">
            <w:pPr>
              <w:keepNext/>
              <w:spacing w:before="40" w:after="40"/>
              <w:rPr>
                <w:rFonts w:ascii="Arial Narrow" w:hAnsi="Arial Narrow"/>
                <w:b/>
                <w:sz w:val="20"/>
                <w:szCs w:val="20"/>
              </w:rPr>
            </w:pPr>
            <w:r w:rsidRPr="00D5222E">
              <w:rPr>
                <w:rFonts w:ascii="Arial Narrow" w:hAnsi="Arial Narrow"/>
                <w:b/>
                <w:sz w:val="20"/>
                <w:szCs w:val="20"/>
              </w:rPr>
              <w:t>Time horizon/Point of convergence of survival curve for both PFS and OS (both 8 years in base case)</w:t>
            </w:r>
          </w:p>
        </w:tc>
      </w:tr>
      <w:tr w:rsidR="004D66C1" w:rsidRPr="00D5222E" w:rsidTr="003B415F">
        <w:trPr>
          <w:cantSplit/>
          <w:trHeight w:val="255"/>
        </w:trPr>
        <w:tc>
          <w:tcPr>
            <w:tcW w:w="1271" w:type="dxa"/>
            <w:tcBorders>
              <w:top w:val="dotted" w:sz="4" w:space="0" w:color="auto"/>
              <w:bottom w:val="dotted" w:sz="4" w:space="0" w:color="auto"/>
            </w:tcBorders>
            <w:shd w:val="clear" w:color="auto" w:fill="FFFFFF" w:themeFill="background1"/>
            <w:noWrap/>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Time horizon</w:t>
            </w:r>
          </w:p>
        </w:tc>
        <w:tc>
          <w:tcPr>
            <w:tcW w:w="3657" w:type="dxa"/>
            <w:tcBorders>
              <w:top w:val="dotted" w:sz="4" w:space="0" w:color="auto"/>
              <w:bottom w:val="dotted" w:sz="4" w:space="0" w:color="auto"/>
            </w:tcBorders>
            <w:shd w:val="clear" w:color="auto" w:fill="FFFFFF" w:themeFill="background1"/>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Point of convergence of survival curve</w:t>
            </w:r>
          </w:p>
        </w:tc>
        <w:tc>
          <w:tcPr>
            <w:tcW w:w="1417" w:type="dxa"/>
            <w:tcBorders>
              <w:top w:val="dotted" w:sz="4" w:space="0" w:color="auto"/>
              <w:bottom w:val="dotted" w:sz="4" w:space="0" w:color="auto"/>
            </w:tcBorders>
            <w:shd w:val="clear" w:color="auto" w:fill="FFFFFF" w:themeFill="background1"/>
            <w:noWrap/>
          </w:tcPr>
          <w:p w:rsidR="004D66C1" w:rsidRPr="00D5222E" w:rsidRDefault="004D66C1" w:rsidP="009C0DF6">
            <w:pPr>
              <w:keepNext/>
              <w:spacing w:before="40" w:after="40"/>
              <w:rPr>
                <w:rFonts w:ascii="Arial Narrow" w:hAnsi="Arial Narrow"/>
                <w:sz w:val="20"/>
                <w:szCs w:val="20"/>
              </w:rPr>
            </w:pPr>
          </w:p>
        </w:tc>
        <w:tc>
          <w:tcPr>
            <w:tcW w:w="1418" w:type="dxa"/>
            <w:tcBorders>
              <w:top w:val="dotted" w:sz="4" w:space="0" w:color="auto"/>
              <w:bottom w:val="dotted" w:sz="4" w:space="0" w:color="auto"/>
            </w:tcBorders>
            <w:shd w:val="clear" w:color="auto" w:fill="FFFFFF" w:themeFill="background1"/>
            <w:noWrap/>
          </w:tcPr>
          <w:p w:rsidR="004D66C1" w:rsidRPr="00D5222E" w:rsidRDefault="004D66C1" w:rsidP="009C0DF6">
            <w:pPr>
              <w:keepNext/>
              <w:spacing w:before="40" w:after="40"/>
              <w:rPr>
                <w:rFonts w:ascii="Arial Narrow" w:hAnsi="Arial Narrow"/>
                <w:sz w:val="20"/>
                <w:szCs w:val="20"/>
              </w:rPr>
            </w:pPr>
          </w:p>
        </w:tc>
        <w:tc>
          <w:tcPr>
            <w:tcW w:w="1304"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rPr>
                <w:rFonts w:ascii="Arial Narrow" w:hAnsi="Arial Narrow"/>
                <w:sz w:val="20"/>
                <w:szCs w:val="20"/>
              </w:rPr>
            </w:pPr>
          </w:p>
        </w:tc>
      </w:tr>
      <w:tr w:rsidR="004D66C1" w:rsidRPr="00D5222E" w:rsidTr="003B415F">
        <w:trPr>
          <w:cantSplit/>
          <w:trHeight w:val="255"/>
        </w:trPr>
        <w:tc>
          <w:tcPr>
            <w:tcW w:w="1271" w:type="dxa"/>
            <w:vMerge w:val="restart"/>
            <w:tcBorders>
              <w:top w:val="dotted" w:sz="4" w:space="0" w:color="auto"/>
            </w:tcBorders>
            <w:shd w:val="clear" w:color="auto" w:fill="FFFFFF" w:themeFill="background1"/>
            <w:noWrap/>
            <w:vAlign w:val="center"/>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5 years</w:t>
            </w:r>
          </w:p>
        </w:tc>
        <w:tc>
          <w:tcPr>
            <w:tcW w:w="3657" w:type="dxa"/>
            <w:tcBorders>
              <w:top w:val="dotted" w:sz="4" w:space="0" w:color="auto"/>
              <w:bottom w:val="dotted" w:sz="4" w:space="0" w:color="auto"/>
            </w:tcBorders>
            <w:shd w:val="clear" w:color="auto" w:fill="FFFFFF" w:themeFill="background1"/>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5 years</w:t>
            </w:r>
          </w:p>
        </w:tc>
        <w:tc>
          <w:tcPr>
            <w:tcW w:w="1417"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0.292</w:t>
            </w:r>
          </w:p>
        </w:tc>
        <w:tc>
          <w:tcPr>
            <w:tcW w:w="1304"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4D66C1" w:rsidRPr="00D5222E" w:rsidTr="003B415F">
        <w:trPr>
          <w:cantSplit/>
          <w:trHeight w:val="255"/>
        </w:trPr>
        <w:tc>
          <w:tcPr>
            <w:tcW w:w="1271" w:type="dxa"/>
            <w:vMerge/>
            <w:shd w:val="clear" w:color="auto" w:fill="FFFFFF" w:themeFill="background1"/>
            <w:noWrap/>
            <w:vAlign w:val="center"/>
          </w:tcPr>
          <w:p w:rsidR="004D66C1" w:rsidRPr="00D5222E" w:rsidRDefault="004D66C1" w:rsidP="009C0DF6">
            <w:pPr>
              <w:keepNext/>
              <w:spacing w:before="40" w:after="40"/>
              <w:rPr>
                <w:rFonts w:ascii="Arial Narrow" w:hAnsi="Arial Narrow"/>
                <w:sz w:val="20"/>
                <w:szCs w:val="20"/>
              </w:rPr>
            </w:pPr>
          </w:p>
        </w:tc>
        <w:tc>
          <w:tcPr>
            <w:tcW w:w="3657" w:type="dxa"/>
            <w:tcBorders>
              <w:top w:val="dotted" w:sz="4" w:space="0" w:color="auto"/>
              <w:bottom w:val="dotted" w:sz="4" w:space="0" w:color="auto"/>
            </w:tcBorders>
            <w:shd w:val="clear" w:color="auto" w:fill="FFFFFF" w:themeFill="background1"/>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8 years</w:t>
            </w:r>
          </w:p>
        </w:tc>
        <w:tc>
          <w:tcPr>
            <w:tcW w:w="1417"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0.391</w:t>
            </w:r>
          </w:p>
        </w:tc>
        <w:tc>
          <w:tcPr>
            <w:tcW w:w="1304"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4D66C1" w:rsidRPr="00D5222E" w:rsidTr="003B415F">
        <w:trPr>
          <w:cantSplit/>
          <w:trHeight w:val="255"/>
        </w:trPr>
        <w:tc>
          <w:tcPr>
            <w:tcW w:w="1271" w:type="dxa"/>
            <w:vMerge/>
            <w:tcBorders>
              <w:bottom w:val="dotted" w:sz="4" w:space="0" w:color="auto"/>
            </w:tcBorders>
            <w:shd w:val="clear" w:color="auto" w:fill="FFFFFF" w:themeFill="background1"/>
            <w:noWrap/>
            <w:vAlign w:val="center"/>
          </w:tcPr>
          <w:p w:rsidR="004D66C1" w:rsidRPr="00D5222E" w:rsidRDefault="004D66C1" w:rsidP="009C0DF6">
            <w:pPr>
              <w:keepNext/>
              <w:spacing w:before="40" w:after="40"/>
              <w:rPr>
                <w:rFonts w:ascii="Arial Narrow" w:hAnsi="Arial Narrow"/>
                <w:sz w:val="20"/>
                <w:szCs w:val="20"/>
              </w:rPr>
            </w:pPr>
          </w:p>
        </w:tc>
        <w:tc>
          <w:tcPr>
            <w:tcW w:w="3657" w:type="dxa"/>
            <w:tcBorders>
              <w:top w:val="dotted" w:sz="4" w:space="0" w:color="auto"/>
              <w:bottom w:val="dotted" w:sz="4" w:space="0" w:color="auto"/>
            </w:tcBorders>
            <w:shd w:val="clear" w:color="auto" w:fill="FFFFFF" w:themeFill="background1"/>
          </w:tcPr>
          <w:p w:rsidR="004D66C1" w:rsidRPr="00D5222E" w:rsidRDefault="004D66C1" w:rsidP="009C0DF6">
            <w:pPr>
              <w:keepNext/>
              <w:spacing w:before="40" w:after="40"/>
              <w:rPr>
                <w:rFonts w:ascii="Arial Narrow" w:hAnsi="Arial Narrow"/>
                <w:sz w:val="20"/>
                <w:szCs w:val="20"/>
              </w:rPr>
            </w:pPr>
            <w:r w:rsidRPr="00D5222E">
              <w:rPr>
                <w:rFonts w:ascii="Arial Narrow" w:hAnsi="Arial Narrow"/>
                <w:sz w:val="20"/>
                <w:szCs w:val="20"/>
              </w:rPr>
              <w:t>10 years</w:t>
            </w:r>
          </w:p>
        </w:tc>
        <w:tc>
          <w:tcPr>
            <w:tcW w:w="1417"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0.420</w:t>
            </w:r>
          </w:p>
        </w:tc>
        <w:tc>
          <w:tcPr>
            <w:tcW w:w="1304" w:type="dxa"/>
            <w:tcBorders>
              <w:top w:val="dotted" w:sz="4" w:space="0" w:color="auto"/>
              <w:bottom w:val="dotted" w:sz="4" w:space="0" w:color="auto"/>
            </w:tcBorders>
            <w:shd w:val="clear" w:color="auto" w:fill="FFFFFF" w:themeFill="background1"/>
            <w:noWrap/>
            <w:vAlign w:val="bottom"/>
          </w:tcPr>
          <w:p w:rsidR="004D66C1" w:rsidRPr="00D5222E" w:rsidRDefault="004D66C1"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1E2C60" w:rsidRPr="00D5222E" w:rsidTr="003B415F">
        <w:trPr>
          <w:cantSplit/>
          <w:trHeight w:val="255"/>
        </w:trPr>
        <w:tc>
          <w:tcPr>
            <w:tcW w:w="1271" w:type="dxa"/>
            <w:vMerge w:val="restart"/>
            <w:shd w:val="clear" w:color="auto" w:fill="FFFFFF" w:themeFill="background1"/>
            <w:noWrap/>
            <w:vAlign w:val="center"/>
          </w:tcPr>
          <w:p w:rsidR="001E2C60" w:rsidRPr="00D5222E" w:rsidRDefault="001E2C60" w:rsidP="009C0DF6">
            <w:pPr>
              <w:keepNext/>
              <w:spacing w:before="40" w:after="40"/>
              <w:rPr>
                <w:rFonts w:ascii="Arial Narrow" w:hAnsi="Arial Narrow"/>
                <w:sz w:val="20"/>
                <w:szCs w:val="20"/>
              </w:rPr>
            </w:pPr>
            <w:r w:rsidRPr="00D5222E">
              <w:rPr>
                <w:rFonts w:ascii="Arial Narrow" w:hAnsi="Arial Narrow"/>
                <w:sz w:val="20"/>
                <w:szCs w:val="20"/>
              </w:rPr>
              <w:t>8 years</w:t>
            </w:r>
          </w:p>
        </w:tc>
        <w:tc>
          <w:tcPr>
            <w:tcW w:w="3657" w:type="dxa"/>
            <w:tcBorders>
              <w:top w:val="dotted" w:sz="4" w:space="0" w:color="auto"/>
              <w:bottom w:val="dotted" w:sz="4" w:space="0" w:color="auto"/>
            </w:tcBorders>
            <w:shd w:val="clear" w:color="auto" w:fill="FFFFFF" w:themeFill="background1"/>
          </w:tcPr>
          <w:p w:rsidR="001E2C60" w:rsidRPr="00D5222E" w:rsidRDefault="001E2C60" w:rsidP="009C0DF6">
            <w:pPr>
              <w:keepNext/>
              <w:spacing w:before="40" w:after="40"/>
              <w:rPr>
                <w:rFonts w:ascii="Arial Narrow" w:hAnsi="Arial Narrow"/>
                <w:sz w:val="20"/>
                <w:szCs w:val="20"/>
              </w:rPr>
            </w:pPr>
            <w:r w:rsidRPr="00D5222E">
              <w:rPr>
                <w:rFonts w:ascii="Arial Narrow" w:hAnsi="Arial Narrow"/>
                <w:sz w:val="20"/>
                <w:szCs w:val="20"/>
              </w:rPr>
              <w:t>8 years</w:t>
            </w:r>
          </w:p>
        </w:tc>
        <w:tc>
          <w:tcPr>
            <w:tcW w:w="1417" w:type="dxa"/>
            <w:tcBorders>
              <w:top w:val="dotted" w:sz="4" w:space="0" w:color="auto"/>
              <w:bottom w:val="dotted" w:sz="4" w:space="0" w:color="auto"/>
            </w:tcBorders>
            <w:shd w:val="clear" w:color="auto" w:fill="FFFFFF" w:themeFill="background1"/>
            <w:noWrap/>
            <w:vAlign w:val="bottom"/>
          </w:tcPr>
          <w:p w:rsidR="001E2C60" w:rsidRPr="00D5222E" w:rsidRDefault="001E2C60"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FFFFFF" w:themeFill="background1"/>
            <w:noWrap/>
            <w:vAlign w:val="bottom"/>
          </w:tcPr>
          <w:p w:rsidR="001E2C60" w:rsidRPr="00D5222E" w:rsidRDefault="001E2C60"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0.502</w:t>
            </w:r>
          </w:p>
        </w:tc>
        <w:tc>
          <w:tcPr>
            <w:tcW w:w="1304" w:type="dxa"/>
            <w:tcBorders>
              <w:top w:val="dotted" w:sz="4" w:space="0" w:color="auto"/>
              <w:bottom w:val="dotted" w:sz="4" w:space="0" w:color="auto"/>
            </w:tcBorders>
            <w:shd w:val="clear" w:color="auto" w:fill="FFFFFF" w:themeFill="background1"/>
            <w:noWrap/>
            <w:vAlign w:val="bottom"/>
          </w:tcPr>
          <w:p w:rsidR="001E2C60" w:rsidRPr="00D5222E" w:rsidRDefault="001E2C60"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1E2C60" w:rsidRPr="00D5222E" w:rsidTr="003B415F">
        <w:trPr>
          <w:cantSplit/>
          <w:trHeight w:val="255"/>
        </w:trPr>
        <w:tc>
          <w:tcPr>
            <w:tcW w:w="1271" w:type="dxa"/>
            <w:vMerge/>
            <w:tcBorders>
              <w:bottom w:val="dotted" w:sz="4" w:space="0" w:color="auto"/>
            </w:tcBorders>
            <w:shd w:val="clear" w:color="auto" w:fill="FFFFFF" w:themeFill="background1"/>
            <w:noWrap/>
            <w:vAlign w:val="center"/>
          </w:tcPr>
          <w:p w:rsidR="001E2C60" w:rsidRPr="00D5222E" w:rsidRDefault="001E2C60" w:rsidP="009C0DF6">
            <w:pPr>
              <w:keepNext/>
              <w:spacing w:before="40" w:after="40"/>
              <w:rPr>
                <w:rFonts w:ascii="Arial Narrow" w:hAnsi="Arial Narrow"/>
                <w:sz w:val="20"/>
                <w:szCs w:val="20"/>
              </w:rPr>
            </w:pPr>
          </w:p>
        </w:tc>
        <w:tc>
          <w:tcPr>
            <w:tcW w:w="3657" w:type="dxa"/>
            <w:tcBorders>
              <w:top w:val="dotted" w:sz="4" w:space="0" w:color="auto"/>
              <w:bottom w:val="dotted" w:sz="4" w:space="0" w:color="auto"/>
            </w:tcBorders>
            <w:shd w:val="clear" w:color="auto" w:fill="FFFFFF" w:themeFill="background1"/>
          </w:tcPr>
          <w:p w:rsidR="001E2C60" w:rsidRPr="00D5222E" w:rsidRDefault="001E2C60" w:rsidP="009C0DF6">
            <w:pPr>
              <w:keepNext/>
              <w:spacing w:before="40" w:after="40"/>
              <w:rPr>
                <w:rFonts w:ascii="Arial Narrow" w:hAnsi="Arial Narrow"/>
                <w:sz w:val="20"/>
                <w:szCs w:val="20"/>
              </w:rPr>
            </w:pPr>
            <w:r w:rsidRPr="00D5222E">
              <w:rPr>
                <w:rFonts w:ascii="Arial Narrow" w:hAnsi="Arial Narrow"/>
                <w:sz w:val="20"/>
                <w:szCs w:val="20"/>
              </w:rPr>
              <w:t>10 years</w:t>
            </w:r>
          </w:p>
        </w:tc>
        <w:tc>
          <w:tcPr>
            <w:tcW w:w="1417" w:type="dxa"/>
            <w:tcBorders>
              <w:top w:val="dotted" w:sz="4" w:space="0" w:color="auto"/>
              <w:bottom w:val="dotted" w:sz="4" w:space="0" w:color="auto"/>
            </w:tcBorders>
            <w:shd w:val="clear" w:color="auto" w:fill="FFFFFF" w:themeFill="background1"/>
            <w:noWrap/>
            <w:vAlign w:val="bottom"/>
          </w:tcPr>
          <w:p w:rsidR="001E2C60" w:rsidRPr="00D5222E" w:rsidRDefault="001E2C60"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dotted" w:sz="4" w:space="0" w:color="auto"/>
            </w:tcBorders>
            <w:shd w:val="clear" w:color="auto" w:fill="FFFFFF" w:themeFill="background1"/>
            <w:noWrap/>
            <w:vAlign w:val="bottom"/>
          </w:tcPr>
          <w:p w:rsidR="001E2C60" w:rsidRPr="00D5222E" w:rsidRDefault="001E2C60"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0.632</w:t>
            </w:r>
          </w:p>
        </w:tc>
        <w:tc>
          <w:tcPr>
            <w:tcW w:w="1304" w:type="dxa"/>
            <w:tcBorders>
              <w:top w:val="dotted" w:sz="4" w:space="0" w:color="auto"/>
              <w:bottom w:val="dotted" w:sz="4" w:space="0" w:color="auto"/>
            </w:tcBorders>
            <w:shd w:val="clear" w:color="auto" w:fill="FFFFFF" w:themeFill="background1"/>
            <w:noWrap/>
            <w:vAlign w:val="bottom"/>
          </w:tcPr>
          <w:p w:rsidR="001E2C60" w:rsidRPr="00D5222E" w:rsidRDefault="001E2C60"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r w:rsidR="001E2C60" w:rsidRPr="00D5222E" w:rsidTr="003B415F">
        <w:trPr>
          <w:cantSplit/>
          <w:trHeight w:val="255"/>
        </w:trPr>
        <w:tc>
          <w:tcPr>
            <w:tcW w:w="1271" w:type="dxa"/>
            <w:tcBorders>
              <w:bottom w:val="single" w:sz="4" w:space="0" w:color="auto"/>
            </w:tcBorders>
            <w:shd w:val="clear" w:color="auto" w:fill="FFFFFF" w:themeFill="background1"/>
            <w:noWrap/>
            <w:vAlign w:val="center"/>
          </w:tcPr>
          <w:p w:rsidR="001E2C60" w:rsidRPr="00D5222E" w:rsidRDefault="001E2C60" w:rsidP="009C0DF6">
            <w:pPr>
              <w:keepNext/>
              <w:spacing w:before="40" w:after="40"/>
              <w:rPr>
                <w:rFonts w:ascii="Arial Narrow" w:hAnsi="Arial Narrow"/>
                <w:sz w:val="20"/>
                <w:szCs w:val="20"/>
              </w:rPr>
            </w:pPr>
            <w:r w:rsidRPr="00D5222E">
              <w:rPr>
                <w:rFonts w:ascii="Arial Narrow" w:hAnsi="Arial Narrow"/>
                <w:sz w:val="20"/>
                <w:szCs w:val="20"/>
              </w:rPr>
              <w:t>10 years</w:t>
            </w:r>
          </w:p>
        </w:tc>
        <w:tc>
          <w:tcPr>
            <w:tcW w:w="3657" w:type="dxa"/>
            <w:tcBorders>
              <w:top w:val="dotted" w:sz="4" w:space="0" w:color="auto"/>
              <w:bottom w:val="single" w:sz="4" w:space="0" w:color="auto"/>
            </w:tcBorders>
            <w:shd w:val="clear" w:color="auto" w:fill="FFFFFF" w:themeFill="background1"/>
          </w:tcPr>
          <w:p w:rsidR="001E2C60" w:rsidRPr="00D5222E" w:rsidRDefault="001E2C60" w:rsidP="009C0DF6">
            <w:pPr>
              <w:keepNext/>
              <w:spacing w:before="40" w:after="40"/>
              <w:rPr>
                <w:rFonts w:ascii="Arial Narrow" w:hAnsi="Arial Narrow"/>
                <w:sz w:val="20"/>
                <w:szCs w:val="20"/>
              </w:rPr>
            </w:pPr>
            <w:r w:rsidRPr="00D5222E">
              <w:rPr>
                <w:rFonts w:ascii="Arial Narrow" w:hAnsi="Arial Narrow"/>
                <w:sz w:val="20"/>
                <w:szCs w:val="20"/>
              </w:rPr>
              <w:t>10 years</w:t>
            </w:r>
          </w:p>
        </w:tc>
        <w:tc>
          <w:tcPr>
            <w:tcW w:w="1417" w:type="dxa"/>
            <w:tcBorders>
              <w:top w:val="dotted" w:sz="4" w:space="0" w:color="auto"/>
              <w:bottom w:val="single" w:sz="4" w:space="0" w:color="auto"/>
            </w:tcBorders>
            <w:shd w:val="clear" w:color="auto" w:fill="FFFFFF" w:themeFill="background1"/>
            <w:noWrap/>
            <w:vAlign w:val="bottom"/>
          </w:tcPr>
          <w:p w:rsidR="001E2C60" w:rsidRPr="00D5222E" w:rsidRDefault="001E2C60"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c>
          <w:tcPr>
            <w:tcW w:w="1418" w:type="dxa"/>
            <w:tcBorders>
              <w:top w:val="dotted" w:sz="4" w:space="0" w:color="auto"/>
              <w:bottom w:val="single" w:sz="4" w:space="0" w:color="auto"/>
            </w:tcBorders>
            <w:shd w:val="clear" w:color="auto" w:fill="FFFFFF" w:themeFill="background1"/>
            <w:noWrap/>
            <w:vAlign w:val="bottom"/>
          </w:tcPr>
          <w:p w:rsidR="001E2C60" w:rsidRPr="00D5222E" w:rsidRDefault="001E2C60" w:rsidP="009C0DF6">
            <w:pPr>
              <w:keepNext/>
              <w:spacing w:before="40" w:after="40"/>
              <w:jc w:val="center"/>
              <w:rPr>
                <w:rFonts w:ascii="Arial Narrow" w:hAnsi="Arial Narrow"/>
                <w:sz w:val="20"/>
                <w:szCs w:val="20"/>
              </w:rPr>
            </w:pPr>
            <w:r w:rsidRPr="00D5222E">
              <w:rPr>
                <w:rFonts w:ascii="Arial Narrow" w:hAnsi="Arial Narrow"/>
                <w:color w:val="000000"/>
                <w:sz w:val="20"/>
                <w:szCs w:val="20"/>
              </w:rPr>
              <w:t>0.677</w:t>
            </w:r>
          </w:p>
        </w:tc>
        <w:tc>
          <w:tcPr>
            <w:tcW w:w="1304" w:type="dxa"/>
            <w:tcBorders>
              <w:top w:val="dotted" w:sz="4" w:space="0" w:color="auto"/>
              <w:bottom w:val="single" w:sz="4" w:space="0" w:color="auto"/>
            </w:tcBorders>
            <w:shd w:val="clear" w:color="auto" w:fill="FFFFFF" w:themeFill="background1"/>
            <w:noWrap/>
            <w:vAlign w:val="bottom"/>
          </w:tcPr>
          <w:p w:rsidR="001E2C60" w:rsidRPr="00D5222E" w:rsidRDefault="001E2C60" w:rsidP="009C0DF6">
            <w:pPr>
              <w:keepNext/>
              <w:spacing w:before="40" w:after="40"/>
              <w:jc w:val="right"/>
              <w:rPr>
                <w:rFonts w:ascii="Arial Narrow" w:hAnsi="Arial Narrow"/>
                <w:sz w:val="20"/>
                <w:szCs w:val="20"/>
              </w:rPr>
            </w:pPr>
            <w:r w:rsidRPr="00D5222E">
              <w:rPr>
                <w:rFonts w:ascii="Arial Narrow" w:hAnsi="Arial Narrow"/>
                <w:color w:val="000000"/>
                <w:sz w:val="20"/>
                <w:szCs w:val="20"/>
              </w:rPr>
              <w:t>$</w:t>
            </w:r>
            <w:r w:rsidR="00222960">
              <w:rPr>
                <w:rFonts w:ascii="Arial Narrow" w:hAnsi="Arial Narrow"/>
                <w:noProof/>
                <w:color w:val="000000"/>
                <w:sz w:val="20"/>
                <w:szCs w:val="20"/>
                <w:highlight w:val="black"/>
              </w:rPr>
              <w:t>''''''''''''''''''</w:t>
            </w:r>
          </w:p>
        </w:tc>
      </w:tr>
    </w:tbl>
    <w:p w:rsidR="004D66C1" w:rsidRPr="00D5222E" w:rsidRDefault="004D66C1" w:rsidP="009C0DF6">
      <w:pPr>
        <w:pStyle w:val="TableFooter"/>
        <w:keepNext/>
        <w:widowControl/>
      </w:pPr>
      <w:r w:rsidRPr="00D5222E">
        <w:t xml:space="preserve">BV = </w:t>
      </w:r>
      <w:proofErr w:type="spellStart"/>
      <w:r w:rsidRPr="00D5222E">
        <w:t>brentuximab</w:t>
      </w:r>
      <w:proofErr w:type="spellEnd"/>
      <w:r w:rsidRPr="00D5222E">
        <w:t xml:space="preserve"> </w:t>
      </w:r>
      <w:proofErr w:type="spellStart"/>
      <w:r w:rsidRPr="00D5222E">
        <w:t>vedotin</w:t>
      </w:r>
      <w:proofErr w:type="spellEnd"/>
      <w:r w:rsidRPr="00D5222E">
        <w:t xml:space="preserve">; HR = hazard ratio; ICER = incremental cost-effectiveness ratio; OS = overall survival; </w:t>
      </w:r>
      <w:r w:rsidR="005067E6">
        <w:t xml:space="preserve">PF= progression-free; </w:t>
      </w:r>
      <w:r w:rsidRPr="00D5222E">
        <w:t>PD = progressive disease; PFS = progression-free survival; QALY = quality-adjusted life year</w:t>
      </w:r>
    </w:p>
    <w:p w:rsidR="004D66C1" w:rsidRPr="00D5222E" w:rsidRDefault="004D66C1" w:rsidP="009C0DF6">
      <w:pPr>
        <w:pStyle w:val="TableFooter"/>
        <w:widowControl/>
      </w:pPr>
      <w:r w:rsidRPr="00D5222E">
        <w:t>Notes: Numbers may not be exact due to rounding</w:t>
      </w:r>
    </w:p>
    <w:p w:rsidR="004D66C1" w:rsidRPr="00D5222E" w:rsidRDefault="004D66C1" w:rsidP="009C0DF6">
      <w:pPr>
        <w:pStyle w:val="TableFooter"/>
        <w:widowControl/>
      </w:pPr>
      <w:proofErr w:type="gramStart"/>
      <w:r w:rsidRPr="00D5222E">
        <w:rPr>
          <w:vertAlign w:val="superscript"/>
        </w:rPr>
        <w:t>a</w:t>
      </w:r>
      <w:proofErr w:type="gramEnd"/>
      <w:r w:rsidRPr="00D5222E">
        <w:t xml:space="preserve"> Sensitivity analyses conducted during the evaluation</w:t>
      </w:r>
    </w:p>
    <w:p w:rsidR="004D66C1" w:rsidRPr="00D5222E" w:rsidRDefault="004D66C1" w:rsidP="009C0DF6">
      <w:pPr>
        <w:pStyle w:val="TableFooter"/>
        <w:widowControl/>
      </w:pPr>
      <w:proofErr w:type="gramStart"/>
      <w:r w:rsidRPr="00D5222E">
        <w:rPr>
          <w:vertAlign w:val="superscript"/>
        </w:rPr>
        <w:t>b</w:t>
      </w:r>
      <w:proofErr w:type="gramEnd"/>
      <w:r w:rsidRPr="00D5222E">
        <w:rPr>
          <w:vertAlign w:val="superscript"/>
        </w:rPr>
        <w:t xml:space="preserve"> </w:t>
      </w:r>
      <w:r w:rsidRPr="00D5222E">
        <w:t xml:space="preserve">Results after correcting the submission’s error in calculating the survival estimates for </w:t>
      </w:r>
      <w:proofErr w:type="spellStart"/>
      <w:r w:rsidRPr="00D5222E">
        <w:t>pembrolizumab</w:t>
      </w:r>
      <w:proofErr w:type="spellEnd"/>
      <w:r w:rsidRPr="00D5222E">
        <w:t xml:space="preserve">. The submission calculated the rates of disease progression and mortality per cycle in the </w:t>
      </w:r>
      <w:proofErr w:type="spellStart"/>
      <w:r w:rsidRPr="00D5222E">
        <w:t>pembrolizumab</w:t>
      </w:r>
      <w:proofErr w:type="spellEnd"/>
      <w:r w:rsidRPr="00D5222E">
        <w:t xml:space="preserve"> arm by multiplying hazard ratios to respective transition probabilities in the BV arms for the first 2 years. This methodological error was not corrected in the base case and in other sensitivity analyses given its negligible impacts on the ICER result (</w:t>
      </w:r>
      <w:r w:rsidRPr="00C26919">
        <w:t>&lt;3</w:t>
      </w:r>
      <w:r w:rsidRPr="00D5222E">
        <w:t>% change).</w:t>
      </w:r>
    </w:p>
    <w:p w:rsidR="004D66C1" w:rsidRPr="00D5222E" w:rsidRDefault="004D66C1" w:rsidP="009C0DF6">
      <w:pPr>
        <w:pStyle w:val="TableFooter"/>
        <w:widowControl/>
      </w:pPr>
      <w:r w:rsidRPr="00E27A2C">
        <w:t>Source: Table compiled during the evaluation.</w:t>
      </w:r>
      <w:r w:rsidRPr="00D5222E">
        <w:t xml:space="preserve"> The submission incorrectly used a cycle length of 1 month in calculating some costs and health outcomes</w:t>
      </w:r>
      <w:r w:rsidR="003C5F38" w:rsidRPr="00D5222E">
        <w:t xml:space="preserve"> (see the table note under Table 9)</w:t>
      </w:r>
      <w:r w:rsidRPr="00D5222E">
        <w:t>. These errors were corrected in the base case analysis and the sensitivity analyses.</w:t>
      </w:r>
    </w:p>
    <w:p w:rsidR="004D66C1" w:rsidRPr="00920F2D" w:rsidRDefault="004D66C1" w:rsidP="009C0DF6">
      <w:pPr>
        <w:pStyle w:val="ListParagraph"/>
        <w:numPr>
          <w:ilvl w:val="1"/>
          <w:numId w:val="3"/>
        </w:numPr>
        <w:spacing w:before="0" w:after="120"/>
      </w:pPr>
      <w:r w:rsidRPr="00920F2D">
        <w:t xml:space="preserve">A key driver of the model was the cost of BV, including the price of BV and the number of cycles of BV. This is unsurprising given the high costs per patient per course of treatment. Reducing the BV price by </w:t>
      </w:r>
      <w:r w:rsidRPr="008F7898">
        <w:t>50</w:t>
      </w:r>
      <w:r w:rsidRPr="00920F2D">
        <w:t>%, the ICER would increase from $</w:t>
      </w:r>
      <w:r w:rsidR="00C26919">
        <w:t>105,000</w:t>
      </w:r>
      <w:r w:rsidRPr="00920F2D">
        <w:t>/QALY</w:t>
      </w:r>
      <w:r w:rsidR="00C26919">
        <w:t xml:space="preserve"> - $200,000/QALY</w:t>
      </w:r>
      <w:r w:rsidRPr="00920F2D">
        <w:t xml:space="preserve"> in </w:t>
      </w:r>
      <w:r w:rsidR="00D02E6B">
        <w:t xml:space="preserve">the base case to </w:t>
      </w:r>
      <w:r w:rsidR="00C26919">
        <w:t>more than $200,000</w:t>
      </w:r>
      <w:r w:rsidR="00D02E6B">
        <w:t>/QALY.</w:t>
      </w:r>
    </w:p>
    <w:p w:rsidR="004D66C1" w:rsidRPr="00262141" w:rsidRDefault="004D66C1" w:rsidP="009C0DF6">
      <w:pPr>
        <w:pStyle w:val="ListParagraph"/>
        <w:numPr>
          <w:ilvl w:val="1"/>
          <w:numId w:val="3"/>
        </w:numPr>
        <w:spacing w:before="0" w:after="120"/>
      </w:pPr>
      <w:r w:rsidRPr="00262141">
        <w:t xml:space="preserve">Arbitrary assumptions were made to explore the magnitude of the impact of the comparative treatment effect on the ICER result. Applying a less favourable HR for OS (0.80 vs 0.60 in the base case) increased the ICER by </w:t>
      </w:r>
      <w:r w:rsidRPr="008F7898">
        <w:t>36</w:t>
      </w:r>
      <w:r w:rsidRPr="00262141">
        <w:t xml:space="preserve">%. However, a less favourable HR for PFS (0.822 vs 0.611 in the base case) would result in an ICER favourable to </w:t>
      </w:r>
      <w:proofErr w:type="spellStart"/>
      <w:r w:rsidRPr="00262141">
        <w:t>pembrolizumab</w:t>
      </w:r>
      <w:proofErr w:type="spellEnd"/>
      <w:r w:rsidRPr="00262141">
        <w:t xml:space="preserve">. This was because a reduced number of patients in the PFS health state for </w:t>
      </w:r>
      <w:proofErr w:type="spellStart"/>
      <w:r w:rsidRPr="00262141">
        <w:t>pembrolizumab</w:t>
      </w:r>
      <w:proofErr w:type="spellEnd"/>
      <w:r w:rsidRPr="00262141">
        <w:t xml:space="preserve"> would incur lower drug costs over the time horizon of the model. The ICER w</w:t>
      </w:r>
      <w:r w:rsidR="00422FD5" w:rsidRPr="00262141">
        <w:t xml:space="preserve">ould increase approximately </w:t>
      </w:r>
      <w:r w:rsidR="00422FD5" w:rsidRPr="008F7898">
        <w:t>3.5 </w:t>
      </w:r>
      <w:r w:rsidRPr="008F7898">
        <w:t>fold</w:t>
      </w:r>
      <w:r w:rsidRPr="00262141">
        <w:t xml:space="preserve"> (</w:t>
      </w:r>
      <w:r w:rsidR="00C26919">
        <w:t>more than $200,000</w:t>
      </w:r>
      <w:r w:rsidRPr="00262141">
        <w:t>/QALY vs $</w:t>
      </w:r>
      <w:r w:rsidR="00C26919">
        <w:t>105,000/QALY - $200,000/QALY</w:t>
      </w:r>
      <w:r w:rsidRPr="00262141">
        <w:t xml:space="preserve"> in the base case), if </w:t>
      </w:r>
      <w:proofErr w:type="spellStart"/>
      <w:r w:rsidRPr="00262141">
        <w:t>pembrolizumab</w:t>
      </w:r>
      <w:proofErr w:type="spellEnd"/>
      <w:r w:rsidRPr="00262141">
        <w:t xml:space="preserve"> was equivalent to BV for OS (HR of 1.00) but not for PFS (HR of 0.622 as in the base case). Assuming the survival curves (both OS and PFS) for </w:t>
      </w:r>
      <w:proofErr w:type="spellStart"/>
      <w:r w:rsidRPr="00262141">
        <w:t>pembrolizumab</w:t>
      </w:r>
      <w:proofErr w:type="spellEnd"/>
      <w:r w:rsidRPr="00262141">
        <w:t xml:space="preserve"> and BV would converge at an earlier time point (5 years vs 8 years in the base case)</w:t>
      </w:r>
      <w:proofErr w:type="gramStart"/>
      <w:r w:rsidRPr="00262141">
        <w:t>,</w:t>
      </w:r>
      <w:proofErr w:type="gramEnd"/>
      <w:r w:rsidRPr="00262141">
        <w:t xml:space="preserve"> the ICER would increase considerably to </w:t>
      </w:r>
      <w:r w:rsidR="00C26919">
        <w:t>more than $200,000</w:t>
      </w:r>
      <w:r w:rsidRPr="00262141">
        <w:t>/QALY (</w:t>
      </w:r>
      <w:r w:rsidRPr="008F7898">
        <w:t>61</w:t>
      </w:r>
      <w:r w:rsidRPr="00262141">
        <w:t>% change).</w:t>
      </w:r>
      <w:r w:rsidR="00E27A2C" w:rsidRPr="00262141">
        <w:t xml:space="preserve"> The ESC considered that the effectiveness of </w:t>
      </w:r>
      <w:proofErr w:type="spellStart"/>
      <w:r w:rsidR="00E27A2C" w:rsidRPr="00262141">
        <w:t>pembrolizumab</w:t>
      </w:r>
      <w:proofErr w:type="spellEnd"/>
      <w:r w:rsidR="00E27A2C" w:rsidRPr="00262141">
        <w:t xml:space="preserve"> relative to BV was the major </w:t>
      </w:r>
      <w:r w:rsidR="00D02E6B" w:rsidRPr="00262141">
        <w:t xml:space="preserve">uncertainty for both the </w:t>
      </w:r>
      <w:r w:rsidR="001E2C60" w:rsidRPr="00262141">
        <w:t>clinical</w:t>
      </w:r>
      <w:r w:rsidR="00E27A2C" w:rsidRPr="00262141">
        <w:t xml:space="preserve"> and economic </w:t>
      </w:r>
      <w:r w:rsidR="00D02E6B" w:rsidRPr="00262141">
        <w:t>evaluations</w:t>
      </w:r>
      <w:r w:rsidR="00E27A2C" w:rsidRPr="00262141">
        <w:t>.</w:t>
      </w:r>
    </w:p>
    <w:p w:rsidR="004D66C1" w:rsidRDefault="004D66C1" w:rsidP="009C0DF6">
      <w:pPr>
        <w:pStyle w:val="ListParagraph"/>
        <w:numPr>
          <w:ilvl w:val="1"/>
          <w:numId w:val="3"/>
        </w:numPr>
        <w:spacing w:before="0" w:after="120"/>
      </w:pPr>
      <w:r w:rsidRPr="00920F2D">
        <w:t xml:space="preserve">Other variables, </w:t>
      </w:r>
      <w:proofErr w:type="spellStart"/>
      <w:r w:rsidRPr="00920F2D">
        <w:t>eg</w:t>
      </w:r>
      <w:proofErr w:type="spellEnd"/>
      <w:r w:rsidRPr="00920F2D">
        <w:t xml:space="preserve"> utilities, time point of extrapolation, method of extrapolation and discounting rate, did not have major impac</w:t>
      </w:r>
      <w:r w:rsidR="00422FD5" w:rsidRPr="00920F2D">
        <w:t>ts on the estimate for the cost</w:t>
      </w:r>
      <w:r w:rsidR="00422FD5" w:rsidRPr="00920F2D">
        <w:noBreakHyphen/>
      </w:r>
      <w:r w:rsidRPr="00920F2D">
        <w:t xml:space="preserve">effectiveness of </w:t>
      </w:r>
      <w:proofErr w:type="spellStart"/>
      <w:r w:rsidRPr="00920F2D">
        <w:t>pembrolizumab</w:t>
      </w:r>
      <w:proofErr w:type="spellEnd"/>
      <w:r w:rsidRPr="00920F2D">
        <w:t xml:space="preserve"> versus BV.</w:t>
      </w:r>
    </w:p>
    <w:p w:rsidR="00973EA5" w:rsidRPr="00973EA5" w:rsidRDefault="00973EA5" w:rsidP="00973EA5">
      <w:pPr>
        <w:spacing w:before="0" w:after="120"/>
        <w:rPr>
          <w:rFonts w:ascii="Calibri" w:eastAsia="Times New Roman" w:hAnsi="Calibri" w:cs="Times New Roman"/>
          <w:i/>
          <w:szCs w:val="24"/>
        </w:rPr>
      </w:pPr>
      <w:r w:rsidRPr="00973EA5">
        <w:rPr>
          <w:rFonts w:ascii="Calibri" w:eastAsia="Times New Roman" w:hAnsi="Calibri" w:cs="Times New Roman"/>
          <w:i/>
          <w:szCs w:val="24"/>
        </w:rPr>
        <w:t>Cost-minimisation to BV</w:t>
      </w:r>
    </w:p>
    <w:p w:rsidR="004B4674" w:rsidRPr="003B415F" w:rsidRDefault="004B4674" w:rsidP="004B4674">
      <w:pPr>
        <w:pStyle w:val="ListParagraph"/>
        <w:numPr>
          <w:ilvl w:val="1"/>
          <w:numId w:val="3"/>
        </w:numPr>
        <w:spacing w:before="0" w:after="120"/>
      </w:pPr>
      <w:r>
        <w:t xml:space="preserve">The Pre-PBAC response (p.1-2) </w:t>
      </w:r>
      <w:r w:rsidR="00AF7EE1">
        <w:t>stated</w:t>
      </w:r>
      <w:r>
        <w:t xml:space="preserve"> that</w:t>
      </w:r>
      <w:r w:rsidR="003B415F">
        <w:t>,</w:t>
      </w:r>
      <w:r>
        <w:t xml:space="preserve"> as the submission’s clinical claim was changed to that of non-inferiority against BV, the economic model proposed in the submission was no longer relevant. The PBAC considered that this was reasonable.</w:t>
      </w:r>
    </w:p>
    <w:p w:rsidR="00973EA5" w:rsidRDefault="00973EA5" w:rsidP="00973EA5">
      <w:pPr>
        <w:pStyle w:val="ListParagraph"/>
        <w:numPr>
          <w:ilvl w:val="1"/>
          <w:numId w:val="3"/>
        </w:numPr>
      </w:pPr>
      <w:r>
        <w:t>The Pre-PBAC response (p.1) suggested the cost-minimisation to BV be calculated on the basis that the a</w:t>
      </w:r>
      <w:r w:rsidRPr="0099037E">
        <w:t xml:space="preserve">verage cost per patient for </w:t>
      </w:r>
      <w:proofErr w:type="spellStart"/>
      <w:r w:rsidRPr="0099037E">
        <w:t>pembrolizum</w:t>
      </w:r>
      <w:r>
        <w:t>ab</w:t>
      </w:r>
      <w:proofErr w:type="spellEnd"/>
      <w:r>
        <w:t xml:space="preserve"> is the same as that for BV. The PBAC noted the average number of vials per administration for BV is 3.14 and for </w:t>
      </w:r>
      <w:proofErr w:type="spellStart"/>
      <w:r>
        <w:t>pembrolizumab</w:t>
      </w:r>
      <w:proofErr w:type="spellEnd"/>
      <w:r>
        <w:t xml:space="preserve"> the number of vials would be four. BV has a weighted price across the ASCT eligible and ineligible populations, which should flow through to </w:t>
      </w:r>
      <w:proofErr w:type="spellStart"/>
      <w:r>
        <w:t>pembrolizumab</w:t>
      </w:r>
      <w:proofErr w:type="spellEnd"/>
      <w:r>
        <w:t>, given the same requested PBS listings across both settings. The PBAC noted the median duration of follow-up in KN-087 was only 10.1 months and given treatment will continue until disease progression, the average duration of therapy in the study w</w:t>
      </w:r>
      <w:r w:rsidR="003B415F">
        <w:t>ould</w:t>
      </w:r>
      <w:r>
        <w:t xml:space="preserve"> be underestimated. Using the mean modelled duration of therapies of </w:t>
      </w:r>
      <w:r w:rsidR="00222960">
        <w:rPr>
          <w:rFonts w:ascii="Calibri" w:eastAsia="Calibri" w:hAnsi="Calibri" w:cs="Arial"/>
          <w:noProof/>
          <w:color w:val="000000"/>
          <w:highlight w:val="black"/>
        </w:rPr>
        <w:t xml:space="preserve">'''''''' ''''''' '''''''''' </w:t>
      </w:r>
      <w:r w:rsidR="008444D2" w:rsidRPr="0082446B">
        <w:rPr>
          <w:rFonts w:ascii="Calibri" w:eastAsia="Calibri" w:hAnsi="Calibri" w:cs="Arial"/>
        </w:rPr>
        <w:t>cycles</w:t>
      </w:r>
      <w:r w:rsidR="008444D2" w:rsidRPr="008444D2">
        <w:rPr>
          <w:rFonts w:ascii="Calibri" w:eastAsia="Calibri" w:hAnsi="Calibri" w:cs="Arial"/>
        </w:rPr>
        <w:t xml:space="preserve"> </w:t>
      </w:r>
      <w:r>
        <w:t xml:space="preserve">for BV and </w:t>
      </w:r>
      <w:proofErr w:type="spellStart"/>
      <w:r>
        <w:t>pembrolizumab</w:t>
      </w:r>
      <w:proofErr w:type="spellEnd"/>
      <w:r>
        <w:t>, respectively, offer</w:t>
      </w:r>
      <w:r w:rsidR="003B415F">
        <w:t>ed</w:t>
      </w:r>
      <w:r>
        <w:t xml:space="preserve"> a potential solution to assessing same average cost for treatment for the next several years, until further </w:t>
      </w:r>
      <w:r w:rsidR="005D30D5">
        <w:t xml:space="preserve">directly </w:t>
      </w:r>
      <w:r>
        <w:t xml:space="preserve">comparative data is presented to PBAC for consideration and accepted. </w:t>
      </w:r>
      <w:r w:rsidR="005D30D5">
        <w:t xml:space="preserve">In the meantime, the PBAC considered that a longer duration of treatment for </w:t>
      </w:r>
      <w:proofErr w:type="spellStart"/>
      <w:r w:rsidR="005D30D5">
        <w:t>pembrolizumab</w:t>
      </w:r>
      <w:proofErr w:type="spellEnd"/>
      <w:r w:rsidR="005D30D5">
        <w:t xml:space="preserve"> than BV would be appropriate for the requested cost-minimisation approach because of the expected increased likelihood of use of immunotherapies beyond disease progression.</w:t>
      </w:r>
      <w:r>
        <w:t xml:space="preserve"> </w:t>
      </w:r>
    </w:p>
    <w:p w:rsidR="00C577ED" w:rsidRPr="00C577ED" w:rsidRDefault="00C577ED" w:rsidP="00C577ED">
      <w:pPr>
        <w:pStyle w:val="ListParagraph"/>
        <w:spacing w:before="0" w:after="120"/>
        <w:rPr>
          <w:rFonts w:ascii="Calibri" w:eastAsia="Times New Roman" w:hAnsi="Calibri" w:cs="Times New Roman"/>
          <w:i/>
          <w:szCs w:val="24"/>
        </w:rPr>
      </w:pPr>
      <w:r w:rsidRPr="00C577ED">
        <w:rPr>
          <w:rFonts w:ascii="Calibri" w:eastAsia="Times New Roman" w:hAnsi="Calibri" w:cs="Times New Roman"/>
          <w:i/>
          <w:szCs w:val="24"/>
        </w:rPr>
        <w:t>For more detail on PBAC’s view, see section 7 “PBAC outcome.”</w:t>
      </w:r>
    </w:p>
    <w:p w:rsidR="004D66C1" w:rsidRPr="00920F2D" w:rsidRDefault="004D66C1" w:rsidP="009C0DF6">
      <w:pPr>
        <w:pStyle w:val="Heading2"/>
        <w:ind w:left="431" w:hanging="431"/>
        <w:rPr>
          <w:i w:val="0"/>
        </w:rPr>
      </w:pPr>
      <w:bookmarkStart w:id="22" w:name="_Toc413139283"/>
      <w:bookmarkStart w:id="23" w:name="_Toc482711248"/>
      <w:r w:rsidRPr="00920F2D">
        <w:rPr>
          <w:i w:val="0"/>
        </w:rPr>
        <w:t>Drug cost/patient/cycle</w:t>
      </w:r>
      <w:bookmarkEnd w:id="22"/>
      <w:bookmarkEnd w:id="23"/>
    </w:p>
    <w:p w:rsidR="004D66C1" w:rsidRPr="00920F2D" w:rsidRDefault="004D66C1" w:rsidP="009C0DF6">
      <w:pPr>
        <w:pStyle w:val="ListParagraph"/>
        <w:numPr>
          <w:ilvl w:val="1"/>
          <w:numId w:val="3"/>
        </w:numPr>
        <w:spacing w:before="0" w:after="120"/>
      </w:pPr>
      <w:r w:rsidRPr="00920F2D">
        <w:t xml:space="preserve">The drug costs were </w:t>
      </w:r>
      <w:r w:rsidRPr="00885114">
        <w:t xml:space="preserve">estimated to be </w:t>
      </w:r>
      <w:r w:rsidR="00AA228A" w:rsidRPr="00885114">
        <w:t>$</w:t>
      </w:r>
      <w:r w:rsidR="00222960">
        <w:rPr>
          <w:noProof/>
          <w:color w:val="000000"/>
          <w:highlight w:val="black"/>
        </w:rPr>
        <w:t>''''''''''''''</w:t>
      </w:r>
      <w:r w:rsidR="00AA228A" w:rsidRPr="00885114">
        <w:t xml:space="preserve"> </w:t>
      </w:r>
      <w:r w:rsidRPr="00885114">
        <w:t>per</w:t>
      </w:r>
      <w:r w:rsidRPr="00920F2D">
        <w:t xml:space="preserve"> patient per cycle for </w:t>
      </w:r>
      <w:proofErr w:type="spellStart"/>
      <w:r w:rsidRPr="00920F2D">
        <w:t>pembrolizumab</w:t>
      </w:r>
      <w:proofErr w:type="spellEnd"/>
      <w:r w:rsidR="00AA228A">
        <w:t xml:space="preserve"> </w:t>
      </w:r>
      <w:r w:rsidRPr="00885114">
        <w:t>and</w:t>
      </w:r>
      <w:r w:rsidRPr="00920F2D">
        <w:t xml:space="preserve"> $</w:t>
      </w:r>
      <w:r w:rsidR="00222960">
        <w:rPr>
          <w:noProof/>
          <w:color w:val="000000"/>
          <w:highlight w:val="black"/>
        </w:rPr>
        <w:t>'''''''''''''</w:t>
      </w:r>
      <w:r w:rsidRPr="00920F2D">
        <w:t xml:space="preserve"> per patient per cycle for BV. These estimates were based on: 1) the </w:t>
      </w:r>
      <w:proofErr w:type="spellStart"/>
      <w:r w:rsidRPr="00920F2D">
        <w:t>pembrolizumab</w:t>
      </w:r>
      <w:proofErr w:type="spellEnd"/>
      <w:r w:rsidRPr="00920F2D">
        <w:t xml:space="preserve"> price proposed in the </w:t>
      </w:r>
      <w:r w:rsidR="003B415F">
        <w:t>PSCR</w:t>
      </w:r>
      <w:r w:rsidRPr="00920F2D">
        <w:t xml:space="preserve"> and 4 x 50</w:t>
      </w:r>
      <w:r w:rsidR="003B415F">
        <w:t> </w:t>
      </w:r>
      <w:r w:rsidRPr="00920F2D">
        <w:t xml:space="preserve">mg vials of </w:t>
      </w:r>
      <w:proofErr w:type="spellStart"/>
      <w:r w:rsidRPr="00920F2D">
        <w:t>pembrolizumab</w:t>
      </w:r>
      <w:proofErr w:type="spellEnd"/>
      <w:r w:rsidRPr="00920F2D">
        <w:t xml:space="preserve"> per patient per cycle; 2) the PBS-listed price for BV and 3.14 x 50</w:t>
      </w:r>
      <w:r w:rsidR="003B415F">
        <w:t> </w:t>
      </w:r>
      <w:r w:rsidRPr="00920F2D">
        <w:t xml:space="preserve">mg vials of BV per patient per cycle; and 3) an assumption of </w:t>
      </w:r>
      <w:r w:rsidR="00222960">
        <w:rPr>
          <w:noProof/>
          <w:color w:val="000000"/>
          <w:highlight w:val="black"/>
        </w:rPr>
        <w:t>''''''''</w:t>
      </w:r>
      <w:r w:rsidRPr="00920F2D">
        <w:t xml:space="preserve">% of prescriptions being dispensed in public settings and </w:t>
      </w:r>
      <w:r w:rsidR="00222960">
        <w:rPr>
          <w:noProof/>
          <w:color w:val="000000"/>
          <w:highlight w:val="black"/>
        </w:rPr>
        <w:t>'''''''''</w:t>
      </w:r>
      <w:r w:rsidRPr="00920F2D">
        <w:t xml:space="preserve">% in private settings. The drug costs per patient per course were estimated to be </w:t>
      </w:r>
      <w:r w:rsidR="00AA228A" w:rsidRPr="00C577ED">
        <w:t>$</w:t>
      </w:r>
      <w:r w:rsidR="00222960">
        <w:rPr>
          <w:noProof/>
          <w:color w:val="000000"/>
          <w:highlight w:val="black"/>
        </w:rPr>
        <w:t>''''''''''''''</w:t>
      </w:r>
      <w:r w:rsidR="00AA228A" w:rsidRPr="00AA228A">
        <w:t xml:space="preserve"> </w:t>
      </w:r>
      <w:r w:rsidRPr="00920F2D">
        <w:t xml:space="preserve">for </w:t>
      </w:r>
      <w:proofErr w:type="spellStart"/>
      <w:r w:rsidRPr="00920F2D">
        <w:t>pembrolizumab</w:t>
      </w:r>
      <w:proofErr w:type="spellEnd"/>
      <w:r w:rsidRPr="00920F2D">
        <w:t xml:space="preserve"> and $</w:t>
      </w:r>
      <w:r w:rsidR="00222960">
        <w:rPr>
          <w:noProof/>
          <w:color w:val="000000"/>
          <w:highlight w:val="black"/>
        </w:rPr>
        <w:t>''''''''''''''''</w:t>
      </w:r>
      <w:r w:rsidRPr="00920F2D">
        <w:t xml:space="preserve"> for BV, based on the modelled treatment durations for </w:t>
      </w:r>
      <w:proofErr w:type="spellStart"/>
      <w:r w:rsidRPr="00920F2D">
        <w:t>pembrolizumab</w:t>
      </w:r>
      <w:proofErr w:type="spellEnd"/>
      <w:r w:rsidRPr="00920F2D">
        <w:t xml:space="preserve"> and BV used in the economic evaluation (</w:t>
      </w:r>
      <w:r w:rsidR="00222960">
        <w:rPr>
          <w:rFonts w:ascii="Calibri" w:eastAsia="Calibri" w:hAnsi="Calibri" w:cs="Arial"/>
          <w:noProof/>
          <w:color w:val="000000"/>
          <w:highlight w:val="black"/>
        </w:rPr>
        <w:t>''''''''''''</w:t>
      </w:r>
      <w:r w:rsidR="005F5E00" w:rsidRPr="005F5E00">
        <w:rPr>
          <w:rFonts w:ascii="Calibri" w:eastAsia="Calibri" w:hAnsi="Calibri" w:cs="Arial"/>
        </w:rPr>
        <w:t xml:space="preserve"> cycles for </w:t>
      </w:r>
      <w:proofErr w:type="spellStart"/>
      <w:r w:rsidR="005F5E00" w:rsidRPr="005F5E00">
        <w:rPr>
          <w:rFonts w:ascii="Calibri" w:eastAsia="Calibri" w:hAnsi="Calibri" w:cs="Arial"/>
        </w:rPr>
        <w:t>pembrolizumab</w:t>
      </w:r>
      <w:proofErr w:type="spellEnd"/>
      <w:r w:rsidR="005F5E00" w:rsidRPr="005F5E00">
        <w:rPr>
          <w:rFonts w:ascii="Calibri" w:eastAsia="Calibri" w:hAnsi="Calibri" w:cs="Arial"/>
        </w:rPr>
        <w:t xml:space="preserve"> and </w:t>
      </w:r>
      <w:r w:rsidR="00222960">
        <w:rPr>
          <w:rFonts w:ascii="Calibri" w:eastAsia="Calibri" w:hAnsi="Calibri" w:cs="Arial"/>
          <w:noProof/>
          <w:color w:val="000000"/>
          <w:highlight w:val="black"/>
        </w:rPr>
        <w:t>'''''''''''</w:t>
      </w:r>
      <w:r w:rsidR="005F5E00" w:rsidRPr="005F5E00">
        <w:rPr>
          <w:rFonts w:ascii="Calibri" w:eastAsia="Calibri" w:hAnsi="Calibri" w:cs="Arial"/>
        </w:rPr>
        <w:t xml:space="preserve"> </w:t>
      </w:r>
      <w:r w:rsidRPr="00920F2D">
        <w:t xml:space="preserve">cycles for BV). The economic model assumed that all patients would receive </w:t>
      </w:r>
      <w:proofErr w:type="spellStart"/>
      <w:r w:rsidRPr="00920F2D">
        <w:t>pembrolizumab</w:t>
      </w:r>
      <w:proofErr w:type="spellEnd"/>
      <w:r w:rsidRPr="00920F2D">
        <w:t xml:space="preserve"> or BV for the maximum number of cycles (35 cycles and 16 cycles, respectively) or until disease progression (using assumed HR for PFS of 0.622), whichever occurred earlier. </w:t>
      </w:r>
    </w:p>
    <w:p w:rsidR="004D66C1" w:rsidRPr="00920F2D" w:rsidRDefault="004D66C1" w:rsidP="009C0DF6">
      <w:pPr>
        <w:pStyle w:val="Heading2"/>
        <w:ind w:left="431" w:hanging="431"/>
        <w:rPr>
          <w:i w:val="0"/>
        </w:rPr>
      </w:pPr>
      <w:bookmarkStart w:id="24" w:name="_Toc413139284"/>
      <w:bookmarkStart w:id="25" w:name="_Toc482711249"/>
      <w:r w:rsidRPr="00920F2D">
        <w:rPr>
          <w:i w:val="0"/>
        </w:rPr>
        <w:t>Estimated PBS usage &amp; financial implications</w:t>
      </w:r>
      <w:bookmarkEnd w:id="24"/>
      <w:bookmarkEnd w:id="25"/>
    </w:p>
    <w:p w:rsidR="004D66C1" w:rsidRPr="00920F2D" w:rsidRDefault="004D66C1" w:rsidP="009C0DF6">
      <w:pPr>
        <w:pStyle w:val="ListParagraph"/>
        <w:numPr>
          <w:ilvl w:val="1"/>
          <w:numId w:val="3"/>
        </w:numPr>
        <w:spacing w:before="0" w:after="120"/>
      </w:pPr>
      <w:bookmarkStart w:id="26" w:name="_Toc413139286"/>
      <w:bookmarkEnd w:id="21"/>
      <w:r w:rsidRPr="00920F2D">
        <w:t xml:space="preserve">This submission </w:t>
      </w:r>
      <w:r w:rsidR="00F109EA">
        <w:t xml:space="preserve">was not </w:t>
      </w:r>
      <w:r w:rsidRPr="00920F2D">
        <w:t>considered by DUSC.  The submission took an epidemiological approach to estimate the number of patients that w</w:t>
      </w:r>
      <w:r w:rsidR="003B415F">
        <w:t>ould</w:t>
      </w:r>
      <w:r w:rsidRPr="00920F2D">
        <w:t xml:space="preserve"> be treated with </w:t>
      </w:r>
      <w:proofErr w:type="spellStart"/>
      <w:r w:rsidRPr="00920F2D">
        <w:t>pembrolizumab</w:t>
      </w:r>
      <w:proofErr w:type="spellEnd"/>
      <w:r w:rsidRPr="00920F2D">
        <w:t xml:space="preserve">. The average number of administrations per patient for </w:t>
      </w:r>
      <w:proofErr w:type="spellStart"/>
      <w:r w:rsidRPr="00920F2D">
        <w:t>pembrolizumab</w:t>
      </w:r>
      <w:proofErr w:type="spellEnd"/>
      <w:r w:rsidRPr="00920F2D">
        <w:t xml:space="preserve"> </w:t>
      </w:r>
      <w:r w:rsidR="003B415F">
        <w:t>wa</w:t>
      </w:r>
      <w:r w:rsidRPr="00920F2D">
        <w:t>s modelled</w:t>
      </w:r>
      <w:r w:rsidR="003B415F">
        <w:t xml:space="preserve"> using</w:t>
      </w:r>
      <w:r w:rsidRPr="00920F2D">
        <w:t xml:space="preserve"> the assumed hazard ratio for progression free survival expected from Trial KN204. No existing evidence is available to support this estimate and therefore the actual number of administrations per patient expected in clinical practice, and the associated financial impact of listing </w:t>
      </w:r>
      <w:proofErr w:type="spellStart"/>
      <w:r w:rsidRPr="00920F2D">
        <w:t>pembrolizumab</w:t>
      </w:r>
      <w:proofErr w:type="spellEnd"/>
      <w:r w:rsidRPr="00920F2D">
        <w:t xml:space="preserve"> on the PBS, is uncertain.</w:t>
      </w:r>
    </w:p>
    <w:p w:rsidR="004D66C1" w:rsidRPr="00920F2D" w:rsidRDefault="004D66C1" w:rsidP="009C0DF6">
      <w:pPr>
        <w:pStyle w:val="ListParagraph"/>
        <w:numPr>
          <w:ilvl w:val="1"/>
          <w:numId w:val="3"/>
        </w:numPr>
        <w:spacing w:before="0" w:after="120"/>
      </w:pPr>
      <w:r w:rsidRPr="00920F2D">
        <w:t>In addition, the submission used expert opinion to estimate the number of patients in each of the arms in the treatment algorithm, without providing any details on the survey of the experts. The estimated number of eligible patients is uncertain.</w:t>
      </w:r>
    </w:p>
    <w:p w:rsidR="00C66ED6" w:rsidRDefault="00C66ED6" w:rsidP="00620124">
      <w:pPr>
        <w:pStyle w:val="ListParagraph"/>
        <w:numPr>
          <w:ilvl w:val="1"/>
          <w:numId w:val="3"/>
        </w:numPr>
        <w:spacing w:before="0" w:after="120"/>
      </w:pPr>
      <w:r w:rsidRPr="00262141">
        <w:t xml:space="preserve">The submission did not consider the use of BV </w:t>
      </w:r>
      <w:r w:rsidR="00425B2A">
        <w:t>after</w:t>
      </w:r>
      <w:r w:rsidRPr="00262141">
        <w:t xml:space="preserve"> failure of </w:t>
      </w:r>
      <w:proofErr w:type="spellStart"/>
      <w:r w:rsidRPr="00262141">
        <w:t>pembrolizumab</w:t>
      </w:r>
      <w:proofErr w:type="spellEnd"/>
      <w:r w:rsidRPr="00262141">
        <w:t xml:space="preserve">. If BV is used after failure of </w:t>
      </w:r>
      <w:proofErr w:type="spellStart"/>
      <w:r w:rsidRPr="00262141">
        <w:t>pembrolizumab</w:t>
      </w:r>
      <w:proofErr w:type="spellEnd"/>
      <w:r w:rsidRPr="00262141">
        <w:t xml:space="preserve"> in clinical practice, the estimated cost offset from replacing BV would be overestimated and therefore the financial impact of listing </w:t>
      </w:r>
      <w:proofErr w:type="spellStart"/>
      <w:r w:rsidRPr="00262141">
        <w:t>pembrolizumab</w:t>
      </w:r>
      <w:proofErr w:type="spellEnd"/>
      <w:r w:rsidRPr="00262141">
        <w:t xml:space="preserve"> would have been underestimated. The ESC considered that the cost offsets assumed in the submission were optimistic.</w:t>
      </w:r>
      <w:r>
        <w:t xml:space="preserve"> </w:t>
      </w:r>
    </w:p>
    <w:p w:rsidR="008F5D5E" w:rsidRDefault="008F5D5E" w:rsidP="008F5D5E">
      <w:pPr>
        <w:widowControl w:val="0"/>
        <w:numPr>
          <w:ilvl w:val="1"/>
          <w:numId w:val="3"/>
        </w:numPr>
        <w:spacing w:before="0" w:after="120"/>
      </w:pPr>
      <w:r>
        <w:t xml:space="preserve">The financial estimates proposed in the Pre-PBAC response (p.2) assumed that both </w:t>
      </w:r>
      <w:proofErr w:type="spellStart"/>
      <w:r>
        <w:t>pembrolizumab</w:t>
      </w:r>
      <w:proofErr w:type="spellEnd"/>
      <w:r>
        <w:t xml:space="preserve"> (</w:t>
      </w:r>
      <w:r w:rsidR="00222960">
        <w:rPr>
          <w:noProof/>
          <w:color w:val="000000"/>
          <w:highlight w:val="black"/>
        </w:rPr>
        <w:t>'''''</w:t>
      </w:r>
      <w:r>
        <w:t>%) and BV (</w:t>
      </w:r>
      <w:r w:rsidR="00222960">
        <w:rPr>
          <w:noProof/>
          <w:color w:val="000000"/>
          <w:highlight w:val="black"/>
        </w:rPr>
        <w:t>'''''</w:t>
      </w:r>
      <w:r>
        <w:t>%) w</w:t>
      </w:r>
      <w:r w:rsidR="00425B2A">
        <w:t>ould</w:t>
      </w:r>
      <w:r>
        <w:t xml:space="preserve"> share the third line market (replacement setting), ensuring cost neutrality to the Australian Government. Acknowledging the difficulty in estimating the financial impact of </w:t>
      </w:r>
      <w:proofErr w:type="spellStart"/>
      <w:r>
        <w:t>pembrolizumab</w:t>
      </w:r>
      <w:proofErr w:type="spellEnd"/>
      <w:r>
        <w:t xml:space="preserve"> and BV use in the fourth line setting, the Pre-PBAC response assumed that </w:t>
      </w:r>
      <w:r w:rsidR="00222960">
        <w:rPr>
          <w:noProof/>
          <w:color w:val="000000"/>
          <w:highlight w:val="black"/>
        </w:rPr>
        <w:t>'''''</w:t>
      </w:r>
      <w:r>
        <w:t xml:space="preserve">% of third-line patients will require access to fourth line treatment with either </w:t>
      </w:r>
      <w:proofErr w:type="spellStart"/>
      <w:r>
        <w:t>pembrolizumab</w:t>
      </w:r>
      <w:proofErr w:type="spellEnd"/>
      <w:r>
        <w:t xml:space="preserve"> or BV, depending on their previous therapy (displacement setting), and estimated that the net cost to the Commonwealth for </w:t>
      </w:r>
      <w:proofErr w:type="spellStart"/>
      <w:r>
        <w:t>pembrolizumab</w:t>
      </w:r>
      <w:proofErr w:type="spellEnd"/>
      <w:r>
        <w:t xml:space="preserve"> use in fourth line therapy would </w:t>
      </w:r>
      <w:r w:rsidR="00CF0351">
        <w:t>less than $10 million</w:t>
      </w:r>
      <w:r>
        <w:t xml:space="preserve"> per year in the first five years of listing.</w:t>
      </w:r>
      <w:r w:rsidRPr="00103364">
        <w:t xml:space="preserve"> </w:t>
      </w:r>
    </w:p>
    <w:p w:rsidR="004B4674" w:rsidRDefault="00884800" w:rsidP="00620124">
      <w:pPr>
        <w:pStyle w:val="ListParagraph"/>
        <w:numPr>
          <w:ilvl w:val="1"/>
          <w:numId w:val="3"/>
        </w:numPr>
        <w:spacing w:before="0" w:after="120"/>
      </w:pPr>
      <w:r>
        <w:t>N</w:t>
      </w:r>
      <w:r w:rsidR="004B4674" w:rsidRPr="00620124">
        <w:t>ot</w:t>
      </w:r>
      <w:r w:rsidR="00AF7EE1">
        <w:t>ing</w:t>
      </w:r>
      <w:r w:rsidR="004B4674" w:rsidRPr="00620124">
        <w:t xml:space="preserve"> ESC’s concerns regarding the optimistic cost-offsets attributed to the replacement of BV, the Pre-PBAC response </w:t>
      </w:r>
      <w:r>
        <w:t xml:space="preserve">(p.2) </w:t>
      </w:r>
      <w:r w:rsidR="00AF7EE1">
        <w:t xml:space="preserve">maintained </w:t>
      </w:r>
      <w:r w:rsidR="004B4674" w:rsidRPr="00620124">
        <w:t xml:space="preserve">that the listing of </w:t>
      </w:r>
      <w:proofErr w:type="spellStart"/>
      <w:r w:rsidR="004B4674" w:rsidRPr="00620124">
        <w:t>pembrolizumab</w:t>
      </w:r>
      <w:proofErr w:type="spellEnd"/>
      <w:r w:rsidR="004B4674" w:rsidRPr="00620124">
        <w:t xml:space="preserve"> on the basis of non-inferiority will remain cost neutral to the Commonwealth</w:t>
      </w:r>
      <w:r w:rsidR="00620124" w:rsidRPr="00620124">
        <w:t xml:space="preserve"> in the third line of therapy (replacement setting)</w:t>
      </w:r>
      <w:r>
        <w:t>,</w:t>
      </w:r>
      <w:r w:rsidR="00620124" w:rsidRPr="00620124">
        <w:t xml:space="preserve"> </w:t>
      </w:r>
      <w:r w:rsidR="00AF7EE1">
        <w:t>but</w:t>
      </w:r>
      <w:r w:rsidR="00620124" w:rsidRPr="00620124">
        <w:t xml:space="preserve"> estimated </w:t>
      </w:r>
      <w:r>
        <w:t>that the net cost to the Commonwealth for</w:t>
      </w:r>
      <w:r w:rsidR="00620124" w:rsidRPr="00620124">
        <w:t xml:space="preserve"> </w:t>
      </w:r>
      <w:proofErr w:type="spellStart"/>
      <w:r w:rsidR="00620124" w:rsidRPr="00620124">
        <w:t>pembrolizumab</w:t>
      </w:r>
      <w:proofErr w:type="spellEnd"/>
      <w:r w:rsidR="00620124" w:rsidRPr="00620124">
        <w:t xml:space="preserve"> </w:t>
      </w:r>
      <w:r>
        <w:t xml:space="preserve">use in </w:t>
      </w:r>
      <w:r w:rsidR="00620124" w:rsidRPr="00620124">
        <w:t>fourth line t</w:t>
      </w:r>
      <w:r>
        <w:t xml:space="preserve">herapy </w:t>
      </w:r>
      <w:r w:rsidR="00620124" w:rsidRPr="00620124">
        <w:t xml:space="preserve">(displacement setting) would </w:t>
      </w:r>
      <w:r w:rsidR="00CF0351">
        <w:t>less than $10 million</w:t>
      </w:r>
      <w:r>
        <w:t xml:space="preserve"> per year</w:t>
      </w:r>
      <w:r w:rsidR="00620124" w:rsidRPr="00620124">
        <w:t xml:space="preserve"> in the first five years of listing.</w:t>
      </w:r>
    </w:p>
    <w:p w:rsidR="00C430FB" w:rsidRPr="00C430FB" w:rsidRDefault="00C430FB" w:rsidP="00C430FB">
      <w:pPr>
        <w:pStyle w:val="ListParagraph"/>
        <w:spacing w:before="0" w:after="120"/>
        <w:rPr>
          <w:rFonts w:ascii="Calibri" w:eastAsia="Times New Roman" w:hAnsi="Calibri" w:cs="Times New Roman"/>
          <w:i/>
          <w:szCs w:val="24"/>
        </w:rPr>
      </w:pPr>
      <w:r w:rsidRPr="00C430FB">
        <w:rPr>
          <w:rFonts w:ascii="Calibri" w:eastAsia="Times New Roman" w:hAnsi="Calibri" w:cs="Times New Roman"/>
          <w:i/>
          <w:szCs w:val="24"/>
        </w:rPr>
        <w:t>For more detail on PBAC’s view, see section 7 “PBAC outcome.”</w:t>
      </w:r>
    </w:p>
    <w:p w:rsidR="004D66C1" w:rsidRPr="00920F2D" w:rsidRDefault="004D66C1" w:rsidP="009C0DF6">
      <w:pPr>
        <w:pStyle w:val="Heading2"/>
        <w:rPr>
          <w:i w:val="0"/>
        </w:rPr>
      </w:pPr>
      <w:bookmarkStart w:id="27" w:name="_Toc482711250"/>
      <w:r w:rsidRPr="00920F2D">
        <w:rPr>
          <w:i w:val="0"/>
        </w:rPr>
        <w:t>Quality Use of Medicines</w:t>
      </w:r>
      <w:bookmarkEnd w:id="27"/>
    </w:p>
    <w:p w:rsidR="004D66C1" w:rsidRPr="00920F2D" w:rsidRDefault="004D66C1" w:rsidP="009C0DF6">
      <w:pPr>
        <w:pStyle w:val="ListParagraph"/>
        <w:numPr>
          <w:ilvl w:val="1"/>
          <w:numId w:val="3"/>
        </w:numPr>
        <w:spacing w:before="0" w:after="120"/>
      </w:pPr>
      <w:r w:rsidRPr="00920F2D">
        <w:t xml:space="preserve">The submission noted that the sponsor will provide updated information to physicians, nurses, pharmacists and patients, education programs and a ‘1-800’ telephone medical information service to ensure appropriate use of </w:t>
      </w:r>
      <w:proofErr w:type="spellStart"/>
      <w:r w:rsidRPr="00920F2D">
        <w:t>pembrolizumab</w:t>
      </w:r>
      <w:proofErr w:type="spellEnd"/>
      <w:r w:rsidRPr="00920F2D">
        <w:t xml:space="preserve"> including identifying and managing potential immune-related adverse events.</w:t>
      </w:r>
    </w:p>
    <w:p w:rsidR="004C3F1F" w:rsidRDefault="004C3F1F" w:rsidP="009C0DF6">
      <w:pPr>
        <w:pStyle w:val="Heading2"/>
      </w:pPr>
      <w:bookmarkStart w:id="28" w:name="_Toc482711252"/>
      <w:bookmarkEnd w:id="26"/>
      <w:r>
        <w:t xml:space="preserve">Managed Entry Scheme/Managed Access </w:t>
      </w:r>
      <w:r w:rsidR="009C18F6">
        <w:t>Programme</w:t>
      </w:r>
      <w:bookmarkEnd w:id="28"/>
    </w:p>
    <w:p w:rsidR="00B83B9C" w:rsidRPr="00920F2D" w:rsidRDefault="00C50452" w:rsidP="009C0DF6">
      <w:pPr>
        <w:pStyle w:val="ListParagraph"/>
        <w:numPr>
          <w:ilvl w:val="1"/>
          <w:numId w:val="3"/>
        </w:numPr>
        <w:spacing w:before="0" w:after="120"/>
      </w:pPr>
      <w:r>
        <w:t xml:space="preserve">In its </w:t>
      </w:r>
      <w:r w:rsidR="00C85356" w:rsidRPr="00920F2D">
        <w:t>submission</w:t>
      </w:r>
      <w:r>
        <w:t>, the sponsor</w:t>
      </w:r>
      <w:r w:rsidR="00C85356" w:rsidRPr="00920F2D">
        <w:t xml:space="preserve"> proposed a </w:t>
      </w:r>
      <w:r w:rsidR="006C3602" w:rsidRPr="00920F2D">
        <w:t>Managed Entry Scheme/Managed Access Programme (</w:t>
      </w:r>
      <w:r w:rsidR="00C85356" w:rsidRPr="00920F2D">
        <w:t>MES/MAP</w:t>
      </w:r>
      <w:r w:rsidR="006C3602" w:rsidRPr="00920F2D">
        <w:t>)</w:t>
      </w:r>
      <w:r w:rsidR="00C85356" w:rsidRPr="00920F2D">
        <w:t xml:space="preserve">, acknowledging the uncertainties surrounding </w:t>
      </w:r>
      <w:r w:rsidR="00A35B1B" w:rsidRPr="00920F2D">
        <w:t xml:space="preserve">its </w:t>
      </w:r>
      <w:r w:rsidR="00C85356" w:rsidRPr="00920F2D">
        <w:t xml:space="preserve">clinical claim </w:t>
      </w:r>
      <w:r w:rsidR="00A35B1B" w:rsidRPr="00920F2D">
        <w:t xml:space="preserve">of superiority </w:t>
      </w:r>
      <w:r w:rsidR="00C85356" w:rsidRPr="00920F2D">
        <w:t>given the limitations of the evidence (</w:t>
      </w:r>
      <w:r w:rsidR="009751F5" w:rsidRPr="00920F2D">
        <w:t>indirect comparison of non</w:t>
      </w:r>
      <w:r w:rsidR="009751F5" w:rsidRPr="00920F2D">
        <w:noBreakHyphen/>
      </w:r>
      <w:r w:rsidR="00C85356" w:rsidRPr="00920F2D">
        <w:t xml:space="preserve">transitive single-arm studies) upon which </w:t>
      </w:r>
      <w:r w:rsidR="000F10CB" w:rsidRPr="00920F2D">
        <w:t>the claim</w:t>
      </w:r>
      <w:r w:rsidR="00C85356" w:rsidRPr="00920F2D">
        <w:t xml:space="preserve"> was based. </w:t>
      </w:r>
      <w:r>
        <w:t>However, in its later pre-PBAC response, t</w:t>
      </w:r>
      <w:r w:rsidR="00C3624D">
        <w:t xml:space="preserve">he sponsor noted the MES proposal was no longer relevant. </w:t>
      </w:r>
      <w:r w:rsidR="00C85356" w:rsidRPr="00920F2D">
        <w:t xml:space="preserve">The </w:t>
      </w:r>
      <w:r w:rsidR="00C3624D">
        <w:t xml:space="preserve">rationale for the initially proposed MES/MAP was that the </w:t>
      </w:r>
      <w:r w:rsidR="00C85356" w:rsidRPr="00920F2D">
        <w:t>sponsor believed that the clinical data provided in the submission were sufficient to warrant PBS listing as soon as possible</w:t>
      </w:r>
      <w:r w:rsidR="00C3624D">
        <w:t>,</w:t>
      </w:r>
      <w:r w:rsidR="00466380">
        <w:t xml:space="preserve"> </w:t>
      </w:r>
      <w:r w:rsidR="00C85356" w:rsidRPr="00920F2D">
        <w:t xml:space="preserve">with uncertainty regarding the extent of </w:t>
      </w:r>
      <w:r w:rsidR="000F10CB" w:rsidRPr="00920F2D">
        <w:t xml:space="preserve">the </w:t>
      </w:r>
      <w:r w:rsidR="00C85356" w:rsidRPr="00920F2D">
        <w:t xml:space="preserve">price </w:t>
      </w:r>
      <w:r w:rsidR="006F2B5F">
        <w:t>advantage</w:t>
      </w:r>
      <w:r w:rsidR="00C85356" w:rsidRPr="00920F2D">
        <w:t xml:space="preserve"> to be resolved upon th</w:t>
      </w:r>
      <w:r w:rsidR="00425B2A">
        <w:t>e reporting of the ongoing head-</w:t>
      </w:r>
      <w:r w:rsidR="00C85356" w:rsidRPr="00920F2D">
        <w:t xml:space="preserve">to-head KN204 trial in 2019. KN204 is assessing the comparative effectiveness and safety of </w:t>
      </w:r>
      <w:proofErr w:type="spellStart"/>
      <w:r w:rsidR="00C85356" w:rsidRPr="00920F2D">
        <w:t>pembrolizumab</w:t>
      </w:r>
      <w:proofErr w:type="spellEnd"/>
      <w:r w:rsidR="00C85356" w:rsidRPr="00920F2D">
        <w:t xml:space="preserve"> versus BV in patients with </w:t>
      </w:r>
      <w:proofErr w:type="spellStart"/>
      <w:r w:rsidR="00C85356" w:rsidRPr="00920F2D">
        <w:t>rrcHL</w:t>
      </w:r>
      <w:proofErr w:type="spellEnd"/>
      <w:r w:rsidR="00C85356" w:rsidRPr="00920F2D">
        <w:t xml:space="preserve"> who have not had previous treatment with BV, and either</w:t>
      </w:r>
      <w:proofErr w:type="gramStart"/>
      <w:r w:rsidR="00C85356" w:rsidRPr="00920F2D">
        <w:t xml:space="preserve"> 1) have</w:t>
      </w:r>
      <w:proofErr w:type="gramEnd"/>
      <w:r w:rsidR="00C85356" w:rsidRPr="00920F2D">
        <w:t xml:space="preserve"> failed to achieve a response or progressed after ASCT, or 2) are not ASCT candidates and have </w:t>
      </w:r>
      <w:r w:rsidR="009751F5" w:rsidRPr="00920F2D">
        <w:t>received at least 2 prior multi</w:t>
      </w:r>
      <w:r w:rsidR="009751F5" w:rsidRPr="00920F2D">
        <w:noBreakHyphen/>
      </w:r>
      <w:r w:rsidR="00C85356" w:rsidRPr="00920F2D">
        <w:t xml:space="preserve">agent chemotherapy regimens. The primary outcomes are PFS and OS. To resolve the uncertainties related to the evidence, interim data on PFS and OS </w:t>
      </w:r>
      <w:r w:rsidR="00A15DF0">
        <w:t>would</w:t>
      </w:r>
      <w:r w:rsidR="00C85356" w:rsidRPr="00920F2D">
        <w:t xml:space="preserve"> be presented in 2019. Final OS data</w:t>
      </w:r>
      <w:r w:rsidR="000F10CB" w:rsidRPr="00920F2D">
        <w:t>,</w:t>
      </w:r>
      <w:r w:rsidR="00C85356" w:rsidRPr="00920F2D">
        <w:t xml:space="preserve"> which depend on event rates stipulated in the </w:t>
      </w:r>
      <w:r w:rsidR="000F10CB" w:rsidRPr="00920F2D">
        <w:t xml:space="preserve">trial </w:t>
      </w:r>
      <w:r w:rsidR="00C85356" w:rsidRPr="00920F2D">
        <w:t>protocol</w:t>
      </w:r>
      <w:r w:rsidR="000F10CB" w:rsidRPr="00920F2D">
        <w:t>,</w:t>
      </w:r>
      <w:r w:rsidR="00C85356" w:rsidRPr="00920F2D">
        <w:t xml:space="preserve"> are due in 2021. The submission also indicated that</w:t>
      </w:r>
      <w:r w:rsidR="000F10CB" w:rsidRPr="00920F2D">
        <w:t>,</w:t>
      </w:r>
      <w:r w:rsidR="00C85356" w:rsidRPr="00920F2D">
        <w:t xml:space="preserve"> upon availability of the KN204 </w:t>
      </w:r>
      <w:r w:rsidR="00C85356" w:rsidRPr="00FB0A02">
        <w:t>data, model inputs such as (but not restricted to) observed and fitted OS and PFS Kaplan-Meier curves, treatment effect duration, AE rates and utilities w</w:t>
      </w:r>
      <w:r w:rsidR="00425B2A">
        <w:t>ould</w:t>
      </w:r>
      <w:r w:rsidR="00C85356" w:rsidRPr="00FB0A02">
        <w:t xml:space="preserve"> be updated.</w:t>
      </w:r>
    </w:p>
    <w:p w:rsidR="000E4288" w:rsidRPr="00262141" w:rsidRDefault="006C3602" w:rsidP="009C0DF6">
      <w:pPr>
        <w:pStyle w:val="ListParagraph"/>
        <w:numPr>
          <w:ilvl w:val="1"/>
          <w:numId w:val="3"/>
        </w:numPr>
        <w:spacing w:before="0" w:after="120"/>
      </w:pPr>
      <w:r w:rsidRPr="00920F2D">
        <w:t xml:space="preserve">The MES </w:t>
      </w:r>
      <w:r w:rsidR="004A009E" w:rsidRPr="00920F2D">
        <w:t>framework</w:t>
      </w:r>
      <w:r w:rsidRPr="00920F2D">
        <w:t xml:space="preserve"> (now also referred to as the Managed Access Program (MAP</w:t>
      </w:r>
      <w:r w:rsidRPr="00FB0A02">
        <w:t>)</w:t>
      </w:r>
      <w:r w:rsidR="004A009E" w:rsidRPr="00FB0A02">
        <w:t xml:space="preserve"> framework</w:t>
      </w:r>
      <w:r w:rsidRPr="00920F2D">
        <w:t xml:space="preserve">) is focused on submissions where the available data indicate a significant net benefit of the proposed medicine, but the magnitude of the benefit is uncertain until more conclusive evidence becomes available in a reasonable time frame that would resolve the uncertainty. </w:t>
      </w:r>
      <w:r w:rsidR="00110B8D" w:rsidRPr="00920F2D">
        <w:t xml:space="preserve">PBAC has the discretion to recommend PBS listing at a higher price justified by the </w:t>
      </w:r>
      <w:r w:rsidR="00110B8D" w:rsidRPr="00A27F62">
        <w:rPr>
          <w:u w:val="single"/>
        </w:rPr>
        <w:t>existing</w:t>
      </w:r>
      <w:r w:rsidR="00110B8D" w:rsidRPr="00920F2D">
        <w:t xml:space="preserve"> evidence with the option of </w:t>
      </w:r>
      <w:r w:rsidR="00A35B1B" w:rsidRPr="00920F2D">
        <w:t xml:space="preserve">requiring the sponsor to pay </w:t>
      </w:r>
      <w:r w:rsidR="00110B8D" w:rsidRPr="00920F2D">
        <w:t xml:space="preserve">a future rebate (including interest) if the new data fail to deliver on the claimed benefits. </w:t>
      </w:r>
      <w:r w:rsidR="00FB3C2C" w:rsidRPr="00920F2D">
        <w:t xml:space="preserve">The submission’s economic evaluation, however, did not provide a basis for determining an initial price for </w:t>
      </w:r>
      <w:proofErr w:type="spellStart"/>
      <w:r w:rsidR="00FB3C2C" w:rsidRPr="00920F2D">
        <w:t>pembrolizumab</w:t>
      </w:r>
      <w:proofErr w:type="spellEnd"/>
      <w:r w:rsidR="00FB3C2C" w:rsidRPr="00920F2D">
        <w:t xml:space="preserve"> on the basis of the current available </w:t>
      </w:r>
      <w:proofErr w:type="gramStart"/>
      <w:r w:rsidR="00FB3C2C" w:rsidRPr="00920F2D">
        <w:t>evidence,</w:t>
      </w:r>
      <w:proofErr w:type="gramEnd"/>
      <w:r w:rsidR="00FB3C2C" w:rsidRPr="00920F2D">
        <w:t xml:space="preserve"> rather the initial price is based on a hypothetical treatment effect. </w:t>
      </w:r>
      <w:r w:rsidR="000E4288" w:rsidRPr="00262141">
        <w:t xml:space="preserve">The ESC did not consider a price advantage for </w:t>
      </w:r>
      <w:proofErr w:type="spellStart"/>
      <w:r w:rsidR="000E4288" w:rsidRPr="00262141">
        <w:t>pembrolizumab</w:t>
      </w:r>
      <w:proofErr w:type="spellEnd"/>
      <w:r w:rsidR="000E4288" w:rsidRPr="00262141">
        <w:t xml:space="preserve"> over BV was justified by the existing clinical evidence.</w:t>
      </w:r>
    </w:p>
    <w:p w:rsidR="0048196C" w:rsidRPr="00262141" w:rsidRDefault="0048196C" w:rsidP="004A41BA">
      <w:pPr>
        <w:pStyle w:val="ListParagraph"/>
        <w:numPr>
          <w:ilvl w:val="1"/>
          <w:numId w:val="3"/>
        </w:numPr>
        <w:spacing w:before="0" w:after="0"/>
      </w:pPr>
      <w:r w:rsidRPr="00262141">
        <w:t xml:space="preserve">The ESC considered that the evidence provided in the submission was </w:t>
      </w:r>
      <w:r w:rsidR="00D02E6B" w:rsidRPr="00262141">
        <w:t xml:space="preserve">an </w:t>
      </w:r>
      <w:r w:rsidRPr="00262141">
        <w:t xml:space="preserve">inadequate </w:t>
      </w:r>
      <w:r w:rsidR="00D02E6B" w:rsidRPr="00262141">
        <w:t xml:space="preserve">basis </w:t>
      </w:r>
      <w:r w:rsidRPr="00262141">
        <w:t>for PBS listing under the MES</w:t>
      </w:r>
      <w:r w:rsidR="00D02E6B" w:rsidRPr="00262141">
        <w:t>/MAP</w:t>
      </w:r>
      <w:r w:rsidRPr="00262141">
        <w:t xml:space="preserve"> framework, as:</w:t>
      </w:r>
    </w:p>
    <w:p w:rsidR="00C82732" w:rsidRPr="00262141" w:rsidRDefault="00C82732" w:rsidP="004A41BA">
      <w:pPr>
        <w:pStyle w:val="ListParagraph"/>
        <w:numPr>
          <w:ilvl w:val="2"/>
          <w:numId w:val="6"/>
        </w:numPr>
        <w:spacing w:before="0" w:after="0"/>
        <w:ind w:left="993" w:hanging="284"/>
      </w:pPr>
      <w:r w:rsidRPr="00262141">
        <w:t xml:space="preserve">The </w:t>
      </w:r>
      <w:r w:rsidR="00417707" w:rsidRPr="00262141">
        <w:t xml:space="preserve">superiority claim of </w:t>
      </w:r>
      <w:proofErr w:type="spellStart"/>
      <w:r w:rsidR="00417707" w:rsidRPr="00262141">
        <w:t>pembrolizumab</w:t>
      </w:r>
      <w:proofErr w:type="spellEnd"/>
      <w:r w:rsidR="00417707" w:rsidRPr="00262141">
        <w:t xml:space="preserve"> vers</w:t>
      </w:r>
      <w:r w:rsidR="00D02E6B" w:rsidRPr="00262141">
        <w:t xml:space="preserve">us BV was not supported by the </w:t>
      </w:r>
      <w:r w:rsidR="00417707" w:rsidRPr="00262141">
        <w:t xml:space="preserve">available </w:t>
      </w:r>
      <w:r w:rsidRPr="00262141">
        <w:t>clinical evidence</w:t>
      </w:r>
      <w:r w:rsidR="00417707" w:rsidRPr="00262141">
        <w:t xml:space="preserve"> (see Clinical claim)</w:t>
      </w:r>
      <w:r w:rsidR="00A57D2C" w:rsidRPr="00262141">
        <w:t>;</w:t>
      </w:r>
    </w:p>
    <w:p w:rsidR="009A5DFB" w:rsidRPr="00262141" w:rsidRDefault="00C82732" w:rsidP="004A41BA">
      <w:pPr>
        <w:pStyle w:val="ListParagraph"/>
        <w:numPr>
          <w:ilvl w:val="2"/>
          <w:numId w:val="6"/>
        </w:numPr>
        <w:spacing w:before="0" w:after="0"/>
        <w:ind w:left="993" w:hanging="284"/>
      </w:pPr>
      <w:r w:rsidRPr="00262141">
        <w:t>T</w:t>
      </w:r>
      <w:r w:rsidR="001A6031" w:rsidRPr="00262141">
        <w:t xml:space="preserve">he submission’s economic evaluation did not provide a robust basis for determining an initial price for </w:t>
      </w:r>
      <w:proofErr w:type="spellStart"/>
      <w:r w:rsidR="001A6031" w:rsidRPr="00262141">
        <w:t>pem</w:t>
      </w:r>
      <w:r w:rsidR="009D21C5" w:rsidRPr="00262141">
        <w:t>brolizumab</w:t>
      </w:r>
      <w:proofErr w:type="spellEnd"/>
      <w:r w:rsidR="00D02E6B" w:rsidRPr="00262141">
        <w:t>;</w:t>
      </w:r>
    </w:p>
    <w:p w:rsidR="00C82732" w:rsidRDefault="00417707" w:rsidP="004A41BA">
      <w:pPr>
        <w:pStyle w:val="ListParagraph"/>
        <w:numPr>
          <w:ilvl w:val="2"/>
          <w:numId w:val="6"/>
        </w:numPr>
        <w:spacing w:before="0" w:after="0"/>
        <w:ind w:left="993" w:hanging="284"/>
      </w:pPr>
      <w:r w:rsidRPr="00262141">
        <w:t xml:space="preserve">The value of sequential treatment with </w:t>
      </w:r>
      <w:proofErr w:type="spellStart"/>
      <w:r w:rsidR="00D02E6B" w:rsidRPr="00262141">
        <w:t>pembrolizumab</w:t>
      </w:r>
      <w:proofErr w:type="spellEnd"/>
      <w:r w:rsidR="00D02E6B" w:rsidRPr="00262141">
        <w:t xml:space="preserve"> and BV </w:t>
      </w:r>
      <w:r w:rsidRPr="00262141">
        <w:t>will remain unanswered by the KN204 trial.  Moreover, the rapidly evolving clinical algorithm of immunotherapies in haematological malignancies made it difficult to predict the cl</w:t>
      </w:r>
      <w:r w:rsidR="00D02E6B" w:rsidRPr="00262141">
        <w:t>inical landscape of HL by 2020.</w:t>
      </w:r>
    </w:p>
    <w:p w:rsidR="004A41BA" w:rsidRDefault="004A41BA" w:rsidP="00425B2A">
      <w:pPr>
        <w:spacing w:before="0" w:after="0"/>
      </w:pPr>
    </w:p>
    <w:p w:rsidR="004A41BA" w:rsidRDefault="004A41BA" w:rsidP="004A41BA">
      <w:pPr>
        <w:pStyle w:val="ListParagraph"/>
        <w:numPr>
          <w:ilvl w:val="1"/>
          <w:numId w:val="3"/>
        </w:numPr>
        <w:spacing w:before="0" w:after="0"/>
      </w:pPr>
      <w:r>
        <w:t>The Pre-PBAC response (p.</w:t>
      </w:r>
      <w:r w:rsidRPr="004A41BA">
        <w:t xml:space="preserve">2) </w:t>
      </w:r>
      <w:r w:rsidR="008670B1">
        <w:t>stated</w:t>
      </w:r>
      <w:r w:rsidRPr="004A41BA">
        <w:t xml:space="preserve"> that</w:t>
      </w:r>
      <w:r w:rsidR="00425B2A">
        <w:t>,</w:t>
      </w:r>
      <w:r w:rsidRPr="004A41BA">
        <w:t xml:space="preserve"> as the submission’s clinical claim was changed to that of non-inferiority against BV, the </w:t>
      </w:r>
      <w:r w:rsidR="004D6B05" w:rsidRPr="00920F2D">
        <w:t>MES/MAP</w:t>
      </w:r>
      <w:r w:rsidR="004D6B05" w:rsidRPr="004A41BA">
        <w:t xml:space="preserve"> </w:t>
      </w:r>
      <w:r w:rsidR="004D6B05">
        <w:t xml:space="preserve">arrangement </w:t>
      </w:r>
      <w:r w:rsidRPr="004A41BA">
        <w:t>proposed in the submission was no longer relevant. The PBAC considered that this was reasonable.</w:t>
      </w:r>
    </w:p>
    <w:p w:rsidR="00E615F1" w:rsidRPr="006C0ABB" w:rsidRDefault="00E615F1" w:rsidP="00E615F1">
      <w:pPr>
        <w:pStyle w:val="Heading2"/>
      </w:pPr>
      <w:r w:rsidRPr="006C0ABB">
        <w:t>Financial Management – Risk Sharing Arrangements</w:t>
      </w:r>
    </w:p>
    <w:p w:rsidR="00E615F1" w:rsidRPr="00425B2A" w:rsidRDefault="00E615F1" w:rsidP="001073E8">
      <w:pPr>
        <w:pStyle w:val="ListParagraph"/>
        <w:numPr>
          <w:ilvl w:val="1"/>
          <w:numId w:val="3"/>
        </w:numPr>
        <w:spacing w:before="0" w:after="120"/>
      </w:pPr>
      <w:r w:rsidRPr="00BD4B4F">
        <w:t xml:space="preserve">The </w:t>
      </w:r>
      <w:r w:rsidR="001073E8">
        <w:t>Pre-PBAC response (p.3) stated that</w:t>
      </w:r>
      <w:r w:rsidR="00425B2A">
        <w:t>,</w:t>
      </w:r>
      <w:r w:rsidR="001073E8">
        <w:t xml:space="preserve"> should </w:t>
      </w:r>
      <w:proofErr w:type="spellStart"/>
      <w:r w:rsidR="001073E8">
        <w:t>pembrolizumab</w:t>
      </w:r>
      <w:proofErr w:type="spellEnd"/>
      <w:r w:rsidR="001073E8">
        <w:t xml:space="preserve"> be recommended for listing on the basis of non-inferiority to BV, the s</w:t>
      </w:r>
      <w:r w:rsidR="001073E8" w:rsidRPr="001073E8">
        <w:t xml:space="preserve">ponsor </w:t>
      </w:r>
      <w:r w:rsidR="003C4DB4">
        <w:t>w</w:t>
      </w:r>
      <w:r w:rsidR="00425B2A">
        <w:t>ould be</w:t>
      </w:r>
      <w:r w:rsidR="003C4DB4">
        <w:t xml:space="preserve"> willing to negotiate a Deed of </w:t>
      </w:r>
      <w:r w:rsidR="00425B2A">
        <w:t>A</w:t>
      </w:r>
      <w:r w:rsidR="003C4DB4">
        <w:t>greement with the Department to ensure that financial uncertainties are appropriately mitigated.</w:t>
      </w:r>
    </w:p>
    <w:p w:rsidR="00E3348A" w:rsidRPr="00920F2D" w:rsidRDefault="00E3348A" w:rsidP="00E3348A">
      <w:pPr>
        <w:pStyle w:val="Heading1"/>
        <w:ind w:left="709" w:hanging="709"/>
      </w:pPr>
      <w:r>
        <w:t>PBAC Outcome</w:t>
      </w:r>
    </w:p>
    <w:p w:rsidR="00E3348A" w:rsidRPr="00920F2D" w:rsidRDefault="00E3348A" w:rsidP="00E3348A">
      <w:pPr>
        <w:pStyle w:val="ListParagraph"/>
        <w:numPr>
          <w:ilvl w:val="0"/>
          <w:numId w:val="3"/>
        </w:numPr>
        <w:spacing w:before="200" w:after="120"/>
        <w:rPr>
          <w:rFonts w:ascii="Arial" w:eastAsia="Times New Roman" w:hAnsi="Arial" w:cs="Arial"/>
          <w:b/>
          <w:snapToGrid w:val="0"/>
          <w:vanish/>
          <w:sz w:val="22"/>
        </w:rPr>
      </w:pPr>
    </w:p>
    <w:p w:rsidR="00E3348A" w:rsidRPr="00E3348A" w:rsidRDefault="00E3348A" w:rsidP="00E3348A">
      <w:pPr>
        <w:pStyle w:val="ListParagraph"/>
        <w:numPr>
          <w:ilvl w:val="1"/>
          <w:numId w:val="3"/>
        </w:numPr>
        <w:rPr>
          <w:rFonts w:ascii="Calibri" w:eastAsia="Times New Roman" w:hAnsi="Calibri" w:cs="Arial"/>
          <w:bCs/>
          <w:snapToGrid w:val="0"/>
          <w:szCs w:val="24"/>
          <w:lang w:val="en-GB"/>
        </w:rPr>
      </w:pPr>
      <w:r w:rsidRPr="00E3348A">
        <w:rPr>
          <w:rFonts w:ascii="Calibri" w:eastAsia="Times New Roman" w:hAnsi="Calibri" w:cs="Arial"/>
          <w:bCs/>
          <w:snapToGrid w:val="0"/>
          <w:szCs w:val="24"/>
          <w:lang w:val="en-GB"/>
        </w:rPr>
        <w:t xml:space="preserve">The PBAC deferred making a recommendation on whether </w:t>
      </w:r>
      <w:proofErr w:type="spellStart"/>
      <w:r>
        <w:rPr>
          <w:rFonts w:ascii="Calibri" w:eastAsia="Times New Roman" w:hAnsi="Calibri" w:cs="Arial"/>
          <w:bCs/>
          <w:snapToGrid w:val="0"/>
          <w:szCs w:val="24"/>
          <w:lang w:val="en-GB"/>
        </w:rPr>
        <w:t>pembrolizumab</w:t>
      </w:r>
      <w:proofErr w:type="spellEnd"/>
      <w:r w:rsidRPr="00E3348A">
        <w:rPr>
          <w:rFonts w:ascii="Calibri" w:eastAsia="Times New Roman" w:hAnsi="Calibri" w:cs="Arial"/>
          <w:bCs/>
          <w:snapToGrid w:val="0"/>
          <w:szCs w:val="24"/>
          <w:lang w:val="en-GB"/>
        </w:rPr>
        <w:t xml:space="preserve"> should be listed </w:t>
      </w:r>
      <w:r>
        <w:rPr>
          <w:rFonts w:ascii="Calibri" w:eastAsia="Times New Roman" w:hAnsi="Calibri" w:cs="Arial"/>
          <w:bCs/>
          <w:snapToGrid w:val="0"/>
          <w:szCs w:val="24"/>
          <w:lang w:val="en-GB"/>
        </w:rPr>
        <w:t xml:space="preserve">on the PBS </w:t>
      </w:r>
      <w:r w:rsidRPr="00E3348A">
        <w:rPr>
          <w:rFonts w:ascii="Calibri" w:eastAsia="Times New Roman" w:hAnsi="Calibri" w:cs="Arial"/>
          <w:bCs/>
          <w:snapToGrid w:val="0"/>
          <w:szCs w:val="24"/>
          <w:lang w:val="en-GB"/>
        </w:rPr>
        <w:t xml:space="preserve">for the treatment of </w:t>
      </w:r>
      <w:proofErr w:type="spellStart"/>
      <w:r>
        <w:rPr>
          <w:rFonts w:ascii="Calibri" w:eastAsia="Times New Roman" w:hAnsi="Calibri" w:cs="Arial"/>
          <w:bCs/>
          <w:snapToGrid w:val="0"/>
          <w:szCs w:val="24"/>
          <w:lang w:val="en-GB"/>
        </w:rPr>
        <w:t>rrcHL</w:t>
      </w:r>
      <w:proofErr w:type="spellEnd"/>
      <w:r>
        <w:rPr>
          <w:rFonts w:ascii="Calibri" w:eastAsia="Times New Roman" w:hAnsi="Calibri" w:cs="Arial"/>
          <w:bCs/>
          <w:snapToGrid w:val="0"/>
          <w:szCs w:val="24"/>
          <w:lang w:val="en-GB"/>
        </w:rPr>
        <w:t xml:space="preserve"> </w:t>
      </w:r>
      <w:r w:rsidRPr="00E3348A">
        <w:rPr>
          <w:rFonts w:ascii="Calibri" w:eastAsia="Times New Roman" w:hAnsi="Calibri" w:cs="Arial"/>
          <w:bCs/>
          <w:snapToGrid w:val="0"/>
          <w:szCs w:val="24"/>
          <w:lang w:val="en-GB"/>
        </w:rPr>
        <w:t xml:space="preserve">pending </w:t>
      </w:r>
      <w:r>
        <w:rPr>
          <w:rFonts w:ascii="Calibri" w:eastAsia="Times New Roman" w:hAnsi="Calibri" w:cs="Arial"/>
          <w:bCs/>
          <w:snapToGrid w:val="0"/>
          <w:szCs w:val="24"/>
          <w:lang w:val="en-GB"/>
        </w:rPr>
        <w:t>a positive TG</w:t>
      </w:r>
      <w:r w:rsidR="009760A6">
        <w:rPr>
          <w:rFonts w:ascii="Calibri" w:eastAsia="Times New Roman" w:hAnsi="Calibri" w:cs="Arial"/>
          <w:bCs/>
          <w:snapToGrid w:val="0"/>
          <w:szCs w:val="24"/>
          <w:lang w:val="en-GB"/>
        </w:rPr>
        <w:t>A</w:t>
      </w:r>
      <w:r>
        <w:rPr>
          <w:rFonts w:ascii="Calibri" w:eastAsia="Times New Roman" w:hAnsi="Calibri" w:cs="Arial"/>
          <w:bCs/>
          <w:snapToGrid w:val="0"/>
          <w:szCs w:val="24"/>
          <w:lang w:val="en-GB"/>
        </w:rPr>
        <w:t xml:space="preserve"> Delegate’s overview, and </w:t>
      </w:r>
      <w:r w:rsidRPr="00E3348A">
        <w:rPr>
          <w:rFonts w:ascii="Calibri" w:eastAsia="Times New Roman" w:hAnsi="Calibri" w:cs="Arial"/>
          <w:bCs/>
          <w:snapToGrid w:val="0"/>
          <w:szCs w:val="24"/>
          <w:lang w:val="en-GB"/>
        </w:rPr>
        <w:t xml:space="preserve">further discussion with the sponsor </w:t>
      </w:r>
      <w:r>
        <w:rPr>
          <w:rFonts w:ascii="Calibri" w:eastAsia="Times New Roman" w:hAnsi="Calibri" w:cs="Arial"/>
          <w:bCs/>
          <w:snapToGrid w:val="0"/>
          <w:szCs w:val="24"/>
          <w:lang w:val="en-GB"/>
        </w:rPr>
        <w:t>on</w:t>
      </w:r>
      <w:r w:rsidRPr="00E3348A">
        <w:rPr>
          <w:rFonts w:ascii="Calibri" w:eastAsia="Times New Roman" w:hAnsi="Calibri" w:cs="Arial"/>
          <w:bCs/>
          <w:snapToGrid w:val="0"/>
          <w:szCs w:val="24"/>
          <w:lang w:val="en-GB"/>
        </w:rPr>
        <w:t xml:space="preserve"> determining the basis of cost-minimisation against </w:t>
      </w:r>
      <w:proofErr w:type="spellStart"/>
      <w:r w:rsidRPr="00E3348A">
        <w:rPr>
          <w:rFonts w:ascii="Calibri" w:eastAsia="Times New Roman" w:hAnsi="Calibri" w:cs="Arial"/>
          <w:bCs/>
          <w:snapToGrid w:val="0"/>
          <w:szCs w:val="24"/>
          <w:lang w:val="en-GB"/>
        </w:rPr>
        <w:t>brentuximab</w:t>
      </w:r>
      <w:proofErr w:type="spellEnd"/>
      <w:r w:rsidRPr="00E3348A">
        <w:rPr>
          <w:rFonts w:ascii="Calibri" w:eastAsia="Times New Roman" w:hAnsi="Calibri" w:cs="Arial"/>
          <w:bCs/>
          <w:snapToGrid w:val="0"/>
          <w:szCs w:val="24"/>
          <w:lang w:val="en-GB"/>
        </w:rPr>
        <w:t xml:space="preserve"> </w:t>
      </w:r>
      <w:proofErr w:type="spellStart"/>
      <w:r w:rsidRPr="00E3348A">
        <w:rPr>
          <w:rFonts w:ascii="Calibri" w:eastAsia="Times New Roman" w:hAnsi="Calibri" w:cs="Arial"/>
          <w:bCs/>
          <w:snapToGrid w:val="0"/>
          <w:szCs w:val="24"/>
          <w:lang w:val="en-GB"/>
        </w:rPr>
        <w:t>vedotin</w:t>
      </w:r>
      <w:proofErr w:type="spellEnd"/>
      <w:r w:rsidR="00E10CEF">
        <w:rPr>
          <w:rFonts w:ascii="Calibri" w:eastAsia="Times New Roman" w:hAnsi="Calibri" w:cs="Arial"/>
          <w:bCs/>
          <w:snapToGrid w:val="0"/>
          <w:szCs w:val="24"/>
          <w:lang w:val="en-GB"/>
        </w:rPr>
        <w:t xml:space="preserve"> (BV</w:t>
      </w:r>
      <w:r w:rsidR="00E10CEF" w:rsidRPr="004C08C7">
        <w:rPr>
          <w:rFonts w:ascii="Calibri" w:eastAsia="Times New Roman" w:hAnsi="Calibri" w:cs="Arial"/>
          <w:bCs/>
          <w:snapToGrid w:val="0"/>
          <w:szCs w:val="24"/>
          <w:lang w:val="en-GB"/>
        </w:rPr>
        <w:t>)</w:t>
      </w:r>
      <w:r w:rsidRPr="004C08C7">
        <w:rPr>
          <w:rFonts w:ascii="Calibri" w:eastAsia="Times New Roman" w:hAnsi="Calibri" w:cs="Arial"/>
          <w:bCs/>
          <w:snapToGrid w:val="0"/>
          <w:szCs w:val="24"/>
          <w:lang w:val="en-GB"/>
        </w:rPr>
        <w:t xml:space="preserve">. </w:t>
      </w:r>
      <w:r w:rsidR="00362DCB" w:rsidRPr="004C08C7">
        <w:rPr>
          <w:rFonts w:ascii="Calibri" w:eastAsia="Times New Roman" w:hAnsi="Calibri" w:cs="Arial"/>
          <w:bCs/>
          <w:snapToGrid w:val="0"/>
          <w:szCs w:val="24"/>
          <w:lang w:val="en-GB"/>
        </w:rPr>
        <w:t xml:space="preserve">In </w:t>
      </w:r>
      <w:r w:rsidR="00850ACE" w:rsidRPr="004C08C7">
        <w:rPr>
          <w:rFonts w:ascii="Calibri" w:eastAsia="Times New Roman" w:hAnsi="Calibri" w:cs="Arial"/>
          <w:bCs/>
          <w:snapToGrid w:val="0"/>
          <w:szCs w:val="24"/>
          <w:lang w:val="en-GB"/>
        </w:rPr>
        <w:t>deciding to defer</w:t>
      </w:r>
      <w:r w:rsidR="00362DCB" w:rsidRPr="004C08C7">
        <w:rPr>
          <w:rFonts w:ascii="Calibri" w:eastAsia="Times New Roman" w:hAnsi="Calibri" w:cs="Arial"/>
          <w:bCs/>
          <w:snapToGrid w:val="0"/>
          <w:szCs w:val="24"/>
          <w:lang w:val="en-GB"/>
        </w:rPr>
        <w:t xml:space="preserve">, the PBAC </w:t>
      </w:r>
      <w:r w:rsidR="00A00D7D" w:rsidRPr="004C08C7">
        <w:rPr>
          <w:rFonts w:ascii="Calibri" w:eastAsia="Times New Roman" w:hAnsi="Calibri" w:cs="Arial"/>
          <w:bCs/>
          <w:snapToGrid w:val="0"/>
          <w:szCs w:val="24"/>
          <w:lang w:val="en-GB"/>
        </w:rPr>
        <w:t xml:space="preserve">agreed with the sponsor </w:t>
      </w:r>
      <w:r w:rsidR="00362DCB" w:rsidRPr="004C08C7">
        <w:rPr>
          <w:rFonts w:ascii="Calibri" w:eastAsia="Times New Roman" w:hAnsi="Calibri" w:cs="Arial"/>
          <w:bCs/>
          <w:snapToGrid w:val="0"/>
          <w:szCs w:val="24"/>
          <w:lang w:val="en-GB"/>
        </w:rPr>
        <w:t xml:space="preserve">that </w:t>
      </w:r>
      <w:proofErr w:type="spellStart"/>
      <w:r w:rsidR="00362DCB" w:rsidRPr="004C08C7">
        <w:rPr>
          <w:rFonts w:ascii="Calibri" w:eastAsia="Times New Roman" w:hAnsi="Calibri" w:cs="Arial"/>
          <w:bCs/>
          <w:snapToGrid w:val="0"/>
          <w:szCs w:val="24"/>
          <w:lang w:val="en-GB"/>
        </w:rPr>
        <w:t>pembrolizumab</w:t>
      </w:r>
      <w:proofErr w:type="spellEnd"/>
      <w:r w:rsidR="00362DCB" w:rsidRPr="004C08C7">
        <w:rPr>
          <w:rFonts w:ascii="Calibri" w:eastAsia="Times New Roman" w:hAnsi="Calibri" w:cs="Arial"/>
          <w:bCs/>
          <w:snapToGrid w:val="0"/>
          <w:szCs w:val="24"/>
          <w:lang w:val="en-GB"/>
        </w:rPr>
        <w:t xml:space="preserve"> treatment </w:t>
      </w:r>
      <w:r w:rsidR="00A94E94" w:rsidRPr="004C08C7">
        <w:rPr>
          <w:rFonts w:ascii="Calibri" w:eastAsia="Times New Roman" w:hAnsi="Calibri" w:cs="Arial"/>
          <w:bCs/>
          <w:snapToGrid w:val="0"/>
          <w:szCs w:val="24"/>
          <w:lang w:val="en-GB"/>
        </w:rPr>
        <w:t>showed promising overall response rates</w:t>
      </w:r>
      <w:r w:rsidR="00362DCB" w:rsidRPr="004C08C7">
        <w:rPr>
          <w:rFonts w:ascii="Calibri" w:eastAsia="Times New Roman" w:hAnsi="Calibri" w:cs="Arial"/>
          <w:bCs/>
          <w:snapToGrid w:val="0"/>
          <w:szCs w:val="24"/>
          <w:lang w:val="en-GB"/>
        </w:rPr>
        <w:t xml:space="preserve"> in a heavily pre-treated, refractory patient population</w:t>
      </w:r>
      <w:r w:rsidR="00466380">
        <w:rPr>
          <w:rFonts w:ascii="Calibri" w:eastAsia="Times New Roman" w:hAnsi="Calibri" w:cs="Arial"/>
          <w:bCs/>
          <w:snapToGrid w:val="0"/>
          <w:szCs w:val="24"/>
          <w:lang w:val="en-GB"/>
        </w:rPr>
        <w:t>,</w:t>
      </w:r>
      <w:r w:rsidR="00A00D7D" w:rsidRPr="004C08C7">
        <w:rPr>
          <w:rFonts w:ascii="Calibri" w:eastAsia="Times New Roman" w:hAnsi="Calibri" w:cs="Arial"/>
          <w:bCs/>
          <w:snapToGrid w:val="0"/>
          <w:szCs w:val="24"/>
          <w:lang w:val="en-GB"/>
        </w:rPr>
        <w:t xml:space="preserve"> and that the clinical claim of non-inferiority compared with BV was supported</w:t>
      </w:r>
      <w:r w:rsidR="00466380">
        <w:rPr>
          <w:rFonts w:ascii="Calibri" w:eastAsia="Times New Roman" w:hAnsi="Calibri" w:cs="Arial"/>
          <w:bCs/>
          <w:snapToGrid w:val="0"/>
          <w:szCs w:val="24"/>
          <w:lang w:val="en-GB"/>
        </w:rPr>
        <w:t xml:space="preserve"> by the evidence provided</w:t>
      </w:r>
      <w:r w:rsidR="00A00D7D" w:rsidRPr="004C08C7">
        <w:rPr>
          <w:rFonts w:ascii="Calibri" w:eastAsia="Times New Roman" w:hAnsi="Calibri" w:cs="Arial"/>
          <w:bCs/>
          <w:snapToGrid w:val="0"/>
          <w:szCs w:val="24"/>
          <w:lang w:val="en-GB"/>
        </w:rPr>
        <w:t xml:space="preserve">. On that basis, </w:t>
      </w:r>
      <w:r w:rsidR="00362DCB" w:rsidRPr="004C08C7">
        <w:rPr>
          <w:rFonts w:ascii="Calibri" w:eastAsia="Times New Roman" w:hAnsi="Calibri" w:cs="Arial"/>
          <w:bCs/>
          <w:snapToGrid w:val="0"/>
          <w:szCs w:val="24"/>
          <w:lang w:val="en-GB"/>
        </w:rPr>
        <w:t>a price advantage over BV was not justified in the submission</w:t>
      </w:r>
      <w:r w:rsidR="00466380">
        <w:rPr>
          <w:rFonts w:ascii="Calibri" w:eastAsia="Times New Roman" w:hAnsi="Calibri" w:cs="Arial"/>
          <w:bCs/>
          <w:snapToGrid w:val="0"/>
          <w:szCs w:val="24"/>
          <w:lang w:val="en-GB"/>
        </w:rPr>
        <w:t>, and not requested in the pre-PBAC response</w:t>
      </w:r>
      <w:r w:rsidR="00362DCB" w:rsidRPr="004C08C7">
        <w:rPr>
          <w:rFonts w:ascii="Calibri" w:eastAsia="Times New Roman" w:hAnsi="Calibri" w:cs="Arial"/>
          <w:bCs/>
          <w:snapToGrid w:val="0"/>
          <w:szCs w:val="24"/>
          <w:lang w:val="en-GB"/>
        </w:rPr>
        <w:t>.</w:t>
      </w:r>
    </w:p>
    <w:p w:rsidR="00823F52" w:rsidRDefault="00823F52" w:rsidP="00E87E79">
      <w:pPr>
        <w:pStyle w:val="ListParagraph"/>
        <w:numPr>
          <w:ilvl w:val="1"/>
          <w:numId w:val="3"/>
        </w:numPr>
      </w:pPr>
      <w:r>
        <w:t>The PBAC considered that</w:t>
      </w:r>
      <w:r w:rsidR="00AA4460">
        <w:t>,</w:t>
      </w:r>
      <w:r>
        <w:t xml:space="preserve"> </w:t>
      </w:r>
      <w:r w:rsidR="00E10CEF">
        <w:t xml:space="preserve">for patients with </w:t>
      </w:r>
      <w:proofErr w:type="spellStart"/>
      <w:r w:rsidR="00E10CEF">
        <w:t>rrcHL</w:t>
      </w:r>
      <w:proofErr w:type="spellEnd"/>
      <w:r w:rsidR="00E10CEF">
        <w:t>,</w:t>
      </w:r>
      <w:r w:rsidR="00E10CEF" w:rsidDel="00E10CEF">
        <w:t xml:space="preserve"> </w:t>
      </w:r>
      <w:r w:rsidR="00E10CEF">
        <w:t xml:space="preserve">the appropriate clinical place in therapy for </w:t>
      </w:r>
      <w:proofErr w:type="spellStart"/>
      <w:r w:rsidR="00E10CEF">
        <w:t>pembrolizumab</w:t>
      </w:r>
      <w:proofErr w:type="spellEnd"/>
      <w:r w:rsidR="00E10CEF">
        <w:t xml:space="preserve"> w</w:t>
      </w:r>
      <w:r w:rsidR="00AA4460">
        <w:t>ould be</w:t>
      </w:r>
      <w:r w:rsidR="00E10CEF">
        <w:t xml:space="preserve"> as primary</w:t>
      </w:r>
      <w:r>
        <w:t xml:space="preserve"> treatment post ASCT failure, or </w:t>
      </w:r>
      <w:r w:rsidRPr="00CF7C30">
        <w:t>following at least two prior therapies when ASCT or multi-agent chemotherapy is not a treatment option</w:t>
      </w:r>
      <w:r w:rsidR="00E10CEF">
        <w:t>.</w:t>
      </w:r>
      <w:r>
        <w:t xml:space="preserve"> </w:t>
      </w:r>
    </w:p>
    <w:p w:rsidR="004C08C7" w:rsidRDefault="004C08C7" w:rsidP="00E87E79">
      <w:pPr>
        <w:pStyle w:val="ListParagraph"/>
        <w:numPr>
          <w:ilvl w:val="1"/>
          <w:numId w:val="3"/>
        </w:numPr>
      </w:pPr>
      <w:r w:rsidRPr="004C08C7">
        <w:t xml:space="preserve">The PBAC advised that the application had evolved since the time of lodgement, it would be necessary to </w:t>
      </w:r>
      <w:r w:rsidR="00466380">
        <w:t xml:space="preserve">merge </w:t>
      </w:r>
      <w:r w:rsidRPr="004C08C7">
        <w:t xml:space="preserve">the </w:t>
      </w:r>
      <w:r w:rsidR="00E411FF">
        <w:t xml:space="preserve">requested </w:t>
      </w:r>
      <w:r w:rsidRPr="004C08C7">
        <w:t>initial restrict</w:t>
      </w:r>
      <w:r>
        <w:t>ion</w:t>
      </w:r>
      <w:r w:rsidR="00E411FF">
        <w:t>s</w:t>
      </w:r>
      <w:r>
        <w:t xml:space="preserve"> for </w:t>
      </w:r>
      <w:proofErr w:type="spellStart"/>
      <w:r>
        <w:t>pembrolizumab</w:t>
      </w:r>
      <w:proofErr w:type="spellEnd"/>
      <w:r w:rsidR="00466380">
        <w:t xml:space="preserve"> to remove the separation according to ASCT status</w:t>
      </w:r>
      <w:r>
        <w:t xml:space="preserve">, </w:t>
      </w:r>
      <w:r w:rsidR="00270F67">
        <w:t xml:space="preserve">resulting in </w:t>
      </w:r>
      <w:r>
        <w:t xml:space="preserve">a single initial </w:t>
      </w:r>
      <w:r w:rsidR="00466380">
        <w:t xml:space="preserve">restriction </w:t>
      </w:r>
      <w:r>
        <w:t xml:space="preserve">and </w:t>
      </w:r>
      <w:r w:rsidR="00466380">
        <w:t xml:space="preserve">a single </w:t>
      </w:r>
      <w:r>
        <w:t>continuation restriction.</w:t>
      </w:r>
      <w:r w:rsidR="00C50452">
        <w:t xml:space="preserve">  Additional comments by the PBAC regarding the proposed restriction included deleting the reference to CD30+ as being unnecessary for </w:t>
      </w:r>
      <w:proofErr w:type="spellStart"/>
      <w:r w:rsidR="00C50452">
        <w:t>pembrolizumab</w:t>
      </w:r>
      <w:proofErr w:type="spellEnd"/>
      <w:r w:rsidR="00C50452">
        <w:t xml:space="preserve"> and removing the criterion in relation to multi-agent chemotherapy</w:t>
      </w:r>
      <w:r w:rsidR="00874C59">
        <w:t>.</w:t>
      </w:r>
    </w:p>
    <w:p w:rsidR="00E438B8" w:rsidRDefault="00E10CEF" w:rsidP="00E87E79">
      <w:pPr>
        <w:pStyle w:val="ListParagraph"/>
        <w:numPr>
          <w:ilvl w:val="1"/>
          <w:numId w:val="3"/>
        </w:numPr>
      </w:pPr>
      <w:r>
        <w:t>The PBAC noted</w:t>
      </w:r>
      <w:r w:rsidR="00E438B8">
        <w:t xml:space="preserve"> that </w:t>
      </w:r>
      <w:r w:rsidR="00E438B8" w:rsidRPr="00920F2D">
        <w:t xml:space="preserve">Reed-Sternberg cells in </w:t>
      </w:r>
      <w:proofErr w:type="spellStart"/>
      <w:r w:rsidR="00E438B8">
        <w:t>rrcHL</w:t>
      </w:r>
      <w:proofErr w:type="spellEnd"/>
      <w:r w:rsidR="00E438B8">
        <w:t xml:space="preserve"> </w:t>
      </w:r>
      <w:r w:rsidR="00E438B8" w:rsidRPr="00920F2D">
        <w:t>patients overexpress PD-L1</w:t>
      </w:r>
      <w:r w:rsidR="006E2F89">
        <w:t xml:space="preserve"> according to evidence f</w:t>
      </w:r>
      <w:r w:rsidR="00B32D8B">
        <w:t>r</w:t>
      </w:r>
      <w:r w:rsidR="006E2F89">
        <w:t>o</w:t>
      </w:r>
      <w:r w:rsidR="00B32D8B">
        <w:t>m current literature (see paragraph 2.3)</w:t>
      </w:r>
      <w:r w:rsidR="00E438B8">
        <w:t xml:space="preserve">, </w:t>
      </w:r>
      <w:r>
        <w:t>and</w:t>
      </w:r>
      <w:r w:rsidR="00E438B8">
        <w:t xml:space="preserve"> was satisfied that there </w:t>
      </w:r>
      <w:r w:rsidR="00AA4460">
        <w:t>should be</w:t>
      </w:r>
      <w:r w:rsidR="00E438B8">
        <w:t xml:space="preserve"> no</w:t>
      </w:r>
      <w:r w:rsidR="00E438B8" w:rsidRPr="00920F2D">
        <w:t xml:space="preserve"> requirement for PD-L1 testing</w:t>
      </w:r>
      <w:r w:rsidR="00E438B8">
        <w:t xml:space="preserve"> in </w:t>
      </w:r>
      <w:proofErr w:type="spellStart"/>
      <w:r w:rsidR="00E438B8">
        <w:t>rrcHL</w:t>
      </w:r>
      <w:proofErr w:type="spellEnd"/>
      <w:r w:rsidR="00E438B8">
        <w:t>, as</w:t>
      </w:r>
      <w:r w:rsidR="00E438B8" w:rsidRPr="00920F2D">
        <w:t xml:space="preserve"> almost all </w:t>
      </w:r>
      <w:r w:rsidR="00A00D7D">
        <w:t xml:space="preserve"> tumours are</w:t>
      </w:r>
      <w:r w:rsidR="00E438B8">
        <w:t xml:space="preserve"> </w:t>
      </w:r>
      <w:r w:rsidR="00E438B8" w:rsidRPr="00920F2D">
        <w:t xml:space="preserve">PD-L1 positive.  </w:t>
      </w:r>
    </w:p>
    <w:p w:rsidR="00BC1309" w:rsidRDefault="00823F52" w:rsidP="00E87E79">
      <w:pPr>
        <w:pStyle w:val="ListParagraph"/>
        <w:numPr>
          <w:ilvl w:val="1"/>
          <w:numId w:val="3"/>
        </w:numPr>
      </w:pPr>
      <w:r>
        <w:t>The PB</w:t>
      </w:r>
      <w:r w:rsidR="00DE3F2B">
        <w:t xml:space="preserve">AC considered BV </w:t>
      </w:r>
      <w:r w:rsidR="00410CAD">
        <w:t>to be</w:t>
      </w:r>
      <w:r w:rsidR="00DE3F2B">
        <w:t xml:space="preserve"> an appropriate </w:t>
      </w:r>
      <w:r w:rsidR="00410CAD">
        <w:t xml:space="preserve">primary </w:t>
      </w:r>
      <w:r w:rsidR="00DE3F2B">
        <w:t>comparator</w:t>
      </w:r>
      <w:r w:rsidR="00410CAD">
        <w:t>.</w:t>
      </w:r>
      <w:r w:rsidR="00DE3F2B">
        <w:t xml:space="preserve"> </w:t>
      </w:r>
      <w:r w:rsidR="00410CAD">
        <w:t xml:space="preserve">As confirmed during the sponsor hearing, </w:t>
      </w:r>
      <w:r w:rsidR="00ED3921">
        <w:t xml:space="preserve">the </w:t>
      </w:r>
      <w:r w:rsidR="00410CAD">
        <w:t xml:space="preserve">PBAC </w:t>
      </w:r>
      <w:r w:rsidR="00AA4460">
        <w:t>considered</w:t>
      </w:r>
      <w:r w:rsidR="00410CAD">
        <w:t xml:space="preserve"> </w:t>
      </w:r>
      <w:r w:rsidR="00E87E79" w:rsidRPr="00E87E79">
        <w:t xml:space="preserve">that </w:t>
      </w:r>
      <w:proofErr w:type="spellStart"/>
      <w:r w:rsidR="00410CAD">
        <w:t>pembrolizumab</w:t>
      </w:r>
      <w:proofErr w:type="spellEnd"/>
      <w:r w:rsidR="00E87E79" w:rsidRPr="00E87E79">
        <w:t xml:space="preserve"> would </w:t>
      </w:r>
      <w:r w:rsidR="00ED3921">
        <w:t xml:space="preserve">likely </w:t>
      </w:r>
      <w:r w:rsidR="00E87E79" w:rsidRPr="00E87E79">
        <w:t>displace rather than replace</w:t>
      </w:r>
      <w:r w:rsidR="00410CAD">
        <w:t>, BV</w:t>
      </w:r>
      <w:r w:rsidR="00E87E79" w:rsidRPr="00E87E79">
        <w:t xml:space="preserve">. </w:t>
      </w:r>
      <w:r w:rsidR="00ED3921">
        <w:t>T</w:t>
      </w:r>
      <w:r w:rsidR="00DE3F2B" w:rsidRPr="00DE3F2B">
        <w:t xml:space="preserve">he </w:t>
      </w:r>
      <w:r w:rsidR="00E87E79">
        <w:t>PBAC</w:t>
      </w:r>
      <w:r w:rsidR="00DE3F2B" w:rsidRPr="00DE3F2B">
        <w:t xml:space="preserve"> </w:t>
      </w:r>
      <w:r w:rsidR="00AA4460">
        <w:t xml:space="preserve">also </w:t>
      </w:r>
      <w:r w:rsidR="00DE3F2B" w:rsidRPr="00DE3F2B">
        <w:t xml:space="preserve">considered that there was </w:t>
      </w:r>
      <w:r w:rsidR="00ED3921">
        <w:t xml:space="preserve">currently </w:t>
      </w:r>
      <w:r w:rsidR="00DE3F2B" w:rsidRPr="00DE3F2B">
        <w:t xml:space="preserve">no </w:t>
      </w:r>
      <w:r w:rsidR="00ED3921">
        <w:t xml:space="preserve">comparative </w:t>
      </w:r>
      <w:r w:rsidR="00DE3F2B" w:rsidRPr="00DE3F2B">
        <w:t xml:space="preserve">evidence to dictate the order of </w:t>
      </w:r>
      <w:r w:rsidR="00AA4460">
        <w:t xml:space="preserve">this </w:t>
      </w:r>
      <w:r w:rsidR="00E87E79">
        <w:t xml:space="preserve">sequential </w:t>
      </w:r>
      <w:r w:rsidR="00DE3F2B" w:rsidRPr="00DE3F2B">
        <w:t>treatment</w:t>
      </w:r>
      <w:r w:rsidR="00E87E79">
        <w:t>.</w:t>
      </w:r>
    </w:p>
    <w:p w:rsidR="00CD1AF3" w:rsidRDefault="00BC1309" w:rsidP="00E87E79">
      <w:pPr>
        <w:pStyle w:val="ListParagraph"/>
        <w:numPr>
          <w:ilvl w:val="1"/>
          <w:numId w:val="3"/>
        </w:numPr>
      </w:pPr>
      <w:r w:rsidRPr="00BC1309">
        <w:t xml:space="preserve">The PBAC noted that the </w:t>
      </w:r>
      <w:r w:rsidR="00ED3921">
        <w:t xml:space="preserve">clinical </w:t>
      </w:r>
      <w:r w:rsidRPr="00BC1309">
        <w:t xml:space="preserve">data presented were based on </w:t>
      </w:r>
      <w:r w:rsidR="00525BE5">
        <w:rPr>
          <w:rFonts w:ascii="Calibri" w:eastAsia="Times New Roman" w:hAnsi="Calibri" w:cs="Arial"/>
          <w:bCs/>
          <w:snapToGrid w:val="0"/>
          <w:szCs w:val="24"/>
          <w:lang w:val="en-GB"/>
        </w:rPr>
        <w:t xml:space="preserve">a comparison across </w:t>
      </w:r>
      <w:r w:rsidRPr="00BC1309">
        <w:t xml:space="preserve">single-arm studies with no common reference arm, with the key </w:t>
      </w:r>
      <w:proofErr w:type="spellStart"/>
      <w:r w:rsidRPr="00BC1309">
        <w:t>pembrolizumab</w:t>
      </w:r>
      <w:proofErr w:type="spellEnd"/>
      <w:r w:rsidRPr="00BC1309">
        <w:t xml:space="preserve"> study (KN087) having immature data. The populations included </w:t>
      </w:r>
      <w:r w:rsidR="00525BE5">
        <w:t xml:space="preserve">in these studies </w:t>
      </w:r>
      <w:r w:rsidRPr="00BC1309">
        <w:t xml:space="preserve">were not comparable, as none of the patients in the BV study were ASCT naïve, and the majority of patients in the </w:t>
      </w:r>
      <w:proofErr w:type="spellStart"/>
      <w:r w:rsidRPr="00BC1309">
        <w:t>pembrolizumab</w:t>
      </w:r>
      <w:proofErr w:type="spellEnd"/>
      <w:r w:rsidRPr="00BC1309">
        <w:t xml:space="preserve"> studies were BV experienced. </w:t>
      </w:r>
      <w:r w:rsidR="00FB1E23">
        <w:t>Additionally, t</w:t>
      </w:r>
      <w:r w:rsidR="00FB1E23" w:rsidRPr="00FB1E23">
        <w:t xml:space="preserve">he evidence for BV presented in the current submission (ITT of Study 0003) differed from the BV data considered by the PBAC in </w:t>
      </w:r>
      <w:r w:rsidR="00FB1E23">
        <w:t xml:space="preserve">November </w:t>
      </w:r>
      <w:r w:rsidR="00FB1E23" w:rsidRPr="00FB1E23">
        <w:t xml:space="preserve">2016.  </w:t>
      </w:r>
      <w:r w:rsidR="00FB1E23">
        <w:t>Overall</w:t>
      </w:r>
      <w:r w:rsidRPr="00BC1309">
        <w:t xml:space="preserve">, the PBAC considered that </w:t>
      </w:r>
      <w:r w:rsidR="00AA4460">
        <w:t>any</w:t>
      </w:r>
      <w:r w:rsidRPr="00BC1309">
        <w:t xml:space="preserve"> </w:t>
      </w:r>
      <w:r w:rsidR="00CD1AF3">
        <w:t>i</w:t>
      </w:r>
      <w:r w:rsidR="00CD1AF3" w:rsidRPr="00CD1AF3">
        <w:t xml:space="preserve">ncremental benefit of </w:t>
      </w:r>
      <w:proofErr w:type="spellStart"/>
      <w:r w:rsidR="00CD1AF3" w:rsidRPr="00CD1AF3">
        <w:t>pem</w:t>
      </w:r>
      <w:r w:rsidR="00CD1AF3">
        <w:t>brolizumab</w:t>
      </w:r>
      <w:proofErr w:type="spellEnd"/>
      <w:r w:rsidR="00CD1AF3" w:rsidRPr="00CD1AF3">
        <w:t xml:space="preserve"> </w:t>
      </w:r>
      <w:r w:rsidR="00AA4460">
        <w:t>o</w:t>
      </w:r>
      <w:r w:rsidR="00CD1AF3" w:rsidRPr="00CD1AF3">
        <w:t>v</w:t>
      </w:r>
      <w:r w:rsidR="00CD1AF3">
        <w:t>er</w:t>
      </w:r>
      <w:r w:rsidR="00CD1AF3" w:rsidRPr="00CD1AF3">
        <w:t xml:space="preserve"> BV </w:t>
      </w:r>
      <w:r w:rsidR="00AA4460">
        <w:t xml:space="preserve">was </w:t>
      </w:r>
      <w:r w:rsidR="00CD1AF3" w:rsidRPr="00CD1AF3">
        <w:t xml:space="preserve">not quantifiable </w:t>
      </w:r>
      <w:r w:rsidR="00AA4460">
        <w:t xml:space="preserve">based </w:t>
      </w:r>
      <w:r w:rsidR="00CD1AF3" w:rsidRPr="00CD1AF3">
        <w:t>on the data provided</w:t>
      </w:r>
      <w:r w:rsidR="00CD1AF3">
        <w:t>.</w:t>
      </w:r>
    </w:p>
    <w:p w:rsidR="00E87E79" w:rsidRDefault="00CD1AF3" w:rsidP="00E87E79">
      <w:pPr>
        <w:pStyle w:val="ListParagraph"/>
        <w:numPr>
          <w:ilvl w:val="1"/>
          <w:numId w:val="3"/>
        </w:numPr>
      </w:pPr>
      <w:r>
        <w:t>A</w:t>
      </w:r>
      <w:r w:rsidR="00E87E79">
        <w:t xml:space="preserve">s highlighted in the sponsor hearing, the evidence from the </w:t>
      </w:r>
      <w:proofErr w:type="spellStart"/>
      <w:r w:rsidR="00E87E79">
        <w:t>pembrolizumab</w:t>
      </w:r>
      <w:proofErr w:type="spellEnd"/>
      <w:r w:rsidR="00E87E79">
        <w:t xml:space="preserve"> studies presented in the submission w</w:t>
      </w:r>
      <w:r w:rsidR="005B1622">
        <w:t>as</w:t>
      </w:r>
      <w:r w:rsidR="00E87E79">
        <w:t xml:space="preserve"> consistent with the recent evidence from CheckMate</w:t>
      </w:r>
      <w:r>
        <w:t>-</w:t>
      </w:r>
      <w:r w:rsidR="00E87E79">
        <w:t>205</w:t>
      </w:r>
      <w:r w:rsidR="00E84A5E">
        <w:rPr>
          <w:rStyle w:val="FootnoteReference"/>
        </w:rPr>
        <w:footnoteReference w:id="5"/>
      </w:r>
      <w:r w:rsidR="00E87E79">
        <w:t xml:space="preserve">, a Phase II trial for </w:t>
      </w:r>
      <w:proofErr w:type="spellStart"/>
      <w:r w:rsidR="00E87E79">
        <w:t>nivolumab</w:t>
      </w:r>
      <w:proofErr w:type="spellEnd"/>
      <w:r w:rsidR="00E87E79">
        <w:t xml:space="preserve">, a pharmacological analogue of </w:t>
      </w:r>
      <w:proofErr w:type="spellStart"/>
      <w:r w:rsidR="00E87E79">
        <w:t>pembrolizumab</w:t>
      </w:r>
      <w:proofErr w:type="spellEnd"/>
      <w:r w:rsidR="00E87E79">
        <w:t xml:space="preserve">, for the treatment of </w:t>
      </w:r>
      <w:proofErr w:type="spellStart"/>
      <w:r w:rsidR="00E87E79">
        <w:t>rrcHL</w:t>
      </w:r>
      <w:proofErr w:type="spellEnd"/>
      <w:r w:rsidR="00E87E79">
        <w:t xml:space="preserve"> post</w:t>
      </w:r>
      <w:r w:rsidR="000C4F94">
        <w:t xml:space="preserve"> </w:t>
      </w:r>
      <w:r w:rsidR="00E87E79">
        <w:t xml:space="preserve">ASCT failure. </w:t>
      </w:r>
      <w:r>
        <w:t xml:space="preserve">The data from CheckMate-205 was based on longer median follow-up than KN087 and provided PBAC </w:t>
      </w:r>
      <w:r w:rsidR="00AA4460">
        <w:t xml:space="preserve">with more </w:t>
      </w:r>
      <w:r w:rsidR="00150F51">
        <w:t xml:space="preserve">confidence in the preliminary clinical outcomes for </w:t>
      </w:r>
      <w:proofErr w:type="spellStart"/>
      <w:r w:rsidR="00150F51">
        <w:t>pembrolizumab</w:t>
      </w:r>
      <w:proofErr w:type="spellEnd"/>
      <w:r w:rsidR="00150F51">
        <w:t>.</w:t>
      </w:r>
      <w:r>
        <w:t xml:space="preserve"> </w:t>
      </w:r>
    </w:p>
    <w:p w:rsidR="00973EA5" w:rsidRDefault="00A661D6" w:rsidP="00A661D6">
      <w:pPr>
        <w:pStyle w:val="ListParagraph"/>
        <w:numPr>
          <w:ilvl w:val="1"/>
          <w:numId w:val="3"/>
        </w:numPr>
      </w:pPr>
      <w:r>
        <w:t xml:space="preserve">The PBAC agreed with the ESC </w:t>
      </w:r>
      <w:r w:rsidR="00150F51" w:rsidRPr="00140D15">
        <w:t>regarding</w:t>
      </w:r>
      <w:r w:rsidR="006E2F89">
        <w:t xml:space="preserve"> </w:t>
      </w:r>
      <w:r w:rsidR="00150F51" w:rsidRPr="00140D15">
        <w:t xml:space="preserve">the inadequacy of the </w:t>
      </w:r>
      <w:r w:rsidR="00150F51">
        <w:t xml:space="preserve">comparative </w:t>
      </w:r>
      <w:r w:rsidR="00150F51" w:rsidRPr="00140D15">
        <w:t>evidence to support the submission’s claim of superiority</w:t>
      </w:r>
      <w:r w:rsidR="006E2F89">
        <w:t>.</w:t>
      </w:r>
      <w:r>
        <w:t xml:space="preserve"> </w:t>
      </w:r>
      <w:r w:rsidR="006E2F89">
        <w:t>PBAC also agreed the</w:t>
      </w:r>
      <w:r>
        <w:t xml:space="preserve"> initial price </w:t>
      </w:r>
      <w:r w:rsidR="00AA4460">
        <w:t xml:space="preserve">advantage </w:t>
      </w:r>
      <w:r>
        <w:t xml:space="preserve">requested for </w:t>
      </w:r>
      <w:proofErr w:type="spellStart"/>
      <w:r>
        <w:t>pembrolizumab</w:t>
      </w:r>
      <w:proofErr w:type="spellEnd"/>
      <w:r>
        <w:t xml:space="preserve"> </w:t>
      </w:r>
      <w:r w:rsidR="00AA4460">
        <w:t xml:space="preserve">over BV </w:t>
      </w:r>
      <w:r>
        <w:t xml:space="preserve">in the proposed MES/MAP listing </w:t>
      </w:r>
      <w:r w:rsidR="006E2F89">
        <w:t>was</w:t>
      </w:r>
      <w:r>
        <w:t xml:space="preserve"> unjustified</w:t>
      </w:r>
      <w:r w:rsidR="006C2705">
        <w:t xml:space="preserve"> based on the economic evaluation provided</w:t>
      </w:r>
      <w:r>
        <w:t xml:space="preserve"> and the </w:t>
      </w:r>
      <w:r w:rsidRPr="00A661D6">
        <w:t xml:space="preserve">rapidly evolving clinical algorithm of immunotherapies in haematological malignancies </w:t>
      </w:r>
      <w:r w:rsidR="006E2F89">
        <w:t>made</w:t>
      </w:r>
      <w:r w:rsidRPr="00A661D6">
        <w:t xml:space="preserve"> it difficult to predict the clinical landscape of </w:t>
      </w:r>
      <w:proofErr w:type="spellStart"/>
      <w:r w:rsidR="00AA4460">
        <w:t>c</w:t>
      </w:r>
      <w:r w:rsidRPr="00A661D6">
        <w:t>HL</w:t>
      </w:r>
      <w:proofErr w:type="spellEnd"/>
      <w:r w:rsidRPr="00A661D6">
        <w:t xml:space="preserve"> by 2020</w:t>
      </w:r>
      <w:r>
        <w:t xml:space="preserve"> when the KN204 data would become available.</w:t>
      </w:r>
      <w:r w:rsidR="00150F51" w:rsidRPr="00140D15">
        <w:t xml:space="preserve"> </w:t>
      </w:r>
    </w:p>
    <w:p w:rsidR="00150F51" w:rsidRPr="00140D15" w:rsidRDefault="00A661D6" w:rsidP="00A661D6">
      <w:pPr>
        <w:pStyle w:val="ListParagraph"/>
        <w:numPr>
          <w:ilvl w:val="1"/>
          <w:numId w:val="3"/>
        </w:numPr>
      </w:pPr>
      <w:r>
        <w:t xml:space="preserve">Due to </w:t>
      </w:r>
      <w:r w:rsidRPr="00140D15">
        <w:t>the concerns raised by ESC</w:t>
      </w:r>
      <w:r w:rsidR="006C2705">
        <w:t>,</w:t>
      </w:r>
      <w:r w:rsidRPr="00140D15">
        <w:t xml:space="preserve"> </w:t>
      </w:r>
      <w:r w:rsidR="00150F51" w:rsidRPr="00140D15">
        <w:t xml:space="preserve">the pre-PBAC response (p.1) amended the </w:t>
      </w:r>
      <w:r w:rsidR="00AA4460">
        <w:t xml:space="preserve">sponsor’s </w:t>
      </w:r>
      <w:r w:rsidR="00150F51" w:rsidRPr="00140D15">
        <w:t>clinical claim to one of non-inferiority against BV.</w:t>
      </w:r>
      <w:r w:rsidR="00150F51">
        <w:t xml:space="preserve"> The PBAC considered, in the absence of further comparative evidence, </w:t>
      </w:r>
      <w:r w:rsidR="00AA4460">
        <w:t xml:space="preserve">that </w:t>
      </w:r>
      <w:r w:rsidR="00150F51">
        <w:t xml:space="preserve">a cost-minimisation </w:t>
      </w:r>
      <w:r w:rsidR="00AA4460">
        <w:t xml:space="preserve">against </w:t>
      </w:r>
      <w:r w:rsidR="00150F51">
        <w:t xml:space="preserve">BV would be </w:t>
      </w:r>
      <w:r w:rsidR="00AA4460">
        <w:t>an</w:t>
      </w:r>
      <w:r w:rsidR="00150F51">
        <w:t xml:space="preserve"> appropriate way forward</w:t>
      </w:r>
      <w:r w:rsidR="008B4BFE">
        <w:t>.</w:t>
      </w:r>
      <w:r w:rsidR="00150F51">
        <w:t xml:space="preserve"> </w:t>
      </w:r>
      <w:r w:rsidR="00AA4460">
        <w:t>However, e</w:t>
      </w:r>
      <w:r w:rsidR="008B4BFE">
        <w:t xml:space="preserve">stablishing the basis for </w:t>
      </w:r>
      <w:r w:rsidR="00AA4460">
        <w:t xml:space="preserve">determining </w:t>
      </w:r>
      <w:r w:rsidR="008B4BFE">
        <w:t xml:space="preserve">the cost-neutrality </w:t>
      </w:r>
      <w:r w:rsidR="00AA4460">
        <w:t xml:space="preserve">per patient </w:t>
      </w:r>
      <w:r w:rsidR="008B4BFE">
        <w:t xml:space="preserve">of </w:t>
      </w:r>
      <w:proofErr w:type="spellStart"/>
      <w:r w:rsidR="008B4BFE">
        <w:t>pembrolizumab</w:t>
      </w:r>
      <w:proofErr w:type="spellEnd"/>
      <w:r w:rsidR="008B4BFE">
        <w:t xml:space="preserve"> </w:t>
      </w:r>
      <w:r w:rsidR="00AA4460">
        <w:t>against BV required further consideration</w:t>
      </w:r>
      <w:r w:rsidR="008B4BFE">
        <w:t xml:space="preserve"> given </w:t>
      </w:r>
      <w:r w:rsidR="006C2705">
        <w:t>u</w:t>
      </w:r>
      <w:r w:rsidR="008B4BFE">
        <w:t>ncertain</w:t>
      </w:r>
      <w:r w:rsidR="006C2705">
        <w:t>ties with the</w:t>
      </w:r>
      <w:r w:rsidR="008B4BFE">
        <w:t xml:space="preserve"> duration of </w:t>
      </w:r>
      <w:r w:rsidR="00AA4460">
        <w:t xml:space="preserve">use of these </w:t>
      </w:r>
      <w:r w:rsidR="008B4BFE">
        <w:t>therapies. A formal proposal from the sponsor and further negotiation with the Department would be required to establish the</w:t>
      </w:r>
      <w:r w:rsidR="00525BE5">
        <w:t>se</w:t>
      </w:r>
      <w:r w:rsidR="008B4BFE">
        <w:t xml:space="preserve"> </w:t>
      </w:r>
      <w:proofErr w:type="spellStart"/>
      <w:r w:rsidR="008B4BFE">
        <w:t>equi</w:t>
      </w:r>
      <w:proofErr w:type="spellEnd"/>
      <w:r w:rsidR="008B4BFE">
        <w:t>-effective dose calculations</w:t>
      </w:r>
      <w:r w:rsidR="00973EA5">
        <w:t xml:space="preserve"> (see paragraph 6.41 for more detail)</w:t>
      </w:r>
      <w:r w:rsidR="00850ACE">
        <w:t>.</w:t>
      </w:r>
    </w:p>
    <w:p w:rsidR="00D674A2" w:rsidRDefault="00D674A2" w:rsidP="00D674A2">
      <w:pPr>
        <w:widowControl w:val="0"/>
        <w:numPr>
          <w:ilvl w:val="1"/>
          <w:numId w:val="3"/>
        </w:numPr>
        <w:spacing w:before="0" w:after="120"/>
      </w:pPr>
      <w:r>
        <w:t>The PBAC noted that the financial estimates proposed in the Pre-PBAC response</w:t>
      </w:r>
      <w:r w:rsidR="00C430FB">
        <w:t xml:space="preserve"> (p.2)</w:t>
      </w:r>
      <w:r w:rsidR="00525BE5">
        <w:t>,</w:t>
      </w:r>
      <w:r w:rsidR="00C430FB">
        <w:t xml:space="preserve"> but considered the overall financial impact remained uncertain without establishing the cost-minimisation of </w:t>
      </w:r>
      <w:proofErr w:type="spellStart"/>
      <w:r w:rsidR="00C430FB">
        <w:t>pembrolizumab</w:t>
      </w:r>
      <w:proofErr w:type="spellEnd"/>
      <w:r w:rsidR="00C430FB">
        <w:t xml:space="preserve"> to BV</w:t>
      </w:r>
      <w:r w:rsidR="00525BE5">
        <w:t xml:space="preserve"> and the extent of BV displacement</w:t>
      </w:r>
      <w:r>
        <w:t>.</w:t>
      </w:r>
      <w:r w:rsidRPr="00103364">
        <w:t xml:space="preserve"> </w:t>
      </w:r>
    </w:p>
    <w:p w:rsidR="00C73F13" w:rsidRPr="00E91D61" w:rsidRDefault="00D674A2" w:rsidP="00D674A2">
      <w:pPr>
        <w:pStyle w:val="ListParagraph"/>
        <w:numPr>
          <w:ilvl w:val="1"/>
          <w:numId w:val="3"/>
        </w:numPr>
      </w:pPr>
      <w:r>
        <w:t xml:space="preserve">The PBAC </w:t>
      </w:r>
      <w:r w:rsidR="00525BE5">
        <w:t>considered that</w:t>
      </w:r>
      <w:r>
        <w:t xml:space="preserve"> </w:t>
      </w:r>
      <w:r w:rsidR="0070412B">
        <w:t xml:space="preserve">a </w:t>
      </w:r>
      <w:r>
        <w:t xml:space="preserve">PBS listing of </w:t>
      </w:r>
      <w:proofErr w:type="spellStart"/>
      <w:r>
        <w:t>pembrolizumab</w:t>
      </w:r>
      <w:proofErr w:type="spellEnd"/>
      <w:r>
        <w:t xml:space="preserve"> would result in</w:t>
      </w:r>
      <w:r w:rsidR="00973EA5" w:rsidRPr="00D674A2">
        <w:t xml:space="preserve"> sequential therapy</w:t>
      </w:r>
      <w:r w:rsidR="00525BE5">
        <w:t xml:space="preserve"> involving BV,</w:t>
      </w:r>
      <w:r w:rsidR="00973EA5" w:rsidRPr="00D674A2">
        <w:t xml:space="preserve"> but note</w:t>
      </w:r>
      <w:r>
        <w:t>d</w:t>
      </w:r>
      <w:r w:rsidR="00973EA5" w:rsidRPr="00D674A2">
        <w:t xml:space="preserve"> there </w:t>
      </w:r>
      <w:r w:rsidR="00525BE5">
        <w:t>wa</w:t>
      </w:r>
      <w:r w:rsidR="00973EA5" w:rsidRPr="00D674A2">
        <w:t xml:space="preserve">s no economic evaluation </w:t>
      </w:r>
      <w:r w:rsidR="00525BE5">
        <w:t xml:space="preserve">presented </w:t>
      </w:r>
      <w:r w:rsidR="00973EA5" w:rsidRPr="00D674A2">
        <w:t xml:space="preserve">for </w:t>
      </w:r>
      <w:r w:rsidR="00525BE5">
        <w:t xml:space="preserve">this </w:t>
      </w:r>
      <w:r w:rsidR="00973EA5" w:rsidRPr="00D674A2">
        <w:t xml:space="preserve">sequential </w:t>
      </w:r>
      <w:r w:rsidR="00973EA5" w:rsidRPr="0068015A">
        <w:t>therapy</w:t>
      </w:r>
      <w:r w:rsidR="00525BE5" w:rsidRPr="0068015A">
        <w:t xml:space="preserve">. </w:t>
      </w:r>
      <w:r w:rsidR="00E91D61" w:rsidRPr="0068015A">
        <w:t xml:space="preserve">Thus in order to maintain cost-effectiveness of PBS-listed drugs when either BV or </w:t>
      </w:r>
      <w:proofErr w:type="spellStart"/>
      <w:r w:rsidR="00E91D61" w:rsidRPr="0068015A">
        <w:t>pembrolizumab</w:t>
      </w:r>
      <w:proofErr w:type="spellEnd"/>
      <w:r w:rsidR="00E91D61" w:rsidRPr="0068015A">
        <w:t xml:space="preserve"> are used in HL, the PBAC advised that </w:t>
      </w:r>
      <w:proofErr w:type="spellStart"/>
      <w:r w:rsidR="00E91D61" w:rsidRPr="0068015A">
        <w:t>pembrolizumab</w:t>
      </w:r>
      <w:proofErr w:type="spellEnd"/>
      <w:r w:rsidR="00E91D61" w:rsidRPr="0068015A">
        <w:t xml:space="preserve"> join the BV RSA, with </w:t>
      </w:r>
      <w:r w:rsidR="00C866E4" w:rsidRPr="008F7898">
        <w:t xml:space="preserve">an appropriate increase to </w:t>
      </w:r>
      <w:r w:rsidR="00E91D61" w:rsidRPr="008F7898">
        <w:t>the cap</w:t>
      </w:r>
      <w:r w:rsidR="00E91D61" w:rsidRPr="0068015A">
        <w:t xml:space="preserve"> to recognise the </w:t>
      </w:r>
      <w:r w:rsidR="00E411FF">
        <w:t xml:space="preserve">submission’s estimated </w:t>
      </w:r>
      <w:r w:rsidR="00E91D61" w:rsidRPr="0068015A">
        <w:t xml:space="preserve">additional </w:t>
      </w:r>
      <w:r w:rsidR="00E411FF">
        <w:t xml:space="preserve">utilisation </w:t>
      </w:r>
      <w:r w:rsidR="00E91D61" w:rsidRPr="0068015A">
        <w:t xml:space="preserve">of </w:t>
      </w:r>
      <w:proofErr w:type="spellStart"/>
      <w:r w:rsidR="00E411FF">
        <w:t>pembrolizumab</w:t>
      </w:r>
      <w:proofErr w:type="spellEnd"/>
      <w:r w:rsidR="00E411FF">
        <w:t xml:space="preserve"> beyond the cost-minimisation against BV</w:t>
      </w:r>
      <w:r w:rsidR="00E91D61" w:rsidRPr="0068015A">
        <w:t xml:space="preserve">, and with a preference for </w:t>
      </w:r>
      <w:r w:rsidR="00222960">
        <w:rPr>
          <w:noProof/>
          <w:color w:val="000000"/>
          <w:highlight w:val="black"/>
        </w:rPr>
        <w:t xml:space="preserve">'' '''''' ''''''''''''' </w:t>
      </w:r>
      <w:r w:rsidR="00E91D61" w:rsidRPr="008F7898">
        <w:t>of expenditure above the cap</w:t>
      </w:r>
      <w:r w:rsidR="00E91D61" w:rsidRPr="0068015A">
        <w:t>.</w:t>
      </w:r>
    </w:p>
    <w:p w:rsidR="00E438B8" w:rsidRDefault="00E438B8" w:rsidP="00E438B8">
      <w:pPr>
        <w:pStyle w:val="ListParagraph"/>
        <w:numPr>
          <w:ilvl w:val="1"/>
          <w:numId w:val="3"/>
        </w:numPr>
      </w:pPr>
      <w:r>
        <w:t xml:space="preserve">The PBAC noted ESC’s concerns regarding the </w:t>
      </w:r>
      <w:r w:rsidRPr="00E438B8">
        <w:t>development of graft versus host disease in patients recei</w:t>
      </w:r>
      <w:r>
        <w:t xml:space="preserve">ving </w:t>
      </w:r>
      <w:r w:rsidR="00757F3B">
        <w:t>PD-L1 inhibitors post</w:t>
      </w:r>
      <w:r w:rsidR="000C4F94">
        <w:t xml:space="preserve"> </w:t>
      </w:r>
      <w:r w:rsidR="00757F3B">
        <w:t>ASCT</w:t>
      </w:r>
      <w:r>
        <w:t xml:space="preserve">, and the </w:t>
      </w:r>
      <w:r w:rsidR="00DC3FFB">
        <w:t>Pre-PBAC</w:t>
      </w:r>
      <w:r>
        <w:t xml:space="preserve"> </w:t>
      </w:r>
      <w:r w:rsidR="00B32D8B">
        <w:t>response</w:t>
      </w:r>
      <w:r w:rsidR="00DC3FFB">
        <w:t xml:space="preserve"> (p.1)</w:t>
      </w:r>
      <w:r w:rsidR="00B32D8B">
        <w:t xml:space="preserve"> </w:t>
      </w:r>
      <w:r w:rsidRPr="00E438B8">
        <w:t>indicat</w:t>
      </w:r>
      <w:r>
        <w:t>ing</w:t>
      </w:r>
      <w:r w:rsidRPr="00E438B8">
        <w:t xml:space="preserve"> that the Product Information of </w:t>
      </w:r>
      <w:proofErr w:type="spellStart"/>
      <w:r w:rsidRPr="00E438B8">
        <w:t>pembrolizumab</w:t>
      </w:r>
      <w:proofErr w:type="spellEnd"/>
      <w:r w:rsidRPr="00E438B8">
        <w:t xml:space="preserve"> will include a statement noting that close monitoring for early evidence of transplant-related complications is recommended.</w:t>
      </w:r>
      <w:r w:rsidR="00B32D8B">
        <w:t xml:space="preserve"> As such, the PBAC </w:t>
      </w:r>
      <w:r>
        <w:t xml:space="preserve">considered that </w:t>
      </w:r>
      <w:r w:rsidR="00757F3B">
        <w:t>the treatment decision for patients following ASCT</w:t>
      </w:r>
      <w:r>
        <w:t xml:space="preserve"> could be left at the prescriber’s discretion</w:t>
      </w:r>
      <w:r w:rsidR="00757F3B">
        <w:t xml:space="preserve"> without instruction from the PBS restriction</w:t>
      </w:r>
      <w:r>
        <w:t xml:space="preserve">, unless advised </w:t>
      </w:r>
      <w:r w:rsidR="00B32D8B">
        <w:t xml:space="preserve">otherwise </w:t>
      </w:r>
      <w:r>
        <w:t>by the TGA in the future.</w:t>
      </w:r>
      <w:r w:rsidRPr="00E438B8">
        <w:t xml:space="preserve"> </w:t>
      </w:r>
    </w:p>
    <w:p w:rsidR="00757F3B" w:rsidRPr="00525BE5" w:rsidRDefault="00757F3B" w:rsidP="00806103">
      <w:pPr>
        <w:pStyle w:val="ListParagraph"/>
        <w:numPr>
          <w:ilvl w:val="1"/>
          <w:numId w:val="3"/>
        </w:numPr>
        <w:spacing w:before="0" w:after="120"/>
      </w:pPr>
      <w:r>
        <w:t xml:space="preserve">The PBAC agreed with the issues raised by ESC regarding the economic model presented in the submission; however, the Committee considered that since the submission’s clinical claim was </w:t>
      </w:r>
      <w:r w:rsidR="00525BE5">
        <w:t xml:space="preserve">subsequently </w:t>
      </w:r>
      <w:r>
        <w:t xml:space="preserve">changed to that of non-inferiority against BV, the economic model and </w:t>
      </w:r>
      <w:r w:rsidRPr="00920F2D">
        <w:t>MES/MAP</w:t>
      </w:r>
      <w:r w:rsidRPr="004A41BA">
        <w:t xml:space="preserve"> </w:t>
      </w:r>
      <w:r>
        <w:t>arrangement proposed in the submission w</w:t>
      </w:r>
      <w:r w:rsidR="00D674A2">
        <w:t>ere</w:t>
      </w:r>
      <w:r>
        <w:t xml:space="preserve"> no longer relevant.</w:t>
      </w:r>
    </w:p>
    <w:p w:rsidR="00B85B3B" w:rsidRPr="005D5217" w:rsidRDefault="00B85B3B" w:rsidP="00B85B3B">
      <w:pPr>
        <w:spacing w:before="240" w:after="120"/>
        <w:rPr>
          <w:rFonts w:ascii="Calibri" w:eastAsia="Times New Roman" w:hAnsi="Calibri" w:cs="Arial"/>
          <w:b/>
          <w:bCs/>
          <w:snapToGrid w:val="0"/>
          <w:szCs w:val="24"/>
          <w:lang w:val="en-GB"/>
        </w:rPr>
      </w:pPr>
      <w:r w:rsidRPr="005D5217">
        <w:rPr>
          <w:rFonts w:ascii="Calibri" w:eastAsia="Times New Roman" w:hAnsi="Calibri" w:cs="Arial"/>
          <w:b/>
          <w:bCs/>
          <w:snapToGrid w:val="0"/>
          <w:szCs w:val="24"/>
          <w:lang w:val="en-GB"/>
        </w:rPr>
        <w:t>Outcome:</w:t>
      </w:r>
    </w:p>
    <w:p w:rsidR="00C94979" w:rsidRDefault="00B85B3B" w:rsidP="00553E7A">
      <w:pPr>
        <w:spacing w:before="0" w:after="120"/>
        <w:rPr>
          <w:rFonts w:ascii="Calibri" w:eastAsia="Times New Roman" w:hAnsi="Calibri" w:cs="Arial"/>
          <w:bCs/>
          <w:snapToGrid w:val="0"/>
          <w:szCs w:val="24"/>
          <w:lang w:val="en-GB"/>
        </w:rPr>
      </w:pPr>
      <w:r w:rsidRPr="005D5217">
        <w:rPr>
          <w:rFonts w:ascii="Calibri" w:eastAsia="Times New Roman" w:hAnsi="Calibri" w:cs="Arial"/>
          <w:bCs/>
          <w:snapToGrid w:val="0"/>
          <w:szCs w:val="24"/>
          <w:lang w:val="en-GB"/>
        </w:rPr>
        <w:t xml:space="preserve">Deferred </w:t>
      </w:r>
    </w:p>
    <w:p w:rsidR="002A159D" w:rsidRDefault="002A159D" w:rsidP="00553E7A">
      <w:pPr>
        <w:spacing w:before="0" w:after="120"/>
        <w:rPr>
          <w:rFonts w:ascii="Calibri" w:eastAsia="Times New Roman" w:hAnsi="Calibri" w:cs="Arial"/>
          <w:bCs/>
          <w:snapToGrid w:val="0"/>
          <w:szCs w:val="24"/>
          <w:lang w:val="en-GB"/>
        </w:rPr>
      </w:pPr>
    </w:p>
    <w:p w:rsidR="002A159D" w:rsidRDefault="002A159D" w:rsidP="00553E7A">
      <w:pPr>
        <w:spacing w:before="0" w:after="120"/>
        <w:rPr>
          <w:rFonts w:ascii="Calibri" w:eastAsia="Times New Roman" w:hAnsi="Calibri" w:cs="Arial"/>
          <w:bCs/>
          <w:snapToGrid w:val="0"/>
          <w:szCs w:val="24"/>
          <w:lang w:val="en-GB"/>
        </w:rPr>
      </w:pPr>
    </w:p>
    <w:p w:rsidR="007F2C1C" w:rsidRDefault="007F2C1C" w:rsidP="00553E7A">
      <w:pPr>
        <w:spacing w:before="0" w:after="120"/>
        <w:rPr>
          <w:rFonts w:ascii="Calibri" w:eastAsia="Times New Roman" w:hAnsi="Calibri" w:cs="Arial"/>
          <w:bCs/>
          <w:snapToGrid w:val="0"/>
          <w:szCs w:val="24"/>
          <w:lang w:val="en-GB"/>
        </w:rPr>
      </w:pPr>
    </w:p>
    <w:p w:rsidR="001D2138" w:rsidRDefault="001D2138">
      <w:pPr>
        <w:spacing w:before="0" w:line="259" w:lineRule="auto"/>
        <w:jc w:val="left"/>
        <w:rPr>
          <w:rFonts w:ascii="Calibri" w:eastAsia="Times New Roman" w:hAnsi="Calibri" w:cs="Arial"/>
          <w:b/>
          <w:bCs/>
          <w:snapToGrid w:val="0"/>
          <w:sz w:val="32"/>
          <w:szCs w:val="32"/>
          <w:lang w:val="en-GB"/>
        </w:rPr>
      </w:pPr>
      <w:r>
        <w:rPr>
          <w:rFonts w:ascii="Calibri" w:eastAsia="Times New Roman" w:hAnsi="Calibri" w:cs="Arial"/>
          <w:b/>
          <w:bCs/>
          <w:snapToGrid w:val="0"/>
          <w:sz w:val="32"/>
          <w:szCs w:val="32"/>
          <w:lang w:val="en-GB"/>
        </w:rPr>
        <w:br w:type="page"/>
      </w:r>
    </w:p>
    <w:p w:rsidR="007F2C1C" w:rsidRDefault="007F2C1C" w:rsidP="00CF3274">
      <w:pPr>
        <w:spacing w:before="0" w:after="120"/>
        <w:outlineLvl w:val="0"/>
        <w:rPr>
          <w:rFonts w:ascii="Calibri" w:eastAsia="Times New Roman" w:hAnsi="Calibri" w:cs="Arial"/>
          <w:b/>
          <w:bCs/>
          <w:snapToGrid w:val="0"/>
          <w:sz w:val="32"/>
          <w:szCs w:val="32"/>
          <w:lang w:val="en-GB"/>
        </w:rPr>
      </w:pPr>
      <w:r>
        <w:rPr>
          <w:rFonts w:ascii="Calibri" w:eastAsia="Times New Roman" w:hAnsi="Calibri" w:cs="Arial"/>
          <w:b/>
          <w:bCs/>
          <w:snapToGrid w:val="0"/>
          <w:sz w:val="32"/>
          <w:szCs w:val="32"/>
          <w:lang w:val="en-GB"/>
        </w:rPr>
        <w:t>ADDENDUM</w:t>
      </w:r>
    </w:p>
    <w:p w:rsidR="007F2C1C" w:rsidRPr="007F2C1C" w:rsidRDefault="007F2C1C" w:rsidP="007F2C1C">
      <w:pPr>
        <w:rPr>
          <w:b/>
          <w:u w:val="single"/>
        </w:rPr>
      </w:pPr>
      <w:r w:rsidRPr="001054C9">
        <w:rPr>
          <w:b/>
          <w:u w:val="single"/>
        </w:rPr>
        <w:t>CHANGES TO PRESENT (OR RECOMMENDED) PBS AVAILABILITY</w:t>
      </w:r>
    </w:p>
    <w:p w:rsidR="007F2C1C" w:rsidRPr="00811056" w:rsidRDefault="007F2C1C" w:rsidP="007F2C1C">
      <w:r w:rsidRPr="001054C9">
        <w:t xml:space="preserve">When the PBAC makes a recommendation under section 101(3) of the </w:t>
      </w:r>
      <w:r w:rsidRPr="001054C9">
        <w:rPr>
          <w:i/>
        </w:rPr>
        <w:t>National Health Act 1953</w:t>
      </w:r>
      <w:r w:rsidRPr="001054C9">
        <w:t xml:space="preserve"> (“the Act”) in relation to a drug/medicinal preparation which it considers should be made available as a pharmaceutical benefit under Part VII of the Act, it is also required to consider whether the drug/medicinal preparation should be made available only in certain circumstances (see section 101(3C) of the Act).  Where the PBAC considers that the drug/medicinal preparation should be made available only in certain circumstances, it specifies the circumstances in its recommendation under section 101(3).</w:t>
      </w:r>
    </w:p>
    <w:p w:rsidR="007F2C1C" w:rsidRPr="00811056" w:rsidRDefault="007F2C1C" w:rsidP="007F2C1C">
      <w:r w:rsidRPr="001054C9">
        <w:t>At its meeting held on</w:t>
      </w:r>
      <w:r w:rsidRPr="001054C9">
        <w:rPr>
          <w:b/>
        </w:rPr>
        <w:t xml:space="preserve"> 1</w:t>
      </w:r>
      <w:r>
        <w:rPr>
          <w:b/>
        </w:rPr>
        <w:t>8</w:t>
      </w:r>
      <w:r w:rsidRPr="001054C9">
        <w:rPr>
          <w:b/>
        </w:rPr>
        <w:t xml:space="preserve"> </w:t>
      </w:r>
      <w:r>
        <w:rPr>
          <w:b/>
        </w:rPr>
        <w:t>August</w:t>
      </w:r>
      <w:r w:rsidRPr="001054C9">
        <w:rPr>
          <w:b/>
        </w:rPr>
        <w:t xml:space="preserve"> 201</w:t>
      </w:r>
      <w:r>
        <w:rPr>
          <w:b/>
        </w:rPr>
        <w:t>7</w:t>
      </w:r>
      <w:r w:rsidRPr="001054C9">
        <w:t>, the PBAC</w:t>
      </w:r>
      <w:r>
        <w:t>,</w:t>
      </w:r>
      <w:r w:rsidRPr="001054C9">
        <w:t xml:space="preserve"> in making its recommendation under section 101(3) of the Act, decided to recommend a change to the circumstances under which </w:t>
      </w:r>
      <w:proofErr w:type="spellStart"/>
      <w:r>
        <w:t>pembrolizumab</w:t>
      </w:r>
      <w:proofErr w:type="spellEnd"/>
      <w:r w:rsidRPr="001054C9">
        <w:t xml:space="preserve"> is made available as a pharmaceutical benefit under Part VII of the Act.</w:t>
      </w:r>
    </w:p>
    <w:p w:rsidR="007F2C1C" w:rsidRPr="007F2C1C" w:rsidRDefault="007F2C1C" w:rsidP="007F2C1C">
      <w:r w:rsidRPr="001054C9">
        <w:t>A note of the PBAC’s decision follows.</w:t>
      </w:r>
    </w:p>
    <w:p w:rsidR="00CF3274" w:rsidRPr="00CF3274" w:rsidRDefault="007F2C1C" w:rsidP="001D2138">
      <w:pPr>
        <w:pStyle w:val="Title"/>
        <w:ind w:left="720" w:hanging="11"/>
        <w:jc w:val="left"/>
      </w:pPr>
      <w:r w:rsidRPr="007F2C1C">
        <w:rPr>
          <w:rFonts w:asciiTheme="minorHAnsi" w:eastAsiaTheme="minorHAnsi" w:hAnsiTheme="minorHAnsi" w:cstheme="minorBidi"/>
          <w:bCs w:val="0"/>
          <w:snapToGrid/>
          <w:kern w:val="0"/>
          <w:sz w:val="36"/>
          <w:szCs w:val="36"/>
        </w:rPr>
        <w:t>PEMBROLIZUMAB</w:t>
      </w:r>
      <w:proofErr w:type="gramStart"/>
      <w:r w:rsidRPr="007F2C1C">
        <w:rPr>
          <w:rFonts w:asciiTheme="minorHAnsi" w:eastAsiaTheme="minorHAnsi" w:hAnsiTheme="minorHAnsi" w:cstheme="minorBidi"/>
          <w:bCs w:val="0"/>
          <w:snapToGrid/>
          <w:kern w:val="0"/>
          <w:sz w:val="36"/>
          <w:szCs w:val="36"/>
        </w:rPr>
        <w:t>,</w:t>
      </w:r>
      <w:proofErr w:type="gramEnd"/>
      <w:r w:rsidR="00CF3274">
        <w:rPr>
          <w:rFonts w:asciiTheme="minorHAnsi" w:eastAsiaTheme="minorHAnsi" w:hAnsiTheme="minorHAnsi" w:cstheme="minorBidi"/>
          <w:bCs w:val="0"/>
          <w:snapToGrid/>
          <w:kern w:val="0"/>
          <w:sz w:val="36"/>
          <w:szCs w:val="36"/>
        </w:rPr>
        <w:br/>
      </w:r>
      <w:r w:rsidRPr="007F2C1C">
        <w:rPr>
          <w:rFonts w:asciiTheme="minorHAnsi" w:eastAsiaTheme="minorHAnsi" w:hAnsiTheme="minorHAnsi" w:cstheme="minorBidi"/>
          <w:bCs w:val="0"/>
          <w:snapToGrid/>
          <w:kern w:val="0"/>
          <w:sz w:val="36"/>
          <w:szCs w:val="36"/>
        </w:rPr>
        <w:t>Powder for I.V. in</w:t>
      </w:r>
      <w:r w:rsidR="00CF3274">
        <w:rPr>
          <w:rFonts w:asciiTheme="minorHAnsi" w:eastAsiaTheme="minorHAnsi" w:hAnsiTheme="minorHAnsi" w:cstheme="minorBidi"/>
          <w:bCs w:val="0"/>
          <w:snapToGrid/>
          <w:kern w:val="0"/>
          <w:sz w:val="36"/>
          <w:szCs w:val="36"/>
        </w:rPr>
        <w:t xml:space="preserve">fusion, 50 mg and 100 mg vials, </w:t>
      </w:r>
      <w:r w:rsidR="00CF3274">
        <w:rPr>
          <w:rFonts w:asciiTheme="minorHAnsi" w:eastAsiaTheme="minorHAnsi" w:hAnsiTheme="minorHAnsi" w:cstheme="minorBidi"/>
          <w:bCs w:val="0"/>
          <w:snapToGrid/>
          <w:kern w:val="0"/>
          <w:sz w:val="36"/>
          <w:szCs w:val="36"/>
        </w:rPr>
        <w:br/>
      </w:r>
      <w:proofErr w:type="spellStart"/>
      <w:r w:rsidRPr="007F2C1C">
        <w:rPr>
          <w:rFonts w:asciiTheme="minorHAnsi" w:eastAsiaTheme="minorHAnsi" w:hAnsiTheme="minorHAnsi" w:cstheme="minorBidi"/>
          <w:bCs w:val="0"/>
          <w:snapToGrid/>
          <w:kern w:val="0"/>
          <w:sz w:val="36"/>
          <w:szCs w:val="36"/>
        </w:rPr>
        <w:t>Keytruda</w:t>
      </w:r>
      <w:proofErr w:type="spellEnd"/>
      <w:r w:rsidRPr="007F2C1C">
        <w:rPr>
          <w:rFonts w:asciiTheme="minorHAnsi" w:eastAsiaTheme="minorHAnsi" w:hAnsiTheme="minorHAnsi" w:cstheme="minorBidi"/>
          <w:bCs w:val="0"/>
          <w:snapToGrid/>
          <w:kern w:val="0"/>
          <w:sz w:val="36"/>
          <w:szCs w:val="36"/>
        </w:rPr>
        <w:t>®, Merck, Sharp &amp; Dohme (Australia) Pty Limited</w:t>
      </w:r>
    </w:p>
    <w:p w:rsidR="007F2C1C" w:rsidRPr="007F2C1C" w:rsidRDefault="007F2C1C" w:rsidP="008F7898">
      <w:pPr>
        <w:pStyle w:val="Heading1"/>
        <w:ind w:left="709" w:hanging="709"/>
      </w:pPr>
      <w:r w:rsidRPr="007F2C1C">
        <w:t>Purpose of application</w:t>
      </w:r>
    </w:p>
    <w:p w:rsidR="001E72B6" w:rsidRPr="001E72B6" w:rsidRDefault="001E72B6" w:rsidP="001E72B6">
      <w:pPr>
        <w:pStyle w:val="ListParagraph"/>
        <w:numPr>
          <w:ilvl w:val="0"/>
          <w:numId w:val="3"/>
        </w:numPr>
        <w:spacing w:before="200" w:after="120"/>
        <w:jc w:val="left"/>
        <w:rPr>
          <w:rFonts w:ascii="Arial" w:eastAsia="Times New Roman" w:hAnsi="Arial" w:cs="Arial"/>
          <w:b/>
          <w:snapToGrid w:val="0"/>
          <w:vanish/>
          <w:sz w:val="22"/>
        </w:rPr>
      </w:pPr>
    </w:p>
    <w:p w:rsidR="007F2C1C" w:rsidRPr="007F2C1C" w:rsidRDefault="007F2C1C" w:rsidP="001E72B6">
      <w:pPr>
        <w:pStyle w:val="ListParagraph"/>
        <w:numPr>
          <w:ilvl w:val="1"/>
          <w:numId w:val="3"/>
        </w:numPr>
      </w:pPr>
      <w:r w:rsidRPr="001910A2">
        <w:t xml:space="preserve">To inform the PBAC of a revised proposal from the sponsor on the basis of </w:t>
      </w:r>
      <w:r>
        <w:t xml:space="preserve">the </w:t>
      </w:r>
      <w:r w:rsidRPr="001910A2">
        <w:t xml:space="preserve">cost-minimisation of </w:t>
      </w:r>
      <w:proofErr w:type="spellStart"/>
      <w:r w:rsidRPr="001910A2">
        <w:t>pembrolizumab</w:t>
      </w:r>
      <w:proofErr w:type="spellEnd"/>
      <w:r w:rsidRPr="001910A2">
        <w:t xml:space="preserve"> to </w:t>
      </w:r>
      <w:proofErr w:type="spellStart"/>
      <w:r w:rsidRPr="001910A2">
        <w:t>brentuximab</w:t>
      </w:r>
      <w:proofErr w:type="spellEnd"/>
      <w:r w:rsidRPr="001910A2">
        <w:t xml:space="preserve"> </w:t>
      </w:r>
      <w:proofErr w:type="spellStart"/>
      <w:r w:rsidRPr="001910A2">
        <w:t>vedotin</w:t>
      </w:r>
      <w:proofErr w:type="spellEnd"/>
      <w:r w:rsidRPr="001910A2">
        <w:t xml:space="preserve"> (BV), following a deferral </w:t>
      </w:r>
      <w:r>
        <w:t xml:space="preserve">based partially on this matter </w:t>
      </w:r>
      <w:r w:rsidRPr="001910A2">
        <w:t>from the PBAC at its July 2017 meeting.</w:t>
      </w:r>
    </w:p>
    <w:p w:rsidR="007F2C1C" w:rsidRPr="007F2C1C" w:rsidRDefault="007F2C1C" w:rsidP="007F2C1C">
      <w:pPr>
        <w:pStyle w:val="Heading1"/>
        <w:ind w:left="709" w:hanging="709"/>
      </w:pPr>
      <w:r w:rsidRPr="007F2C1C">
        <w:t>Background</w:t>
      </w:r>
    </w:p>
    <w:p w:rsidR="001E72B6" w:rsidRPr="001E72B6" w:rsidRDefault="001E72B6" w:rsidP="001E72B6">
      <w:pPr>
        <w:pStyle w:val="ListParagraph"/>
        <w:numPr>
          <w:ilvl w:val="0"/>
          <w:numId w:val="3"/>
        </w:numPr>
        <w:spacing w:before="200" w:after="120"/>
        <w:jc w:val="left"/>
        <w:rPr>
          <w:rFonts w:ascii="Arial" w:eastAsia="Times New Roman" w:hAnsi="Arial" w:cs="Arial"/>
          <w:b/>
          <w:snapToGrid w:val="0"/>
          <w:vanish/>
          <w:sz w:val="22"/>
        </w:rPr>
      </w:pPr>
    </w:p>
    <w:p w:rsidR="007F2C1C" w:rsidRDefault="007F2C1C" w:rsidP="001E72B6">
      <w:pPr>
        <w:pStyle w:val="ListParagraph"/>
        <w:numPr>
          <w:ilvl w:val="1"/>
          <w:numId w:val="3"/>
        </w:numPr>
      </w:pPr>
      <w:r w:rsidRPr="001910A2">
        <w:t xml:space="preserve">At its July 2017 meeting, the PBAC deferred making a recommendation on whether </w:t>
      </w:r>
      <w:proofErr w:type="spellStart"/>
      <w:r w:rsidRPr="001910A2">
        <w:t>pembrolizumab</w:t>
      </w:r>
      <w:proofErr w:type="spellEnd"/>
      <w:r w:rsidRPr="001910A2">
        <w:t xml:space="preserve"> should be listed on the PBS for the treatment of relapsed or refractory classical Hodgkin’s Lymphoma (</w:t>
      </w:r>
      <w:proofErr w:type="spellStart"/>
      <w:r w:rsidRPr="001910A2">
        <w:t>rrcHL</w:t>
      </w:r>
      <w:proofErr w:type="spellEnd"/>
      <w:r w:rsidRPr="001910A2">
        <w:t xml:space="preserve">) pending a positive TGA Delegate’s overview, and further discussion with the sponsor on determining the basis of cost-minimisation against BV. In deciding to defer, the PBAC had considered that </w:t>
      </w:r>
      <w:proofErr w:type="spellStart"/>
      <w:r w:rsidRPr="001910A2">
        <w:t>pembrolizumab</w:t>
      </w:r>
      <w:proofErr w:type="spellEnd"/>
      <w:r w:rsidRPr="001910A2">
        <w:t xml:space="preserve"> treatment showed promising overall response rates in a heavily pre-treated, refractory patient population, and that the clinical claim of non-inferiority compared with BV was supported by the evidence provided.</w:t>
      </w:r>
    </w:p>
    <w:p w:rsidR="007F2C1C" w:rsidRPr="007F2C1C" w:rsidRDefault="007F2C1C" w:rsidP="007F2C1C">
      <w:pPr>
        <w:pStyle w:val="ListParagraph"/>
        <w:widowControl w:val="0"/>
        <w:spacing w:before="0" w:after="0"/>
        <w:contextualSpacing/>
        <w:rPr>
          <w:szCs w:val="24"/>
        </w:rPr>
      </w:pPr>
    </w:p>
    <w:p w:rsidR="007F2C1C" w:rsidRPr="007F2C1C" w:rsidRDefault="007F2C1C" w:rsidP="007F2C1C">
      <w:pPr>
        <w:pStyle w:val="ListParagraph"/>
        <w:widowControl w:val="0"/>
        <w:numPr>
          <w:ilvl w:val="1"/>
          <w:numId w:val="3"/>
        </w:numPr>
        <w:spacing w:before="0" w:after="0"/>
        <w:contextualSpacing/>
        <w:rPr>
          <w:szCs w:val="24"/>
        </w:rPr>
      </w:pPr>
      <w:r w:rsidRPr="001910A2">
        <w:rPr>
          <w:szCs w:val="24"/>
        </w:rPr>
        <w:t xml:space="preserve">A revised proposal was received from the sponsor in response to the July 2017 PBAC minutes, addressing the issues raised in the minutes about the restriction, the basis for cost-minimisation, utilisation estimates and the proposed Risk Sharing Arrangement (RSA). </w:t>
      </w:r>
      <w:r w:rsidRPr="001910A2">
        <w:rPr>
          <w:i/>
          <w:szCs w:val="24"/>
        </w:rPr>
        <w:t>See Section 3 for details of the sponsor’s proposal.</w:t>
      </w:r>
    </w:p>
    <w:p w:rsidR="007F2C1C" w:rsidRPr="007F2C1C" w:rsidRDefault="007F2C1C" w:rsidP="007F2C1C">
      <w:pPr>
        <w:widowControl w:val="0"/>
        <w:spacing w:before="0" w:after="0"/>
        <w:contextualSpacing/>
        <w:rPr>
          <w:szCs w:val="24"/>
        </w:rPr>
      </w:pPr>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A positive </w:t>
      </w:r>
      <w:r>
        <w:rPr>
          <w:szCs w:val="24"/>
        </w:rPr>
        <w:t xml:space="preserve">TGA </w:t>
      </w:r>
      <w:r w:rsidRPr="001910A2">
        <w:rPr>
          <w:szCs w:val="24"/>
        </w:rPr>
        <w:t xml:space="preserve">delegate’s overview and the ratified resolution of the </w:t>
      </w:r>
      <w:r>
        <w:rPr>
          <w:szCs w:val="24"/>
        </w:rPr>
        <w:t xml:space="preserve">TGA’s </w:t>
      </w:r>
      <w:r w:rsidRPr="001910A2">
        <w:rPr>
          <w:szCs w:val="24"/>
        </w:rPr>
        <w:t xml:space="preserve">Advisory Committee on Medicines (ACM) meeting </w:t>
      </w:r>
      <w:proofErr w:type="gramStart"/>
      <w:r w:rsidRPr="001910A2">
        <w:rPr>
          <w:szCs w:val="24"/>
        </w:rPr>
        <w:t>was</w:t>
      </w:r>
      <w:proofErr w:type="gramEnd"/>
      <w:r w:rsidRPr="001910A2">
        <w:rPr>
          <w:szCs w:val="24"/>
        </w:rPr>
        <w:t xml:space="preserve"> </w:t>
      </w:r>
      <w:r>
        <w:rPr>
          <w:szCs w:val="24"/>
        </w:rPr>
        <w:t xml:space="preserve">available to the Committee </w:t>
      </w:r>
      <w:r w:rsidRPr="001910A2">
        <w:rPr>
          <w:szCs w:val="24"/>
        </w:rPr>
        <w:t>prior to the Au</w:t>
      </w:r>
      <w:r>
        <w:rPr>
          <w:szCs w:val="24"/>
        </w:rPr>
        <w:t>gust 2017 Special PBAC meeting.</w:t>
      </w:r>
    </w:p>
    <w:p w:rsidR="007F2C1C" w:rsidRPr="007F2C1C" w:rsidRDefault="007F2C1C" w:rsidP="007F2C1C">
      <w:pPr>
        <w:widowControl w:val="0"/>
        <w:spacing w:before="0" w:after="0"/>
        <w:contextualSpacing/>
        <w:rPr>
          <w:szCs w:val="24"/>
        </w:rPr>
      </w:pPr>
    </w:p>
    <w:p w:rsidR="007F2C1C" w:rsidRDefault="007F2C1C" w:rsidP="007F2C1C">
      <w:pPr>
        <w:pStyle w:val="ListParagraph"/>
        <w:widowControl w:val="0"/>
        <w:numPr>
          <w:ilvl w:val="1"/>
          <w:numId w:val="3"/>
        </w:numPr>
        <w:spacing w:before="0" w:after="0"/>
        <w:contextualSpacing/>
        <w:rPr>
          <w:szCs w:val="24"/>
        </w:rPr>
      </w:pPr>
      <w:r w:rsidRPr="001910A2">
        <w:rPr>
          <w:szCs w:val="24"/>
        </w:rPr>
        <w:t>The clinical evidence was unchanged</w:t>
      </w:r>
      <w:r>
        <w:rPr>
          <w:szCs w:val="24"/>
        </w:rPr>
        <w:t xml:space="preserve"> from the July 2017 submission.</w:t>
      </w:r>
    </w:p>
    <w:p w:rsidR="007F2C1C" w:rsidRPr="007F2C1C" w:rsidRDefault="007F2C1C" w:rsidP="007F2C1C">
      <w:pPr>
        <w:widowControl w:val="0"/>
        <w:spacing w:before="0" w:after="0"/>
        <w:contextualSpacing/>
        <w:rPr>
          <w:szCs w:val="24"/>
        </w:rPr>
      </w:pPr>
    </w:p>
    <w:p w:rsidR="007F2C1C" w:rsidRPr="007F2C1C" w:rsidRDefault="007F2C1C" w:rsidP="007F2C1C">
      <w:pPr>
        <w:ind w:firstLine="720"/>
        <w:rPr>
          <w:rFonts w:cs="Arial"/>
          <w:bCs/>
          <w:snapToGrid w:val="0"/>
        </w:rPr>
      </w:pPr>
      <w:r w:rsidRPr="001910A2">
        <w:rPr>
          <w:rFonts w:cs="Arial"/>
          <w:bCs/>
          <w:i/>
          <w:snapToGrid w:val="0"/>
        </w:rPr>
        <w:t xml:space="preserve">For more detail on PBAC’s view, see section </w:t>
      </w:r>
      <w:r w:rsidR="001E72B6">
        <w:rPr>
          <w:rFonts w:cs="Arial"/>
          <w:bCs/>
          <w:i/>
          <w:snapToGrid w:val="0"/>
        </w:rPr>
        <w:t>11</w:t>
      </w:r>
      <w:r w:rsidRPr="001910A2">
        <w:rPr>
          <w:rFonts w:cs="Arial"/>
          <w:bCs/>
          <w:i/>
          <w:snapToGrid w:val="0"/>
        </w:rPr>
        <w:t xml:space="preserve"> “PBAC outcome”.</w:t>
      </w:r>
    </w:p>
    <w:p w:rsidR="007F2C1C" w:rsidRPr="007F2C1C" w:rsidRDefault="007F2C1C" w:rsidP="007F2C1C">
      <w:pPr>
        <w:pStyle w:val="Heading1"/>
        <w:ind w:left="709" w:hanging="709"/>
      </w:pPr>
      <w:r w:rsidRPr="007F2C1C">
        <w:t>Current proposal</w:t>
      </w:r>
    </w:p>
    <w:p w:rsidR="007F2C1C" w:rsidRPr="007F2C1C" w:rsidRDefault="007F2C1C" w:rsidP="007F2C1C">
      <w:pPr>
        <w:pStyle w:val="Heading2"/>
        <w:rPr>
          <w:b w:val="0"/>
          <w:i w:val="0"/>
          <w:sz w:val="24"/>
          <w:u w:val="single"/>
        </w:rPr>
      </w:pPr>
      <w:r>
        <w:rPr>
          <w:b w:val="0"/>
          <w:i w:val="0"/>
          <w:sz w:val="24"/>
          <w:u w:val="single"/>
        </w:rPr>
        <w:t>Restriction</w:t>
      </w:r>
    </w:p>
    <w:p w:rsidR="001E72B6" w:rsidRPr="001E72B6" w:rsidRDefault="001E72B6" w:rsidP="001E72B6">
      <w:pPr>
        <w:pStyle w:val="ListParagraph"/>
        <w:numPr>
          <w:ilvl w:val="0"/>
          <w:numId w:val="3"/>
        </w:numPr>
        <w:spacing w:before="200" w:after="120"/>
        <w:jc w:val="left"/>
        <w:rPr>
          <w:rFonts w:ascii="Arial" w:eastAsia="Times New Roman" w:hAnsi="Arial" w:cs="Arial"/>
          <w:b/>
          <w:snapToGrid w:val="0"/>
          <w:vanish/>
          <w:sz w:val="22"/>
        </w:rPr>
      </w:pPr>
    </w:p>
    <w:p w:rsidR="007F2C1C" w:rsidRPr="007F2C1C" w:rsidRDefault="007F2C1C" w:rsidP="001E72B6">
      <w:pPr>
        <w:pStyle w:val="ListParagraph"/>
        <w:numPr>
          <w:ilvl w:val="1"/>
          <w:numId w:val="3"/>
        </w:numPr>
      </w:pPr>
      <w:r w:rsidRPr="001910A2">
        <w:t xml:space="preserve">The sponsor agreed with the PBAC’s advice to remove the separation according to </w:t>
      </w:r>
      <w:r w:rsidRPr="00811056">
        <w:t>autologous stem cell transplant (</w:t>
      </w:r>
      <w:r w:rsidRPr="001910A2">
        <w:t>ASCT</w:t>
      </w:r>
      <w:r>
        <w:t>)</w:t>
      </w:r>
      <w:r w:rsidRPr="001910A2">
        <w:t xml:space="preserve"> status in the proposed PBS restrictions, resulting in a single initial and a single continuation restriction. The sponsor also agreed to the removal of the reference to CD30+ and multi-agent chemotherap</w:t>
      </w:r>
      <w:r>
        <w:t>y in the requested restriction.</w:t>
      </w:r>
    </w:p>
    <w:p w:rsidR="007F2C1C" w:rsidRPr="007F2C1C" w:rsidRDefault="007F2C1C" w:rsidP="007F2C1C">
      <w:pPr>
        <w:pStyle w:val="Heading2"/>
        <w:rPr>
          <w:b w:val="0"/>
          <w:i w:val="0"/>
          <w:sz w:val="24"/>
          <w:u w:val="single"/>
        </w:rPr>
      </w:pPr>
      <w:r w:rsidRPr="001910A2">
        <w:rPr>
          <w:b w:val="0"/>
          <w:i w:val="0"/>
          <w:sz w:val="24"/>
          <w:u w:val="single"/>
        </w:rPr>
        <w:t>Cost-minimisation</w:t>
      </w:r>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The sponsor accepted the PBAC’s suggestion that the cost-minimisation analysis be based on </w:t>
      </w:r>
      <w:r>
        <w:rPr>
          <w:szCs w:val="24"/>
        </w:rPr>
        <w:t xml:space="preserve">estimated </w:t>
      </w:r>
      <w:r w:rsidRPr="001910A2">
        <w:rPr>
          <w:szCs w:val="24"/>
        </w:rPr>
        <w:t>mean modelled duration</w:t>
      </w:r>
      <w:r>
        <w:rPr>
          <w:szCs w:val="24"/>
        </w:rPr>
        <w:t>s</w:t>
      </w:r>
      <w:r w:rsidRPr="001910A2">
        <w:rPr>
          <w:szCs w:val="24"/>
        </w:rPr>
        <w:t xml:space="preserve"> of therapies of </w:t>
      </w:r>
      <w:r w:rsidR="00222960">
        <w:rPr>
          <w:rFonts w:ascii="Calibri" w:eastAsia="Calibri" w:hAnsi="Calibri" w:cs="Arial"/>
          <w:noProof/>
          <w:color w:val="000000"/>
          <w:szCs w:val="24"/>
          <w:highlight w:val="black"/>
        </w:rPr>
        <w:t>'''''''' '''''''' ''''''''''</w:t>
      </w:r>
      <w:r w:rsidR="005F5E00" w:rsidRPr="005F5E00">
        <w:rPr>
          <w:rFonts w:ascii="Calibri" w:eastAsia="Calibri" w:hAnsi="Calibri" w:cs="Arial"/>
          <w:szCs w:val="24"/>
        </w:rPr>
        <w:t xml:space="preserve"> </w:t>
      </w:r>
      <w:r w:rsidRPr="001910A2">
        <w:rPr>
          <w:szCs w:val="24"/>
        </w:rPr>
        <w:t xml:space="preserve">cycles for BV and </w:t>
      </w:r>
      <w:proofErr w:type="spellStart"/>
      <w:r w:rsidRPr="001910A2">
        <w:rPr>
          <w:szCs w:val="24"/>
        </w:rPr>
        <w:t>pembrolizumab</w:t>
      </w:r>
      <w:proofErr w:type="spellEnd"/>
      <w:r w:rsidRPr="001910A2">
        <w:rPr>
          <w:szCs w:val="24"/>
        </w:rPr>
        <w:t>, respectively</w:t>
      </w:r>
      <w:r>
        <w:rPr>
          <w:szCs w:val="24"/>
        </w:rPr>
        <w:t xml:space="preserve">, and on estimated </w:t>
      </w:r>
      <w:r w:rsidRPr="001910A2">
        <w:rPr>
          <w:szCs w:val="24"/>
        </w:rPr>
        <w:t>mean number of vials per administration of 3.14</w:t>
      </w:r>
      <w:r>
        <w:rPr>
          <w:szCs w:val="24"/>
        </w:rPr>
        <w:t xml:space="preserve"> and</w:t>
      </w:r>
      <w:r w:rsidRPr="001910A2">
        <w:rPr>
          <w:szCs w:val="24"/>
        </w:rPr>
        <w:t xml:space="preserve"> 4 (</w:t>
      </w:r>
      <w:r>
        <w:rPr>
          <w:szCs w:val="24"/>
        </w:rPr>
        <w:t xml:space="preserve">of </w:t>
      </w:r>
      <w:r w:rsidRPr="001910A2">
        <w:rPr>
          <w:szCs w:val="24"/>
        </w:rPr>
        <w:t>50</w:t>
      </w:r>
      <w:r>
        <w:rPr>
          <w:szCs w:val="24"/>
        </w:rPr>
        <w:t> </w:t>
      </w:r>
      <w:r w:rsidRPr="001910A2">
        <w:rPr>
          <w:szCs w:val="24"/>
        </w:rPr>
        <w:t>mg</w:t>
      </w:r>
      <w:r>
        <w:rPr>
          <w:szCs w:val="24"/>
        </w:rPr>
        <w:t xml:space="preserve"> each</w:t>
      </w:r>
      <w:r w:rsidRPr="001910A2">
        <w:rPr>
          <w:szCs w:val="24"/>
        </w:rPr>
        <w:t xml:space="preserve">) for BV </w:t>
      </w:r>
      <w:r>
        <w:rPr>
          <w:szCs w:val="24"/>
        </w:rPr>
        <w:t xml:space="preserve">and </w:t>
      </w:r>
      <w:proofErr w:type="spellStart"/>
      <w:r w:rsidRPr="001910A2">
        <w:rPr>
          <w:szCs w:val="24"/>
        </w:rPr>
        <w:t>pembrolizumab</w:t>
      </w:r>
      <w:proofErr w:type="spellEnd"/>
      <w:r>
        <w:rPr>
          <w:szCs w:val="24"/>
        </w:rPr>
        <w:t>, respectively</w:t>
      </w:r>
      <w:r w:rsidRPr="001910A2">
        <w:rPr>
          <w:szCs w:val="24"/>
        </w:rPr>
        <w:t xml:space="preserve">. Based on these </w:t>
      </w:r>
      <w:r>
        <w:rPr>
          <w:szCs w:val="24"/>
        </w:rPr>
        <w:t>estimates</w:t>
      </w:r>
      <w:r w:rsidRPr="001910A2">
        <w:rPr>
          <w:szCs w:val="24"/>
        </w:rPr>
        <w:t xml:space="preserve">, the sponsor stated that the ex-manufacturer’s price for </w:t>
      </w:r>
      <w:proofErr w:type="spellStart"/>
      <w:r w:rsidRPr="001910A2">
        <w:rPr>
          <w:szCs w:val="24"/>
        </w:rPr>
        <w:t>pembrolizumab</w:t>
      </w:r>
      <w:proofErr w:type="spellEnd"/>
      <w:r w:rsidRPr="001910A2">
        <w:rPr>
          <w:szCs w:val="24"/>
        </w:rPr>
        <w:t xml:space="preserve"> would therefore be $</w:t>
      </w:r>
      <w:r w:rsidR="00222960">
        <w:rPr>
          <w:noProof/>
          <w:color w:val="000000"/>
          <w:szCs w:val="24"/>
          <w:highlight w:val="black"/>
        </w:rPr>
        <w:t>''''''''''</w:t>
      </w:r>
      <w:r w:rsidRPr="001910A2">
        <w:rPr>
          <w:szCs w:val="24"/>
        </w:rPr>
        <w:t xml:space="preserve"> per 50</w:t>
      </w:r>
      <w:r>
        <w:rPr>
          <w:szCs w:val="24"/>
        </w:rPr>
        <w:t> </w:t>
      </w:r>
      <w:r w:rsidRPr="001910A2">
        <w:rPr>
          <w:szCs w:val="24"/>
        </w:rPr>
        <w:t>mg vial.</w:t>
      </w:r>
    </w:p>
    <w:p w:rsidR="007F2C1C" w:rsidRPr="007F2C1C" w:rsidRDefault="007F2C1C" w:rsidP="007F2C1C">
      <w:pPr>
        <w:pStyle w:val="ListParagraph"/>
        <w:widowControl w:val="0"/>
        <w:spacing w:before="0" w:after="0"/>
        <w:contextualSpacing/>
        <w:rPr>
          <w:szCs w:val="24"/>
        </w:rPr>
      </w:pPr>
    </w:p>
    <w:p w:rsidR="007F2C1C" w:rsidRPr="007F2C1C" w:rsidRDefault="007F2C1C" w:rsidP="007F2C1C">
      <w:pPr>
        <w:pStyle w:val="ListParagraph"/>
        <w:widowControl w:val="0"/>
        <w:numPr>
          <w:ilvl w:val="1"/>
          <w:numId w:val="3"/>
        </w:numPr>
        <w:spacing w:before="0" w:after="0"/>
        <w:contextualSpacing/>
        <w:rPr>
          <w:szCs w:val="24"/>
        </w:rPr>
      </w:pPr>
      <w:r w:rsidRPr="001910A2">
        <w:rPr>
          <w:szCs w:val="24"/>
        </w:rPr>
        <w:t xml:space="preserve">The sponsor acknowledged that the above </w:t>
      </w:r>
      <w:r>
        <w:rPr>
          <w:szCs w:val="24"/>
        </w:rPr>
        <w:t xml:space="preserve">price </w:t>
      </w:r>
      <w:r w:rsidRPr="001910A2">
        <w:rPr>
          <w:szCs w:val="24"/>
        </w:rPr>
        <w:t>estimate</w:t>
      </w:r>
      <w:r>
        <w:rPr>
          <w:szCs w:val="24"/>
        </w:rPr>
        <w:t xml:space="preserve"> wa</w:t>
      </w:r>
      <w:r w:rsidRPr="001910A2">
        <w:rPr>
          <w:szCs w:val="24"/>
        </w:rPr>
        <w:t xml:space="preserve">s based on the published price of BV, and that the final price of </w:t>
      </w:r>
      <w:proofErr w:type="spellStart"/>
      <w:r w:rsidRPr="001910A2">
        <w:rPr>
          <w:szCs w:val="24"/>
        </w:rPr>
        <w:t>pembrolizumab</w:t>
      </w:r>
      <w:proofErr w:type="spellEnd"/>
      <w:r w:rsidRPr="001910A2">
        <w:rPr>
          <w:szCs w:val="24"/>
        </w:rPr>
        <w:t xml:space="preserve"> would have to be determined using the effective price of BV, under the above </w:t>
      </w:r>
      <w:r>
        <w:rPr>
          <w:szCs w:val="24"/>
        </w:rPr>
        <w:t>dose and duration estimates.</w:t>
      </w:r>
    </w:p>
    <w:p w:rsidR="007F2C1C" w:rsidRPr="007F2C1C" w:rsidRDefault="007F2C1C" w:rsidP="007F2C1C">
      <w:pPr>
        <w:pStyle w:val="Heading2"/>
        <w:rPr>
          <w:b w:val="0"/>
          <w:i w:val="0"/>
          <w:sz w:val="24"/>
          <w:u w:val="single"/>
        </w:rPr>
      </w:pPr>
      <w:r w:rsidRPr="001910A2">
        <w:rPr>
          <w:b w:val="0"/>
          <w:i w:val="0"/>
          <w:sz w:val="24"/>
          <w:u w:val="single"/>
        </w:rPr>
        <w:t xml:space="preserve">Estimated PBS usage </w:t>
      </w:r>
      <w:r>
        <w:rPr>
          <w:b w:val="0"/>
          <w:i w:val="0"/>
          <w:sz w:val="24"/>
          <w:u w:val="single"/>
        </w:rPr>
        <w:t>and</w:t>
      </w:r>
      <w:r w:rsidRPr="001910A2">
        <w:rPr>
          <w:b w:val="0"/>
          <w:i w:val="0"/>
          <w:sz w:val="24"/>
          <w:u w:val="single"/>
        </w:rPr>
        <w:t xml:space="preserve"> financial implications</w:t>
      </w:r>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The sponsor’s proposal assumed a </w:t>
      </w:r>
      <w:r w:rsidR="00222960">
        <w:rPr>
          <w:noProof/>
          <w:color w:val="000000"/>
          <w:szCs w:val="24"/>
          <w:highlight w:val="black"/>
        </w:rPr>
        <w:t>'''''</w:t>
      </w:r>
      <w:r w:rsidRPr="001910A2">
        <w:rPr>
          <w:szCs w:val="24"/>
        </w:rPr>
        <w:t xml:space="preserve">% share of the third-line market for </w:t>
      </w:r>
      <w:proofErr w:type="spellStart"/>
      <w:r w:rsidRPr="001910A2">
        <w:rPr>
          <w:szCs w:val="24"/>
        </w:rPr>
        <w:t>pembrolizumab</w:t>
      </w:r>
      <w:proofErr w:type="spellEnd"/>
      <w:r w:rsidRPr="001910A2">
        <w:rPr>
          <w:szCs w:val="24"/>
        </w:rPr>
        <w:t xml:space="preserve">, and claimed that listing of </w:t>
      </w:r>
      <w:proofErr w:type="spellStart"/>
      <w:r w:rsidRPr="001910A2">
        <w:rPr>
          <w:szCs w:val="24"/>
        </w:rPr>
        <w:t>pembrolizumab</w:t>
      </w:r>
      <w:proofErr w:type="spellEnd"/>
      <w:r w:rsidRPr="001910A2">
        <w:rPr>
          <w:szCs w:val="24"/>
        </w:rPr>
        <w:t xml:space="preserve"> in the third-line setting would be cost neutral to the Commonwealth.</w:t>
      </w:r>
    </w:p>
    <w:p w:rsidR="007F2C1C" w:rsidRPr="007F2C1C" w:rsidRDefault="007F2C1C" w:rsidP="007F2C1C">
      <w:pPr>
        <w:pStyle w:val="ListParagraph"/>
        <w:widowControl w:val="0"/>
        <w:spacing w:before="0" w:after="0"/>
        <w:contextualSpacing/>
        <w:rPr>
          <w:szCs w:val="24"/>
        </w:rPr>
      </w:pPr>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The sponsor also acknowledged that it was difficult to estimate the financial impact with the use of </w:t>
      </w:r>
      <w:proofErr w:type="spellStart"/>
      <w:r w:rsidRPr="001910A2">
        <w:rPr>
          <w:szCs w:val="24"/>
        </w:rPr>
        <w:t>pembrolizumab</w:t>
      </w:r>
      <w:proofErr w:type="spellEnd"/>
      <w:r w:rsidRPr="001910A2">
        <w:rPr>
          <w:szCs w:val="24"/>
        </w:rPr>
        <w:t xml:space="preserve"> and BV in the fourth-line setting. Therefore, in order to calculate the number of patients who were ali</w:t>
      </w:r>
      <w:r>
        <w:rPr>
          <w:szCs w:val="24"/>
        </w:rPr>
        <w:t>ve and progressed to the fourth-</w:t>
      </w:r>
      <w:r w:rsidRPr="001910A2">
        <w:rPr>
          <w:szCs w:val="24"/>
        </w:rPr>
        <w:t xml:space="preserve">line </w:t>
      </w:r>
      <w:r>
        <w:rPr>
          <w:szCs w:val="24"/>
        </w:rPr>
        <w:t xml:space="preserve">setting </w:t>
      </w:r>
      <w:r w:rsidRPr="001910A2">
        <w:rPr>
          <w:szCs w:val="24"/>
        </w:rPr>
        <w:t xml:space="preserve">to receive treatment with either </w:t>
      </w:r>
      <w:proofErr w:type="spellStart"/>
      <w:r w:rsidRPr="001910A2">
        <w:rPr>
          <w:szCs w:val="24"/>
        </w:rPr>
        <w:t>pembrolizumab</w:t>
      </w:r>
      <w:proofErr w:type="spellEnd"/>
      <w:r w:rsidRPr="001910A2">
        <w:rPr>
          <w:szCs w:val="24"/>
        </w:rPr>
        <w:t xml:space="preserve"> or BV depending on their previous therapy, the difference between the extrapolated OS and PFS rates in each year for patients treated with </w:t>
      </w:r>
      <w:proofErr w:type="spellStart"/>
      <w:r w:rsidRPr="001910A2">
        <w:rPr>
          <w:szCs w:val="24"/>
        </w:rPr>
        <w:t>pembrolizumab</w:t>
      </w:r>
      <w:proofErr w:type="spellEnd"/>
      <w:r w:rsidRPr="001910A2">
        <w:rPr>
          <w:szCs w:val="24"/>
        </w:rPr>
        <w:t xml:space="preserve"> or BV was calculated separately and applied to the third</w:t>
      </w:r>
      <w:r>
        <w:rPr>
          <w:szCs w:val="24"/>
        </w:rPr>
        <w:t>-</w:t>
      </w:r>
      <w:r w:rsidRPr="001910A2">
        <w:rPr>
          <w:szCs w:val="24"/>
        </w:rPr>
        <w:t xml:space="preserve">line treatment population in the sponsor’s proposal. In addition, a higher treatment uptake rate of </w:t>
      </w:r>
      <w:r w:rsidR="00222960">
        <w:rPr>
          <w:noProof/>
          <w:color w:val="000000"/>
          <w:szCs w:val="24"/>
          <w:highlight w:val="black"/>
        </w:rPr>
        <w:t>'''''</w:t>
      </w:r>
      <w:r w:rsidRPr="001910A2">
        <w:rPr>
          <w:szCs w:val="24"/>
        </w:rPr>
        <w:t xml:space="preserve">% was assumed for </w:t>
      </w:r>
      <w:proofErr w:type="spellStart"/>
      <w:r w:rsidRPr="001910A2">
        <w:rPr>
          <w:szCs w:val="24"/>
        </w:rPr>
        <w:t>pembrolizumab</w:t>
      </w:r>
      <w:proofErr w:type="spellEnd"/>
      <w:r w:rsidRPr="001910A2">
        <w:rPr>
          <w:szCs w:val="24"/>
        </w:rPr>
        <w:t xml:space="preserve"> in these estimates, claiming that this was consistent with the uptake rate observed for targeted therapies and immunotherapies in other cancer indications in</w:t>
      </w:r>
      <w:r>
        <w:rPr>
          <w:szCs w:val="24"/>
        </w:rPr>
        <w:t xml:space="preserve"> the current clinical setting.</w:t>
      </w:r>
    </w:p>
    <w:p w:rsidR="007F2C1C" w:rsidRPr="007F2C1C" w:rsidRDefault="007F2C1C" w:rsidP="007F2C1C">
      <w:pPr>
        <w:widowControl w:val="0"/>
        <w:spacing w:before="0" w:after="0"/>
        <w:contextualSpacing/>
        <w:rPr>
          <w:szCs w:val="24"/>
        </w:rPr>
      </w:pPr>
    </w:p>
    <w:p w:rsidR="007F2C1C" w:rsidRPr="001910A2" w:rsidRDefault="007F2C1C" w:rsidP="007F2C1C">
      <w:pPr>
        <w:pStyle w:val="ListParagraph"/>
        <w:widowControl w:val="0"/>
        <w:numPr>
          <w:ilvl w:val="1"/>
          <w:numId w:val="3"/>
        </w:numPr>
        <w:spacing w:before="0" w:after="0"/>
        <w:contextualSpacing/>
        <w:rPr>
          <w:szCs w:val="24"/>
        </w:rPr>
      </w:pPr>
      <w:r w:rsidRPr="001910A2">
        <w:rPr>
          <w:szCs w:val="24"/>
        </w:rPr>
        <w:t xml:space="preserve">Based on the above assumptions, the sponsor claimed that the net cost to </w:t>
      </w:r>
      <w:r>
        <w:rPr>
          <w:szCs w:val="24"/>
        </w:rPr>
        <w:t xml:space="preserve">the </w:t>
      </w:r>
      <w:r w:rsidRPr="001910A2">
        <w:rPr>
          <w:szCs w:val="24"/>
        </w:rPr>
        <w:t xml:space="preserve">PBS for the usage of </w:t>
      </w:r>
      <w:proofErr w:type="spellStart"/>
      <w:r w:rsidRPr="001910A2">
        <w:rPr>
          <w:szCs w:val="24"/>
        </w:rPr>
        <w:t>pembrolizumab</w:t>
      </w:r>
      <w:proofErr w:type="spellEnd"/>
      <w:r w:rsidRPr="001910A2">
        <w:rPr>
          <w:szCs w:val="24"/>
        </w:rPr>
        <w:t xml:space="preserve"> in the fourth-line setting would be </w:t>
      </w:r>
      <w:r>
        <w:rPr>
          <w:szCs w:val="24"/>
        </w:rPr>
        <w:t xml:space="preserve">less than $10 million </w:t>
      </w:r>
      <w:r w:rsidRPr="001910A2">
        <w:rPr>
          <w:szCs w:val="24"/>
        </w:rPr>
        <w:t xml:space="preserve">in the first year of listing, with a total of </w:t>
      </w:r>
      <w:r>
        <w:rPr>
          <w:szCs w:val="24"/>
        </w:rPr>
        <w:t xml:space="preserve">$30 - $60 million </w:t>
      </w:r>
      <w:r w:rsidRPr="001910A2">
        <w:rPr>
          <w:szCs w:val="24"/>
        </w:rPr>
        <w:t>in the first six years of listing.</w:t>
      </w:r>
    </w:p>
    <w:p w:rsidR="007F2C1C" w:rsidRPr="004A6F63" w:rsidRDefault="007F2C1C" w:rsidP="007F2C1C"/>
    <w:p w:rsidR="00175B20" w:rsidRDefault="00175B20" w:rsidP="00175B20">
      <w:pPr>
        <w:pStyle w:val="Caption"/>
      </w:pPr>
      <w:r>
        <w:t xml:space="preserve">Table </w:t>
      </w:r>
      <w:r>
        <w:rPr>
          <w:noProof/>
        </w:rPr>
        <w:t>12</w:t>
      </w:r>
      <w:r w:rsidRPr="004C2712">
        <w:t>: Estimated PBS usage and financial implications in the fourth-line of treatment</w:t>
      </w:r>
    </w:p>
    <w:tbl>
      <w:tblPr>
        <w:tblStyle w:val="TableGrid2"/>
        <w:tblW w:w="4942" w:type="pct"/>
        <w:tblInd w:w="108" w:type="dxa"/>
        <w:tblLayout w:type="fixed"/>
        <w:tblLook w:val="04A0" w:firstRow="1" w:lastRow="0" w:firstColumn="1" w:lastColumn="0" w:noHBand="0" w:noVBand="1"/>
        <w:tblCaption w:val="Addendum - Estimated PBS usage and financial implications in the fourth-line of treatment"/>
      </w:tblPr>
      <w:tblGrid>
        <w:gridCol w:w="2269"/>
        <w:gridCol w:w="1133"/>
        <w:gridCol w:w="1135"/>
        <w:gridCol w:w="1135"/>
        <w:gridCol w:w="1135"/>
        <w:gridCol w:w="1135"/>
        <w:gridCol w:w="1193"/>
      </w:tblGrid>
      <w:tr w:rsidR="007F2C1C" w:rsidRPr="001910A2" w:rsidTr="00AC5AFB">
        <w:trPr>
          <w:trHeight w:val="217"/>
          <w:tblHeader/>
        </w:trPr>
        <w:tc>
          <w:tcPr>
            <w:tcW w:w="1242" w:type="pct"/>
            <w:vAlign w:val="center"/>
            <w:hideMark/>
          </w:tcPr>
          <w:p w:rsidR="007F2C1C" w:rsidRPr="001910A2" w:rsidRDefault="007F2C1C" w:rsidP="007F2C1C">
            <w:pPr>
              <w:spacing w:line="276" w:lineRule="auto"/>
              <w:rPr>
                <w:rFonts w:ascii="Arial Narrow" w:hAnsi="Arial Narrow" w:cs="Times New Roman"/>
                <w:b/>
                <w:bCs/>
                <w:sz w:val="20"/>
                <w:szCs w:val="20"/>
              </w:rPr>
            </w:pPr>
            <w:r w:rsidRPr="001910A2">
              <w:rPr>
                <w:rFonts w:ascii="Arial Narrow" w:hAnsi="Arial Narrow" w:cs="Times New Roman"/>
                <w:b/>
                <w:bCs/>
                <w:sz w:val="20"/>
                <w:szCs w:val="20"/>
              </w:rPr>
              <w:br/>
            </w:r>
          </w:p>
        </w:tc>
        <w:tc>
          <w:tcPr>
            <w:tcW w:w="620" w:type="pct"/>
            <w:noWrap/>
            <w:vAlign w:val="center"/>
            <w:hideMark/>
          </w:tcPr>
          <w:p w:rsidR="007F2C1C" w:rsidRPr="001910A2" w:rsidRDefault="007F2C1C" w:rsidP="007F2C1C">
            <w:pPr>
              <w:spacing w:line="276" w:lineRule="auto"/>
              <w:rPr>
                <w:rFonts w:ascii="Arial Narrow" w:hAnsi="Arial Narrow" w:cs="Times New Roman"/>
                <w:b/>
                <w:sz w:val="20"/>
                <w:szCs w:val="20"/>
              </w:rPr>
            </w:pPr>
            <w:r w:rsidRPr="001910A2">
              <w:rPr>
                <w:rFonts w:ascii="Arial Narrow" w:hAnsi="Arial Narrow" w:cs="Times New Roman"/>
                <w:b/>
                <w:sz w:val="20"/>
                <w:szCs w:val="20"/>
              </w:rPr>
              <w:t>Year 1</w:t>
            </w:r>
          </w:p>
        </w:tc>
        <w:tc>
          <w:tcPr>
            <w:tcW w:w="621" w:type="pct"/>
            <w:noWrap/>
            <w:vAlign w:val="center"/>
            <w:hideMark/>
          </w:tcPr>
          <w:p w:rsidR="007F2C1C" w:rsidRPr="001910A2" w:rsidRDefault="007F2C1C" w:rsidP="007F2C1C">
            <w:pPr>
              <w:spacing w:line="276" w:lineRule="auto"/>
              <w:rPr>
                <w:rFonts w:ascii="Arial Narrow" w:hAnsi="Arial Narrow" w:cs="Times New Roman"/>
                <w:b/>
                <w:sz w:val="20"/>
                <w:szCs w:val="20"/>
              </w:rPr>
            </w:pPr>
            <w:r w:rsidRPr="001910A2">
              <w:rPr>
                <w:rFonts w:ascii="Arial Narrow" w:hAnsi="Arial Narrow" w:cs="Times New Roman"/>
                <w:b/>
                <w:sz w:val="20"/>
                <w:szCs w:val="20"/>
              </w:rPr>
              <w:t>Year 2</w:t>
            </w:r>
          </w:p>
        </w:tc>
        <w:tc>
          <w:tcPr>
            <w:tcW w:w="621" w:type="pct"/>
            <w:noWrap/>
            <w:vAlign w:val="center"/>
            <w:hideMark/>
          </w:tcPr>
          <w:p w:rsidR="007F2C1C" w:rsidRPr="001910A2" w:rsidRDefault="007F2C1C" w:rsidP="007F2C1C">
            <w:pPr>
              <w:spacing w:line="276" w:lineRule="auto"/>
              <w:rPr>
                <w:rFonts w:ascii="Arial Narrow" w:hAnsi="Arial Narrow" w:cs="Times New Roman"/>
                <w:b/>
                <w:sz w:val="20"/>
                <w:szCs w:val="20"/>
              </w:rPr>
            </w:pPr>
            <w:r w:rsidRPr="001910A2">
              <w:rPr>
                <w:rFonts w:ascii="Arial Narrow" w:hAnsi="Arial Narrow" w:cs="Times New Roman"/>
                <w:b/>
                <w:sz w:val="20"/>
                <w:szCs w:val="20"/>
              </w:rPr>
              <w:t>Year 3</w:t>
            </w:r>
          </w:p>
        </w:tc>
        <w:tc>
          <w:tcPr>
            <w:tcW w:w="621" w:type="pct"/>
            <w:noWrap/>
            <w:vAlign w:val="center"/>
            <w:hideMark/>
          </w:tcPr>
          <w:p w:rsidR="007F2C1C" w:rsidRPr="001910A2" w:rsidRDefault="007F2C1C" w:rsidP="007F2C1C">
            <w:pPr>
              <w:spacing w:line="276" w:lineRule="auto"/>
              <w:rPr>
                <w:rFonts w:ascii="Arial Narrow" w:hAnsi="Arial Narrow" w:cs="Times New Roman"/>
                <w:b/>
                <w:sz w:val="20"/>
                <w:szCs w:val="20"/>
              </w:rPr>
            </w:pPr>
            <w:r w:rsidRPr="001910A2">
              <w:rPr>
                <w:rFonts w:ascii="Arial Narrow" w:hAnsi="Arial Narrow" w:cs="Times New Roman"/>
                <w:b/>
                <w:sz w:val="20"/>
                <w:szCs w:val="20"/>
              </w:rPr>
              <w:t>Year 4</w:t>
            </w:r>
          </w:p>
        </w:tc>
        <w:tc>
          <w:tcPr>
            <w:tcW w:w="621" w:type="pct"/>
            <w:noWrap/>
            <w:vAlign w:val="center"/>
            <w:hideMark/>
          </w:tcPr>
          <w:p w:rsidR="007F2C1C" w:rsidRPr="001910A2" w:rsidRDefault="007F2C1C" w:rsidP="007F2C1C">
            <w:pPr>
              <w:spacing w:line="276" w:lineRule="auto"/>
              <w:rPr>
                <w:rFonts w:ascii="Arial Narrow" w:hAnsi="Arial Narrow" w:cs="Times New Roman"/>
                <w:b/>
                <w:sz w:val="20"/>
                <w:szCs w:val="20"/>
              </w:rPr>
            </w:pPr>
            <w:r w:rsidRPr="001910A2">
              <w:rPr>
                <w:rFonts w:ascii="Arial Narrow" w:hAnsi="Arial Narrow" w:cs="Times New Roman"/>
                <w:b/>
                <w:sz w:val="20"/>
                <w:szCs w:val="20"/>
              </w:rPr>
              <w:t>Year 5</w:t>
            </w:r>
          </w:p>
        </w:tc>
        <w:tc>
          <w:tcPr>
            <w:tcW w:w="653" w:type="pct"/>
            <w:noWrap/>
            <w:vAlign w:val="center"/>
            <w:hideMark/>
          </w:tcPr>
          <w:p w:rsidR="007F2C1C" w:rsidRPr="001910A2" w:rsidRDefault="007F2C1C" w:rsidP="007F2C1C">
            <w:pPr>
              <w:spacing w:line="276" w:lineRule="auto"/>
              <w:rPr>
                <w:rFonts w:ascii="Arial Narrow" w:hAnsi="Arial Narrow" w:cs="Times New Roman"/>
                <w:b/>
                <w:sz w:val="20"/>
                <w:szCs w:val="20"/>
              </w:rPr>
            </w:pPr>
            <w:r w:rsidRPr="001910A2">
              <w:rPr>
                <w:rFonts w:ascii="Arial Narrow" w:hAnsi="Arial Narrow" w:cs="Times New Roman"/>
                <w:b/>
                <w:sz w:val="20"/>
                <w:szCs w:val="20"/>
              </w:rPr>
              <w:t>Year 6</w:t>
            </w:r>
          </w:p>
        </w:tc>
      </w:tr>
      <w:tr w:rsidR="007F2C1C" w:rsidRPr="001910A2" w:rsidTr="00175B20">
        <w:trPr>
          <w:trHeight w:val="255"/>
        </w:trPr>
        <w:tc>
          <w:tcPr>
            <w:tcW w:w="1242" w:type="pct"/>
            <w:shd w:val="clear" w:color="auto" w:fill="auto"/>
            <w:noWrap/>
            <w:vAlign w:val="center"/>
          </w:tcPr>
          <w:p w:rsidR="007F2C1C" w:rsidRPr="001910A2" w:rsidRDefault="007F2C1C" w:rsidP="007F2C1C">
            <w:pPr>
              <w:spacing w:line="276" w:lineRule="auto"/>
              <w:rPr>
                <w:rFonts w:ascii="Arial Narrow" w:hAnsi="Arial Narrow"/>
                <w:b/>
                <w:sz w:val="20"/>
                <w:szCs w:val="20"/>
              </w:rPr>
            </w:pPr>
            <w:r w:rsidRPr="001910A2">
              <w:rPr>
                <w:rFonts w:ascii="Arial Narrow" w:hAnsi="Arial Narrow"/>
                <w:b/>
                <w:sz w:val="20"/>
                <w:szCs w:val="20"/>
              </w:rPr>
              <w:t xml:space="preserve">Patients with </w:t>
            </w:r>
            <w:proofErr w:type="spellStart"/>
            <w:r w:rsidRPr="001910A2">
              <w:rPr>
                <w:rFonts w:ascii="Arial Narrow" w:hAnsi="Arial Narrow"/>
                <w:b/>
                <w:sz w:val="20"/>
                <w:szCs w:val="20"/>
              </w:rPr>
              <w:t>rrcHL</w:t>
            </w:r>
            <w:proofErr w:type="spellEnd"/>
            <w:r w:rsidRPr="001910A2">
              <w:rPr>
                <w:rFonts w:ascii="Arial Narrow" w:hAnsi="Arial Narrow"/>
                <w:b/>
                <w:sz w:val="20"/>
                <w:szCs w:val="20"/>
              </w:rPr>
              <w:t xml:space="preserve"> treated in  4L therapy</w:t>
            </w:r>
          </w:p>
        </w:tc>
        <w:tc>
          <w:tcPr>
            <w:tcW w:w="620" w:type="pct"/>
            <w:shd w:val="clear" w:color="auto" w:fill="auto"/>
            <w:noWrap/>
            <w:vAlign w:val="center"/>
          </w:tcPr>
          <w:p w:rsidR="007F2C1C" w:rsidRPr="00222960" w:rsidRDefault="00222960" w:rsidP="007F2C1C">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21" w:type="pct"/>
            <w:shd w:val="clear" w:color="auto" w:fill="auto"/>
            <w:noWrap/>
            <w:vAlign w:val="center"/>
          </w:tcPr>
          <w:p w:rsidR="007F2C1C" w:rsidRPr="00222960" w:rsidRDefault="00222960" w:rsidP="007F2C1C">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21" w:type="pct"/>
            <w:shd w:val="clear" w:color="auto" w:fill="auto"/>
            <w:noWrap/>
            <w:vAlign w:val="center"/>
          </w:tcPr>
          <w:p w:rsidR="007F2C1C" w:rsidRPr="00222960" w:rsidRDefault="00222960" w:rsidP="007F2C1C">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21" w:type="pct"/>
            <w:shd w:val="clear" w:color="auto" w:fill="auto"/>
            <w:noWrap/>
            <w:vAlign w:val="center"/>
          </w:tcPr>
          <w:p w:rsidR="007F2C1C" w:rsidRPr="00222960" w:rsidRDefault="00222960" w:rsidP="007F2C1C">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21" w:type="pct"/>
            <w:shd w:val="clear" w:color="auto" w:fill="auto"/>
            <w:noWrap/>
            <w:vAlign w:val="center"/>
          </w:tcPr>
          <w:p w:rsidR="007F2C1C" w:rsidRPr="00222960" w:rsidRDefault="00222960" w:rsidP="007F2C1C">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53" w:type="pct"/>
            <w:shd w:val="clear" w:color="auto" w:fill="auto"/>
            <w:noWrap/>
            <w:vAlign w:val="center"/>
          </w:tcPr>
          <w:p w:rsidR="007F2C1C" w:rsidRPr="00222960" w:rsidRDefault="00222960" w:rsidP="007F2C1C">
            <w:pPr>
              <w:spacing w:line="276" w:lineRule="auto"/>
              <w:jc w:val="center"/>
              <w:rPr>
                <w:rFonts w:ascii="Arial Narrow" w:hAnsi="Arial Narrow" w:cs="Arial"/>
                <w:sz w:val="20"/>
                <w:szCs w:val="20"/>
                <w:highlight w:val="black"/>
              </w:rPr>
            </w:pPr>
            <w:r>
              <w:rPr>
                <w:rFonts w:ascii="Arial Narrow" w:hAnsi="Arial Narrow"/>
                <w:noProof/>
                <w:color w:val="000000"/>
                <w:sz w:val="20"/>
                <w:szCs w:val="20"/>
                <w:highlight w:val="black"/>
              </w:rPr>
              <w:t>''''''</w:t>
            </w:r>
          </w:p>
        </w:tc>
      </w:tr>
      <w:tr w:rsidR="007F2C1C" w:rsidRPr="001910A2" w:rsidTr="00175B20">
        <w:trPr>
          <w:trHeight w:val="255"/>
        </w:trPr>
        <w:tc>
          <w:tcPr>
            <w:tcW w:w="1242" w:type="pct"/>
            <w:noWrap/>
            <w:vAlign w:val="center"/>
            <w:hideMark/>
          </w:tcPr>
          <w:p w:rsidR="007F2C1C" w:rsidRPr="001910A2" w:rsidRDefault="007F2C1C" w:rsidP="007F2C1C">
            <w:pPr>
              <w:spacing w:line="276" w:lineRule="auto"/>
              <w:rPr>
                <w:rFonts w:ascii="Arial Narrow" w:hAnsi="Arial Narrow" w:cs="Times New Roman"/>
                <w:b/>
                <w:sz w:val="20"/>
                <w:szCs w:val="20"/>
              </w:rPr>
            </w:pPr>
            <w:proofErr w:type="spellStart"/>
            <w:r w:rsidRPr="001910A2">
              <w:rPr>
                <w:rFonts w:ascii="Arial Narrow" w:hAnsi="Arial Narrow" w:cs="Times New Roman"/>
                <w:b/>
                <w:sz w:val="20"/>
                <w:szCs w:val="20"/>
              </w:rPr>
              <w:t>Pembrolizumab</w:t>
            </w:r>
            <w:proofErr w:type="spellEnd"/>
          </w:p>
        </w:tc>
        <w:tc>
          <w:tcPr>
            <w:tcW w:w="620"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53"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r>
      <w:tr w:rsidR="007F2C1C" w:rsidRPr="001910A2" w:rsidTr="00175B20">
        <w:trPr>
          <w:trHeight w:val="255"/>
        </w:trPr>
        <w:tc>
          <w:tcPr>
            <w:tcW w:w="1242" w:type="pct"/>
            <w:noWrap/>
            <w:vAlign w:val="center"/>
            <w:hideMark/>
          </w:tcPr>
          <w:p w:rsidR="007F2C1C" w:rsidRPr="001910A2" w:rsidRDefault="007F2C1C" w:rsidP="007F2C1C">
            <w:pPr>
              <w:spacing w:line="276" w:lineRule="auto"/>
              <w:rPr>
                <w:rFonts w:ascii="Arial Narrow" w:hAnsi="Arial Narrow" w:cs="Times New Roman"/>
                <w:b/>
                <w:sz w:val="20"/>
                <w:szCs w:val="20"/>
              </w:rPr>
            </w:pPr>
            <w:proofErr w:type="spellStart"/>
            <w:r w:rsidRPr="001910A2">
              <w:rPr>
                <w:rFonts w:ascii="Arial Narrow" w:hAnsi="Arial Narrow" w:cs="Times New Roman"/>
                <w:b/>
                <w:sz w:val="20"/>
                <w:szCs w:val="20"/>
              </w:rPr>
              <w:t>Brentuximab</w:t>
            </w:r>
            <w:proofErr w:type="spellEnd"/>
            <w:r w:rsidRPr="001910A2">
              <w:rPr>
                <w:rFonts w:ascii="Arial Narrow" w:hAnsi="Arial Narrow" w:cs="Times New Roman"/>
                <w:b/>
                <w:sz w:val="20"/>
                <w:szCs w:val="20"/>
              </w:rPr>
              <w:t xml:space="preserve"> </w:t>
            </w:r>
            <w:proofErr w:type="spellStart"/>
            <w:r w:rsidRPr="001910A2">
              <w:rPr>
                <w:rFonts w:ascii="Arial Narrow" w:hAnsi="Arial Narrow" w:cs="Times New Roman"/>
                <w:b/>
                <w:sz w:val="20"/>
                <w:szCs w:val="20"/>
              </w:rPr>
              <w:t>vedotin</w:t>
            </w:r>
            <w:proofErr w:type="spellEnd"/>
          </w:p>
        </w:tc>
        <w:tc>
          <w:tcPr>
            <w:tcW w:w="620"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53"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r>
      <w:tr w:rsidR="007F2C1C" w:rsidRPr="001910A2" w:rsidTr="00175B20">
        <w:trPr>
          <w:trHeight w:val="683"/>
        </w:trPr>
        <w:tc>
          <w:tcPr>
            <w:tcW w:w="1242" w:type="pct"/>
            <w:noWrap/>
            <w:vAlign w:val="center"/>
            <w:hideMark/>
          </w:tcPr>
          <w:p w:rsidR="007F2C1C" w:rsidRPr="001910A2" w:rsidRDefault="007F2C1C" w:rsidP="007F2C1C">
            <w:pPr>
              <w:spacing w:line="276" w:lineRule="auto"/>
              <w:rPr>
                <w:rFonts w:ascii="Arial Narrow" w:hAnsi="Arial Narrow" w:cs="Times New Roman"/>
                <w:b/>
                <w:sz w:val="20"/>
                <w:szCs w:val="20"/>
              </w:rPr>
            </w:pPr>
            <w:r w:rsidRPr="001910A2">
              <w:rPr>
                <w:rFonts w:ascii="Arial Narrow" w:hAnsi="Arial Narrow" w:cs="Times New Roman"/>
                <w:b/>
                <w:sz w:val="20"/>
                <w:szCs w:val="20"/>
              </w:rPr>
              <w:t>Estimated cost to the PBS and RPBS</w:t>
            </w:r>
          </w:p>
        </w:tc>
        <w:tc>
          <w:tcPr>
            <w:tcW w:w="620"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21"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c>
          <w:tcPr>
            <w:tcW w:w="653" w:type="pct"/>
            <w:noWrap/>
            <w:vAlign w:val="center"/>
            <w:hideMark/>
          </w:tcPr>
          <w:p w:rsidR="007F2C1C" w:rsidRPr="001910A2" w:rsidRDefault="007F2C1C" w:rsidP="007F2C1C">
            <w:pPr>
              <w:spacing w:line="276" w:lineRule="auto"/>
              <w:jc w:val="center"/>
              <w:rPr>
                <w:rFonts w:ascii="Arial Narrow" w:hAnsi="Arial Narrow" w:cs="Times New Roman"/>
                <w:sz w:val="20"/>
                <w:szCs w:val="20"/>
              </w:rPr>
            </w:pPr>
            <w:r w:rsidRPr="001910A2">
              <w:rPr>
                <w:rFonts w:ascii="Arial Narrow" w:hAnsi="Arial Narrow" w:cs="Arial"/>
                <w:sz w:val="20"/>
                <w:szCs w:val="20"/>
              </w:rPr>
              <w:t>$</w:t>
            </w:r>
            <w:r w:rsidR="00222960">
              <w:rPr>
                <w:rFonts w:ascii="Arial Narrow" w:hAnsi="Arial Narrow" w:cs="Arial"/>
                <w:noProof/>
                <w:color w:val="000000"/>
                <w:sz w:val="20"/>
                <w:szCs w:val="20"/>
                <w:highlight w:val="black"/>
              </w:rPr>
              <w:t>''''''''''''''''''''''''</w:t>
            </w:r>
          </w:p>
        </w:tc>
      </w:tr>
    </w:tbl>
    <w:p w:rsidR="007F2C1C" w:rsidRPr="004A6F63" w:rsidRDefault="007F2C1C" w:rsidP="007F2C1C">
      <w:r w:rsidRPr="004A6F63">
        <w:rPr>
          <w:rFonts w:ascii="Arial Narrow" w:hAnsi="Arial Narrow"/>
          <w:sz w:val="20"/>
        </w:rPr>
        <w:t>Source: sponsor’s proposal prior to the August 2017 PBAC Special meeting</w:t>
      </w:r>
    </w:p>
    <w:p w:rsidR="007F2C1C" w:rsidRPr="007F2C1C" w:rsidRDefault="007F2C1C" w:rsidP="007F2C1C">
      <w:pPr>
        <w:pStyle w:val="Heading2"/>
        <w:rPr>
          <w:b w:val="0"/>
          <w:i w:val="0"/>
          <w:sz w:val="24"/>
          <w:u w:val="single"/>
        </w:rPr>
      </w:pPr>
      <w:r w:rsidRPr="001910A2">
        <w:rPr>
          <w:b w:val="0"/>
          <w:i w:val="0"/>
          <w:sz w:val="24"/>
          <w:u w:val="single"/>
        </w:rPr>
        <w:t>Risk Sharing Arrangement</w:t>
      </w:r>
    </w:p>
    <w:p w:rsidR="007F2C1C" w:rsidRPr="001910A2" w:rsidRDefault="007F2C1C" w:rsidP="007F2C1C">
      <w:pPr>
        <w:pStyle w:val="ListParagraph"/>
        <w:widowControl w:val="0"/>
        <w:numPr>
          <w:ilvl w:val="1"/>
          <w:numId w:val="3"/>
        </w:numPr>
        <w:spacing w:before="0" w:after="0"/>
        <w:contextualSpacing/>
        <w:rPr>
          <w:szCs w:val="24"/>
        </w:rPr>
      </w:pPr>
      <w:r>
        <w:rPr>
          <w:szCs w:val="24"/>
        </w:rPr>
        <w:t>T</w:t>
      </w:r>
      <w:r w:rsidRPr="001910A2">
        <w:rPr>
          <w:szCs w:val="24"/>
        </w:rPr>
        <w:t xml:space="preserve">he sponsor proposed a </w:t>
      </w:r>
      <w:r w:rsidR="00222960">
        <w:rPr>
          <w:noProof/>
          <w:color w:val="000000"/>
          <w:szCs w:val="24"/>
          <w:highlight w:val="black"/>
        </w:rPr>
        <w:t>'''''</w:t>
      </w:r>
      <w:r w:rsidRPr="001910A2">
        <w:rPr>
          <w:szCs w:val="24"/>
        </w:rPr>
        <w:t>% rebate of costs above the agreed annual subsidisation caps for use beyond the agreed utilisation estimates, noting that:</w:t>
      </w:r>
    </w:p>
    <w:p w:rsidR="007F2C1C" w:rsidRPr="001910A2" w:rsidRDefault="007F2C1C" w:rsidP="007F2C1C">
      <w:pPr>
        <w:numPr>
          <w:ilvl w:val="1"/>
          <w:numId w:val="22"/>
        </w:numPr>
        <w:tabs>
          <w:tab w:val="left" w:pos="993"/>
        </w:tabs>
        <w:spacing w:before="0" w:after="200" w:line="276" w:lineRule="auto"/>
        <w:ind w:left="993" w:hanging="284"/>
        <w:contextualSpacing/>
        <w:rPr>
          <w:rFonts w:cs="Arial"/>
          <w:snapToGrid w:val="0"/>
        </w:rPr>
      </w:pPr>
      <w:r w:rsidRPr="001910A2">
        <w:rPr>
          <w:rFonts w:cs="Arial"/>
          <w:snapToGrid w:val="0"/>
        </w:rPr>
        <w:t xml:space="preserve">a </w:t>
      </w:r>
      <w:r w:rsidR="00222960">
        <w:rPr>
          <w:rFonts w:cs="Arial"/>
          <w:noProof/>
          <w:snapToGrid w:val="0"/>
          <w:color w:val="000000"/>
          <w:highlight w:val="black"/>
        </w:rPr>
        <w:t>'''''</w:t>
      </w:r>
      <w:r w:rsidRPr="001910A2">
        <w:rPr>
          <w:rFonts w:cs="Arial"/>
          <w:snapToGrid w:val="0"/>
        </w:rPr>
        <w:t>% rebate above expenditure caps was consistent with the other RSAs that are currently in place between the sponsor and the Commonwealth;</w:t>
      </w:r>
    </w:p>
    <w:p w:rsidR="007F2C1C" w:rsidRPr="001910A2" w:rsidRDefault="007F2C1C" w:rsidP="007F2C1C">
      <w:pPr>
        <w:numPr>
          <w:ilvl w:val="1"/>
          <w:numId w:val="22"/>
        </w:numPr>
        <w:tabs>
          <w:tab w:val="left" w:pos="993"/>
        </w:tabs>
        <w:spacing w:before="0" w:after="200" w:line="276" w:lineRule="auto"/>
        <w:ind w:left="993" w:hanging="284"/>
        <w:contextualSpacing/>
        <w:rPr>
          <w:rFonts w:cs="Arial"/>
          <w:snapToGrid w:val="0"/>
        </w:rPr>
      </w:pPr>
      <w:r>
        <w:rPr>
          <w:rFonts w:cs="Arial"/>
          <w:snapToGrid w:val="0"/>
        </w:rPr>
        <w:t>g</w:t>
      </w:r>
      <w:r w:rsidRPr="001910A2">
        <w:rPr>
          <w:rFonts w:cs="Arial"/>
          <w:snapToGrid w:val="0"/>
        </w:rPr>
        <w:t xml:space="preserve">iven the unmet clinical need and small patient population as seen with the recent PBS listing of </w:t>
      </w:r>
      <w:proofErr w:type="spellStart"/>
      <w:r w:rsidRPr="001910A2">
        <w:rPr>
          <w:rFonts w:cs="Arial"/>
          <w:snapToGrid w:val="0"/>
        </w:rPr>
        <w:t>vorinostat</w:t>
      </w:r>
      <w:proofErr w:type="spellEnd"/>
      <w:r w:rsidRPr="001910A2">
        <w:rPr>
          <w:rFonts w:cs="Arial"/>
          <w:snapToGrid w:val="0"/>
        </w:rPr>
        <w:t xml:space="preserve"> for the treatment of cutaneous T-cell lymphoma (CTCL), the sponsor claimed that it was unlikely that the agreed subsidisation cap w</w:t>
      </w:r>
      <w:r>
        <w:rPr>
          <w:rFonts w:cs="Arial"/>
          <w:snapToGrid w:val="0"/>
        </w:rPr>
        <w:t>ould</w:t>
      </w:r>
      <w:r w:rsidRPr="001910A2">
        <w:rPr>
          <w:rFonts w:cs="Arial"/>
          <w:snapToGrid w:val="0"/>
        </w:rPr>
        <w:t xml:space="preserve"> be exceeded, and if it does, the financial impact would be minimal;</w:t>
      </w:r>
    </w:p>
    <w:p w:rsidR="007F2C1C" w:rsidRPr="001910A2" w:rsidRDefault="007F2C1C" w:rsidP="007F2C1C">
      <w:pPr>
        <w:numPr>
          <w:ilvl w:val="1"/>
          <w:numId w:val="22"/>
        </w:numPr>
        <w:tabs>
          <w:tab w:val="left" w:pos="993"/>
        </w:tabs>
        <w:spacing w:before="0" w:after="200" w:line="276" w:lineRule="auto"/>
        <w:ind w:left="993" w:hanging="284"/>
        <w:contextualSpacing/>
        <w:rPr>
          <w:rFonts w:cs="Arial"/>
          <w:snapToGrid w:val="0"/>
        </w:rPr>
      </w:pPr>
      <w:proofErr w:type="gramStart"/>
      <w:r w:rsidRPr="00A3020A">
        <w:rPr>
          <w:rFonts w:cs="Arial"/>
          <w:snapToGrid w:val="0"/>
        </w:rPr>
        <w:t>the</w:t>
      </w:r>
      <w:proofErr w:type="gramEnd"/>
      <w:r w:rsidRPr="00A3020A">
        <w:rPr>
          <w:rFonts w:cs="Arial"/>
          <w:snapToGrid w:val="0"/>
        </w:rPr>
        <w:t xml:space="preserve"> sponsor considered that </w:t>
      </w:r>
      <w:r w:rsidRPr="0088439F">
        <w:rPr>
          <w:rFonts w:cs="Arial"/>
          <w:snapToGrid w:val="0"/>
        </w:rPr>
        <w:t>t</w:t>
      </w:r>
      <w:r w:rsidRPr="001910A2">
        <w:rPr>
          <w:rFonts w:cs="Arial"/>
          <w:snapToGrid w:val="0"/>
        </w:rPr>
        <w:t xml:space="preserve">his would compensate for the sponsor’s additional administration costs </w:t>
      </w:r>
      <w:r>
        <w:rPr>
          <w:rFonts w:cs="Arial"/>
          <w:snapToGrid w:val="0"/>
        </w:rPr>
        <w:t>in</w:t>
      </w:r>
      <w:r w:rsidRPr="001910A2">
        <w:rPr>
          <w:rFonts w:cs="Arial"/>
          <w:snapToGrid w:val="0"/>
        </w:rPr>
        <w:t xml:space="preserve"> </w:t>
      </w:r>
      <w:r>
        <w:rPr>
          <w:rFonts w:cs="Arial"/>
          <w:snapToGrid w:val="0"/>
        </w:rPr>
        <w:t xml:space="preserve">having an </w:t>
      </w:r>
      <w:r w:rsidRPr="001910A2">
        <w:rPr>
          <w:rFonts w:cs="Arial"/>
          <w:snapToGrid w:val="0"/>
        </w:rPr>
        <w:t>RSA.</w:t>
      </w:r>
    </w:p>
    <w:p w:rsidR="007F2C1C" w:rsidRPr="001910A2" w:rsidRDefault="007F2C1C" w:rsidP="007F2C1C">
      <w:pPr>
        <w:rPr>
          <w:rFonts w:cs="Arial"/>
          <w:b/>
          <w:snapToGrid w:val="0"/>
        </w:rPr>
      </w:pPr>
    </w:p>
    <w:p w:rsidR="007F2C1C" w:rsidRDefault="007F2C1C" w:rsidP="007F2C1C">
      <w:pPr>
        <w:ind w:firstLine="709"/>
        <w:rPr>
          <w:rFonts w:cs="Arial"/>
          <w:bCs/>
          <w:i/>
          <w:snapToGrid w:val="0"/>
        </w:rPr>
      </w:pPr>
      <w:r w:rsidRPr="001910A2">
        <w:rPr>
          <w:rFonts w:cs="Arial"/>
          <w:bCs/>
          <w:i/>
          <w:snapToGrid w:val="0"/>
        </w:rPr>
        <w:t xml:space="preserve">For more detail on PBAC’s view, see section </w:t>
      </w:r>
      <w:r w:rsidR="001E72B6">
        <w:rPr>
          <w:rFonts w:cs="Arial"/>
          <w:bCs/>
          <w:i/>
          <w:snapToGrid w:val="0"/>
        </w:rPr>
        <w:t>11</w:t>
      </w:r>
      <w:r w:rsidRPr="001910A2">
        <w:rPr>
          <w:rFonts w:cs="Arial"/>
          <w:bCs/>
          <w:i/>
          <w:snapToGrid w:val="0"/>
        </w:rPr>
        <w:t xml:space="preserve"> “PBAC outcome”.</w:t>
      </w:r>
    </w:p>
    <w:p w:rsidR="007F2C1C" w:rsidRPr="00D770E0" w:rsidRDefault="007F2C1C" w:rsidP="007F2C1C">
      <w:pPr>
        <w:ind w:firstLine="709"/>
        <w:rPr>
          <w:rFonts w:cs="Arial"/>
          <w:bCs/>
          <w:snapToGrid w:val="0"/>
        </w:rPr>
      </w:pPr>
    </w:p>
    <w:p w:rsidR="007F2C1C" w:rsidRPr="004A6F63" w:rsidRDefault="007F2C1C" w:rsidP="007F2C1C">
      <w:pPr>
        <w:pStyle w:val="Heading1"/>
        <w:ind w:left="709" w:hanging="709"/>
      </w:pPr>
      <w:r w:rsidRPr="007F2C1C">
        <w:t>PBAC outcome</w:t>
      </w:r>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The PBAC recommended the Authority </w:t>
      </w:r>
      <w:proofErr w:type="gramStart"/>
      <w:r w:rsidRPr="001910A2">
        <w:rPr>
          <w:szCs w:val="24"/>
        </w:rPr>
        <w:t>Required</w:t>
      </w:r>
      <w:proofErr w:type="gramEnd"/>
      <w:r w:rsidRPr="001910A2">
        <w:rPr>
          <w:szCs w:val="24"/>
        </w:rPr>
        <w:t xml:space="preserve"> listing of </w:t>
      </w:r>
      <w:proofErr w:type="spellStart"/>
      <w:r w:rsidRPr="001910A2">
        <w:rPr>
          <w:szCs w:val="24"/>
        </w:rPr>
        <w:t>pembrolizumab</w:t>
      </w:r>
      <w:proofErr w:type="spellEnd"/>
      <w:r w:rsidRPr="001910A2">
        <w:rPr>
          <w:szCs w:val="24"/>
        </w:rPr>
        <w:t xml:space="preserve"> for the treatment of </w:t>
      </w:r>
      <w:proofErr w:type="spellStart"/>
      <w:r w:rsidRPr="001910A2">
        <w:rPr>
          <w:szCs w:val="24"/>
        </w:rPr>
        <w:t>rrcHL</w:t>
      </w:r>
      <w:proofErr w:type="spellEnd"/>
      <w:r w:rsidRPr="001910A2">
        <w:rPr>
          <w:szCs w:val="24"/>
        </w:rPr>
        <w:t>, on a cost-minimisation basis against BV</w:t>
      </w:r>
      <w:r>
        <w:rPr>
          <w:szCs w:val="24"/>
        </w:rPr>
        <w:t>.</w:t>
      </w:r>
    </w:p>
    <w:p w:rsidR="007F2C1C" w:rsidRPr="007F2C1C" w:rsidRDefault="007F2C1C" w:rsidP="007F2C1C">
      <w:pPr>
        <w:pStyle w:val="ListParagraph"/>
        <w:widowControl w:val="0"/>
        <w:spacing w:before="0" w:after="0"/>
        <w:contextualSpacing/>
        <w:rPr>
          <w:szCs w:val="24"/>
        </w:rPr>
      </w:pPr>
    </w:p>
    <w:p w:rsidR="007F2C1C" w:rsidRDefault="007F2C1C" w:rsidP="007F2C1C">
      <w:pPr>
        <w:pStyle w:val="ListParagraph"/>
        <w:widowControl w:val="0"/>
        <w:numPr>
          <w:ilvl w:val="1"/>
          <w:numId w:val="3"/>
        </w:numPr>
        <w:spacing w:before="0" w:after="0"/>
        <w:contextualSpacing/>
        <w:rPr>
          <w:szCs w:val="24"/>
        </w:rPr>
      </w:pPr>
      <w:r w:rsidRPr="00ED2F4D">
        <w:rPr>
          <w:szCs w:val="24"/>
        </w:rPr>
        <w:t xml:space="preserve">In making this recommendation, the PBAC considered that </w:t>
      </w:r>
      <w:proofErr w:type="spellStart"/>
      <w:r w:rsidRPr="00ED2F4D">
        <w:rPr>
          <w:szCs w:val="24"/>
        </w:rPr>
        <w:t>pembrolizumab</w:t>
      </w:r>
      <w:proofErr w:type="spellEnd"/>
      <w:r w:rsidRPr="00ED2F4D">
        <w:rPr>
          <w:szCs w:val="24"/>
        </w:rPr>
        <w:t xml:space="preserve"> treatment showed promising overall response rates in a heavily pre-treated, refractory patient population, and that the clinical claim of non-inferiority compared with BV was supported by the clinical evidence provided.</w:t>
      </w:r>
    </w:p>
    <w:p w:rsidR="007F2C1C" w:rsidRPr="007F2C1C" w:rsidRDefault="007F2C1C" w:rsidP="007F2C1C">
      <w:pPr>
        <w:widowControl w:val="0"/>
        <w:spacing w:before="0" w:after="0"/>
        <w:contextualSpacing/>
        <w:rPr>
          <w:szCs w:val="24"/>
        </w:rPr>
      </w:pPr>
    </w:p>
    <w:p w:rsidR="007F2C1C" w:rsidRDefault="007F2C1C" w:rsidP="007F2C1C">
      <w:pPr>
        <w:pStyle w:val="ListParagraph"/>
        <w:widowControl w:val="0"/>
        <w:numPr>
          <w:ilvl w:val="1"/>
          <w:numId w:val="3"/>
        </w:numPr>
        <w:spacing w:before="0" w:after="0"/>
        <w:contextualSpacing/>
        <w:rPr>
          <w:szCs w:val="24"/>
        </w:rPr>
      </w:pPr>
      <w:r w:rsidRPr="00ED2F4D">
        <w:rPr>
          <w:szCs w:val="24"/>
        </w:rPr>
        <w:t xml:space="preserve">The PBAC noted the sponsor’s agreement to its previous advice on the proposed restriction criteria (paragraph 7.3, </w:t>
      </w:r>
      <w:proofErr w:type="spellStart"/>
      <w:r w:rsidRPr="00ED2F4D">
        <w:rPr>
          <w:szCs w:val="24"/>
        </w:rPr>
        <w:t>pembrolizumab</w:t>
      </w:r>
      <w:proofErr w:type="spellEnd"/>
      <w:r w:rsidRPr="00ED2F4D">
        <w:rPr>
          <w:szCs w:val="24"/>
        </w:rPr>
        <w:t xml:space="preserve"> minutes, July 2017 PBAC meeting). The PBAC also advised that the maximum number of repeats for the initial prescription should be increased from 5 to 6, while the maximum number of repeats for each continuing therapy prescription should be decreased from 7 to 6, so that the total corresponds to the maximum number of cycles (35) allowed overall. </w:t>
      </w:r>
    </w:p>
    <w:p w:rsidR="007F2C1C" w:rsidRPr="007F2C1C" w:rsidRDefault="007F2C1C" w:rsidP="007F2C1C">
      <w:pPr>
        <w:widowControl w:val="0"/>
        <w:spacing w:before="0" w:after="0"/>
        <w:contextualSpacing/>
        <w:rPr>
          <w:szCs w:val="24"/>
        </w:rPr>
      </w:pPr>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The PBAC noted the sponsor’s agreement </w:t>
      </w:r>
      <w:r>
        <w:rPr>
          <w:szCs w:val="24"/>
        </w:rPr>
        <w:t>t</w:t>
      </w:r>
      <w:r w:rsidRPr="001910A2">
        <w:rPr>
          <w:szCs w:val="24"/>
        </w:rPr>
        <w:t xml:space="preserve">o its </w:t>
      </w:r>
      <w:r>
        <w:rPr>
          <w:szCs w:val="24"/>
        </w:rPr>
        <w:t xml:space="preserve">previous </w:t>
      </w:r>
      <w:r w:rsidRPr="001910A2">
        <w:rPr>
          <w:szCs w:val="24"/>
        </w:rPr>
        <w:t xml:space="preserve">advice on the appropriate basis of cost-minimisation against BV, based on </w:t>
      </w:r>
      <w:r>
        <w:rPr>
          <w:szCs w:val="24"/>
        </w:rPr>
        <w:t xml:space="preserve">estimated </w:t>
      </w:r>
      <w:r w:rsidRPr="001910A2">
        <w:rPr>
          <w:szCs w:val="24"/>
        </w:rPr>
        <w:t>mean modelled duration</w:t>
      </w:r>
      <w:r>
        <w:rPr>
          <w:szCs w:val="24"/>
        </w:rPr>
        <w:t>s</w:t>
      </w:r>
      <w:r w:rsidRPr="001910A2">
        <w:rPr>
          <w:szCs w:val="24"/>
        </w:rPr>
        <w:t xml:space="preserve"> of therapies of </w:t>
      </w:r>
      <w:r w:rsidR="00222960">
        <w:rPr>
          <w:rFonts w:ascii="Calibri" w:eastAsia="Calibri" w:hAnsi="Calibri" w:cs="Arial"/>
          <w:noProof/>
          <w:color w:val="000000"/>
          <w:szCs w:val="24"/>
          <w:highlight w:val="black"/>
        </w:rPr>
        <w:t>'''''''' ''''''' ''''''''''</w:t>
      </w:r>
      <w:r w:rsidR="005F5E00" w:rsidRPr="005F5E00">
        <w:rPr>
          <w:rFonts w:ascii="Calibri" w:eastAsia="Calibri" w:hAnsi="Calibri" w:cs="Arial"/>
          <w:szCs w:val="24"/>
        </w:rPr>
        <w:t xml:space="preserve"> </w:t>
      </w:r>
      <w:r w:rsidRPr="001910A2">
        <w:rPr>
          <w:szCs w:val="24"/>
        </w:rPr>
        <w:t xml:space="preserve">cycles for BV and </w:t>
      </w:r>
      <w:proofErr w:type="spellStart"/>
      <w:r w:rsidRPr="001910A2">
        <w:rPr>
          <w:szCs w:val="24"/>
        </w:rPr>
        <w:t>pe</w:t>
      </w:r>
      <w:r>
        <w:rPr>
          <w:szCs w:val="24"/>
        </w:rPr>
        <w:t>mbrolizumab</w:t>
      </w:r>
      <w:proofErr w:type="spellEnd"/>
      <w:r>
        <w:rPr>
          <w:szCs w:val="24"/>
        </w:rPr>
        <w:t xml:space="preserve">, respectively, and on estimated </w:t>
      </w:r>
      <w:r w:rsidRPr="001910A2">
        <w:rPr>
          <w:szCs w:val="24"/>
        </w:rPr>
        <w:t>mean number of vials per administration of 3.14</w:t>
      </w:r>
      <w:r>
        <w:rPr>
          <w:szCs w:val="24"/>
        </w:rPr>
        <w:t xml:space="preserve"> and</w:t>
      </w:r>
      <w:r w:rsidRPr="001910A2">
        <w:rPr>
          <w:szCs w:val="24"/>
        </w:rPr>
        <w:t xml:space="preserve"> 4 (</w:t>
      </w:r>
      <w:r>
        <w:rPr>
          <w:szCs w:val="24"/>
        </w:rPr>
        <w:t xml:space="preserve">of </w:t>
      </w:r>
      <w:r w:rsidRPr="001910A2">
        <w:rPr>
          <w:szCs w:val="24"/>
        </w:rPr>
        <w:t>50</w:t>
      </w:r>
      <w:r>
        <w:rPr>
          <w:szCs w:val="24"/>
        </w:rPr>
        <w:t> </w:t>
      </w:r>
      <w:r w:rsidRPr="001910A2">
        <w:rPr>
          <w:szCs w:val="24"/>
        </w:rPr>
        <w:t>mg</w:t>
      </w:r>
      <w:r>
        <w:rPr>
          <w:szCs w:val="24"/>
        </w:rPr>
        <w:t xml:space="preserve"> each</w:t>
      </w:r>
      <w:r w:rsidRPr="001910A2">
        <w:rPr>
          <w:szCs w:val="24"/>
        </w:rPr>
        <w:t xml:space="preserve">) for BV </w:t>
      </w:r>
      <w:r>
        <w:rPr>
          <w:szCs w:val="24"/>
        </w:rPr>
        <w:t xml:space="preserve">and </w:t>
      </w:r>
      <w:proofErr w:type="spellStart"/>
      <w:r w:rsidRPr="001910A2">
        <w:rPr>
          <w:szCs w:val="24"/>
        </w:rPr>
        <w:t>pembrolizumab</w:t>
      </w:r>
      <w:proofErr w:type="spellEnd"/>
      <w:r>
        <w:rPr>
          <w:szCs w:val="24"/>
        </w:rPr>
        <w:t xml:space="preserve">, respectively. Additionally, the PBAC advised the price of the 100 mg </w:t>
      </w:r>
      <w:proofErr w:type="spellStart"/>
      <w:r>
        <w:rPr>
          <w:szCs w:val="24"/>
        </w:rPr>
        <w:t>pembrolizumab</w:t>
      </w:r>
      <w:proofErr w:type="spellEnd"/>
      <w:r>
        <w:rPr>
          <w:szCs w:val="24"/>
        </w:rPr>
        <w:t xml:space="preserve"> vials should be estimated on the same principles.</w:t>
      </w:r>
    </w:p>
    <w:p w:rsidR="007F2C1C" w:rsidRPr="007F2C1C" w:rsidRDefault="007F2C1C" w:rsidP="007F2C1C">
      <w:pPr>
        <w:widowControl w:val="0"/>
        <w:spacing w:before="0" w:after="0"/>
        <w:contextualSpacing/>
        <w:rPr>
          <w:szCs w:val="24"/>
        </w:rPr>
      </w:pPr>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The PBAC considered that the sponsor’s estimates of a </w:t>
      </w:r>
      <w:r w:rsidR="00222960">
        <w:rPr>
          <w:noProof/>
          <w:color w:val="000000"/>
          <w:szCs w:val="24"/>
          <w:highlight w:val="black"/>
        </w:rPr>
        <w:t>'''''</w:t>
      </w:r>
      <w:r w:rsidRPr="001910A2">
        <w:rPr>
          <w:szCs w:val="24"/>
        </w:rPr>
        <w:t>:</w:t>
      </w:r>
      <w:r w:rsidR="00222960">
        <w:rPr>
          <w:noProof/>
          <w:color w:val="000000"/>
          <w:szCs w:val="24"/>
          <w:highlight w:val="black"/>
        </w:rPr>
        <w:t>'''''</w:t>
      </w:r>
      <w:r w:rsidRPr="001910A2">
        <w:rPr>
          <w:szCs w:val="24"/>
        </w:rPr>
        <w:t xml:space="preserve"> market share, in favour of </w:t>
      </w:r>
      <w:proofErr w:type="spellStart"/>
      <w:r w:rsidRPr="001910A2">
        <w:rPr>
          <w:szCs w:val="24"/>
        </w:rPr>
        <w:t>pembrolizumab</w:t>
      </w:r>
      <w:proofErr w:type="spellEnd"/>
      <w:r w:rsidRPr="001910A2">
        <w:rPr>
          <w:szCs w:val="24"/>
        </w:rPr>
        <w:t>, in the fourth line of therapy,</w:t>
      </w:r>
      <w:r>
        <w:rPr>
          <w:szCs w:val="24"/>
        </w:rPr>
        <w:t xml:space="preserve"> was reasonable.</w:t>
      </w:r>
    </w:p>
    <w:p w:rsidR="007F2C1C" w:rsidRPr="007F2C1C" w:rsidRDefault="007F2C1C" w:rsidP="007F2C1C">
      <w:pPr>
        <w:widowControl w:val="0"/>
        <w:spacing w:before="0" w:after="0"/>
        <w:contextualSpacing/>
        <w:rPr>
          <w:szCs w:val="24"/>
        </w:rPr>
      </w:pPr>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Noting its previous views on the uncertainty in the financial estimates due to displacement of BV, the PBAC maintained that a RSA would be required to mitigate the risks associated with the additional </w:t>
      </w:r>
      <w:proofErr w:type="spellStart"/>
      <w:r w:rsidRPr="001910A2">
        <w:rPr>
          <w:szCs w:val="24"/>
        </w:rPr>
        <w:t>utillisation</w:t>
      </w:r>
      <w:proofErr w:type="spellEnd"/>
      <w:r w:rsidRPr="001910A2">
        <w:rPr>
          <w:szCs w:val="24"/>
        </w:rPr>
        <w:t xml:space="preserve"> of </w:t>
      </w:r>
      <w:proofErr w:type="spellStart"/>
      <w:r w:rsidRPr="001910A2">
        <w:rPr>
          <w:szCs w:val="24"/>
        </w:rPr>
        <w:t>pembrolizumab</w:t>
      </w:r>
      <w:proofErr w:type="spellEnd"/>
      <w:r w:rsidRPr="001910A2">
        <w:rPr>
          <w:szCs w:val="24"/>
        </w:rPr>
        <w:t xml:space="preserve"> (paragraph 7.11). </w:t>
      </w:r>
      <w:r>
        <w:rPr>
          <w:szCs w:val="24"/>
        </w:rPr>
        <w:t>T</w:t>
      </w:r>
      <w:r w:rsidRPr="001910A2">
        <w:rPr>
          <w:szCs w:val="24"/>
        </w:rPr>
        <w:t xml:space="preserve">he PBAC considered that </w:t>
      </w:r>
      <w:r>
        <w:rPr>
          <w:szCs w:val="24"/>
        </w:rPr>
        <w:t xml:space="preserve">given the uncertainty around the potential for sequential use of BV and </w:t>
      </w:r>
      <w:proofErr w:type="spellStart"/>
      <w:r>
        <w:rPr>
          <w:szCs w:val="24"/>
        </w:rPr>
        <w:t>pembrolizumab</w:t>
      </w:r>
      <w:proofErr w:type="spellEnd"/>
      <w:r>
        <w:rPr>
          <w:szCs w:val="24"/>
        </w:rPr>
        <w:t xml:space="preserve">, a sizeable </w:t>
      </w:r>
      <w:r w:rsidRPr="001910A2">
        <w:rPr>
          <w:szCs w:val="24"/>
        </w:rPr>
        <w:t>rebate on costs above the agreed annual subsidisation</w:t>
      </w:r>
      <w:r>
        <w:rPr>
          <w:szCs w:val="24"/>
        </w:rPr>
        <w:t xml:space="preserve"> caps</w:t>
      </w:r>
      <w:r w:rsidRPr="001910A2">
        <w:rPr>
          <w:szCs w:val="24"/>
        </w:rPr>
        <w:t xml:space="preserve"> </w:t>
      </w:r>
      <w:r>
        <w:rPr>
          <w:szCs w:val="24"/>
        </w:rPr>
        <w:t xml:space="preserve">should be put in place to manage the risk of </w:t>
      </w:r>
      <w:r w:rsidRPr="001910A2">
        <w:rPr>
          <w:szCs w:val="24"/>
        </w:rPr>
        <w:t>use beyond the agreed utilisation estimates</w:t>
      </w:r>
      <w:r>
        <w:rPr>
          <w:szCs w:val="24"/>
        </w:rPr>
        <w:t>.</w:t>
      </w:r>
    </w:p>
    <w:p w:rsidR="007F2C1C" w:rsidRPr="007F2C1C" w:rsidRDefault="007F2C1C" w:rsidP="007F2C1C">
      <w:pPr>
        <w:widowControl w:val="0"/>
        <w:spacing w:before="0" w:after="0"/>
        <w:contextualSpacing/>
        <w:rPr>
          <w:szCs w:val="24"/>
        </w:rPr>
      </w:pPr>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The PBAC advised that the Early Supply Rule should apply not to the listing of </w:t>
      </w:r>
      <w:proofErr w:type="spellStart"/>
      <w:r w:rsidRPr="001910A2">
        <w:rPr>
          <w:szCs w:val="24"/>
        </w:rPr>
        <w:t>pembrolizumab</w:t>
      </w:r>
      <w:proofErr w:type="spellEnd"/>
      <w:r w:rsidRPr="001910A2">
        <w:rPr>
          <w:szCs w:val="24"/>
        </w:rPr>
        <w:t>.</w:t>
      </w:r>
    </w:p>
    <w:p w:rsidR="007F2C1C" w:rsidRPr="007F2C1C" w:rsidRDefault="007F2C1C" w:rsidP="007F2C1C">
      <w:pPr>
        <w:widowControl w:val="0"/>
        <w:spacing w:before="0" w:after="0"/>
        <w:contextualSpacing/>
        <w:rPr>
          <w:szCs w:val="24"/>
        </w:rPr>
      </w:pPr>
    </w:p>
    <w:p w:rsidR="007F2C1C" w:rsidRPr="001910A2" w:rsidRDefault="007F2C1C" w:rsidP="007F2C1C">
      <w:pPr>
        <w:pStyle w:val="ListParagraph"/>
        <w:widowControl w:val="0"/>
        <w:numPr>
          <w:ilvl w:val="1"/>
          <w:numId w:val="3"/>
        </w:numPr>
        <w:spacing w:before="0" w:after="0"/>
        <w:contextualSpacing/>
        <w:rPr>
          <w:szCs w:val="24"/>
        </w:rPr>
      </w:pPr>
      <w:r w:rsidRPr="001910A2">
        <w:rPr>
          <w:szCs w:val="24"/>
        </w:rPr>
        <w:t xml:space="preserve">The PBAC advised that under subsection 101(3BA) of the </w:t>
      </w:r>
      <w:r w:rsidRPr="001910A2">
        <w:rPr>
          <w:i/>
          <w:szCs w:val="24"/>
        </w:rPr>
        <w:t>National Health Act, 1953</w:t>
      </w:r>
      <w:r w:rsidRPr="001910A2">
        <w:rPr>
          <w:szCs w:val="24"/>
        </w:rPr>
        <w:t xml:space="preserve"> that </w:t>
      </w:r>
      <w:proofErr w:type="spellStart"/>
      <w:r w:rsidRPr="001910A2">
        <w:rPr>
          <w:szCs w:val="24"/>
        </w:rPr>
        <w:t>pembrolizumab</w:t>
      </w:r>
      <w:proofErr w:type="spellEnd"/>
      <w:r w:rsidRPr="001910A2">
        <w:rPr>
          <w:szCs w:val="24"/>
        </w:rPr>
        <w:t xml:space="preserve"> should not be treated as interchangeable on an individual patient basis with any other drugs.</w:t>
      </w:r>
    </w:p>
    <w:p w:rsidR="007F2C1C" w:rsidRPr="001D2138" w:rsidRDefault="007F2C1C" w:rsidP="007F2C1C">
      <w:pPr>
        <w:rPr>
          <w:rFonts w:ascii="Arial" w:hAnsi="Arial" w:cs="Arial"/>
          <w:sz w:val="18"/>
          <w:szCs w:val="18"/>
        </w:rPr>
      </w:pPr>
      <w:bookmarkStart w:id="29" w:name="_GoBack"/>
      <w:bookmarkEnd w:id="29"/>
    </w:p>
    <w:p w:rsidR="007F2C1C" w:rsidRDefault="007F2C1C" w:rsidP="007F2C1C">
      <w:pPr>
        <w:pStyle w:val="ListParagraph"/>
        <w:widowControl w:val="0"/>
        <w:numPr>
          <w:ilvl w:val="1"/>
          <w:numId w:val="3"/>
        </w:numPr>
        <w:spacing w:before="0" w:after="0"/>
        <w:contextualSpacing/>
        <w:rPr>
          <w:szCs w:val="24"/>
        </w:rPr>
      </w:pPr>
      <w:r w:rsidRPr="001910A2">
        <w:rPr>
          <w:szCs w:val="24"/>
        </w:rPr>
        <w:t xml:space="preserve">The PBAC advised that </w:t>
      </w:r>
      <w:proofErr w:type="spellStart"/>
      <w:r w:rsidRPr="001910A2">
        <w:rPr>
          <w:szCs w:val="24"/>
        </w:rPr>
        <w:t>pembrolizumab</w:t>
      </w:r>
      <w:proofErr w:type="spellEnd"/>
      <w:r w:rsidRPr="001910A2">
        <w:rPr>
          <w:szCs w:val="24"/>
        </w:rPr>
        <w:t xml:space="preserve"> is not suitable for pres</w:t>
      </w:r>
      <w:r>
        <w:rPr>
          <w:szCs w:val="24"/>
        </w:rPr>
        <w:t>cribing by nurse practitioners.</w:t>
      </w:r>
    </w:p>
    <w:p w:rsidR="007F2C1C" w:rsidRPr="007F2C1C" w:rsidRDefault="007F2C1C" w:rsidP="007F2C1C">
      <w:pPr>
        <w:widowControl w:val="0"/>
        <w:spacing w:before="0" w:after="0"/>
        <w:contextualSpacing/>
        <w:rPr>
          <w:szCs w:val="24"/>
        </w:rPr>
      </w:pPr>
    </w:p>
    <w:p w:rsidR="007F2C1C" w:rsidRPr="001910A2" w:rsidRDefault="007F2C1C" w:rsidP="007F2C1C">
      <w:pPr>
        <w:pStyle w:val="ListParagraph"/>
        <w:widowControl w:val="0"/>
        <w:numPr>
          <w:ilvl w:val="1"/>
          <w:numId w:val="3"/>
        </w:numPr>
        <w:spacing w:before="0" w:after="0"/>
        <w:contextualSpacing/>
        <w:rPr>
          <w:szCs w:val="24"/>
        </w:rPr>
      </w:pPr>
      <w:r w:rsidRPr="001910A2">
        <w:rPr>
          <w:szCs w:val="24"/>
        </w:rPr>
        <w:t>The PBAC noted that this submission is not eligible for an Independent Review because the PBAC has made a positive recommendation.</w:t>
      </w:r>
    </w:p>
    <w:p w:rsidR="007F2C1C" w:rsidRPr="006315D8" w:rsidRDefault="007F2C1C" w:rsidP="007F2C1C">
      <w:pPr>
        <w:widowControl w:val="0"/>
        <w:rPr>
          <w:rFonts w:cs="Arial"/>
          <w:bCs/>
          <w:snapToGrid w:val="0"/>
          <w:highlight w:val="yellow"/>
        </w:rPr>
      </w:pPr>
    </w:p>
    <w:p w:rsidR="007F2C1C" w:rsidRPr="001910A2" w:rsidRDefault="007F2C1C" w:rsidP="007F2C1C">
      <w:pPr>
        <w:widowControl w:val="0"/>
        <w:rPr>
          <w:rFonts w:cs="Arial"/>
          <w:b/>
          <w:bCs/>
          <w:snapToGrid w:val="0"/>
        </w:rPr>
      </w:pPr>
      <w:r w:rsidRPr="001910A2">
        <w:rPr>
          <w:rFonts w:cs="Arial"/>
          <w:b/>
          <w:bCs/>
          <w:snapToGrid w:val="0"/>
        </w:rPr>
        <w:t>Outcome:</w:t>
      </w:r>
    </w:p>
    <w:p w:rsidR="007F2C1C" w:rsidRPr="001910A2" w:rsidRDefault="007F2C1C" w:rsidP="007F2C1C">
      <w:pPr>
        <w:widowControl w:val="0"/>
        <w:rPr>
          <w:rFonts w:cs="Arial"/>
          <w:bCs/>
          <w:snapToGrid w:val="0"/>
        </w:rPr>
      </w:pPr>
      <w:r w:rsidRPr="001910A2">
        <w:rPr>
          <w:rFonts w:cs="Arial"/>
          <w:bCs/>
          <w:snapToGrid w:val="0"/>
        </w:rPr>
        <w:t xml:space="preserve">Recommended </w:t>
      </w:r>
    </w:p>
    <w:p w:rsidR="007F2C1C" w:rsidRPr="006315D8" w:rsidRDefault="007F2C1C" w:rsidP="007F2C1C">
      <w:pPr>
        <w:widowControl w:val="0"/>
        <w:rPr>
          <w:rFonts w:cs="Arial"/>
          <w:bCs/>
          <w:snapToGrid w:val="0"/>
        </w:rPr>
      </w:pPr>
    </w:p>
    <w:p w:rsidR="007F2C1C" w:rsidRPr="007F2C1C" w:rsidRDefault="007F2C1C" w:rsidP="007F2C1C">
      <w:pPr>
        <w:pStyle w:val="Heading1"/>
        <w:ind w:left="709" w:hanging="709"/>
      </w:pPr>
      <w:r w:rsidRPr="007F2C1C">
        <w:t>Recommended listing</w:t>
      </w:r>
    </w:p>
    <w:p w:rsidR="007F2C1C" w:rsidRPr="001910A2" w:rsidRDefault="007F2C1C" w:rsidP="007F2C1C">
      <w:pPr>
        <w:widowControl w:val="0"/>
        <w:numPr>
          <w:ilvl w:val="1"/>
          <w:numId w:val="3"/>
        </w:numPr>
        <w:spacing w:before="0" w:after="0"/>
        <w:rPr>
          <w:rFonts w:cs="Arial"/>
          <w:bCs/>
          <w:snapToGrid w:val="0"/>
        </w:rPr>
      </w:pPr>
      <w:r w:rsidRPr="001910A2">
        <w:rPr>
          <w:rFonts w:cs="Arial"/>
          <w:bCs/>
          <w:snapToGrid w:val="0"/>
        </w:rPr>
        <w:t>Add new item:</w:t>
      </w:r>
    </w:p>
    <w:p w:rsidR="007F2C1C" w:rsidRPr="00FF044C" w:rsidRDefault="007F2C1C" w:rsidP="007F2C1C">
      <w:pPr>
        <w:pStyle w:val="NoSpacing"/>
      </w:pPr>
    </w:p>
    <w:tbl>
      <w:tblPr>
        <w:tblW w:w="8931" w:type="dxa"/>
        <w:tblInd w:w="108" w:type="dxa"/>
        <w:tblLayout w:type="fixed"/>
        <w:tblLook w:val="0000" w:firstRow="0" w:lastRow="0" w:firstColumn="0" w:lastColumn="0" w:noHBand="0" w:noVBand="0"/>
      </w:tblPr>
      <w:tblGrid>
        <w:gridCol w:w="2410"/>
        <w:gridCol w:w="992"/>
        <w:gridCol w:w="851"/>
        <w:gridCol w:w="1417"/>
        <w:gridCol w:w="1134"/>
        <w:gridCol w:w="2127"/>
      </w:tblGrid>
      <w:tr w:rsidR="007F2C1C" w:rsidRPr="00FF044C" w:rsidTr="007F2C1C">
        <w:trPr>
          <w:cantSplit/>
          <w:trHeight w:val="471"/>
        </w:trPr>
        <w:tc>
          <w:tcPr>
            <w:tcW w:w="2410" w:type="dxa"/>
            <w:tcBorders>
              <w:bottom w:val="single" w:sz="4" w:space="0" w:color="auto"/>
            </w:tcBorders>
          </w:tcPr>
          <w:p w:rsidR="007F2C1C" w:rsidRPr="00FF044C" w:rsidRDefault="007F2C1C" w:rsidP="007F2C1C">
            <w:pPr>
              <w:keepNext/>
              <w:ind w:left="-108"/>
              <w:rPr>
                <w:rFonts w:ascii="Arial Narrow" w:hAnsi="Arial Narrow"/>
                <w:sz w:val="20"/>
              </w:rPr>
            </w:pPr>
            <w:r w:rsidRPr="00FF044C">
              <w:rPr>
                <w:rFonts w:ascii="Arial Narrow" w:hAnsi="Arial Narrow"/>
                <w:sz w:val="20"/>
              </w:rPr>
              <w:t>Name, Restriction,</w:t>
            </w:r>
          </w:p>
          <w:p w:rsidR="007F2C1C" w:rsidRPr="00FF044C" w:rsidRDefault="007F2C1C" w:rsidP="007F2C1C">
            <w:pPr>
              <w:keepNext/>
              <w:ind w:left="-108"/>
              <w:rPr>
                <w:rFonts w:ascii="Arial Narrow" w:hAnsi="Arial Narrow"/>
                <w:sz w:val="20"/>
              </w:rPr>
            </w:pPr>
            <w:r w:rsidRPr="00FF044C">
              <w:rPr>
                <w:rFonts w:ascii="Arial Narrow" w:hAnsi="Arial Narrow"/>
                <w:sz w:val="20"/>
              </w:rPr>
              <w:t>Manner of administration and form</w:t>
            </w:r>
          </w:p>
        </w:tc>
        <w:tc>
          <w:tcPr>
            <w:tcW w:w="992" w:type="dxa"/>
            <w:tcBorders>
              <w:bottom w:val="single" w:sz="4" w:space="0" w:color="auto"/>
            </w:tcBorders>
          </w:tcPr>
          <w:p w:rsidR="007F2C1C" w:rsidRPr="00FF044C" w:rsidRDefault="007F2C1C" w:rsidP="007F2C1C">
            <w:pPr>
              <w:keepNext/>
              <w:ind w:left="-108"/>
              <w:jc w:val="center"/>
              <w:rPr>
                <w:rFonts w:ascii="Arial Narrow" w:hAnsi="Arial Narrow"/>
                <w:sz w:val="20"/>
              </w:rPr>
            </w:pPr>
            <w:r w:rsidRPr="00FF044C">
              <w:rPr>
                <w:rFonts w:ascii="Arial Narrow" w:hAnsi="Arial Narrow"/>
                <w:sz w:val="20"/>
              </w:rPr>
              <w:t>Max.</w:t>
            </w:r>
          </w:p>
          <w:p w:rsidR="007F2C1C" w:rsidRPr="00FF044C" w:rsidRDefault="007F2C1C" w:rsidP="007F2C1C">
            <w:pPr>
              <w:keepNext/>
              <w:ind w:left="-108"/>
              <w:jc w:val="center"/>
              <w:rPr>
                <w:rFonts w:ascii="Arial Narrow" w:hAnsi="Arial Narrow"/>
                <w:sz w:val="20"/>
              </w:rPr>
            </w:pPr>
            <w:r w:rsidRPr="00FF044C">
              <w:rPr>
                <w:rFonts w:ascii="Arial Narrow" w:hAnsi="Arial Narrow"/>
                <w:sz w:val="20"/>
              </w:rPr>
              <w:t>Amount</w:t>
            </w:r>
          </w:p>
        </w:tc>
        <w:tc>
          <w:tcPr>
            <w:tcW w:w="851" w:type="dxa"/>
            <w:tcBorders>
              <w:bottom w:val="single" w:sz="4" w:space="0" w:color="auto"/>
            </w:tcBorders>
          </w:tcPr>
          <w:p w:rsidR="007F2C1C" w:rsidRPr="00FF044C" w:rsidRDefault="007F2C1C" w:rsidP="007F2C1C">
            <w:pPr>
              <w:keepNext/>
              <w:ind w:left="-108"/>
              <w:jc w:val="center"/>
              <w:rPr>
                <w:rFonts w:ascii="Arial Narrow" w:hAnsi="Arial Narrow"/>
                <w:sz w:val="20"/>
              </w:rPr>
            </w:pPr>
            <w:r w:rsidRPr="00FF044C">
              <w:rPr>
                <w:rFonts w:ascii="Arial Narrow" w:hAnsi="Arial Narrow"/>
                <w:sz w:val="20"/>
              </w:rPr>
              <w:t xml:space="preserve">№.of </w:t>
            </w:r>
            <w:proofErr w:type="spellStart"/>
            <w:r w:rsidRPr="00FF044C">
              <w:rPr>
                <w:rFonts w:ascii="Arial Narrow" w:hAnsi="Arial Narrow"/>
                <w:sz w:val="20"/>
              </w:rPr>
              <w:t>Rpts</w:t>
            </w:r>
            <w:proofErr w:type="spellEnd"/>
          </w:p>
        </w:tc>
        <w:tc>
          <w:tcPr>
            <w:tcW w:w="1417" w:type="dxa"/>
            <w:tcBorders>
              <w:bottom w:val="single" w:sz="4" w:space="0" w:color="auto"/>
            </w:tcBorders>
          </w:tcPr>
          <w:p w:rsidR="007F2C1C" w:rsidRPr="00FF044C" w:rsidRDefault="007F2C1C" w:rsidP="007F2C1C">
            <w:pPr>
              <w:keepNext/>
              <w:ind w:left="-108"/>
              <w:rPr>
                <w:rFonts w:ascii="Arial Narrow" w:hAnsi="Arial Narrow"/>
                <w:sz w:val="20"/>
              </w:rPr>
            </w:pPr>
            <w:r w:rsidRPr="003F278A">
              <w:rPr>
                <w:rFonts w:ascii="Arial Narrow" w:hAnsi="Arial Narrow"/>
                <w:sz w:val="20"/>
              </w:rPr>
              <w:t xml:space="preserve">Dispensed price for maximum </w:t>
            </w:r>
            <w:r>
              <w:rPr>
                <w:rFonts w:ascii="Arial Narrow" w:hAnsi="Arial Narrow"/>
                <w:sz w:val="20"/>
              </w:rPr>
              <w:t>amount (DPMA</w:t>
            </w:r>
            <w:r w:rsidRPr="003F278A">
              <w:rPr>
                <w:rFonts w:ascii="Arial Narrow" w:hAnsi="Arial Narrow"/>
                <w:sz w:val="20"/>
              </w:rPr>
              <w:t>)</w:t>
            </w:r>
          </w:p>
        </w:tc>
        <w:tc>
          <w:tcPr>
            <w:tcW w:w="3261" w:type="dxa"/>
            <w:gridSpan w:val="2"/>
            <w:tcBorders>
              <w:bottom w:val="single" w:sz="4" w:space="0" w:color="auto"/>
            </w:tcBorders>
          </w:tcPr>
          <w:p w:rsidR="007F2C1C" w:rsidRPr="00FF044C" w:rsidRDefault="007F2C1C" w:rsidP="007F2C1C">
            <w:pPr>
              <w:keepNext/>
              <w:jc w:val="center"/>
              <w:rPr>
                <w:rFonts w:ascii="Arial Narrow" w:hAnsi="Arial Narrow"/>
                <w:sz w:val="20"/>
              </w:rPr>
            </w:pPr>
            <w:r w:rsidRPr="00FF044C">
              <w:rPr>
                <w:rFonts w:ascii="Arial Narrow" w:hAnsi="Arial Narrow"/>
                <w:sz w:val="20"/>
              </w:rPr>
              <w:t>P</w:t>
            </w:r>
            <w:r>
              <w:rPr>
                <w:rFonts w:ascii="Arial Narrow" w:hAnsi="Arial Narrow"/>
                <w:sz w:val="20"/>
              </w:rPr>
              <w:t xml:space="preserve">roprietary  Name and        </w:t>
            </w:r>
            <w:r w:rsidRPr="00FF044C">
              <w:rPr>
                <w:rFonts w:ascii="Arial Narrow" w:hAnsi="Arial Narrow"/>
                <w:sz w:val="20"/>
              </w:rPr>
              <w:t xml:space="preserve"> </w:t>
            </w:r>
            <w:r>
              <w:rPr>
                <w:rFonts w:ascii="Arial Narrow" w:hAnsi="Arial Narrow"/>
                <w:sz w:val="20"/>
              </w:rPr>
              <w:br/>
            </w:r>
            <w:r w:rsidRPr="00FF044C">
              <w:rPr>
                <w:rFonts w:ascii="Arial Narrow" w:hAnsi="Arial Narrow"/>
                <w:sz w:val="20"/>
              </w:rPr>
              <w:t>Manufacturer</w:t>
            </w:r>
          </w:p>
        </w:tc>
      </w:tr>
      <w:tr w:rsidR="007F2C1C" w:rsidRPr="00FF044C" w:rsidTr="007F2C1C">
        <w:trPr>
          <w:cantSplit/>
          <w:trHeight w:val="577"/>
        </w:trPr>
        <w:tc>
          <w:tcPr>
            <w:tcW w:w="2410" w:type="dxa"/>
            <w:vAlign w:val="center"/>
          </w:tcPr>
          <w:p w:rsidR="007F2C1C" w:rsidRPr="00FF044C" w:rsidRDefault="007F2C1C" w:rsidP="007F2C1C">
            <w:pPr>
              <w:keepNext/>
              <w:ind w:left="-108"/>
              <w:jc w:val="center"/>
              <w:rPr>
                <w:rFonts w:ascii="Arial Narrow" w:hAnsi="Arial Narrow"/>
                <w:sz w:val="20"/>
              </w:rPr>
            </w:pPr>
            <w:r>
              <w:rPr>
                <w:rFonts w:ascii="Arial Narrow" w:hAnsi="Arial Narrow"/>
                <w:sz w:val="20"/>
              </w:rPr>
              <w:t>PEMBROLIZUMAB</w:t>
            </w:r>
          </w:p>
          <w:p w:rsidR="007F2C1C" w:rsidRPr="00FF044C" w:rsidRDefault="007F2C1C" w:rsidP="007F2C1C">
            <w:pPr>
              <w:keepNext/>
              <w:ind w:left="-108"/>
              <w:jc w:val="center"/>
              <w:rPr>
                <w:rFonts w:ascii="Arial Narrow" w:hAnsi="Arial Narrow"/>
                <w:sz w:val="20"/>
              </w:rPr>
            </w:pPr>
            <w:r>
              <w:rPr>
                <w:rFonts w:ascii="Arial Narrow" w:hAnsi="Arial Narrow"/>
                <w:sz w:val="20"/>
              </w:rPr>
              <w:t>5</w:t>
            </w:r>
            <w:r w:rsidRPr="005C2075">
              <w:rPr>
                <w:rFonts w:ascii="Arial Narrow" w:hAnsi="Arial Narrow"/>
                <w:sz w:val="20"/>
              </w:rPr>
              <w:t>0</w:t>
            </w:r>
            <w:r>
              <w:rPr>
                <w:rFonts w:ascii="Arial Narrow" w:hAnsi="Arial Narrow"/>
                <w:sz w:val="20"/>
              </w:rPr>
              <w:t> </w:t>
            </w:r>
            <w:r w:rsidRPr="005C2075">
              <w:rPr>
                <w:rFonts w:ascii="Arial Narrow" w:hAnsi="Arial Narrow"/>
                <w:sz w:val="20"/>
              </w:rPr>
              <w:t>mg vial for infusion,</w:t>
            </w:r>
            <w:r>
              <w:rPr>
                <w:rFonts w:ascii="Arial Narrow" w:hAnsi="Arial Narrow"/>
                <w:sz w:val="20"/>
              </w:rPr>
              <w:t xml:space="preserve"> 1</w:t>
            </w:r>
            <w:r w:rsidRPr="005C2075">
              <w:rPr>
                <w:rFonts w:ascii="Arial Narrow" w:hAnsi="Arial Narrow"/>
                <w:sz w:val="20"/>
              </w:rPr>
              <w:t xml:space="preserve"> 100</w:t>
            </w:r>
            <w:r>
              <w:rPr>
                <w:rFonts w:ascii="Arial Narrow" w:hAnsi="Arial Narrow"/>
                <w:sz w:val="20"/>
              </w:rPr>
              <w:t> </w:t>
            </w:r>
            <w:r w:rsidRPr="005C2075">
              <w:rPr>
                <w:rFonts w:ascii="Arial Narrow" w:hAnsi="Arial Narrow"/>
                <w:sz w:val="20"/>
              </w:rPr>
              <w:t>mg vial for infusion, 1</w:t>
            </w:r>
          </w:p>
        </w:tc>
        <w:tc>
          <w:tcPr>
            <w:tcW w:w="992" w:type="dxa"/>
            <w:vAlign w:val="center"/>
          </w:tcPr>
          <w:p w:rsidR="007F2C1C" w:rsidRPr="00FF044C" w:rsidRDefault="007F2C1C" w:rsidP="007F2C1C">
            <w:pPr>
              <w:keepNext/>
              <w:jc w:val="center"/>
              <w:rPr>
                <w:rFonts w:ascii="Arial Narrow" w:hAnsi="Arial Narrow"/>
                <w:strike/>
                <w:sz w:val="20"/>
              </w:rPr>
            </w:pPr>
            <w:r w:rsidRPr="00FF044C">
              <w:rPr>
                <w:rFonts w:ascii="Arial Narrow" w:hAnsi="Arial Narrow"/>
                <w:sz w:val="20"/>
              </w:rPr>
              <w:t>200</w:t>
            </w:r>
            <w:r>
              <w:rPr>
                <w:rFonts w:ascii="Arial Narrow" w:hAnsi="Arial Narrow"/>
                <w:sz w:val="20"/>
              </w:rPr>
              <w:t> </w:t>
            </w:r>
            <w:r w:rsidRPr="00FF044C">
              <w:rPr>
                <w:rFonts w:ascii="Arial Narrow" w:hAnsi="Arial Narrow"/>
                <w:sz w:val="20"/>
              </w:rPr>
              <w:t>mg</w:t>
            </w:r>
          </w:p>
        </w:tc>
        <w:tc>
          <w:tcPr>
            <w:tcW w:w="851" w:type="dxa"/>
            <w:vAlign w:val="center"/>
          </w:tcPr>
          <w:p w:rsidR="007F2C1C" w:rsidRPr="00FF044C" w:rsidRDefault="007F2C1C" w:rsidP="007F2C1C">
            <w:pPr>
              <w:keepNext/>
              <w:ind w:left="-108"/>
              <w:jc w:val="center"/>
              <w:rPr>
                <w:rFonts w:ascii="Arial Narrow" w:hAnsi="Arial Narrow"/>
                <w:sz w:val="20"/>
              </w:rPr>
            </w:pPr>
            <w:r>
              <w:rPr>
                <w:rFonts w:ascii="Arial Narrow" w:hAnsi="Arial Narrow"/>
                <w:sz w:val="20"/>
              </w:rPr>
              <w:t>6</w:t>
            </w:r>
          </w:p>
        </w:tc>
        <w:tc>
          <w:tcPr>
            <w:tcW w:w="1417" w:type="dxa"/>
            <w:vAlign w:val="center"/>
          </w:tcPr>
          <w:p w:rsidR="007F2C1C" w:rsidRPr="00AE5453" w:rsidRDefault="007F2C1C" w:rsidP="007F2C1C">
            <w:pPr>
              <w:keepNext/>
              <w:ind w:left="-108"/>
              <w:jc w:val="center"/>
              <w:rPr>
                <w:rFonts w:ascii="Arial Narrow" w:hAnsi="Arial Narrow"/>
                <w:i/>
                <w:sz w:val="20"/>
              </w:rPr>
            </w:pPr>
            <w:r w:rsidRPr="00AE5453">
              <w:rPr>
                <w:rFonts w:ascii="Arial Narrow" w:hAnsi="Arial Narrow"/>
                <w:i/>
                <w:sz w:val="20"/>
              </w:rPr>
              <w:t>To be confirmed</w:t>
            </w:r>
          </w:p>
        </w:tc>
        <w:tc>
          <w:tcPr>
            <w:tcW w:w="1134" w:type="dxa"/>
            <w:vAlign w:val="center"/>
          </w:tcPr>
          <w:p w:rsidR="007F2C1C" w:rsidRPr="00FF044C" w:rsidRDefault="007F2C1C" w:rsidP="007F2C1C">
            <w:pPr>
              <w:keepNext/>
              <w:jc w:val="center"/>
              <w:rPr>
                <w:rFonts w:ascii="Arial Narrow" w:hAnsi="Arial Narrow"/>
                <w:sz w:val="20"/>
              </w:rPr>
            </w:pPr>
            <w:proofErr w:type="spellStart"/>
            <w:r>
              <w:rPr>
                <w:rFonts w:ascii="Arial Narrow" w:hAnsi="Arial Narrow"/>
                <w:sz w:val="20"/>
              </w:rPr>
              <w:t>Keytruda</w:t>
            </w:r>
            <w:proofErr w:type="spellEnd"/>
            <w:r w:rsidRPr="00FF044C">
              <w:rPr>
                <w:rFonts w:ascii="Arial Narrow" w:hAnsi="Arial Narrow"/>
                <w:sz w:val="20"/>
                <w:vertAlign w:val="superscript"/>
              </w:rPr>
              <w:t>®</w:t>
            </w:r>
          </w:p>
        </w:tc>
        <w:tc>
          <w:tcPr>
            <w:tcW w:w="2127" w:type="dxa"/>
            <w:vAlign w:val="center"/>
          </w:tcPr>
          <w:p w:rsidR="007F2C1C" w:rsidRPr="00FF044C" w:rsidRDefault="007F2C1C" w:rsidP="007F2C1C">
            <w:pPr>
              <w:keepNext/>
              <w:jc w:val="center"/>
              <w:rPr>
                <w:rFonts w:ascii="Arial Narrow" w:hAnsi="Arial Narrow"/>
                <w:sz w:val="20"/>
              </w:rPr>
            </w:pPr>
            <w:r>
              <w:rPr>
                <w:rFonts w:ascii="Arial Narrow" w:hAnsi="Arial Narrow"/>
                <w:sz w:val="20"/>
              </w:rPr>
              <w:t>Merck Sharp and Dohme Pty Ltd</w:t>
            </w:r>
          </w:p>
        </w:tc>
      </w:tr>
      <w:tr w:rsidR="007F2C1C" w:rsidRPr="00FF044C"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Category / Program</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FF044C">
              <w:rPr>
                <w:rFonts w:ascii="Arial Narrow" w:hAnsi="Arial Narrow"/>
                <w:sz w:val="20"/>
              </w:rPr>
              <w:t>Section 100 – Efficient Funding of Chemotherapy</w:t>
            </w:r>
          </w:p>
        </w:tc>
      </w:tr>
      <w:tr w:rsidR="007F2C1C" w:rsidRPr="00FF044C" w:rsidTr="007F2C1C">
        <w:trPr>
          <w:cantSplit/>
          <w:trHeight w:val="582"/>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Prescriber type:</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Dental  </w:t>
            </w: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Medical Practitioners  </w:t>
            </w: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Nurse practitioners  </w:t>
            </w: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Optometrists</w:t>
            </w:r>
          </w:p>
          <w:p w:rsidR="007F2C1C" w:rsidRPr="00FF044C" w:rsidRDefault="007F2C1C" w:rsidP="007F2C1C">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Midwives</w:t>
            </w:r>
          </w:p>
        </w:tc>
      </w:tr>
      <w:tr w:rsidR="007F2C1C" w:rsidRPr="00FF044C" w:rsidTr="007F2C1C">
        <w:trPr>
          <w:cantSplit/>
          <w:trHeight w:val="241"/>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Severity:</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9231FB" w:rsidRDefault="007F2C1C" w:rsidP="007F2C1C">
            <w:pPr>
              <w:rPr>
                <w:rFonts w:ascii="Arial Narrow" w:hAnsi="Arial Narrow"/>
                <w:sz w:val="20"/>
              </w:rPr>
            </w:pPr>
            <w:r w:rsidRPr="009231FB">
              <w:rPr>
                <w:rFonts w:ascii="Arial Narrow" w:hAnsi="Arial Narrow"/>
                <w:sz w:val="20"/>
              </w:rPr>
              <w:t xml:space="preserve">Relapsed or </w:t>
            </w:r>
            <w:r>
              <w:rPr>
                <w:rFonts w:ascii="Arial Narrow" w:hAnsi="Arial Narrow"/>
                <w:sz w:val="20"/>
              </w:rPr>
              <w:t>r</w:t>
            </w:r>
            <w:r w:rsidRPr="009231FB">
              <w:rPr>
                <w:rFonts w:ascii="Arial Narrow" w:hAnsi="Arial Narrow"/>
                <w:sz w:val="20"/>
              </w:rPr>
              <w:t>efractory</w:t>
            </w:r>
          </w:p>
        </w:tc>
      </w:tr>
      <w:tr w:rsidR="007F2C1C" w:rsidRPr="00FF044C" w:rsidTr="007F2C1C">
        <w:trPr>
          <w:cantSplit/>
          <w:trHeight w:val="131"/>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Condition:</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9231FB" w:rsidRDefault="007F2C1C" w:rsidP="007F2C1C">
            <w:pPr>
              <w:rPr>
                <w:rFonts w:ascii="Arial Narrow" w:hAnsi="Arial Narrow"/>
                <w:sz w:val="20"/>
              </w:rPr>
            </w:pPr>
            <w:r w:rsidRPr="009231FB">
              <w:rPr>
                <w:rFonts w:ascii="Arial Narrow" w:hAnsi="Arial Narrow"/>
                <w:sz w:val="20"/>
              </w:rPr>
              <w:t>Hodgkin lymphoma</w:t>
            </w:r>
          </w:p>
        </w:tc>
      </w:tr>
      <w:tr w:rsidR="007F2C1C" w:rsidRPr="00FF044C" w:rsidTr="007F2C1C">
        <w:trPr>
          <w:cantSplit/>
          <w:trHeight w:val="177"/>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PBS Indication:</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9231FB" w:rsidRDefault="007F2C1C" w:rsidP="007F2C1C">
            <w:pPr>
              <w:rPr>
                <w:rFonts w:ascii="Arial Narrow" w:hAnsi="Arial Narrow"/>
                <w:sz w:val="20"/>
              </w:rPr>
            </w:pPr>
            <w:r w:rsidRPr="009231FB">
              <w:rPr>
                <w:rFonts w:ascii="Arial Narrow" w:hAnsi="Arial Narrow"/>
                <w:sz w:val="20"/>
              </w:rPr>
              <w:t xml:space="preserve">Relapsed or </w:t>
            </w:r>
            <w:r>
              <w:rPr>
                <w:rFonts w:ascii="Arial Narrow" w:hAnsi="Arial Narrow"/>
                <w:sz w:val="20"/>
              </w:rPr>
              <w:t>r</w:t>
            </w:r>
            <w:r w:rsidRPr="009231FB">
              <w:rPr>
                <w:rFonts w:ascii="Arial Narrow" w:hAnsi="Arial Narrow"/>
                <w:sz w:val="20"/>
              </w:rPr>
              <w:t>efractory Hodgkin lymphoma</w:t>
            </w:r>
          </w:p>
        </w:tc>
      </w:tr>
      <w:tr w:rsidR="007F2C1C" w:rsidRPr="00FF044C" w:rsidTr="007F2C1C">
        <w:trPr>
          <w:cantSplit/>
          <w:trHeight w:val="187"/>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Treatment phase:</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9231FB" w:rsidRDefault="007F2C1C" w:rsidP="007F2C1C">
            <w:pPr>
              <w:rPr>
                <w:rFonts w:ascii="Arial Narrow" w:hAnsi="Arial Narrow"/>
                <w:sz w:val="20"/>
              </w:rPr>
            </w:pPr>
            <w:r w:rsidRPr="009231FB">
              <w:rPr>
                <w:rFonts w:ascii="Arial Narrow" w:hAnsi="Arial Narrow"/>
                <w:sz w:val="20"/>
              </w:rPr>
              <w:t>Initial treatment</w:t>
            </w:r>
          </w:p>
        </w:tc>
      </w:tr>
      <w:tr w:rsidR="007F2C1C" w:rsidRPr="00FF044C" w:rsidTr="007F2C1C">
        <w:trPr>
          <w:cantSplit/>
          <w:trHeight w:val="427"/>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i/>
                <w:sz w:val="20"/>
              </w:rPr>
            </w:pPr>
            <w:r w:rsidRPr="00FF044C">
              <w:rPr>
                <w:rFonts w:ascii="Arial Narrow" w:hAnsi="Arial Narrow"/>
                <w:b/>
                <w:sz w:val="20"/>
              </w:rPr>
              <w:t>Restriction Level / Method:</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9F63E7" w:rsidRDefault="007F2C1C" w:rsidP="007F2C1C">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1"/>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Restricted benefit</w:t>
            </w:r>
          </w:p>
          <w:p w:rsidR="007F2C1C" w:rsidRPr="009F63E7" w:rsidRDefault="007F2C1C" w:rsidP="007F2C1C">
            <w:pPr>
              <w:widowControl w:val="0"/>
              <w:rPr>
                <w:rFonts w:ascii="Arial Narrow" w:hAnsi="Arial Narrow" w:cs="Arial"/>
                <w:snapToGrid w:val="0"/>
                <w:sz w:val="20"/>
                <w:szCs w:val="20"/>
              </w:rPr>
            </w:pPr>
            <w:r>
              <w:rPr>
                <w:rFonts w:ascii="Arial Narrow" w:hAnsi="Arial Narrow" w:cs="Arial"/>
                <w:snapToGrid w:val="0"/>
                <w:sz w:val="20"/>
                <w:szCs w:val="20"/>
              </w:rPr>
              <w:fldChar w:fldCharType="begin">
                <w:ffData>
                  <w:name w:val=""/>
                  <w:enabled/>
                  <w:calcOnExit w:val="0"/>
                  <w:checkBox>
                    <w:sizeAuto/>
                    <w:default w:val="1"/>
                  </w:checkBox>
                </w:ffData>
              </w:fldChar>
            </w:r>
            <w:r>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In Writing</w:t>
            </w:r>
          </w:p>
          <w:p w:rsidR="007F2C1C" w:rsidRPr="009F63E7" w:rsidRDefault="007F2C1C" w:rsidP="007F2C1C">
            <w:pPr>
              <w:widowControl w:val="0"/>
              <w:rPr>
                <w:rFonts w:ascii="Arial Narrow" w:hAnsi="Arial Narrow" w:cs="Arial"/>
                <w:snapToGrid w:val="0"/>
                <w:sz w:val="20"/>
                <w:szCs w:val="20"/>
              </w:rPr>
            </w:pPr>
            <w:r>
              <w:rPr>
                <w:rFonts w:ascii="Arial Narrow" w:hAnsi="Arial Narrow" w:cs="Arial"/>
                <w:snapToGrid w:val="0"/>
                <w:sz w:val="20"/>
                <w:szCs w:val="20"/>
              </w:rPr>
              <w:fldChar w:fldCharType="begin">
                <w:ffData>
                  <w:name w:val="Check3"/>
                  <w:enabled/>
                  <w:calcOnExit w:val="0"/>
                  <w:checkBox>
                    <w:sizeAuto/>
                    <w:default w:val="0"/>
                  </w:checkBox>
                </w:ffData>
              </w:fldChar>
            </w:r>
            <w:bookmarkStart w:id="30" w:name="Check3"/>
            <w:r>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Pr>
                <w:rFonts w:ascii="Arial Narrow" w:hAnsi="Arial Narrow" w:cs="Arial"/>
                <w:snapToGrid w:val="0"/>
                <w:sz w:val="20"/>
                <w:szCs w:val="20"/>
              </w:rPr>
              <w:fldChar w:fldCharType="end"/>
            </w:r>
            <w:bookmarkEnd w:id="30"/>
            <w:r w:rsidRPr="009F63E7">
              <w:rPr>
                <w:rFonts w:ascii="Arial Narrow" w:hAnsi="Arial Narrow" w:cs="Arial"/>
                <w:snapToGrid w:val="0"/>
                <w:sz w:val="20"/>
                <w:szCs w:val="20"/>
              </w:rPr>
              <w:t>Authority Required - Telephone</w:t>
            </w:r>
          </w:p>
          <w:p w:rsidR="007F2C1C" w:rsidRPr="009F63E7" w:rsidRDefault="007F2C1C" w:rsidP="007F2C1C">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1"/>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Emergency</w:t>
            </w:r>
          </w:p>
          <w:p w:rsidR="007F2C1C" w:rsidRPr="009F63E7" w:rsidRDefault="007F2C1C" w:rsidP="007F2C1C">
            <w:pPr>
              <w:widowControl w:val="0"/>
              <w:rPr>
                <w:rFonts w:ascii="Arial Narrow" w:hAnsi="Arial Narrow" w:cs="Arial"/>
                <w:snapToGrid w:val="0"/>
                <w:sz w:val="20"/>
                <w:szCs w:val="20"/>
              </w:rPr>
            </w:pPr>
            <w:r>
              <w:rPr>
                <w:rFonts w:ascii="Arial Narrow" w:hAnsi="Arial Narrow" w:cs="Arial"/>
                <w:snapToGrid w:val="0"/>
                <w:sz w:val="20"/>
                <w:szCs w:val="20"/>
              </w:rPr>
              <w:fldChar w:fldCharType="begin">
                <w:ffData>
                  <w:name w:val=""/>
                  <w:enabled/>
                  <w:calcOnExit w:val="0"/>
                  <w:checkBox>
                    <w:sizeAuto/>
                    <w:default w:val="0"/>
                  </w:checkBox>
                </w:ffData>
              </w:fldChar>
            </w:r>
            <w:r>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Electronic</w:t>
            </w:r>
          </w:p>
          <w:p w:rsidR="007F2C1C" w:rsidRPr="00FF044C" w:rsidRDefault="007F2C1C" w:rsidP="007F2C1C">
            <w:pPr>
              <w:rPr>
                <w:rFonts w:ascii="Arial Narrow" w:hAnsi="Arial Narrow"/>
                <w:sz w:val="20"/>
              </w:rPr>
            </w:pPr>
            <w:r w:rsidRPr="009F63E7">
              <w:rPr>
                <w:rFonts w:ascii="Arial Narrow" w:hAnsi="Arial Narrow" w:cs="Arial"/>
                <w:snapToGrid w:val="0"/>
                <w:sz w:val="20"/>
                <w:szCs w:val="20"/>
              </w:rPr>
              <w:fldChar w:fldCharType="begin">
                <w:ffData>
                  <w:name w:val="Check5"/>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Streamlined</w:t>
            </w:r>
          </w:p>
        </w:tc>
      </w:tr>
      <w:tr w:rsidR="007F2C1C" w:rsidRPr="00FF044C"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FF044C">
              <w:rPr>
                <w:rFonts w:ascii="Arial Narrow" w:hAnsi="Arial Narrow"/>
                <w:b/>
                <w:sz w:val="20"/>
              </w:rPr>
              <w:t>Clinical criteria:</w:t>
            </w:r>
          </w:p>
        </w:tc>
        <w:tc>
          <w:tcPr>
            <w:tcW w:w="6521" w:type="dxa"/>
            <w:gridSpan w:val="5"/>
            <w:tcBorders>
              <w:top w:val="single" w:sz="4" w:space="0" w:color="auto"/>
              <w:left w:val="single" w:sz="4" w:space="0" w:color="auto"/>
              <w:bottom w:val="single" w:sz="4" w:space="0" w:color="auto"/>
              <w:right w:val="single" w:sz="4" w:space="0" w:color="auto"/>
            </w:tcBorders>
          </w:tcPr>
          <w:p w:rsidR="007F2C1C" w:rsidRDefault="007F2C1C" w:rsidP="007F2C1C">
            <w:pPr>
              <w:rPr>
                <w:rFonts w:ascii="Arial Narrow" w:hAnsi="Arial Narrow"/>
                <w:sz w:val="20"/>
              </w:rPr>
            </w:pPr>
            <w:r w:rsidRPr="00FC564F">
              <w:rPr>
                <w:rFonts w:ascii="Arial Narrow" w:hAnsi="Arial Narrow"/>
                <w:iCs/>
                <w:sz w:val="20"/>
              </w:rPr>
              <w:t>P</w:t>
            </w:r>
            <w:r w:rsidRPr="00FC564F">
              <w:rPr>
                <w:rFonts w:ascii="Arial Narrow" w:hAnsi="Arial Narrow"/>
                <w:sz w:val="20"/>
              </w:rPr>
              <w:t>atient must have undergone an autologous stem cell transplant (ASCT) for this condition OR</w:t>
            </w:r>
            <w:r w:rsidRPr="00FC564F">
              <w:rPr>
                <w:rFonts w:ascii="Arial Narrow" w:hAnsi="Arial Narrow"/>
                <w:sz w:val="20"/>
              </w:rPr>
              <w:br/>
              <w:t xml:space="preserve">Patient must not be suitable for ASCT for this condition; </w:t>
            </w:r>
          </w:p>
          <w:p w:rsidR="007F2C1C" w:rsidRPr="00FC564F" w:rsidRDefault="007F2C1C" w:rsidP="007F2C1C">
            <w:pPr>
              <w:rPr>
                <w:rFonts w:ascii="Arial Narrow" w:hAnsi="Arial Narrow"/>
                <w:sz w:val="20"/>
              </w:rPr>
            </w:pPr>
            <w:r w:rsidRPr="00FC564F">
              <w:rPr>
                <w:rFonts w:ascii="Arial Narrow" w:hAnsi="Arial Narrow"/>
                <w:sz w:val="20"/>
              </w:rPr>
              <w:t>AND</w:t>
            </w:r>
          </w:p>
          <w:p w:rsidR="007F2C1C" w:rsidRPr="00FC564F" w:rsidRDefault="007F2C1C" w:rsidP="007F2C1C">
            <w:pPr>
              <w:rPr>
                <w:rFonts w:ascii="Arial Narrow" w:hAnsi="Arial Narrow"/>
                <w:sz w:val="20"/>
              </w:rPr>
            </w:pPr>
            <w:r w:rsidRPr="00FC564F">
              <w:rPr>
                <w:rFonts w:ascii="Arial Narrow" w:hAnsi="Arial Narrow"/>
                <w:sz w:val="20"/>
              </w:rPr>
              <w:t>Patient must have relapsed Hodgkin lymphoma following at least two prior treatments for this condition; OR</w:t>
            </w:r>
          </w:p>
          <w:p w:rsidR="007F2C1C" w:rsidRDefault="007F2C1C" w:rsidP="007F2C1C">
            <w:pPr>
              <w:rPr>
                <w:rFonts w:ascii="Arial Narrow" w:hAnsi="Arial Narrow"/>
                <w:sz w:val="20"/>
              </w:rPr>
            </w:pPr>
            <w:r w:rsidRPr="00FC564F">
              <w:rPr>
                <w:rFonts w:ascii="Arial Narrow" w:hAnsi="Arial Narrow"/>
                <w:sz w:val="20"/>
              </w:rPr>
              <w:t>Patient must have refractory Hodgkin lymphoma following at least two prior treatments for this condition</w:t>
            </w:r>
            <w:r>
              <w:rPr>
                <w:rFonts w:ascii="Arial Narrow" w:hAnsi="Arial Narrow"/>
                <w:sz w:val="20"/>
              </w:rPr>
              <w:t>;</w:t>
            </w:r>
          </w:p>
          <w:p w:rsidR="007F2C1C" w:rsidRPr="00FC564F" w:rsidRDefault="007F2C1C" w:rsidP="007F2C1C">
            <w:pPr>
              <w:rPr>
                <w:rFonts w:ascii="Arial Narrow" w:hAnsi="Arial Narrow"/>
                <w:sz w:val="20"/>
              </w:rPr>
            </w:pPr>
            <w:r w:rsidRPr="00FC564F">
              <w:rPr>
                <w:rFonts w:ascii="Arial Narrow" w:hAnsi="Arial Narrow"/>
                <w:sz w:val="20"/>
              </w:rPr>
              <w:t>AND</w:t>
            </w:r>
            <w:r w:rsidRPr="00FC564F">
              <w:rPr>
                <w:rFonts w:ascii="Arial Narrow" w:hAnsi="Arial Narrow"/>
                <w:sz w:val="20"/>
              </w:rPr>
              <w:br/>
              <w:t>Patient must not have received prior treatment with a PD-1 inhibitor for this condition AND</w:t>
            </w:r>
          </w:p>
          <w:p w:rsidR="007F2C1C" w:rsidRPr="000010B2" w:rsidRDefault="007F2C1C" w:rsidP="007F2C1C">
            <w:pPr>
              <w:rPr>
                <w:rFonts w:ascii="Arial Narrow" w:hAnsi="Arial Narrow"/>
                <w:i/>
                <w:sz w:val="20"/>
              </w:rPr>
            </w:pPr>
            <w:r w:rsidRPr="00FC564F">
              <w:rPr>
                <w:rFonts w:ascii="Arial Narrow" w:hAnsi="Arial Narrow"/>
                <w:sz w:val="20"/>
              </w:rPr>
              <w:t>The treatment must be the sole PBS-subsidised therapy for this condition</w:t>
            </w:r>
          </w:p>
        </w:tc>
      </w:tr>
      <w:tr w:rsidR="007F2C1C" w:rsidRPr="00FF044C"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FF044C">
              <w:rPr>
                <w:rFonts w:ascii="Arial Narrow" w:hAnsi="Arial Narrow"/>
                <w:b/>
                <w:sz w:val="20"/>
              </w:rPr>
              <w:t>Prescriber Instructions</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C564F" w:rsidRDefault="007F2C1C" w:rsidP="007F2C1C">
            <w:pPr>
              <w:keepNext/>
              <w:keepLines/>
              <w:rPr>
                <w:rFonts w:ascii="Arial Narrow" w:hAnsi="Arial Narrow"/>
                <w:sz w:val="20"/>
              </w:rPr>
            </w:pPr>
            <w:r w:rsidRPr="00FC564F">
              <w:rPr>
                <w:rFonts w:ascii="Arial Narrow" w:hAnsi="Arial Narrow"/>
                <w:sz w:val="20"/>
              </w:rPr>
              <w:t xml:space="preserve">Applications for authorisation of initial treatment must be in writing and must include: </w:t>
            </w:r>
          </w:p>
          <w:p w:rsidR="007F2C1C" w:rsidRPr="00FC564F" w:rsidRDefault="007F2C1C" w:rsidP="007F2C1C">
            <w:pPr>
              <w:keepNext/>
              <w:keepLines/>
              <w:rPr>
                <w:rFonts w:ascii="Arial Narrow" w:hAnsi="Arial Narrow"/>
                <w:sz w:val="20"/>
              </w:rPr>
            </w:pPr>
            <w:r w:rsidRPr="00FC564F">
              <w:rPr>
                <w:rFonts w:ascii="Arial Narrow" w:hAnsi="Arial Narrow"/>
                <w:sz w:val="20"/>
              </w:rPr>
              <w:t xml:space="preserve">(a) a completed authority prescription form; </w:t>
            </w:r>
          </w:p>
          <w:p w:rsidR="007F2C1C" w:rsidRPr="00FC564F" w:rsidRDefault="007F2C1C" w:rsidP="007F2C1C">
            <w:pPr>
              <w:keepNext/>
              <w:keepLines/>
              <w:rPr>
                <w:rFonts w:ascii="Arial Narrow" w:hAnsi="Arial Narrow"/>
                <w:sz w:val="20"/>
              </w:rPr>
            </w:pPr>
            <w:r w:rsidRPr="00FC564F">
              <w:rPr>
                <w:rFonts w:ascii="Arial Narrow" w:hAnsi="Arial Narrow"/>
                <w:sz w:val="20"/>
              </w:rPr>
              <w:t xml:space="preserve">(b) a completed Hodgkin lymphoma </w:t>
            </w:r>
            <w:proofErr w:type="spellStart"/>
            <w:r w:rsidRPr="00FC564F">
              <w:rPr>
                <w:rFonts w:ascii="Arial Narrow" w:hAnsi="Arial Narrow"/>
                <w:sz w:val="20"/>
              </w:rPr>
              <w:t>pembrolizumab</w:t>
            </w:r>
            <w:proofErr w:type="spellEnd"/>
            <w:r w:rsidRPr="00FC564F">
              <w:rPr>
                <w:rFonts w:ascii="Arial Narrow" w:hAnsi="Arial Narrow"/>
                <w:sz w:val="20"/>
              </w:rPr>
              <w:t xml:space="preserve"> PBS Authority Application; and</w:t>
            </w:r>
          </w:p>
          <w:p w:rsidR="007F2C1C" w:rsidRPr="00D3493C" w:rsidRDefault="007F2C1C" w:rsidP="007F2C1C">
            <w:pPr>
              <w:keepNext/>
              <w:keepLines/>
              <w:rPr>
                <w:rFonts w:ascii="Arial Narrow" w:hAnsi="Arial Narrow"/>
                <w:i/>
                <w:sz w:val="20"/>
              </w:rPr>
            </w:pPr>
            <w:r w:rsidRPr="00FC564F">
              <w:rPr>
                <w:rFonts w:ascii="Arial Narrow" w:hAnsi="Arial Narrow"/>
                <w:sz w:val="20"/>
              </w:rPr>
              <w:t xml:space="preserve">(c) </w:t>
            </w:r>
            <w:proofErr w:type="gramStart"/>
            <w:r w:rsidRPr="00FC564F">
              <w:rPr>
                <w:rFonts w:ascii="Arial Narrow" w:hAnsi="Arial Narrow"/>
                <w:sz w:val="20"/>
              </w:rPr>
              <w:t>a</w:t>
            </w:r>
            <w:proofErr w:type="gramEnd"/>
            <w:r w:rsidRPr="00FC564F">
              <w:rPr>
                <w:rFonts w:ascii="Arial Narrow" w:hAnsi="Arial Narrow"/>
                <w:sz w:val="20"/>
              </w:rPr>
              <w:t xml:space="preserve"> signed patient acknowledgement form.</w:t>
            </w:r>
          </w:p>
        </w:tc>
      </w:tr>
      <w:tr w:rsidR="007F2C1C" w:rsidRPr="00FF044C"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Administrative Advice</w:t>
            </w:r>
          </w:p>
          <w:p w:rsidR="007F2C1C" w:rsidRPr="00FF044C" w:rsidRDefault="007F2C1C" w:rsidP="007F2C1C">
            <w:pPr>
              <w:rPr>
                <w:rFonts w:ascii="Arial Narrow" w:hAnsi="Arial Narrow"/>
                <w:b/>
                <w:sz w:val="20"/>
              </w:rPr>
            </w:pPr>
          </w:p>
        </w:tc>
        <w:tc>
          <w:tcPr>
            <w:tcW w:w="6521" w:type="dxa"/>
            <w:gridSpan w:val="5"/>
            <w:tcBorders>
              <w:top w:val="single" w:sz="4" w:space="0" w:color="auto"/>
              <w:left w:val="single" w:sz="4" w:space="0" w:color="auto"/>
              <w:bottom w:val="single" w:sz="4" w:space="0" w:color="auto"/>
              <w:right w:val="single" w:sz="4" w:space="0" w:color="auto"/>
            </w:tcBorders>
          </w:tcPr>
          <w:p w:rsidR="007F2C1C" w:rsidRPr="009231FB" w:rsidRDefault="007F2C1C" w:rsidP="007F2C1C">
            <w:pPr>
              <w:keepNext/>
              <w:keepLines/>
              <w:rPr>
                <w:rFonts w:ascii="Arial Narrow" w:hAnsi="Arial Narrow"/>
                <w:sz w:val="20"/>
              </w:rPr>
            </w:pPr>
            <w:r w:rsidRPr="009231FB">
              <w:rPr>
                <w:rFonts w:ascii="Arial Narrow" w:hAnsi="Arial Narrow"/>
                <w:sz w:val="20"/>
              </w:rPr>
              <w:t xml:space="preserve">No increase in the maximum number of repeats may be authorised. </w:t>
            </w:r>
          </w:p>
          <w:p w:rsidR="007F2C1C" w:rsidRDefault="007F2C1C" w:rsidP="007F2C1C">
            <w:pPr>
              <w:keepNext/>
              <w:keepLines/>
              <w:rPr>
                <w:rFonts w:ascii="Arial Narrow" w:hAnsi="Arial Narrow"/>
                <w:sz w:val="20"/>
              </w:rPr>
            </w:pPr>
            <w:r w:rsidRPr="009231FB">
              <w:rPr>
                <w:rFonts w:ascii="Arial Narrow" w:hAnsi="Arial Narrow"/>
                <w:sz w:val="20"/>
              </w:rPr>
              <w:t>No increase in the maximum quantity or number of units may be authorised.</w:t>
            </w:r>
          </w:p>
          <w:p w:rsidR="007F2C1C" w:rsidRDefault="007F2C1C" w:rsidP="007F2C1C">
            <w:pPr>
              <w:rPr>
                <w:rFonts w:ascii="Arial Narrow" w:hAnsi="Arial Narrow"/>
                <w:sz w:val="20"/>
              </w:rPr>
            </w:pPr>
            <w:r>
              <w:rPr>
                <w:rFonts w:ascii="Arial Narrow" w:hAnsi="Arial Narrow"/>
                <w:sz w:val="20"/>
              </w:rPr>
              <w:t>Special Pricing arrangements apply.</w:t>
            </w:r>
          </w:p>
          <w:p w:rsidR="007F2C1C" w:rsidRDefault="007F2C1C" w:rsidP="007F2C1C">
            <w:pPr>
              <w:rPr>
                <w:rFonts w:ascii="Arial Narrow" w:hAnsi="Arial Narrow"/>
                <w:sz w:val="20"/>
              </w:rPr>
            </w:pPr>
          </w:p>
          <w:p w:rsidR="007F2C1C" w:rsidRPr="00D01616" w:rsidRDefault="007F2C1C" w:rsidP="007F2C1C">
            <w:pPr>
              <w:rPr>
                <w:rFonts w:ascii="Arial Narrow" w:hAnsi="Arial Narrow"/>
                <w:sz w:val="20"/>
              </w:rPr>
            </w:pPr>
            <w:r w:rsidRPr="00D0161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7F2C1C" w:rsidRPr="00D01616" w:rsidRDefault="007F2C1C" w:rsidP="007F2C1C">
            <w:pPr>
              <w:rPr>
                <w:rFonts w:ascii="Arial Narrow" w:hAnsi="Arial Narrow"/>
                <w:sz w:val="20"/>
              </w:rPr>
            </w:pPr>
          </w:p>
          <w:p w:rsidR="007F2C1C" w:rsidRPr="00D01616" w:rsidRDefault="007F2C1C" w:rsidP="007F2C1C">
            <w:pPr>
              <w:rPr>
                <w:rFonts w:ascii="Arial Narrow" w:hAnsi="Arial Narrow"/>
                <w:sz w:val="20"/>
              </w:rPr>
            </w:pPr>
            <w:r w:rsidRPr="00D01616">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7F2C1C" w:rsidRPr="00D01616" w:rsidRDefault="007F2C1C" w:rsidP="007F2C1C">
            <w:pPr>
              <w:rPr>
                <w:rFonts w:ascii="Arial Narrow" w:hAnsi="Arial Narrow"/>
                <w:sz w:val="20"/>
              </w:rPr>
            </w:pPr>
          </w:p>
          <w:p w:rsidR="007F2C1C" w:rsidRPr="00D01616" w:rsidRDefault="007F2C1C" w:rsidP="007F2C1C">
            <w:pPr>
              <w:rPr>
                <w:rFonts w:ascii="Arial Narrow" w:hAnsi="Arial Narrow"/>
                <w:sz w:val="20"/>
              </w:rPr>
            </w:pPr>
            <w:r w:rsidRPr="00D01616">
              <w:rPr>
                <w:rFonts w:ascii="Arial Narrow" w:hAnsi="Arial Narrow"/>
                <w:sz w:val="20"/>
              </w:rPr>
              <w:t xml:space="preserve">Applications for authority to prescribe should be forwarded to: </w:t>
            </w:r>
          </w:p>
          <w:p w:rsidR="007F2C1C" w:rsidRPr="00D01616" w:rsidRDefault="007F2C1C" w:rsidP="007F2C1C">
            <w:pPr>
              <w:rPr>
                <w:rFonts w:ascii="Arial Narrow" w:hAnsi="Arial Narrow"/>
                <w:sz w:val="20"/>
              </w:rPr>
            </w:pPr>
            <w:r w:rsidRPr="00D01616">
              <w:rPr>
                <w:rFonts w:ascii="Arial Narrow" w:hAnsi="Arial Narrow"/>
                <w:sz w:val="20"/>
              </w:rPr>
              <w:t>Department of Human Services</w:t>
            </w:r>
          </w:p>
          <w:p w:rsidR="007F2C1C" w:rsidRPr="00D01616" w:rsidRDefault="007F2C1C" w:rsidP="007F2C1C">
            <w:pPr>
              <w:rPr>
                <w:rFonts w:ascii="Arial Narrow" w:hAnsi="Arial Narrow"/>
                <w:sz w:val="20"/>
              </w:rPr>
            </w:pPr>
            <w:r w:rsidRPr="00D01616">
              <w:rPr>
                <w:rFonts w:ascii="Arial Narrow" w:hAnsi="Arial Narrow"/>
                <w:sz w:val="20"/>
              </w:rPr>
              <w:t xml:space="preserve">Prior Written Approval of Complex Drugs </w:t>
            </w:r>
          </w:p>
          <w:p w:rsidR="007F2C1C" w:rsidRPr="00D01616" w:rsidRDefault="007F2C1C" w:rsidP="007F2C1C">
            <w:pPr>
              <w:rPr>
                <w:rFonts w:ascii="Arial Narrow" w:hAnsi="Arial Narrow"/>
                <w:sz w:val="20"/>
              </w:rPr>
            </w:pPr>
            <w:r w:rsidRPr="00D01616">
              <w:rPr>
                <w:rFonts w:ascii="Arial Narrow" w:hAnsi="Arial Narrow"/>
                <w:sz w:val="20"/>
              </w:rPr>
              <w:t xml:space="preserve">Reply Paid 9826 </w:t>
            </w:r>
          </w:p>
          <w:p w:rsidR="007F2C1C" w:rsidRPr="00D01616" w:rsidRDefault="007F2C1C" w:rsidP="007F2C1C">
            <w:pPr>
              <w:rPr>
                <w:rFonts w:ascii="Arial Narrow" w:hAnsi="Arial Narrow"/>
                <w:sz w:val="20"/>
              </w:rPr>
            </w:pPr>
            <w:r w:rsidRPr="00D01616">
              <w:rPr>
                <w:rFonts w:ascii="Arial Narrow" w:hAnsi="Arial Narrow"/>
                <w:sz w:val="20"/>
              </w:rPr>
              <w:t xml:space="preserve">GPO Box 9826 </w:t>
            </w:r>
          </w:p>
          <w:p w:rsidR="007F2C1C" w:rsidRPr="00FC564F" w:rsidRDefault="007F2C1C" w:rsidP="007F2C1C">
            <w:pPr>
              <w:keepNext/>
              <w:keepLines/>
              <w:rPr>
                <w:rFonts w:ascii="Arial Narrow" w:hAnsi="Arial Narrow"/>
                <w:sz w:val="20"/>
              </w:rPr>
            </w:pPr>
            <w:r w:rsidRPr="00D01616">
              <w:rPr>
                <w:rFonts w:ascii="Arial Narrow" w:hAnsi="Arial Narrow"/>
                <w:sz w:val="20"/>
              </w:rPr>
              <w:t>HOBART TAS 7001</w:t>
            </w:r>
          </w:p>
        </w:tc>
      </w:tr>
    </w:tbl>
    <w:p w:rsidR="007F2C1C" w:rsidRPr="00FF044C" w:rsidRDefault="007F2C1C" w:rsidP="007F2C1C"/>
    <w:tbl>
      <w:tblPr>
        <w:tblW w:w="8931" w:type="dxa"/>
        <w:tblInd w:w="108" w:type="dxa"/>
        <w:tblLayout w:type="fixed"/>
        <w:tblLook w:val="0000" w:firstRow="0" w:lastRow="0" w:firstColumn="0" w:lastColumn="0" w:noHBand="0" w:noVBand="0"/>
      </w:tblPr>
      <w:tblGrid>
        <w:gridCol w:w="2410"/>
        <w:gridCol w:w="851"/>
        <w:gridCol w:w="708"/>
        <w:gridCol w:w="1843"/>
        <w:gridCol w:w="1134"/>
        <w:gridCol w:w="1985"/>
      </w:tblGrid>
      <w:tr w:rsidR="007F2C1C" w:rsidRPr="00FF044C" w:rsidTr="007F2C1C">
        <w:trPr>
          <w:cantSplit/>
          <w:trHeight w:val="471"/>
        </w:trPr>
        <w:tc>
          <w:tcPr>
            <w:tcW w:w="2410" w:type="dxa"/>
            <w:tcBorders>
              <w:bottom w:val="single" w:sz="4" w:space="0" w:color="auto"/>
            </w:tcBorders>
          </w:tcPr>
          <w:p w:rsidR="007F2C1C" w:rsidRPr="00FF044C" w:rsidRDefault="007F2C1C" w:rsidP="007F2C1C">
            <w:pPr>
              <w:keepNext/>
              <w:ind w:left="-108"/>
              <w:rPr>
                <w:rFonts w:ascii="Arial Narrow" w:hAnsi="Arial Narrow"/>
                <w:sz w:val="20"/>
              </w:rPr>
            </w:pPr>
            <w:r w:rsidRPr="00FF044C">
              <w:rPr>
                <w:rFonts w:ascii="Arial Narrow" w:hAnsi="Arial Narrow"/>
                <w:sz w:val="20"/>
              </w:rPr>
              <w:t>Name, Restriction,</w:t>
            </w:r>
          </w:p>
          <w:p w:rsidR="007F2C1C" w:rsidRPr="00FF044C" w:rsidRDefault="007F2C1C" w:rsidP="007F2C1C">
            <w:pPr>
              <w:keepNext/>
              <w:ind w:left="-108"/>
              <w:rPr>
                <w:rFonts w:ascii="Arial Narrow" w:hAnsi="Arial Narrow"/>
                <w:sz w:val="20"/>
              </w:rPr>
            </w:pPr>
            <w:r w:rsidRPr="00FF044C">
              <w:rPr>
                <w:rFonts w:ascii="Arial Narrow" w:hAnsi="Arial Narrow"/>
                <w:sz w:val="20"/>
              </w:rPr>
              <w:t>Manner of administration and form</w:t>
            </w:r>
          </w:p>
        </w:tc>
        <w:tc>
          <w:tcPr>
            <w:tcW w:w="851" w:type="dxa"/>
            <w:tcBorders>
              <w:bottom w:val="single" w:sz="4" w:space="0" w:color="auto"/>
            </w:tcBorders>
          </w:tcPr>
          <w:p w:rsidR="007F2C1C" w:rsidRPr="00FF044C" w:rsidRDefault="007F2C1C" w:rsidP="007F2C1C">
            <w:pPr>
              <w:keepNext/>
              <w:ind w:left="-108"/>
              <w:jc w:val="center"/>
              <w:rPr>
                <w:rFonts w:ascii="Arial Narrow" w:hAnsi="Arial Narrow"/>
                <w:sz w:val="20"/>
              </w:rPr>
            </w:pPr>
            <w:r w:rsidRPr="00FF044C">
              <w:rPr>
                <w:rFonts w:ascii="Arial Narrow" w:hAnsi="Arial Narrow"/>
                <w:sz w:val="20"/>
              </w:rPr>
              <w:t>Max.</w:t>
            </w:r>
          </w:p>
          <w:p w:rsidR="007F2C1C" w:rsidRPr="00FF044C" w:rsidRDefault="007F2C1C" w:rsidP="007F2C1C">
            <w:pPr>
              <w:keepNext/>
              <w:ind w:left="-108"/>
              <w:jc w:val="center"/>
              <w:rPr>
                <w:rFonts w:ascii="Arial Narrow" w:hAnsi="Arial Narrow"/>
                <w:sz w:val="20"/>
              </w:rPr>
            </w:pPr>
            <w:r w:rsidRPr="00FF044C">
              <w:rPr>
                <w:rFonts w:ascii="Arial Narrow" w:hAnsi="Arial Narrow"/>
                <w:sz w:val="20"/>
              </w:rPr>
              <w:t>Amount</w:t>
            </w:r>
          </w:p>
        </w:tc>
        <w:tc>
          <w:tcPr>
            <w:tcW w:w="708" w:type="dxa"/>
            <w:tcBorders>
              <w:bottom w:val="single" w:sz="4" w:space="0" w:color="auto"/>
            </w:tcBorders>
          </w:tcPr>
          <w:p w:rsidR="007F2C1C" w:rsidRPr="00FF044C" w:rsidRDefault="007F2C1C" w:rsidP="007F2C1C">
            <w:pPr>
              <w:keepNext/>
              <w:ind w:left="-108"/>
              <w:jc w:val="center"/>
              <w:rPr>
                <w:rFonts w:ascii="Arial Narrow" w:hAnsi="Arial Narrow"/>
                <w:sz w:val="20"/>
              </w:rPr>
            </w:pPr>
            <w:r w:rsidRPr="00FF044C">
              <w:rPr>
                <w:rFonts w:ascii="Arial Narrow" w:hAnsi="Arial Narrow"/>
                <w:sz w:val="20"/>
              </w:rPr>
              <w:t xml:space="preserve">№.of </w:t>
            </w:r>
            <w:proofErr w:type="spellStart"/>
            <w:r w:rsidRPr="00FF044C">
              <w:rPr>
                <w:rFonts w:ascii="Arial Narrow" w:hAnsi="Arial Narrow"/>
                <w:sz w:val="20"/>
              </w:rPr>
              <w:t>Rpts</w:t>
            </w:r>
            <w:proofErr w:type="spellEnd"/>
          </w:p>
        </w:tc>
        <w:tc>
          <w:tcPr>
            <w:tcW w:w="1843" w:type="dxa"/>
            <w:tcBorders>
              <w:bottom w:val="single" w:sz="4" w:space="0" w:color="auto"/>
            </w:tcBorders>
          </w:tcPr>
          <w:p w:rsidR="007F2C1C" w:rsidRPr="00FF044C" w:rsidRDefault="007F2C1C" w:rsidP="007F2C1C">
            <w:pPr>
              <w:keepNext/>
              <w:ind w:left="-108"/>
              <w:jc w:val="center"/>
              <w:rPr>
                <w:rFonts w:ascii="Arial Narrow" w:hAnsi="Arial Narrow"/>
                <w:sz w:val="20"/>
              </w:rPr>
            </w:pPr>
            <w:r w:rsidRPr="003F278A">
              <w:rPr>
                <w:rFonts w:ascii="Arial Narrow" w:hAnsi="Arial Narrow"/>
                <w:sz w:val="20"/>
              </w:rPr>
              <w:t xml:space="preserve">Dispensed price for maximum </w:t>
            </w:r>
            <w:r>
              <w:rPr>
                <w:rFonts w:ascii="Arial Narrow" w:hAnsi="Arial Narrow"/>
                <w:sz w:val="20"/>
              </w:rPr>
              <w:t>amount (DPMA</w:t>
            </w:r>
            <w:r w:rsidRPr="003F278A">
              <w:rPr>
                <w:rFonts w:ascii="Arial Narrow" w:hAnsi="Arial Narrow"/>
                <w:sz w:val="20"/>
              </w:rPr>
              <w:t>)</w:t>
            </w:r>
          </w:p>
        </w:tc>
        <w:tc>
          <w:tcPr>
            <w:tcW w:w="3119" w:type="dxa"/>
            <w:gridSpan w:val="2"/>
            <w:tcBorders>
              <w:bottom w:val="single" w:sz="4" w:space="0" w:color="auto"/>
            </w:tcBorders>
          </w:tcPr>
          <w:p w:rsidR="007F2C1C" w:rsidRPr="00FF044C" w:rsidRDefault="007F2C1C" w:rsidP="007F2C1C">
            <w:pPr>
              <w:keepNext/>
              <w:jc w:val="center"/>
              <w:rPr>
                <w:rFonts w:ascii="Arial Narrow" w:hAnsi="Arial Narrow"/>
                <w:sz w:val="20"/>
              </w:rPr>
            </w:pPr>
            <w:r w:rsidRPr="00FF044C">
              <w:rPr>
                <w:rFonts w:ascii="Arial Narrow" w:hAnsi="Arial Narrow"/>
                <w:sz w:val="20"/>
              </w:rPr>
              <w:t>Propriet</w:t>
            </w:r>
            <w:r>
              <w:rPr>
                <w:rFonts w:ascii="Arial Narrow" w:hAnsi="Arial Narrow"/>
                <w:sz w:val="20"/>
              </w:rPr>
              <w:t xml:space="preserve">ary Name and           </w:t>
            </w:r>
            <w:r>
              <w:rPr>
                <w:rFonts w:ascii="Arial Narrow" w:hAnsi="Arial Narrow"/>
                <w:sz w:val="20"/>
              </w:rPr>
              <w:br/>
              <w:t xml:space="preserve">     </w:t>
            </w:r>
            <w:r w:rsidRPr="00FF044C">
              <w:rPr>
                <w:rFonts w:ascii="Arial Narrow" w:hAnsi="Arial Narrow"/>
                <w:sz w:val="20"/>
              </w:rPr>
              <w:t>Manufacturer</w:t>
            </w:r>
          </w:p>
        </w:tc>
      </w:tr>
      <w:tr w:rsidR="007F2C1C" w:rsidRPr="00FF044C" w:rsidTr="007F2C1C">
        <w:trPr>
          <w:cantSplit/>
          <w:trHeight w:val="577"/>
        </w:trPr>
        <w:tc>
          <w:tcPr>
            <w:tcW w:w="2410" w:type="dxa"/>
            <w:tcBorders>
              <w:top w:val="single" w:sz="4" w:space="0" w:color="auto"/>
            </w:tcBorders>
            <w:vAlign w:val="center"/>
          </w:tcPr>
          <w:p w:rsidR="007F2C1C" w:rsidRPr="00FF044C" w:rsidRDefault="007F2C1C" w:rsidP="007F2C1C">
            <w:pPr>
              <w:keepNext/>
              <w:ind w:left="-108"/>
              <w:rPr>
                <w:rFonts w:ascii="Arial Narrow" w:hAnsi="Arial Narrow"/>
                <w:sz w:val="20"/>
              </w:rPr>
            </w:pPr>
            <w:r>
              <w:rPr>
                <w:rFonts w:ascii="Arial Narrow" w:hAnsi="Arial Narrow"/>
                <w:sz w:val="20"/>
              </w:rPr>
              <w:t>PEMBROLIZUMAB</w:t>
            </w:r>
          </w:p>
          <w:p w:rsidR="007F2C1C" w:rsidRPr="00FF044C" w:rsidRDefault="007F2C1C" w:rsidP="007F2C1C">
            <w:pPr>
              <w:keepNext/>
              <w:ind w:left="-108"/>
              <w:rPr>
                <w:rFonts w:ascii="Arial Narrow" w:hAnsi="Arial Narrow"/>
                <w:sz w:val="20"/>
              </w:rPr>
            </w:pPr>
            <w:r>
              <w:rPr>
                <w:rFonts w:ascii="Arial Narrow" w:hAnsi="Arial Narrow"/>
                <w:sz w:val="20"/>
              </w:rPr>
              <w:t>5</w:t>
            </w:r>
            <w:r w:rsidRPr="005C2075">
              <w:rPr>
                <w:rFonts w:ascii="Arial Narrow" w:hAnsi="Arial Narrow"/>
                <w:sz w:val="20"/>
              </w:rPr>
              <w:t>0</w:t>
            </w:r>
            <w:r>
              <w:rPr>
                <w:rFonts w:ascii="Arial Narrow" w:hAnsi="Arial Narrow"/>
                <w:sz w:val="20"/>
              </w:rPr>
              <w:t> </w:t>
            </w:r>
            <w:r w:rsidRPr="005C2075">
              <w:rPr>
                <w:rFonts w:ascii="Arial Narrow" w:hAnsi="Arial Narrow"/>
                <w:sz w:val="20"/>
              </w:rPr>
              <w:t>mg vial for infusion,</w:t>
            </w:r>
            <w:r>
              <w:rPr>
                <w:rFonts w:ascii="Arial Narrow" w:hAnsi="Arial Narrow"/>
                <w:sz w:val="20"/>
              </w:rPr>
              <w:t xml:space="preserve"> 1</w:t>
            </w:r>
            <w:r w:rsidRPr="005C2075">
              <w:rPr>
                <w:rFonts w:ascii="Arial Narrow" w:hAnsi="Arial Narrow"/>
                <w:sz w:val="20"/>
              </w:rPr>
              <w:t xml:space="preserve"> 100</w:t>
            </w:r>
            <w:r>
              <w:rPr>
                <w:rFonts w:ascii="Arial Narrow" w:hAnsi="Arial Narrow"/>
                <w:sz w:val="20"/>
              </w:rPr>
              <w:t> </w:t>
            </w:r>
            <w:r w:rsidRPr="005C2075">
              <w:rPr>
                <w:rFonts w:ascii="Arial Narrow" w:hAnsi="Arial Narrow"/>
                <w:sz w:val="20"/>
              </w:rPr>
              <w:t>mg vial for infusion, 1</w:t>
            </w:r>
          </w:p>
        </w:tc>
        <w:tc>
          <w:tcPr>
            <w:tcW w:w="851" w:type="dxa"/>
            <w:tcBorders>
              <w:top w:val="single" w:sz="4" w:space="0" w:color="auto"/>
            </w:tcBorders>
            <w:vAlign w:val="center"/>
          </w:tcPr>
          <w:p w:rsidR="007F2C1C" w:rsidRPr="00FF044C" w:rsidRDefault="007F2C1C" w:rsidP="007F2C1C">
            <w:pPr>
              <w:keepNext/>
              <w:jc w:val="center"/>
              <w:rPr>
                <w:rFonts w:ascii="Arial Narrow" w:hAnsi="Arial Narrow"/>
                <w:sz w:val="20"/>
              </w:rPr>
            </w:pPr>
            <w:r w:rsidRPr="00FF044C">
              <w:rPr>
                <w:rFonts w:ascii="Arial Narrow" w:hAnsi="Arial Narrow"/>
                <w:sz w:val="20"/>
              </w:rPr>
              <w:t>200</w:t>
            </w:r>
            <w:r>
              <w:rPr>
                <w:rFonts w:ascii="Arial Narrow" w:hAnsi="Arial Narrow"/>
                <w:sz w:val="20"/>
              </w:rPr>
              <w:t> </w:t>
            </w:r>
            <w:r w:rsidRPr="00FF044C">
              <w:rPr>
                <w:rFonts w:ascii="Arial Narrow" w:hAnsi="Arial Narrow"/>
                <w:sz w:val="20"/>
              </w:rPr>
              <w:t>mg</w:t>
            </w:r>
          </w:p>
        </w:tc>
        <w:tc>
          <w:tcPr>
            <w:tcW w:w="708" w:type="dxa"/>
            <w:tcBorders>
              <w:top w:val="single" w:sz="4" w:space="0" w:color="auto"/>
            </w:tcBorders>
            <w:vAlign w:val="center"/>
          </w:tcPr>
          <w:p w:rsidR="007F2C1C" w:rsidRPr="00FF044C" w:rsidRDefault="007F2C1C" w:rsidP="007F2C1C">
            <w:pPr>
              <w:keepNext/>
              <w:jc w:val="center"/>
              <w:rPr>
                <w:rFonts w:ascii="Arial Narrow" w:hAnsi="Arial Narrow"/>
                <w:sz w:val="20"/>
              </w:rPr>
            </w:pPr>
            <w:r>
              <w:rPr>
                <w:rFonts w:ascii="Arial Narrow" w:hAnsi="Arial Narrow"/>
                <w:sz w:val="20"/>
              </w:rPr>
              <w:t>6</w:t>
            </w:r>
          </w:p>
        </w:tc>
        <w:tc>
          <w:tcPr>
            <w:tcW w:w="1843" w:type="dxa"/>
            <w:tcBorders>
              <w:top w:val="single" w:sz="4" w:space="0" w:color="auto"/>
            </w:tcBorders>
            <w:vAlign w:val="center"/>
          </w:tcPr>
          <w:p w:rsidR="007F2C1C" w:rsidRPr="00FF044C" w:rsidRDefault="007F2C1C" w:rsidP="007F2C1C">
            <w:pPr>
              <w:keepNext/>
              <w:ind w:left="-108"/>
              <w:jc w:val="center"/>
              <w:rPr>
                <w:rFonts w:ascii="Arial Narrow" w:hAnsi="Arial Narrow"/>
                <w:sz w:val="20"/>
              </w:rPr>
            </w:pPr>
            <w:r w:rsidRPr="00473509">
              <w:rPr>
                <w:rFonts w:ascii="Arial Narrow" w:hAnsi="Arial Narrow"/>
                <w:sz w:val="20"/>
              </w:rPr>
              <w:t>To be confirmed</w:t>
            </w:r>
          </w:p>
        </w:tc>
        <w:tc>
          <w:tcPr>
            <w:tcW w:w="1134" w:type="dxa"/>
            <w:tcBorders>
              <w:top w:val="single" w:sz="4" w:space="0" w:color="auto"/>
            </w:tcBorders>
            <w:vAlign w:val="center"/>
          </w:tcPr>
          <w:p w:rsidR="007F2C1C" w:rsidRPr="00FF044C" w:rsidRDefault="007F2C1C" w:rsidP="007F2C1C">
            <w:pPr>
              <w:keepNext/>
              <w:jc w:val="center"/>
              <w:rPr>
                <w:rFonts w:ascii="Arial Narrow" w:hAnsi="Arial Narrow"/>
                <w:sz w:val="20"/>
              </w:rPr>
            </w:pPr>
            <w:proofErr w:type="spellStart"/>
            <w:r>
              <w:rPr>
                <w:rFonts w:ascii="Arial Narrow" w:hAnsi="Arial Narrow"/>
                <w:sz w:val="20"/>
              </w:rPr>
              <w:t>Keytruda</w:t>
            </w:r>
            <w:proofErr w:type="spellEnd"/>
            <w:r w:rsidRPr="00473509">
              <w:rPr>
                <w:rFonts w:ascii="Arial Narrow" w:hAnsi="Arial Narrow"/>
                <w:sz w:val="20"/>
              </w:rPr>
              <w:t>®</w:t>
            </w:r>
          </w:p>
        </w:tc>
        <w:tc>
          <w:tcPr>
            <w:tcW w:w="1985" w:type="dxa"/>
            <w:tcBorders>
              <w:top w:val="single" w:sz="4" w:space="0" w:color="auto"/>
            </w:tcBorders>
            <w:vAlign w:val="center"/>
          </w:tcPr>
          <w:p w:rsidR="007F2C1C" w:rsidRPr="00FF044C" w:rsidRDefault="007F2C1C" w:rsidP="007F2C1C">
            <w:pPr>
              <w:keepNext/>
              <w:jc w:val="center"/>
              <w:rPr>
                <w:rFonts w:ascii="Arial Narrow" w:hAnsi="Arial Narrow"/>
                <w:sz w:val="20"/>
              </w:rPr>
            </w:pPr>
            <w:r>
              <w:rPr>
                <w:rFonts w:ascii="Arial Narrow" w:hAnsi="Arial Narrow"/>
                <w:sz w:val="20"/>
              </w:rPr>
              <w:t>Merck Sharp and Dohme Pty Ltd</w:t>
            </w:r>
          </w:p>
        </w:tc>
      </w:tr>
      <w:tr w:rsidR="007F2C1C" w:rsidRPr="00FF044C"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Category / Program</w:t>
            </w:r>
            <w:r>
              <w:rPr>
                <w:rFonts w:ascii="Arial Narrow" w:hAnsi="Arial Narrow"/>
                <w:b/>
                <w:sz w:val="20"/>
              </w:rPr>
              <w:t>:</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FF044C">
              <w:rPr>
                <w:rFonts w:ascii="Arial Narrow" w:hAnsi="Arial Narrow"/>
                <w:sz w:val="20"/>
              </w:rPr>
              <w:t>Section 100 – Efficient Funding of Chemotherapy</w:t>
            </w:r>
          </w:p>
        </w:tc>
      </w:tr>
      <w:tr w:rsidR="007F2C1C" w:rsidRPr="00FF044C"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Prescriber type:</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FF044C">
              <w:rPr>
                <w:rFonts w:ascii="Arial Narrow" w:hAnsi="Arial Narrow"/>
                <w:sz w:val="20"/>
              </w:rPr>
              <w:fldChar w:fldCharType="begin">
                <w:ffData>
                  <w:name w:val="Check1"/>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Dental  </w:t>
            </w:r>
            <w:r w:rsidRPr="00FF044C">
              <w:rPr>
                <w:rFonts w:ascii="Arial Narrow" w:hAnsi="Arial Narrow"/>
                <w:sz w:val="20"/>
              </w:rPr>
              <w:fldChar w:fldCharType="begin">
                <w:ffData>
                  <w:name w:val=""/>
                  <w:enabled/>
                  <w:calcOnExit w:val="0"/>
                  <w:checkBox>
                    <w:sizeAuto/>
                    <w:default w:val="1"/>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Medical Practitioners  </w:t>
            </w:r>
            <w:r w:rsidRPr="00FF044C">
              <w:rPr>
                <w:rFonts w:ascii="Arial Narrow" w:hAnsi="Arial Narrow"/>
                <w:sz w:val="20"/>
              </w:rPr>
              <w:fldChar w:fldCharType="begin">
                <w:ffData>
                  <w:name w:val="Check3"/>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 xml:space="preserve">Nurse practitioners  </w:t>
            </w:r>
            <w:r w:rsidRPr="00FF044C">
              <w:rPr>
                <w:rFonts w:ascii="Arial Narrow" w:hAnsi="Arial Narrow"/>
                <w:sz w:val="20"/>
              </w:rPr>
              <w:fldChar w:fldCharType="begin">
                <w:ffData>
                  <w:name w:val=""/>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Optometrists</w:t>
            </w:r>
          </w:p>
          <w:p w:rsidR="007F2C1C" w:rsidRPr="00FF044C" w:rsidRDefault="007F2C1C" w:rsidP="007F2C1C">
            <w:pPr>
              <w:rPr>
                <w:rFonts w:ascii="Arial Narrow" w:hAnsi="Arial Narrow"/>
                <w:sz w:val="20"/>
              </w:rPr>
            </w:pPr>
            <w:r w:rsidRPr="00FF044C">
              <w:rPr>
                <w:rFonts w:ascii="Arial Narrow" w:hAnsi="Arial Narrow"/>
                <w:sz w:val="20"/>
              </w:rPr>
              <w:fldChar w:fldCharType="begin">
                <w:ffData>
                  <w:name w:val="Check5"/>
                  <w:enabled/>
                  <w:calcOnExit w:val="0"/>
                  <w:checkBox>
                    <w:sizeAuto/>
                    <w:default w:val="0"/>
                  </w:checkBox>
                </w:ffData>
              </w:fldChar>
            </w:r>
            <w:r w:rsidRPr="00FF044C">
              <w:rPr>
                <w:rFonts w:ascii="Arial Narrow" w:hAnsi="Arial Narrow"/>
                <w:sz w:val="20"/>
              </w:rPr>
              <w:instrText xml:space="preserve"> FORMCHECKBOX </w:instrText>
            </w:r>
            <w:r w:rsidR="001D2138">
              <w:rPr>
                <w:rFonts w:ascii="Arial Narrow" w:hAnsi="Arial Narrow"/>
                <w:sz w:val="20"/>
              </w:rPr>
            </w:r>
            <w:r w:rsidR="001D2138">
              <w:rPr>
                <w:rFonts w:ascii="Arial Narrow" w:hAnsi="Arial Narrow"/>
                <w:sz w:val="20"/>
              </w:rPr>
              <w:fldChar w:fldCharType="separate"/>
            </w:r>
            <w:r w:rsidRPr="00FF044C">
              <w:rPr>
                <w:rFonts w:ascii="Arial Narrow" w:hAnsi="Arial Narrow"/>
                <w:sz w:val="20"/>
              </w:rPr>
              <w:fldChar w:fldCharType="end"/>
            </w:r>
            <w:r w:rsidRPr="00FF044C">
              <w:rPr>
                <w:rFonts w:ascii="Arial Narrow" w:hAnsi="Arial Narrow"/>
                <w:sz w:val="20"/>
              </w:rPr>
              <w:t>Midwives</w:t>
            </w:r>
          </w:p>
        </w:tc>
      </w:tr>
      <w:tr w:rsidR="007F2C1C" w:rsidRPr="00FF044C" w:rsidTr="007F2C1C">
        <w:trPr>
          <w:cantSplit/>
          <w:trHeight w:val="237"/>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Severity:</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9231FB">
              <w:rPr>
                <w:rFonts w:ascii="Arial Narrow" w:hAnsi="Arial Narrow"/>
                <w:sz w:val="20"/>
              </w:rPr>
              <w:t xml:space="preserve">Relapsed or </w:t>
            </w:r>
            <w:r>
              <w:rPr>
                <w:rFonts w:ascii="Arial Narrow" w:hAnsi="Arial Narrow"/>
                <w:sz w:val="20"/>
              </w:rPr>
              <w:t>r</w:t>
            </w:r>
            <w:r w:rsidRPr="009231FB">
              <w:rPr>
                <w:rFonts w:ascii="Arial Narrow" w:hAnsi="Arial Narrow"/>
                <w:sz w:val="20"/>
              </w:rPr>
              <w:t>efractory</w:t>
            </w:r>
          </w:p>
        </w:tc>
      </w:tr>
      <w:tr w:rsidR="007F2C1C" w:rsidRPr="00FF044C" w:rsidTr="007F2C1C">
        <w:trPr>
          <w:cantSplit/>
          <w:trHeight w:val="269"/>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Condition:</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9231FB">
              <w:rPr>
                <w:rFonts w:ascii="Arial Narrow" w:hAnsi="Arial Narrow"/>
                <w:sz w:val="20"/>
              </w:rPr>
              <w:t>Hodgkin lymphoma</w:t>
            </w:r>
          </w:p>
        </w:tc>
      </w:tr>
      <w:tr w:rsidR="007F2C1C" w:rsidRPr="00FF044C" w:rsidTr="007F2C1C">
        <w:trPr>
          <w:cantSplit/>
          <w:trHeight w:val="273"/>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FF044C">
              <w:rPr>
                <w:rFonts w:ascii="Arial Narrow" w:hAnsi="Arial Narrow"/>
                <w:b/>
                <w:sz w:val="20"/>
              </w:rPr>
              <w:t>PBS Indication:</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9231FB">
              <w:rPr>
                <w:rFonts w:ascii="Arial Narrow" w:hAnsi="Arial Narrow"/>
                <w:sz w:val="20"/>
              </w:rPr>
              <w:t xml:space="preserve">Relapsed or </w:t>
            </w:r>
            <w:r>
              <w:rPr>
                <w:rFonts w:ascii="Arial Narrow" w:hAnsi="Arial Narrow"/>
                <w:sz w:val="20"/>
              </w:rPr>
              <w:t>r</w:t>
            </w:r>
            <w:r w:rsidRPr="009231FB">
              <w:rPr>
                <w:rFonts w:ascii="Arial Narrow" w:hAnsi="Arial Narrow"/>
                <w:sz w:val="20"/>
              </w:rPr>
              <w:t>efractory Hodgkin lymphoma</w:t>
            </w:r>
          </w:p>
        </w:tc>
      </w:tr>
      <w:tr w:rsidR="007F2C1C" w:rsidRPr="00FF044C" w:rsidTr="007F2C1C">
        <w:trPr>
          <w:cantSplit/>
          <w:trHeight w:val="277"/>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i/>
                <w:sz w:val="20"/>
              </w:rPr>
            </w:pPr>
            <w:r w:rsidRPr="00FF044C">
              <w:rPr>
                <w:rFonts w:ascii="Arial Narrow" w:hAnsi="Arial Narrow"/>
                <w:b/>
                <w:sz w:val="20"/>
              </w:rPr>
              <w:t>Treatment phase:</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FF044C">
              <w:rPr>
                <w:rFonts w:ascii="Arial Narrow" w:hAnsi="Arial Narrow"/>
                <w:sz w:val="20"/>
              </w:rPr>
              <w:t>Continuing treatment</w:t>
            </w:r>
          </w:p>
        </w:tc>
      </w:tr>
      <w:tr w:rsidR="007F2C1C" w:rsidRPr="00FF044C"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i/>
                <w:sz w:val="20"/>
              </w:rPr>
            </w:pPr>
            <w:r w:rsidRPr="00FF044C">
              <w:rPr>
                <w:rFonts w:ascii="Arial Narrow" w:hAnsi="Arial Narrow"/>
                <w:b/>
                <w:sz w:val="20"/>
              </w:rPr>
              <w:t>Restriction Level / Method:</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9F63E7" w:rsidRDefault="007F2C1C" w:rsidP="007F2C1C">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1"/>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Restricted benefit</w:t>
            </w:r>
          </w:p>
          <w:p w:rsidR="007F2C1C" w:rsidRPr="009F63E7" w:rsidRDefault="007F2C1C" w:rsidP="007F2C1C">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In Writing</w:t>
            </w:r>
          </w:p>
          <w:p w:rsidR="007F2C1C" w:rsidRPr="009F63E7" w:rsidRDefault="007F2C1C" w:rsidP="007F2C1C">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3"/>
                  <w:enabled/>
                  <w:calcOnExit w:val="0"/>
                  <w:checkBox>
                    <w:sizeAuto/>
                    <w:default w:val="1"/>
                  </w:checkBox>
                </w:ffData>
              </w:fldChar>
            </w:r>
            <w:r w:rsidRPr="009F63E7">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Telephone</w:t>
            </w:r>
          </w:p>
          <w:p w:rsidR="007F2C1C" w:rsidRPr="009F63E7" w:rsidRDefault="007F2C1C" w:rsidP="007F2C1C">
            <w:pPr>
              <w:widowControl w:val="0"/>
              <w:rPr>
                <w:rFonts w:ascii="Arial Narrow" w:hAnsi="Arial Narrow" w:cs="Arial"/>
                <w:snapToGrid w:val="0"/>
                <w:sz w:val="20"/>
                <w:szCs w:val="20"/>
              </w:rPr>
            </w:pPr>
            <w:r w:rsidRPr="009F63E7">
              <w:rPr>
                <w:rFonts w:ascii="Arial Narrow" w:hAnsi="Arial Narrow" w:cs="Arial"/>
                <w:snapToGrid w:val="0"/>
                <w:sz w:val="20"/>
                <w:szCs w:val="20"/>
              </w:rPr>
              <w:fldChar w:fldCharType="begin">
                <w:ffData>
                  <w:name w:val="Check1"/>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Emergency</w:t>
            </w:r>
          </w:p>
          <w:p w:rsidR="007F2C1C" w:rsidRPr="009F63E7" w:rsidRDefault="007F2C1C" w:rsidP="007F2C1C">
            <w:pPr>
              <w:widowControl w:val="0"/>
              <w:rPr>
                <w:rFonts w:ascii="Arial Narrow" w:hAnsi="Arial Narrow" w:cs="Arial"/>
                <w:snapToGrid w:val="0"/>
                <w:sz w:val="20"/>
                <w:szCs w:val="20"/>
              </w:rPr>
            </w:pPr>
            <w:r>
              <w:rPr>
                <w:rFonts w:ascii="Arial Narrow" w:hAnsi="Arial Narrow" w:cs="Arial"/>
                <w:snapToGrid w:val="0"/>
                <w:sz w:val="20"/>
                <w:szCs w:val="20"/>
              </w:rPr>
              <w:fldChar w:fldCharType="begin">
                <w:ffData>
                  <w:name w:val=""/>
                  <w:enabled/>
                  <w:calcOnExit w:val="0"/>
                  <w:checkBox>
                    <w:sizeAuto/>
                    <w:default w:val="0"/>
                  </w:checkBox>
                </w:ffData>
              </w:fldChar>
            </w:r>
            <w:r>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Pr>
                <w:rFonts w:ascii="Arial Narrow" w:hAnsi="Arial Narrow" w:cs="Arial"/>
                <w:snapToGrid w:val="0"/>
                <w:sz w:val="20"/>
                <w:szCs w:val="20"/>
              </w:rPr>
              <w:fldChar w:fldCharType="end"/>
            </w:r>
            <w:r w:rsidRPr="009F63E7">
              <w:rPr>
                <w:rFonts w:ascii="Arial Narrow" w:hAnsi="Arial Narrow" w:cs="Arial"/>
                <w:snapToGrid w:val="0"/>
                <w:sz w:val="20"/>
                <w:szCs w:val="20"/>
              </w:rPr>
              <w:t>Authority Required - Electronic</w:t>
            </w:r>
          </w:p>
          <w:p w:rsidR="007F2C1C" w:rsidRPr="00FF044C" w:rsidRDefault="007F2C1C" w:rsidP="007F2C1C">
            <w:pPr>
              <w:rPr>
                <w:rFonts w:ascii="Arial Narrow" w:hAnsi="Arial Narrow"/>
                <w:sz w:val="20"/>
              </w:rPr>
            </w:pPr>
            <w:r w:rsidRPr="009F63E7">
              <w:rPr>
                <w:rFonts w:ascii="Arial Narrow" w:hAnsi="Arial Narrow" w:cs="Arial"/>
                <w:snapToGrid w:val="0"/>
                <w:sz w:val="20"/>
                <w:szCs w:val="20"/>
              </w:rPr>
              <w:fldChar w:fldCharType="begin">
                <w:ffData>
                  <w:name w:val="Check5"/>
                  <w:enabled/>
                  <w:calcOnExit w:val="0"/>
                  <w:checkBox>
                    <w:sizeAuto/>
                    <w:default w:val="0"/>
                  </w:checkBox>
                </w:ffData>
              </w:fldChar>
            </w:r>
            <w:r w:rsidRPr="009F63E7">
              <w:rPr>
                <w:rFonts w:ascii="Arial Narrow" w:hAnsi="Arial Narrow" w:cs="Arial"/>
                <w:snapToGrid w:val="0"/>
                <w:sz w:val="20"/>
                <w:szCs w:val="20"/>
              </w:rPr>
              <w:instrText xml:space="preserve"> FORMCHECKBOX </w:instrText>
            </w:r>
            <w:r w:rsidR="001D2138">
              <w:rPr>
                <w:rFonts w:ascii="Arial Narrow" w:hAnsi="Arial Narrow" w:cs="Arial"/>
                <w:snapToGrid w:val="0"/>
                <w:sz w:val="20"/>
                <w:szCs w:val="20"/>
              </w:rPr>
            </w:r>
            <w:r w:rsidR="001D2138">
              <w:rPr>
                <w:rFonts w:ascii="Arial Narrow" w:hAnsi="Arial Narrow" w:cs="Arial"/>
                <w:snapToGrid w:val="0"/>
                <w:sz w:val="20"/>
                <w:szCs w:val="20"/>
              </w:rPr>
              <w:fldChar w:fldCharType="separate"/>
            </w:r>
            <w:r w:rsidRPr="009F63E7">
              <w:rPr>
                <w:rFonts w:ascii="Arial Narrow" w:hAnsi="Arial Narrow" w:cs="Arial"/>
                <w:snapToGrid w:val="0"/>
                <w:sz w:val="20"/>
                <w:szCs w:val="20"/>
              </w:rPr>
              <w:fldChar w:fldCharType="end"/>
            </w:r>
            <w:r w:rsidRPr="009F63E7">
              <w:rPr>
                <w:rFonts w:ascii="Arial Narrow" w:hAnsi="Arial Narrow" w:cs="Arial"/>
                <w:snapToGrid w:val="0"/>
                <w:sz w:val="20"/>
                <w:szCs w:val="20"/>
              </w:rPr>
              <w:t>Streamlined</w:t>
            </w:r>
          </w:p>
        </w:tc>
      </w:tr>
      <w:tr w:rsidR="007F2C1C" w:rsidRPr="009231FB"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FF044C">
              <w:rPr>
                <w:rFonts w:ascii="Arial Narrow" w:hAnsi="Arial Narrow"/>
                <w:b/>
                <w:sz w:val="20"/>
              </w:rPr>
              <w:t>Clinical criteria:</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C564F" w:rsidRDefault="007F2C1C" w:rsidP="007F2C1C">
            <w:pPr>
              <w:rPr>
                <w:rFonts w:ascii="Arial Narrow" w:hAnsi="Arial Narrow"/>
                <w:sz w:val="20"/>
              </w:rPr>
            </w:pPr>
            <w:r w:rsidRPr="00FC564F">
              <w:rPr>
                <w:rFonts w:ascii="Arial Narrow" w:hAnsi="Arial Narrow"/>
                <w:sz w:val="20"/>
              </w:rPr>
              <w:t>Patient must have previously received PBS-subsidised treatment with this drug for this condition</w:t>
            </w:r>
          </w:p>
          <w:p w:rsidR="007F2C1C" w:rsidRPr="00FC564F" w:rsidRDefault="007F2C1C" w:rsidP="007F2C1C">
            <w:pPr>
              <w:rPr>
                <w:rFonts w:ascii="Arial Narrow" w:hAnsi="Arial Narrow"/>
                <w:sz w:val="20"/>
              </w:rPr>
            </w:pPr>
            <w:r w:rsidRPr="00FC564F">
              <w:rPr>
                <w:rFonts w:ascii="Arial Narrow" w:hAnsi="Arial Narrow"/>
                <w:sz w:val="20"/>
              </w:rPr>
              <w:t>AND</w:t>
            </w:r>
          </w:p>
          <w:p w:rsidR="007F2C1C" w:rsidRPr="009231FB" w:rsidRDefault="007F2C1C" w:rsidP="007F2C1C">
            <w:pPr>
              <w:rPr>
                <w:rFonts w:ascii="Arial Narrow" w:hAnsi="Arial Narrow"/>
                <w:sz w:val="20"/>
              </w:rPr>
            </w:pPr>
            <w:r w:rsidRPr="00FC564F">
              <w:rPr>
                <w:rFonts w:ascii="Arial Narrow" w:hAnsi="Arial Narrow"/>
                <w:sz w:val="20"/>
              </w:rPr>
              <w:t>Patient must not have progressive disease while receiving PBS-subsidised treatment with this drug for this condition.</w:t>
            </w:r>
          </w:p>
        </w:tc>
      </w:tr>
      <w:tr w:rsidR="007F2C1C" w:rsidRPr="009231FB"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CF3D88">
              <w:rPr>
                <w:rFonts w:ascii="Arial Narrow" w:hAnsi="Arial Narrow"/>
                <w:b/>
                <w:sz w:val="20"/>
              </w:rPr>
              <w:t>Prescriber Instructions</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sz w:val="20"/>
              </w:rPr>
            </w:pPr>
            <w:r w:rsidRPr="00FF044C">
              <w:rPr>
                <w:rFonts w:ascii="Arial Narrow" w:hAnsi="Arial Narrow"/>
                <w:sz w:val="20"/>
              </w:rPr>
              <w:t xml:space="preserve">Authority applications for continuing treatment may be made by telephone to the Department of Human Services on 1800 700 270 (hours of operation 8 a.m. to 5 p.m. EST Monday to Friday). </w:t>
            </w:r>
          </w:p>
          <w:p w:rsidR="007F2C1C" w:rsidRDefault="007F2C1C" w:rsidP="007F2C1C">
            <w:pPr>
              <w:rPr>
                <w:rFonts w:ascii="Arial Narrow" w:hAnsi="Arial Narrow"/>
                <w:sz w:val="20"/>
              </w:rPr>
            </w:pPr>
          </w:p>
          <w:p w:rsidR="007F2C1C" w:rsidRPr="00C952AB" w:rsidRDefault="007F2C1C" w:rsidP="007F2C1C">
            <w:pPr>
              <w:rPr>
                <w:rFonts w:ascii="Arial Narrow" w:hAnsi="Arial Narrow"/>
                <w:i/>
                <w:sz w:val="20"/>
              </w:rPr>
            </w:pPr>
            <w:r w:rsidRPr="009231FB">
              <w:rPr>
                <w:rFonts w:ascii="Arial Narrow" w:hAnsi="Arial Narrow"/>
                <w:sz w:val="20"/>
              </w:rPr>
              <w:t xml:space="preserve">The treatment must not exceed a total of </w:t>
            </w:r>
            <w:r>
              <w:rPr>
                <w:rFonts w:ascii="Arial Narrow" w:hAnsi="Arial Narrow"/>
                <w:sz w:val="20"/>
              </w:rPr>
              <w:t>35</w:t>
            </w:r>
            <w:r w:rsidRPr="009231FB">
              <w:rPr>
                <w:rFonts w:ascii="Arial Narrow" w:hAnsi="Arial Narrow"/>
                <w:sz w:val="20"/>
              </w:rPr>
              <w:t xml:space="preserve"> cycles in a lifetime</w:t>
            </w:r>
            <w:r>
              <w:rPr>
                <w:rFonts w:ascii="Arial Narrow" w:hAnsi="Arial Narrow"/>
                <w:sz w:val="20"/>
              </w:rPr>
              <w:t>.</w:t>
            </w:r>
          </w:p>
        </w:tc>
      </w:tr>
      <w:tr w:rsidR="007F2C1C" w:rsidRPr="009231FB" w:rsidTr="007F2C1C">
        <w:trPr>
          <w:cantSplit/>
          <w:trHeight w:val="360"/>
        </w:trPr>
        <w:tc>
          <w:tcPr>
            <w:tcW w:w="2410" w:type="dxa"/>
            <w:tcBorders>
              <w:top w:val="single" w:sz="4" w:space="0" w:color="auto"/>
              <w:left w:val="single" w:sz="4" w:space="0" w:color="auto"/>
              <w:bottom w:val="single" w:sz="4" w:space="0" w:color="auto"/>
              <w:right w:val="single" w:sz="4" w:space="0" w:color="auto"/>
            </w:tcBorders>
          </w:tcPr>
          <w:p w:rsidR="007F2C1C" w:rsidRPr="00FF044C" w:rsidRDefault="007F2C1C" w:rsidP="007F2C1C">
            <w:pPr>
              <w:rPr>
                <w:rFonts w:ascii="Arial Narrow" w:hAnsi="Arial Narrow"/>
                <w:b/>
                <w:sz w:val="20"/>
              </w:rPr>
            </w:pPr>
            <w:r w:rsidRPr="00CF3D88">
              <w:rPr>
                <w:rFonts w:ascii="Arial Narrow" w:hAnsi="Arial Narrow"/>
                <w:b/>
                <w:sz w:val="20"/>
              </w:rPr>
              <w:t>Administrative Advice</w:t>
            </w:r>
          </w:p>
        </w:tc>
        <w:tc>
          <w:tcPr>
            <w:tcW w:w="6521" w:type="dxa"/>
            <w:gridSpan w:val="5"/>
            <w:tcBorders>
              <w:top w:val="single" w:sz="4" w:space="0" w:color="auto"/>
              <w:left w:val="single" w:sz="4" w:space="0" w:color="auto"/>
              <w:bottom w:val="single" w:sz="4" w:space="0" w:color="auto"/>
              <w:right w:val="single" w:sz="4" w:space="0" w:color="auto"/>
            </w:tcBorders>
          </w:tcPr>
          <w:p w:rsidR="007F2C1C" w:rsidRPr="006C7DB3" w:rsidRDefault="007F2C1C" w:rsidP="007F2C1C">
            <w:pPr>
              <w:rPr>
                <w:rFonts w:ascii="Arial Narrow" w:hAnsi="Arial Narrow"/>
                <w:sz w:val="20"/>
              </w:rPr>
            </w:pPr>
            <w:r w:rsidRPr="006C7DB3">
              <w:rPr>
                <w:rFonts w:ascii="Arial Narrow" w:hAnsi="Arial Narrow"/>
                <w:sz w:val="20"/>
              </w:rPr>
              <w:t xml:space="preserve">No increase in the maximum number of repeats may be authorised. </w:t>
            </w:r>
          </w:p>
          <w:p w:rsidR="007F2C1C" w:rsidRDefault="007F2C1C" w:rsidP="007F2C1C">
            <w:r w:rsidRPr="006C7DB3">
              <w:rPr>
                <w:rFonts w:ascii="Arial Narrow" w:hAnsi="Arial Narrow"/>
                <w:sz w:val="20"/>
              </w:rPr>
              <w:t>No increase in the maximum quantity or number of units may be authorised</w:t>
            </w:r>
            <w:r>
              <w:t xml:space="preserve"> </w:t>
            </w:r>
          </w:p>
          <w:p w:rsidR="007F2C1C" w:rsidRPr="00C952AB" w:rsidRDefault="007F2C1C" w:rsidP="007F2C1C">
            <w:pPr>
              <w:rPr>
                <w:rFonts w:ascii="Arial Narrow" w:hAnsi="Arial Narrow"/>
                <w:i/>
                <w:sz w:val="20"/>
              </w:rPr>
            </w:pPr>
            <w:r w:rsidRPr="00854EB0">
              <w:rPr>
                <w:rFonts w:ascii="Arial Narrow" w:hAnsi="Arial Narrow"/>
                <w:sz w:val="20"/>
              </w:rPr>
              <w:t>Special Pricing Arrangements apply</w:t>
            </w:r>
          </w:p>
        </w:tc>
      </w:tr>
    </w:tbl>
    <w:p w:rsidR="002A159D" w:rsidRDefault="002A159D" w:rsidP="00553E7A">
      <w:pPr>
        <w:spacing w:before="0" w:after="120"/>
        <w:rPr>
          <w:rFonts w:ascii="Calibri" w:eastAsia="Times New Roman" w:hAnsi="Calibri" w:cs="Arial"/>
          <w:bCs/>
          <w:snapToGrid w:val="0"/>
          <w:szCs w:val="24"/>
          <w:lang w:val="en-GB"/>
        </w:rPr>
      </w:pPr>
    </w:p>
    <w:p w:rsidR="002A159D" w:rsidRPr="002A159D" w:rsidRDefault="002A159D" w:rsidP="002A159D">
      <w:pPr>
        <w:pStyle w:val="Heading1"/>
        <w:ind w:left="709" w:hanging="709"/>
      </w:pPr>
      <w:r w:rsidRPr="002A159D">
        <w:t>Context for Decision</w:t>
      </w:r>
    </w:p>
    <w:p w:rsidR="002A159D" w:rsidRPr="00440A84" w:rsidRDefault="002A159D" w:rsidP="002A159D">
      <w:pPr>
        <w:spacing w:after="0"/>
        <w:rPr>
          <w:rFonts w:cs="Arial"/>
          <w:szCs w:val="24"/>
        </w:rPr>
      </w:pPr>
      <w:r w:rsidRPr="00440A84">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A159D" w:rsidRPr="002A159D" w:rsidRDefault="002A159D" w:rsidP="002A159D">
      <w:pPr>
        <w:pStyle w:val="Heading1"/>
        <w:ind w:left="709" w:hanging="709"/>
      </w:pPr>
      <w:r w:rsidRPr="002A159D">
        <w:t>Sponsor’s Comment</w:t>
      </w:r>
    </w:p>
    <w:p w:rsidR="002A159D" w:rsidRPr="007F2C1C" w:rsidRDefault="00606022" w:rsidP="00606022">
      <w:pPr>
        <w:spacing w:after="120"/>
        <w:rPr>
          <w:rFonts w:cs="Arial"/>
          <w:bCs/>
          <w:szCs w:val="24"/>
        </w:rPr>
      </w:pPr>
      <w:r w:rsidRPr="00606022">
        <w:rPr>
          <w:rFonts w:cs="Arial"/>
          <w:bCs/>
          <w:szCs w:val="24"/>
          <w:lang w:val="en-GB"/>
        </w:rPr>
        <w:t xml:space="preserve">MSD is pleased that the PBAC has recommended </w:t>
      </w:r>
      <w:proofErr w:type="spellStart"/>
      <w:r w:rsidRPr="00606022">
        <w:rPr>
          <w:rFonts w:cs="Arial"/>
          <w:bCs/>
          <w:szCs w:val="24"/>
          <w:lang w:val="en-GB"/>
        </w:rPr>
        <w:t>pembrolizumab</w:t>
      </w:r>
      <w:proofErr w:type="spellEnd"/>
      <w:r w:rsidRPr="00606022">
        <w:rPr>
          <w:rFonts w:cs="Arial"/>
          <w:bCs/>
          <w:szCs w:val="24"/>
          <w:lang w:val="en-GB"/>
        </w:rPr>
        <w:t xml:space="preserve"> for patients with relapsed or refractory </w:t>
      </w:r>
      <w:r w:rsidR="00AC4EF5">
        <w:rPr>
          <w:rFonts w:cs="Arial"/>
          <w:bCs/>
          <w:szCs w:val="24"/>
          <w:lang w:val="en-GB"/>
        </w:rPr>
        <w:t xml:space="preserve">classical Hodgkin’s Lymphoma. </w:t>
      </w:r>
      <w:r w:rsidRPr="00606022">
        <w:rPr>
          <w:rFonts w:cs="Arial"/>
          <w:bCs/>
          <w:szCs w:val="24"/>
          <w:lang w:val="en-GB"/>
        </w:rPr>
        <w:t xml:space="preserve">MSD looks forward to working with the Department to </w:t>
      </w:r>
      <w:r w:rsidRPr="006A5FE6">
        <w:rPr>
          <w:rFonts w:ascii="Calibri" w:eastAsia="Calibri" w:hAnsi="Calibri" w:cs="Arial"/>
          <w:bCs/>
          <w:szCs w:val="24"/>
          <w:lang w:val="en-GB"/>
        </w:rPr>
        <w:t>enable</w:t>
      </w:r>
      <w:r w:rsidRPr="006A5FE6">
        <w:rPr>
          <w:rFonts w:cs="Arial"/>
          <w:bCs/>
          <w:szCs w:val="24"/>
          <w:lang w:val="en-GB"/>
        </w:rPr>
        <w:t xml:space="preserve"> patients to access </w:t>
      </w:r>
      <w:proofErr w:type="spellStart"/>
      <w:r w:rsidRPr="006A5FE6">
        <w:rPr>
          <w:rFonts w:cs="Arial"/>
          <w:bCs/>
          <w:szCs w:val="24"/>
          <w:lang w:val="en-GB"/>
        </w:rPr>
        <w:t>pembrolizumab</w:t>
      </w:r>
      <w:proofErr w:type="spellEnd"/>
      <w:r w:rsidRPr="006A5FE6">
        <w:rPr>
          <w:rFonts w:cs="Arial"/>
          <w:bCs/>
          <w:szCs w:val="24"/>
          <w:lang w:val="en-GB"/>
        </w:rPr>
        <w:t xml:space="preserve"> as soon as possible.</w:t>
      </w:r>
    </w:p>
    <w:sectPr w:rsidR="002A159D" w:rsidRPr="007F2C1C" w:rsidSect="004C537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A0FB83" w15:done="0"/>
  <w15:commentEx w15:paraId="3CDF1F78" w15:done="0"/>
  <w15:commentEx w15:paraId="43685175" w15:done="0"/>
  <w15:commentEx w15:paraId="4F0761A1" w15:done="0"/>
  <w15:commentEx w15:paraId="28D5B5AE" w15:done="0"/>
  <w15:commentEx w15:paraId="1851456B" w15:done="0"/>
  <w15:commentEx w15:paraId="42E14719" w15:done="0"/>
  <w15:commentEx w15:paraId="04F2CD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0FB83" w16cid:durableId="1D1F2A69"/>
  <w16cid:commentId w16cid:paraId="3CDF1F78" w16cid:durableId="1D1F2A6A"/>
  <w16cid:commentId w16cid:paraId="43685175" w16cid:durableId="1D1F2A6B"/>
  <w16cid:commentId w16cid:paraId="4F0761A1" w16cid:durableId="1D1F2A6C"/>
  <w16cid:commentId w16cid:paraId="28D5B5AE" w16cid:durableId="1D1F2A6D"/>
  <w16cid:commentId w16cid:paraId="1851456B" w16cid:durableId="1D1F2A6E"/>
  <w16cid:commentId w16cid:paraId="42E14719" w16cid:durableId="1D1F2A6F"/>
  <w16cid:commentId w16cid:paraId="04F2CD94" w16cid:durableId="1D1F2A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960" w:rsidRDefault="00222960" w:rsidP="00BA3306">
      <w:pPr>
        <w:spacing w:before="0" w:after="0"/>
      </w:pPr>
      <w:r>
        <w:separator/>
      </w:r>
    </w:p>
  </w:endnote>
  <w:endnote w:type="continuationSeparator" w:id="0">
    <w:p w:rsidR="00222960" w:rsidRDefault="00222960"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Janson Text LT">
    <w:altName w:val="Janson Text L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60" w:rsidRDefault="00222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F9D" w:rsidRDefault="002A6F9D" w:rsidP="0004719A">
    <w:pPr>
      <w:pStyle w:val="Footer"/>
      <w:jc w:val="center"/>
      <w:rPr>
        <w:b/>
      </w:rPr>
    </w:pPr>
  </w:p>
  <w:p w:rsidR="002A6F9D" w:rsidRPr="00653392" w:rsidRDefault="002A6F9D" w:rsidP="0004719A">
    <w:pPr>
      <w:pStyle w:val="Footer"/>
      <w:jc w:val="center"/>
      <w:rPr>
        <w:b/>
      </w:rPr>
    </w:pPr>
    <w:r w:rsidRPr="00B85B3B">
      <w:rPr>
        <w:rFonts w:ascii="Calibri" w:eastAsia="Times New Roman" w:hAnsi="Calibri" w:cs="Arial"/>
        <w:szCs w:val="24"/>
      </w:rPr>
      <w:fldChar w:fldCharType="begin"/>
    </w:r>
    <w:r w:rsidRPr="00B85B3B">
      <w:rPr>
        <w:rFonts w:ascii="Calibri" w:eastAsia="Times New Roman" w:hAnsi="Calibri" w:cs="Arial"/>
        <w:szCs w:val="24"/>
      </w:rPr>
      <w:instrText xml:space="preserve"> PAGE   \* MERGEFORMAT </w:instrText>
    </w:r>
    <w:r w:rsidRPr="00B85B3B">
      <w:rPr>
        <w:rFonts w:ascii="Calibri" w:eastAsia="Times New Roman" w:hAnsi="Calibri" w:cs="Arial"/>
        <w:szCs w:val="24"/>
      </w:rPr>
      <w:fldChar w:fldCharType="separate"/>
    </w:r>
    <w:r w:rsidR="001D2138">
      <w:rPr>
        <w:rFonts w:ascii="Calibri" w:eastAsia="Times New Roman" w:hAnsi="Calibri" w:cs="Arial"/>
        <w:noProof/>
        <w:szCs w:val="24"/>
      </w:rPr>
      <w:t>36</w:t>
    </w:r>
    <w:r w:rsidRPr="00B85B3B">
      <w:rPr>
        <w:rFonts w:ascii="Calibri" w:eastAsia="Times New Roman" w:hAnsi="Calibri" w:cs="Arial"/>
        <w:noProof/>
        <w:szCs w:val="24"/>
      </w:rPr>
      <w:fldChar w:fldCharType="end"/>
    </w:r>
  </w:p>
  <w:p w:rsidR="002A6F9D" w:rsidRPr="00CD563E" w:rsidRDefault="002A6F9D" w:rsidP="0004719A">
    <w:pPr>
      <w:pStyle w:val="Footer"/>
    </w:pPr>
  </w:p>
  <w:p w:rsidR="002A6F9D" w:rsidRDefault="002A6F9D">
    <w:pPr>
      <w:pStyle w:val="Footer"/>
    </w:pPr>
  </w:p>
  <w:p w:rsidR="002A6F9D" w:rsidRDefault="002A6F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60" w:rsidRDefault="00222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960" w:rsidRDefault="00222960" w:rsidP="00BA3306">
      <w:pPr>
        <w:spacing w:before="0" w:after="0"/>
      </w:pPr>
      <w:r>
        <w:separator/>
      </w:r>
    </w:p>
  </w:footnote>
  <w:footnote w:type="continuationSeparator" w:id="0">
    <w:p w:rsidR="00222960" w:rsidRDefault="00222960" w:rsidP="00BA3306">
      <w:pPr>
        <w:spacing w:before="0" w:after="0"/>
      </w:pPr>
      <w:r>
        <w:continuationSeparator/>
      </w:r>
    </w:p>
  </w:footnote>
  <w:footnote w:id="1">
    <w:p w:rsidR="002A6F9D" w:rsidRDefault="002A6F9D" w:rsidP="00B734ED">
      <w:pPr>
        <w:pStyle w:val="FootnoteText"/>
      </w:pPr>
      <w:r>
        <w:rPr>
          <w:rStyle w:val="FootnoteReference"/>
        </w:rPr>
        <w:footnoteRef/>
      </w:r>
      <w:r>
        <w:t xml:space="preserve"> Ansell SM, Lesokhin AM, Borrello I, Halwani A, Scott EC, Gutierrez M, et al. PD-1 blockade with nivolumab in relapsed or refractory Hodgkin's lymphoma. New England Journal of Medicine. 2015; 372(4):311-9.</w:t>
      </w:r>
    </w:p>
    <w:p w:rsidR="002A6F9D" w:rsidRDefault="002A6F9D" w:rsidP="00B734ED">
      <w:pPr>
        <w:pStyle w:val="FootnoteText"/>
      </w:pPr>
      <w:r>
        <w:t>Carey CD, Connelly C, Gjini E, Roemer MG, Stack E, Hodi S, et al. Quantitative Assessment of PD-L1 Expression in Classical Hodgkin Lymphoma Suggests a Critical Role for Tumor Associated Macrophages in Suppressing Anti-Tumor Immunity. Blood. 2015;126(23):1440</w:t>
      </w:r>
    </w:p>
    <w:p w:rsidR="002A6F9D" w:rsidRDefault="002A6F9D" w:rsidP="00B734ED">
      <w:pPr>
        <w:pStyle w:val="FootnoteText"/>
      </w:pPr>
      <w:r>
        <w:t>Green MR, Monti S, Rodig SJ, Juszczynski P, Currie T, O'Donnell E, et al. Integrative analysis reveals selective 9p24. 1 amplification, increased PD-1 ligand expression, and further induction via JAK2 in nodular sclerosing Hodgkin lymphoma and primary mediastinal large B-cell lymphoma. Blood. 2010;116(17):3268-77.</w:t>
      </w:r>
    </w:p>
    <w:p w:rsidR="002A6F9D" w:rsidRDefault="002A6F9D" w:rsidP="00B734ED">
      <w:pPr>
        <w:pStyle w:val="FootnoteText"/>
      </w:pPr>
      <w:r>
        <w:t>Moskowitz CH, Ribrag V, Michot J-M, Martinelli G, Zinzani PL, Gutierrez M, et al. PD-1 blockade with the monoclonal antibody pembrolizumab (MK-3475) in patients with classical Hodgkin lymphoma after brentuximab vedotin failure: preliminary results from a phase 1b study (KEYNOTE-013). Blood. 2014;124(21):290</w:t>
      </w:r>
    </w:p>
    <w:p w:rsidR="002A6F9D" w:rsidRDefault="002A6F9D" w:rsidP="00B734ED">
      <w:pPr>
        <w:pStyle w:val="FootnoteText"/>
      </w:pPr>
      <w:r>
        <w:t>Tsirigotis P, Savani BN, Nagler A. Programmed death-1 immune checkpoint blockade in the treatment of hematological malignancies. Annals of medicine. 2016;48(6):428-39.</w:t>
      </w:r>
    </w:p>
  </w:footnote>
  <w:footnote w:id="2">
    <w:p w:rsidR="002A6F9D" w:rsidRDefault="002A6F9D" w:rsidP="00CC3220">
      <w:pPr>
        <w:pStyle w:val="FootnoteText"/>
        <w:rPr>
          <w:rFonts w:ascii="Calibri" w:hAnsi="Calibri"/>
          <w:szCs w:val="18"/>
        </w:rPr>
      </w:pPr>
      <w:r>
        <w:rPr>
          <w:rStyle w:val="FootnoteReference"/>
        </w:rPr>
        <w:t>[1]</w:t>
      </w:r>
      <w:r>
        <w:t xml:space="preserve"> Chen R, Gopal AK, Smith SE, Ansell SM, Rosenblatt JD, Savage KJ, et al. Five-year survival and durability results of brentuximab vedotin in patients with relapsed or refractory Hodgkin lymphoma. Blood. 2016:blood-2016-02-699850</w:t>
      </w:r>
    </w:p>
  </w:footnote>
  <w:footnote w:id="3">
    <w:p w:rsidR="002A6F9D" w:rsidRDefault="002A6F9D" w:rsidP="000D6120">
      <w:pPr>
        <w:pStyle w:val="FootnoteText"/>
      </w:pPr>
      <w:r>
        <w:rPr>
          <w:rStyle w:val="FootnoteReference"/>
        </w:rPr>
        <w:footnoteRef/>
      </w:r>
      <w:r>
        <w:t xml:space="preserve"> Singh A.K.et al ‘</w:t>
      </w:r>
      <w:r w:rsidRPr="0083374B">
        <w:t>Fatal GvHD induced by PD-1 inhibitor pembrolizumab in a patient with Hodgkin’s lymphoma</w:t>
      </w:r>
      <w:r>
        <w:t xml:space="preserve">’ </w:t>
      </w:r>
      <w:r w:rsidRPr="0083374B">
        <w:rPr>
          <w:i/>
        </w:rPr>
        <w:t>Bone Marrow Transplantation</w:t>
      </w:r>
      <w:r>
        <w:t xml:space="preserve"> (2016) 51, 1268–1270; doi:10.1038/bmt.2016.111; </w:t>
      </w:r>
    </w:p>
    <w:p w:rsidR="002A6F9D" w:rsidRDefault="002A6F9D" w:rsidP="000D6120">
      <w:pPr>
        <w:pStyle w:val="FootnoteText"/>
      </w:pPr>
      <w:r>
        <w:t>Bradley M. et al. ‘</w:t>
      </w:r>
      <w:r w:rsidRPr="0083374B">
        <w:t>Checkpoint Blockade for Treatment of Relapsed Lymphoma Following Allogeneic Hematopoietic Cell Transplant: Use May be Complicated By Onset of Severe Acute Graft Versus Host Disease</w:t>
      </w:r>
      <w:r>
        <w:t>’</w:t>
      </w:r>
      <w:r w:rsidRPr="0083374B">
        <w:rPr>
          <w:i/>
        </w:rPr>
        <w:t xml:space="preserve"> Blood </w:t>
      </w:r>
      <w:r>
        <w:t xml:space="preserve">2016 128:1163; </w:t>
      </w:r>
    </w:p>
    <w:p w:rsidR="002A6F9D" w:rsidRDefault="002A6F9D" w:rsidP="000D6120">
      <w:pPr>
        <w:pStyle w:val="FootnoteText"/>
      </w:pPr>
      <w:r>
        <w:t>Bruce R. et al. ‘</w:t>
      </w:r>
      <w:r w:rsidRPr="0083374B">
        <w:t>Blockade of Programmed Death-1 Engagement Accelerates Graft-Versus-Host Disease Lethality by an IFN-γ-Dependent Mechanism</w:t>
      </w:r>
      <w:r>
        <w:t>’</w:t>
      </w:r>
      <w:r w:rsidRPr="0083374B">
        <w:t xml:space="preserve"> </w:t>
      </w:r>
      <w:r w:rsidRPr="0083374B">
        <w:rPr>
          <w:i/>
        </w:rPr>
        <w:t>J Immunol</w:t>
      </w:r>
      <w:r>
        <w:t xml:space="preserve"> August 1, 2003,  171 (3) 1272-1277</w:t>
      </w:r>
    </w:p>
  </w:footnote>
  <w:footnote w:id="4">
    <w:p w:rsidR="002A6F9D" w:rsidRDefault="002A6F9D" w:rsidP="004D66C1">
      <w:pPr>
        <w:pStyle w:val="FootnoteText"/>
      </w:pPr>
      <w:r>
        <w:rPr>
          <w:rStyle w:val="FootnoteReference"/>
        </w:rPr>
        <w:footnoteRef/>
      </w:r>
      <w:r>
        <w:t xml:space="preserve"> </w:t>
      </w:r>
      <w:r w:rsidRPr="0010286E">
        <w:rPr>
          <w:i/>
        </w:rPr>
        <w:t>It was noted that a monthly cycle length (rather than 3-week cycle) was incorrectly used in:</w:t>
      </w:r>
      <w:r>
        <w:rPr>
          <w:i/>
        </w:rPr>
        <w:t xml:space="preserve"> 1</w:t>
      </w:r>
      <w:r w:rsidRPr="0010286E">
        <w:rPr>
          <w:i/>
        </w:rPr>
        <w:t xml:space="preserve">) calculating the life years accrued each cycle for both treatment arms; 2) discounting the </w:t>
      </w:r>
      <w:r>
        <w:rPr>
          <w:i/>
        </w:rPr>
        <w:t>life years</w:t>
      </w:r>
      <w:r w:rsidRPr="0010286E">
        <w:rPr>
          <w:i/>
        </w:rPr>
        <w:t xml:space="preserve"> gained over time for the two treatment arms; and 3) calculating the accumulative costs and health outcomes over the model time horizon in the comparator BV arm.</w:t>
      </w:r>
    </w:p>
  </w:footnote>
  <w:footnote w:id="5">
    <w:p w:rsidR="002A6F9D" w:rsidRPr="00F95723" w:rsidRDefault="002A6F9D" w:rsidP="00E84A5E">
      <w:pPr>
        <w:pStyle w:val="EndnoteText"/>
        <w:jc w:val="left"/>
        <w:rPr>
          <w:lang w:val="en-GB"/>
        </w:rPr>
      </w:pPr>
      <w:r>
        <w:rPr>
          <w:rStyle w:val="EndnoteReference"/>
        </w:rPr>
        <w:footnoteRef/>
      </w:r>
      <w:r>
        <w:rPr>
          <w:lang w:val="en-GB"/>
        </w:rPr>
        <w:t xml:space="preserve">Abstract, </w:t>
      </w:r>
      <w:r w:rsidRPr="00F95723">
        <w:rPr>
          <w:lang w:val="en-GB"/>
        </w:rPr>
        <w:t>14</w:t>
      </w:r>
      <w:r w:rsidRPr="00F95723">
        <w:rPr>
          <w:vertAlign w:val="superscript"/>
          <w:lang w:val="en-GB"/>
        </w:rPr>
        <w:t>th</w:t>
      </w:r>
      <w:r w:rsidRPr="00F95723">
        <w:rPr>
          <w:lang w:val="en-GB"/>
        </w:rPr>
        <w:t xml:space="preserve"> international conference on malignant lymphoma in Lugano, Switzerland http://www.ascopost.com/News/57782?utm_medium=Email&amp;utm_source=ExactTarget&amp;utm_campaign=&amp;utm_term=6760327</w:t>
      </w:r>
    </w:p>
    <w:p w:rsidR="002A6F9D" w:rsidRDefault="002A6F9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60" w:rsidRDefault="00222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F9D" w:rsidRPr="00B85B3B" w:rsidRDefault="002A6F9D" w:rsidP="004A394C">
    <w:pPr>
      <w:tabs>
        <w:tab w:val="center" w:pos="4153"/>
        <w:tab w:val="right" w:pos="8306"/>
      </w:tabs>
      <w:spacing w:before="0" w:after="0"/>
      <w:ind w:left="357"/>
      <w:jc w:val="center"/>
      <w:rPr>
        <w:rFonts w:ascii="Calibri" w:eastAsia="Times New Roman" w:hAnsi="Calibri" w:cs="Arial"/>
        <w:i/>
        <w:color w:val="808080"/>
        <w:szCs w:val="24"/>
      </w:rPr>
    </w:pPr>
    <w:r>
      <w:rPr>
        <w:rFonts w:ascii="Calibri" w:eastAsia="Times New Roman" w:hAnsi="Calibri" w:cs="Arial"/>
        <w:i/>
        <w:color w:val="808080"/>
        <w:szCs w:val="24"/>
      </w:rPr>
      <w:t xml:space="preserve">Public Summary Document </w:t>
    </w:r>
    <w:r w:rsidRPr="00B85B3B">
      <w:rPr>
        <w:rFonts w:ascii="Calibri" w:eastAsia="Times New Roman" w:hAnsi="Calibri" w:cs="Arial"/>
        <w:i/>
        <w:color w:val="808080"/>
        <w:szCs w:val="24"/>
      </w:rPr>
      <w:t xml:space="preserve">– </w:t>
    </w:r>
    <w:r>
      <w:rPr>
        <w:rFonts w:ascii="Calibri" w:eastAsia="Times New Roman" w:hAnsi="Calibri" w:cs="Arial"/>
        <w:i/>
        <w:color w:val="808080"/>
        <w:szCs w:val="24"/>
      </w:rPr>
      <w:t>July 2017</w:t>
    </w:r>
    <w:r w:rsidRPr="00B85B3B">
      <w:rPr>
        <w:rFonts w:ascii="Calibri" w:eastAsia="Times New Roman" w:hAnsi="Calibri" w:cs="Arial"/>
        <w:i/>
        <w:color w:val="808080"/>
        <w:szCs w:val="24"/>
      </w:rPr>
      <w:t xml:space="preserve"> PBAC Meeting</w:t>
    </w:r>
  </w:p>
  <w:p w:rsidR="002A6F9D" w:rsidRPr="00B85B3B" w:rsidRDefault="002A6F9D" w:rsidP="004A394C">
    <w:pPr>
      <w:tabs>
        <w:tab w:val="center" w:pos="4153"/>
        <w:tab w:val="right" w:pos="8306"/>
      </w:tabs>
      <w:spacing w:before="0" w:after="0"/>
      <w:ind w:left="357"/>
      <w:jc w:val="center"/>
      <w:rPr>
        <w:rFonts w:ascii="Calibri" w:eastAsia="Times New Roman" w:hAnsi="Calibri" w:cs="Arial"/>
        <w:i/>
        <w:color w:val="808080"/>
        <w:szCs w:val="24"/>
      </w:rPr>
    </w:pPr>
  </w:p>
  <w:p w:rsidR="002A6F9D" w:rsidRPr="00B85B3B" w:rsidRDefault="002A6F9D" w:rsidP="00B85B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60" w:rsidRDefault="00222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C434E8"/>
    <w:multiLevelType w:val="hybridMultilevel"/>
    <w:tmpl w:val="ED6837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38A4224"/>
    <w:multiLevelType w:val="hybridMultilevel"/>
    <w:tmpl w:val="577C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7C535C"/>
    <w:multiLevelType w:val="hybridMultilevel"/>
    <w:tmpl w:val="494EAE42"/>
    <w:lvl w:ilvl="0" w:tplc="9A66D146">
      <w:start w:val="1"/>
      <w:numFmt w:val="bullet"/>
      <w:lvlText w:val="•"/>
      <w:lvlJc w:val="left"/>
      <w:pPr>
        <w:tabs>
          <w:tab w:val="num" w:pos="720"/>
        </w:tabs>
        <w:ind w:left="720" w:hanging="360"/>
      </w:pPr>
      <w:rPr>
        <w:rFonts w:ascii="Arial" w:hAnsi="Arial" w:hint="default"/>
      </w:rPr>
    </w:lvl>
    <w:lvl w:ilvl="1" w:tplc="0E66CC76" w:tentative="1">
      <w:start w:val="1"/>
      <w:numFmt w:val="bullet"/>
      <w:lvlText w:val="•"/>
      <w:lvlJc w:val="left"/>
      <w:pPr>
        <w:tabs>
          <w:tab w:val="num" w:pos="1440"/>
        </w:tabs>
        <w:ind w:left="1440" w:hanging="360"/>
      </w:pPr>
      <w:rPr>
        <w:rFonts w:ascii="Arial" w:hAnsi="Arial" w:hint="default"/>
      </w:rPr>
    </w:lvl>
    <w:lvl w:ilvl="2" w:tplc="3FFE7F9E" w:tentative="1">
      <w:start w:val="1"/>
      <w:numFmt w:val="bullet"/>
      <w:lvlText w:val="•"/>
      <w:lvlJc w:val="left"/>
      <w:pPr>
        <w:tabs>
          <w:tab w:val="num" w:pos="2160"/>
        </w:tabs>
        <w:ind w:left="2160" w:hanging="360"/>
      </w:pPr>
      <w:rPr>
        <w:rFonts w:ascii="Arial" w:hAnsi="Arial" w:hint="default"/>
      </w:rPr>
    </w:lvl>
    <w:lvl w:ilvl="3" w:tplc="4EE2A19C" w:tentative="1">
      <w:start w:val="1"/>
      <w:numFmt w:val="bullet"/>
      <w:lvlText w:val="•"/>
      <w:lvlJc w:val="left"/>
      <w:pPr>
        <w:tabs>
          <w:tab w:val="num" w:pos="2880"/>
        </w:tabs>
        <w:ind w:left="2880" w:hanging="360"/>
      </w:pPr>
      <w:rPr>
        <w:rFonts w:ascii="Arial" w:hAnsi="Arial" w:hint="default"/>
      </w:rPr>
    </w:lvl>
    <w:lvl w:ilvl="4" w:tplc="453EB74E" w:tentative="1">
      <w:start w:val="1"/>
      <w:numFmt w:val="bullet"/>
      <w:lvlText w:val="•"/>
      <w:lvlJc w:val="left"/>
      <w:pPr>
        <w:tabs>
          <w:tab w:val="num" w:pos="3600"/>
        </w:tabs>
        <w:ind w:left="3600" w:hanging="360"/>
      </w:pPr>
      <w:rPr>
        <w:rFonts w:ascii="Arial" w:hAnsi="Arial" w:hint="default"/>
      </w:rPr>
    </w:lvl>
    <w:lvl w:ilvl="5" w:tplc="B8B8215C" w:tentative="1">
      <w:start w:val="1"/>
      <w:numFmt w:val="bullet"/>
      <w:lvlText w:val="•"/>
      <w:lvlJc w:val="left"/>
      <w:pPr>
        <w:tabs>
          <w:tab w:val="num" w:pos="4320"/>
        </w:tabs>
        <w:ind w:left="4320" w:hanging="360"/>
      </w:pPr>
      <w:rPr>
        <w:rFonts w:ascii="Arial" w:hAnsi="Arial" w:hint="default"/>
      </w:rPr>
    </w:lvl>
    <w:lvl w:ilvl="6" w:tplc="4B7E9C04" w:tentative="1">
      <w:start w:val="1"/>
      <w:numFmt w:val="bullet"/>
      <w:lvlText w:val="•"/>
      <w:lvlJc w:val="left"/>
      <w:pPr>
        <w:tabs>
          <w:tab w:val="num" w:pos="5040"/>
        </w:tabs>
        <w:ind w:left="5040" w:hanging="360"/>
      </w:pPr>
      <w:rPr>
        <w:rFonts w:ascii="Arial" w:hAnsi="Arial" w:hint="default"/>
      </w:rPr>
    </w:lvl>
    <w:lvl w:ilvl="7" w:tplc="F4203308" w:tentative="1">
      <w:start w:val="1"/>
      <w:numFmt w:val="bullet"/>
      <w:lvlText w:val="•"/>
      <w:lvlJc w:val="left"/>
      <w:pPr>
        <w:tabs>
          <w:tab w:val="num" w:pos="5760"/>
        </w:tabs>
        <w:ind w:left="5760" w:hanging="360"/>
      </w:pPr>
      <w:rPr>
        <w:rFonts w:ascii="Arial" w:hAnsi="Arial" w:hint="default"/>
      </w:rPr>
    </w:lvl>
    <w:lvl w:ilvl="8" w:tplc="2B560152" w:tentative="1">
      <w:start w:val="1"/>
      <w:numFmt w:val="bullet"/>
      <w:lvlText w:val="•"/>
      <w:lvlJc w:val="left"/>
      <w:pPr>
        <w:tabs>
          <w:tab w:val="num" w:pos="6480"/>
        </w:tabs>
        <w:ind w:left="6480" w:hanging="360"/>
      </w:pPr>
      <w:rPr>
        <w:rFonts w:ascii="Arial" w:hAnsi="Arial" w:hint="default"/>
      </w:rPr>
    </w:lvl>
  </w:abstractNum>
  <w:abstractNum w:abstractNumId="5">
    <w:nsid w:val="1D13181C"/>
    <w:multiLevelType w:val="hybridMultilevel"/>
    <w:tmpl w:val="029216E0"/>
    <w:lvl w:ilvl="0" w:tplc="0C090001">
      <w:start w:val="1"/>
      <w:numFmt w:val="bullet"/>
      <w:lvlText w:val=""/>
      <w:lvlJc w:val="left"/>
      <w:pPr>
        <w:ind w:left="1080" w:hanging="360"/>
      </w:pPr>
      <w:rPr>
        <w:rFonts w:ascii="Symbol" w:hAnsi="Symbol" w:hint="default"/>
      </w:rPr>
    </w:lvl>
    <w:lvl w:ilvl="1" w:tplc="EE168C24">
      <w:numFmt w:val="bullet"/>
      <w:lvlText w:val="•"/>
      <w:lvlJc w:val="left"/>
      <w:pPr>
        <w:ind w:left="2160" w:hanging="720"/>
      </w:pPr>
      <w:rPr>
        <w:rFonts w:ascii="Arial Narrow" w:eastAsiaTheme="minorHAnsi" w:hAnsi="Arial Narrow"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DE742D"/>
    <w:multiLevelType w:val="hybridMultilevel"/>
    <w:tmpl w:val="6188324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5C92433"/>
    <w:multiLevelType w:val="multilevel"/>
    <w:tmpl w:val="95486E9C"/>
    <w:lvl w:ilvl="0">
      <w:start w:val="1"/>
      <w:numFmt w:val="decimal"/>
      <w:pStyle w:val="Heading1"/>
      <w:lvlText w:val="%1"/>
      <w:lvlJc w:val="left"/>
      <w:pPr>
        <w:ind w:left="1141" w:hanging="432"/>
      </w:pPr>
      <w:rPr>
        <w:rFonts w:hint="default"/>
      </w:rPr>
    </w:lvl>
    <w:lvl w:ilvl="1">
      <w:start w:val="1"/>
      <w:numFmt w:val="decimal"/>
      <w:lvlText w:val="%1.%2"/>
      <w:lvlJc w:val="left"/>
      <w:pPr>
        <w:ind w:left="-275" w:hanging="576"/>
      </w:pPr>
      <w:rPr>
        <w:rFonts w:hint="default"/>
      </w:rPr>
    </w:lvl>
    <w:lvl w:ilvl="2">
      <w:start w:val="1"/>
      <w:numFmt w:val="decimal"/>
      <w:lvlText w:val="%1.%2.%3"/>
      <w:lvlJc w:val="left"/>
      <w:pPr>
        <w:ind w:left="-131" w:hanging="720"/>
      </w:pPr>
      <w:rPr>
        <w:rFonts w:hint="default"/>
      </w:rPr>
    </w:lvl>
    <w:lvl w:ilvl="3">
      <w:start w:val="1"/>
      <w:numFmt w:val="decimal"/>
      <w:lvlText w:val="%1.%2.%3.%4"/>
      <w:lvlJc w:val="left"/>
      <w:pPr>
        <w:ind w:left="13" w:hanging="864"/>
      </w:pPr>
      <w:rPr>
        <w:rFonts w:hint="default"/>
      </w:rPr>
    </w:lvl>
    <w:lvl w:ilvl="4">
      <w:start w:val="1"/>
      <w:numFmt w:val="decimal"/>
      <w:lvlText w:val="%1.%2.%3.%4.%5"/>
      <w:lvlJc w:val="left"/>
      <w:pPr>
        <w:ind w:left="157" w:hanging="1008"/>
      </w:pPr>
      <w:rPr>
        <w:rFonts w:hint="default"/>
      </w:rPr>
    </w:lvl>
    <w:lvl w:ilvl="5">
      <w:start w:val="1"/>
      <w:numFmt w:val="decimal"/>
      <w:lvlText w:val="%1.%2.%3.%4.%5.%6"/>
      <w:lvlJc w:val="left"/>
      <w:pPr>
        <w:ind w:left="301" w:hanging="1152"/>
      </w:pPr>
      <w:rPr>
        <w:rFonts w:hint="default"/>
      </w:rPr>
    </w:lvl>
    <w:lvl w:ilvl="6">
      <w:start w:val="1"/>
      <w:numFmt w:val="decimal"/>
      <w:lvlText w:val="%1.%2.%3.%4.%5.%6.%7"/>
      <w:lvlJc w:val="left"/>
      <w:pPr>
        <w:ind w:left="445" w:hanging="1296"/>
      </w:pPr>
      <w:rPr>
        <w:rFonts w:hint="default"/>
      </w:rPr>
    </w:lvl>
    <w:lvl w:ilvl="7">
      <w:start w:val="1"/>
      <w:numFmt w:val="decimal"/>
      <w:pStyle w:val="Heading8"/>
      <w:lvlText w:val="%1.%2.%3.%4.%5.%6.%7.%8"/>
      <w:lvlJc w:val="left"/>
      <w:pPr>
        <w:ind w:left="589" w:hanging="1440"/>
      </w:pPr>
      <w:rPr>
        <w:rFonts w:hint="default"/>
      </w:rPr>
    </w:lvl>
    <w:lvl w:ilvl="8">
      <w:start w:val="1"/>
      <w:numFmt w:val="decimal"/>
      <w:lvlText w:val="%1.%2.%3.%4.%5.%6.%7.%8.%9"/>
      <w:lvlJc w:val="left"/>
      <w:pPr>
        <w:ind w:left="733" w:hanging="1584"/>
      </w:pPr>
      <w:rPr>
        <w:rFonts w:hint="default"/>
      </w:rPr>
    </w:lvl>
  </w:abstractNum>
  <w:abstractNum w:abstractNumId="1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4D3370"/>
    <w:multiLevelType w:val="multilevel"/>
    <w:tmpl w:val="3EC693F4"/>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ED00A85"/>
    <w:multiLevelType w:val="hybridMultilevel"/>
    <w:tmpl w:val="68E20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84D033C"/>
    <w:multiLevelType w:val="multilevel"/>
    <w:tmpl w:val="AF4ED86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7"/>
  </w:num>
  <w:num w:numId="4">
    <w:abstractNumId w:val="8"/>
  </w:num>
  <w:num w:numId="5">
    <w:abstractNumId w:val="15"/>
  </w:num>
  <w:num w:numId="6">
    <w:abstractNumId w:val="16"/>
  </w:num>
  <w:num w:numId="7">
    <w:abstractNumId w:val="10"/>
  </w:num>
  <w:num w:numId="8">
    <w:abstractNumId w:val="7"/>
  </w:num>
  <w:num w:numId="9">
    <w:abstractNumId w:val="5"/>
  </w:num>
  <w:num w:numId="10">
    <w:abstractNumId w:val="3"/>
  </w:num>
  <w:num w:numId="11">
    <w:abstractNumId w:val="9"/>
  </w:num>
  <w:num w:numId="12">
    <w:abstractNumId w:val="2"/>
  </w:num>
  <w:num w:numId="13">
    <w:abstractNumId w:val="12"/>
  </w:num>
  <w:num w:numId="14">
    <w:abstractNumId w:val="1"/>
  </w:num>
  <w:num w:numId="15">
    <w:abstractNumId w:val="0"/>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
  </w:num>
  <w:num w:numId="20">
    <w:abstractNumId w:val="9"/>
  </w:num>
  <w:num w:numId="21">
    <w:abstractNumId w:val="9"/>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num>
  <w:num w:numId="26">
    <w:abstractNumId w:val="9"/>
  </w:num>
  <w:num w:numId="27">
    <w:abstractNumId w:val="9"/>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twsxad99pdfaevdf15axwgfaftv2etrp02&quot;&gt;Hodgkin Lynphoma&lt;record-ids&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1&lt;/item&gt;&lt;item&gt;26&lt;/item&gt;&lt;item&gt;27&lt;/item&gt;&lt;item&gt;29&lt;/item&gt;&lt;item&gt;30&lt;/item&gt;&lt;item&gt;31&lt;/item&gt;&lt;item&gt;32&lt;/item&gt;&lt;/record-ids&gt;&lt;/item&gt;&lt;/Libraries&gt;"/>
  </w:docVars>
  <w:rsids>
    <w:rsidRoot w:val="00821A29"/>
    <w:rsid w:val="000005FB"/>
    <w:rsid w:val="00001920"/>
    <w:rsid w:val="00001AB4"/>
    <w:rsid w:val="00001ACB"/>
    <w:rsid w:val="000026B3"/>
    <w:rsid w:val="0000669D"/>
    <w:rsid w:val="00006D7C"/>
    <w:rsid w:val="00006F8C"/>
    <w:rsid w:val="00007CC0"/>
    <w:rsid w:val="0001066F"/>
    <w:rsid w:val="00010CAC"/>
    <w:rsid w:val="00010F99"/>
    <w:rsid w:val="00013222"/>
    <w:rsid w:val="0002095B"/>
    <w:rsid w:val="000267D4"/>
    <w:rsid w:val="00030079"/>
    <w:rsid w:val="000304B9"/>
    <w:rsid w:val="0003386F"/>
    <w:rsid w:val="00034404"/>
    <w:rsid w:val="000420E5"/>
    <w:rsid w:val="000461CF"/>
    <w:rsid w:val="0004719A"/>
    <w:rsid w:val="00052F2E"/>
    <w:rsid w:val="000556AF"/>
    <w:rsid w:val="000567C9"/>
    <w:rsid w:val="00057533"/>
    <w:rsid w:val="00057F71"/>
    <w:rsid w:val="000600E3"/>
    <w:rsid w:val="00062067"/>
    <w:rsid w:val="00065C62"/>
    <w:rsid w:val="00065CDE"/>
    <w:rsid w:val="00065D07"/>
    <w:rsid w:val="00065F4A"/>
    <w:rsid w:val="00066A9B"/>
    <w:rsid w:val="00072D10"/>
    <w:rsid w:val="00073730"/>
    <w:rsid w:val="00075571"/>
    <w:rsid w:val="00075DF0"/>
    <w:rsid w:val="00075DF1"/>
    <w:rsid w:val="00080109"/>
    <w:rsid w:val="00080ADD"/>
    <w:rsid w:val="00080FF3"/>
    <w:rsid w:val="000822BB"/>
    <w:rsid w:val="000847FE"/>
    <w:rsid w:val="00086091"/>
    <w:rsid w:val="00086133"/>
    <w:rsid w:val="00086359"/>
    <w:rsid w:val="0009160E"/>
    <w:rsid w:val="000923D3"/>
    <w:rsid w:val="00093C5F"/>
    <w:rsid w:val="00095DC8"/>
    <w:rsid w:val="000A1870"/>
    <w:rsid w:val="000A2068"/>
    <w:rsid w:val="000A2694"/>
    <w:rsid w:val="000A2EF1"/>
    <w:rsid w:val="000A4401"/>
    <w:rsid w:val="000A46D7"/>
    <w:rsid w:val="000A5276"/>
    <w:rsid w:val="000A5927"/>
    <w:rsid w:val="000A6FBD"/>
    <w:rsid w:val="000B0286"/>
    <w:rsid w:val="000B56CD"/>
    <w:rsid w:val="000B6B69"/>
    <w:rsid w:val="000C0142"/>
    <w:rsid w:val="000C043E"/>
    <w:rsid w:val="000C172F"/>
    <w:rsid w:val="000C4F94"/>
    <w:rsid w:val="000C58E0"/>
    <w:rsid w:val="000C669D"/>
    <w:rsid w:val="000C6A40"/>
    <w:rsid w:val="000D0023"/>
    <w:rsid w:val="000D320E"/>
    <w:rsid w:val="000D3CA9"/>
    <w:rsid w:val="000D4502"/>
    <w:rsid w:val="000D6120"/>
    <w:rsid w:val="000D629D"/>
    <w:rsid w:val="000D779D"/>
    <w:rsid w:val="000E3C77"/>
    <w:rsid w:val="000E4288"/>
    <w:rsid w:val="000E48EC"/>
    <w:rsid w:val="000E635E"/>
    <w:rsid w:val="000F0C54"/>
    <w:rsid w:val="000F10CB"/>
    <w:rsid w:val="000F2534"/>
    <w:rsid w:val="000F3406"/>
    <w:rsid w:val="000F3652"/>
    <w:rsid w:val="000F6DED"/>
    <w:rsid w:val="0010286E"/>
    <w:rsid w:val="00103305"/>
    <w:rsid w:val="00103364"/>
    <w:rsid w:val="00103EAB"/>
    <w:rsid w:val="00105D58"/>
    <w:rsid w:val="001065FC"/>
    <w:rsid w:val="001073E8"/>
    <w:rsid w:val="00110B8D"/>
    <w:rsid w:val="00114CBF"/>
    <w:rsid w:val="00117898"/>
    <w:rsid w:val="001201DF"/>
    <w:rsid w:val="00120F73"/>
    <w:rsid w:val="001266C0"/>
    <w:rsid w:val="00126C96"/>
    <w:rsid w:val="0012701F"/>
    <w:rsid w:val="001271D2"/>
    <w:rsid w:val="001279AE"/>
    <w:rsid w:val="00134A2B"/>
    <w:rsid w:val="00135265"/>
    <w:rsid w:val="0013640E"/>
    <w:rsid w:val="00136A65"/>
    <w:rsid w:val="00136E76"/>
    <w:rsid w:val="00140D15"/>
    <w:rsid w:val="00141684"/>
    <w:rsid w:val="001468C6"/>
    <w:rsid w:val="00146C47"/>
    <w:rsid w:val="00150067"/>
    <w:rsid w:val="00150F51"/>
    <w:rsid w:val="00151BE3"/>
    <w:rsid w:val="00153A63"/>
    <w:rsid w:val="00155625"/>
    <w:rsid w:val="00156A39"/>
    <w:rsid w:val="00160E7E"/>
    <w:rsid w:val="0016146E"/>
    <w:rsid w:val="00164763"/>
    <w:rsid w:val="00165A49"/>
    <w:rsid w:val="001729AE"/>
    <w:rsid w:val="00173577"/>
    <w:rsid w:val="001736D9"/>
    <w:rsid w:val="00175B20"/>
    <w:rsid w:val="00176AA5"/>
    <w:rsid w:val="00176D5C"/>
    <w:rsid w:val="0017720E"/>
    <w:rsid w:val="00177893"/>
    <w:rsid w:val="00181490"/>
    <w:rsid w:val="00181DE1"/>
    <w:rsid w:val="00182FA5"/>
    <w:rsid w:val="001838A5"/>
    <w:rsid w:val="00183A78"/>
    <w:rsid w:val="00183F41"/>
    <w:rsid w:val="00184221"/>
    <w:rsid w:val="00186307"/>
    <w:rsid w:val="00186448"/>
    <w:rsid w:val="00186EBC"/>
    <w:rsid w:val="00193348"/>
    <w:rsid w:val="00193C6C"/>
    <w:rsid w:val="00194DBB"/>
    <w:rsid w:val="00195DA4"/>
    <w:rsid w:val="001966E0"/>
    <w:rsid w:val="001A0142"/>
    <w:rsid w:val="001A1CFD"/>
    <w:rsid w:val="001A3A80"/>
    <w:rsid w:val="001A6031"/>
    <w:rsid w:val="001A75DA"/>
    <w:rsid w:val="001A7D13"/>
    <w:rsid w:val="001B00CE"/>
    <w:rsid w:val="001B28F4"/>
    <w:rsid w:val="001B39FF"/>
    <w:rsid w:val="001B54F4"/>
    <w:rsid w:val="001B6389"/>
    <w:rsid w:val="001B6E2E"/>
    <w:rsid w:val="001B6FFB"/>
    <w:rsid w:val="001C04CC"/>
    <w:rsid w:val="001C051E"/>
    <w:rsid w:val="001C3870"/>
    <w:rsid w:val="001C516F"/>
    <w:rsid w:val="001C66ED"/>
    <w:rsid w:val="001C7EE3"/>
    <w:rsid w:val="001D1F8D"/>
    <w:rsid w:val="001D2138"/>
    <w:rsid w:val="001D2B28"/>
    <w:rsid w:val="001D5DE3"/>
    <w:rsid w:val="001E1045"/>
    <w:rsid w:val="001E2C60"/>
    <w:rsid w:val="001E5918"/>
    <w:rsid w:val="001E72B6"/>
    <w:rsid w:val="001F073C"/>
    <w:rsid w:val="001F0B1B"/>
    <w:rsid w:val="001F17C2"/>
    <w:rsid w:val="001F2912"/>
    <w:rsid w:val="001F657A"/>
    <w:rsid w:val="00200296"/>
    <w:rsid w:val="00200B8D"/>
    <w:rsid w:val="00201ADB"/>
    <w:rsid w:val="00203055"/>
    <w:rsid w:val="002052F3"/>
    <w:rsid w:val="002058E5"/>
    <w:rsid w:val="002060E8"/>
    <w:rsid w:val="002066FA"/>
    <w:rsid w:val="00210FAA"/>
    <w:rsid w:val="00211211"/>
    <w:rsid w:val="00212AE0"/>
    <w:rsid w:val="00213F72"/>
    <w:rsid w:val="0021436C"/>
    <w:rsid w:val="002161BD"/>
    <w:rsid w:val="00216ABC"/>
    <w:rsid w:val="00216B9B"/>
    <w:rsid w:val="00220FE9"/>
    <w:rsid w:val="00221726"/>
    <w:rsid w:val="00222960"/>
    <w:rsid w:val="002230F5"/>
    <w:rsid w:val="002234A6"/>
    <w:rsid w:val="002234AC"/>
    <w:rsid w:val="002254FD"/>
    <w:rsid w:val="002320BE"/>
    <w:rsid w:val="0023219C"/>
    <w:rsid w:val="0023702E"/>
    <w:rsid w:val="002425EA"/>
    <w:rsid w:val="00242EA0"/>
    <w:rsid w:val="00243685"/>
    <w:rsid w:val="0024560C"/>
    <w:rsid w:val="00246644"/>
    <w:rsid w:val="00250B56"/>
    <w:rsid w:val="00251A95"/>
    <w:rsid w:val="0025229B"/>
    <w:rsid w:val="002537CE"/>
    <w:rsid w:val="0025613F"/>
    <w:rsid w:val="00257BE1"/>
    <w:rsid w:val="00260003"/>
    <w:rsid w:val="00260285"/>
    <w:rsid w:val="0026035F"/>
    <w:rsid w:val="00260363"/>
    <w:rsid w:val="00261068"/>
    <w:rsid w:val="002612F6"/>
    <w:rsid w:val="00261DC6"/>
    <w:rsid w:val="00262141"/>
    <w:rsid w:val="00263938"/>
    <w:rsid w:val="00263FAB"/>
    <w:rsid w:val="00264623"/>
    <w:rsid w:val="0026575F"/>
    <w:rsid w:val="00266B63"/>
    <w:rsid w:val="002671FD"/>
    <w:rsid w:val="00270BAC"/>
    <w:rsid w:val="00270F67"/>
    <w:rsid w:val="0027660B"/>
    <w:rsid w:val="00280B5B"/>
    <w:rsid w:val="0028109B"/>
    <w:rsid w:val="00281113"/>
    <w:rsid w:val="00281B38"/>
    <w:rsid w:val="00282E2B"/>
    <w:rsid w:val="002836DF"/>
    <w:rsid w:val="002878C4"/>
    <w:rsid w:val="002920C1"/>
    <w:rsid w:val="002928F4"/>
    <w:rsid w:val="0029700E"/>
    <w:rsid w:val="00297A81"/>
    <w:rsid w:val="002A002C"/>
    <w:rsid w:val="002A159D"/>
    <w:rsid w:val="002A1D27"/>
    <w:rsid w:val="002A31F9"/>
    <w:rsid w:val="002A3BCE"/>
    <w:rsid w:val="002A4503"/>
    <w:rsid w:val="002A6F9D"/>
    <w:rsid w:val="002A73CE"/>
    <w:rsid w:val="002B3AD9"/>
    <w:rsid w:val="002B4941"/>
    <w:rsid w:val="002B5635"/>
    <w:rsid w:val="002B5D74"/>
    <w:rsid w:val="002B63CC"/>
    <w:rsid w:val="002B68C0"/>
    <w:rsid w:val="002B7ADB"/>
    <w:rsid w:val="002C0617"/>
    <w:rsid w:val="002C143E"/>
    <w:rsid w:val="002C1D2F"/>
    <w:rsid w:val="002C23D0"/>
    <w:rsid w:val="002C5D6E"/>
    <w:rsid w:val="002C70CD"/>
    <w:rsid w:val="002C7475"/>
    <w:rsid w:val="002D16DD"/>
    <w:rsid w:val="002D2FCA"/>
    <w:rsid w:val="002D3913"/>
    <w:rsid w:val="002D3A7A"/>
    <w:rsid w:val="002D4316"/>
    <w:rsid w:val="002D7823"/>
    <w:rsid w:val="002E1072"/>
    <w:rsid w:val="002E1EDB"/>
    <w:rsid w:val="002E43BE"/>
    <w:rsid w:val="002E4C2D"/>
    <w:rsid w:val="002E5DEA"/>
    <w:rsid w:val="002E724A"/>
    <w:rsid w:val="002E76C3"/>
    <w:rsid w:val="002F0096"/>
    <w:rsid w:val="002F07E7"/>
    <w:rsid w:val="002F17A1"/>
    <w:rsid w:val="002F311E"/>
    <w:rsid w:val="002F31A5"/>
    <w:rsid w:val="002F71B8"/>
    <w:rsid w:val="002F7D88"/>
    <w:rsid w:val="003017D8"/>
    <w:rsid w:val="00301EA1"/>
    <w:rsid w:val="00302FCC"/>
    <w:rsid w:val="003031AD"/>
    <w:rsid w:val="00303F28"/>
    <w:rsid w:val="003062AE"/>
    <w:rsid w:val="0030746B"/>
    <w:rsid w:val="0030786F"/>
    <w:rsid w:val="0031026A"/>
    <w:rsid w:val="0031434E"/>
    <w:rsid w:val="00315514"/>
    <w:rsid w:val="00315B90"/>
    <w:rsid w:val="00315EE1"/>
    <w:rsid w:val="00317DBC"/>
    <w:rsid w:val="00323022"/>
    <w:rsid w:val="0032355F"/>
    <w:rsid w:val="00324B8A"/>
    <w:rsid w:val="00327F41"/>
    <w:rsid w:val="003317E4"/>
    <w:rsid w:val="003331D8"/>
    <w:rsid w:val="003338E1"/>
    <w:rsid w:val="00334308"/>
    <w:rsid w:val="00334ACF"/>
    <w:rsid w:val="003351B8"/>
    <w:rsid w:val="00340B7C"/>
    <w:rsid w:val="00341A14"/>
    <w:rsid w:val="00345595"/>
    <w:rsid w:val="003455B0"/>
    <w:rsid w:val="003462C3"/>
    <w:rsid w:val="003466F0"/>
    <w:rsid w:val="00350F2F"/>
    <w:rsid w:val="00351381"/>
    <w:rsid w:val="00352A0C"/>
    <w:rsid w:val="00352A18"/>
    <w:rsid w:val="00352C01"/>
    <w:rsid w:val="003530A6"/>
    <w:rsid w:val="00353411"/>
    <w:rsid w:val="00353627"/>
    <w:rsid w:val="00353FAA"/>
    <w:rsid w:val="00354755"/>
    <w:rsid w:val="003547A8"/>
    <w:rsid w:val="00355F72"/>
    <w:rsid w:val="0035626F"/>
    <w:rsid w:val="00356405"/>
    <w:rsid w:val="00357657"/>
    <w:rsid w:val="00362DCB"/>
    <w:rsid w:val="003639A6"/>
    <w:rsid w:val="00364CE5"/>
    <w:rsid w:val="00364FF1"/>
    <w:rsid w:val="00365DDC"/>
    <w:rsid w:val="003679AE"/>
    <w:rsid w:val="003715D6"/>
    <w:rsid w:val="003733C4"/>
    <w:rsid w:val="00380884"/>
    <w:rsid w:val="0038281C"/>
    <w:rsid w:val="003843E4"/>
    <w:rsid w:val="00385A64"/>
    <w:rsid w:val="00386D1A"/>
    <w:rsid w:val="00387CD7"/>
    <w:rsid w:val="0039064C"/>
    <w:rsid w:val="00391577"/>
    <w:rsid w:val="00396FF4"/>
    <w:rsid w:val="00397170"/>
    <w:rsid w:val="003A3433"/>
    <w:rsid w:val="003A537E"/>
    <w:rsid w:val="003A660F"/>
    <w:rsid w:val="003A74C5"/>
    <w:rsid w:val="003B095E"/>
    <w:rsid w:val="003B2CDF"/>
    <w:rsid w:val="003B415F"/>
    <w:rsid w:val="003B47F8"/>
    <w:rsid w:val="003B4E4B"/>
    <w:rsid w:val="003B5A4C"/>
    <w:rsid w:val="003B6B75"/>
    <w:rsid w:val="003C0274"/>
    <w:rsid w:val="003C02F9"/>
    <w:rsid w:val="003C0EAF"/>
    <w:rsid w:val="003C1A9F"/>
    <w:rsid w:val="003C3E7F"/>
    <w:rsid w:val="003C4DB4"/>
    <w:rsid w:val="003C4EBF"/>
    <w:rsid w:val="003C5F38"/>
    <w:rsid w:val="003C6DB3"/>
    <w:rsid w:val="003D003A"/>
    <w:rsid w:val="003D11A9"/>
    <w:rsid w:val="003D2A37"/>
    <w:rsid w:val="003D4CA0"/>
    <w:rsid w:val="003D66C0"/>
    <w:rsid w:val="003D69EF"/>
    <w:rsid w:val="003E0C57"/>
    <w:rsid w:val="003E0D24"/>
    <w:rsid w:val="003E0EDB"/>
    <w:rsid w:val="003E35C3"/>
    <w:rsid w:val="003E6475"/>
    <w:rsid w:val="003E6575"/>
    <w:rsid w:val="003F105A"/>
    <w:rsid w:val="003F4B8A"/>
    <w:rsid w:val="003F5422"/>
    <w:rsid w:val="003F6199"/>
    <w:rsid w:val="004033BF"/>
    <w:rsid w:val="00405374"/>
    <w:rsid w:val="00410CAD"/>
    <w:rsid w:val="0041392E"/>
    <w:rsid w:val="00417707"/>
    <w:rsid w:val="00421450"/>
    <w:rsid w:val="00422C17"/>
    <w:rsid w:val="00422FD5"/>
    <w:rsid w:val="00425B2A"/>
    <w:rsid w:val="00426051"/>
    <w:rsid w:val="00427E55"/>
    <w:rsid w:val="004320BA"/>
    <w:rsid w:val="00437BB5"/>
    <w:rsid w:val="0044330E"/>
    <w:rsid w:val="0044406E"/>
    <w:rsid w:val="00444F3C"/>
    <w:rsid w:val="004500EC"/>
    <w:rsid w:val="00453453"/>
    <w:rsid w:val="00453BAE"/>
    <w:rsid w:val="00453D59"/>
    <w:rsid w:val="0046148F"/>
    <w:rsid w:val="004619BB"/>
    <w:rsid w:val="0046453E"/>
    <w:rsid w:val="0046508F"/>
    <w:rsid w:val="00465D3F"/>
    <w:rsid w:val="0046621E"/>
    <w:rsid w:val="00466380"/>
    <w:rsid w:val="004669A6"/>
    <w:rsid w:val="00470CC9"/>
    <w:rsid w:val="0047174C"/>
    <w:rsid w:val="00472D4D"/>
    <w:rsid w:val="00473AF8"/>
    <w:rsid w:val="004813B4"/>
    <w:rsid w:val="0048196C"/>
    <w:rsid w:val="004822B4"/>
    <w:rsid w:val="0049085E"/>
    <w:rsid w:val="00490D43"/>
    <w:rsid w:val="004919DD"/>
    <w:rsid w:val="00492710"/>
    <w:rsid w:val="0049390F"/>
    <w:rsid w:val="004942C2"/>
    <w:rsid w:val="00494F7C"/>
    <w:rsid w:val="0049677F"/>
    <w:rsid w:val="004973E2"/>
    <w:rsid w:val="004A009E"/>
    <w:rsid w:val="004A2DF5"/>
    <w:rsid w:val="004A2EA8"/>
    <w:rsid w:val="004A3844"/>
    <w:rsid w:val="004A394C"/>
    <w:rsid w:val="004A41BA"/>
    <w:rsid w:val="004A4492"/>
    <w:rsid w:val="004A4EF3"/>
    <w:rsid w:val="004B3C00"/>
    <w:rsid w:val="004B4674"/>
    <w:rsid w:val="004B4A1D"/>
    <w:rsid w:val="004B52CD"/>
    <w:rsid w:val="004B65FA"/>
    <w:rsid w:val="004C08C7"/>
    <w:rsid w:val="004C0D65"/>
    <w:rsid w:val="004C1318"/>
    <w:rsid w:val="004C3F1F"/>
    <w:rsid w:val="004C403E"/>
    <w:rsid w:val="004C5367"/>
    <w:rsid w:val="004C5370"/>
    <w:rsid w:val="004C5E8E"/>
    <w:rsid w:val="004D1006"/>
    <w:rsid w:val="004D45DF"/>
    <w:rsid w:val="004D66C1"/>
    <w:rsid w:val="004D6B05"/>
    <w:rsid w:val="004D6E54"/>
    <w:rsid w:val="004D719A"/>
    <w:rsid w:val="004E0C0B"/>
    <w:rsid w:val="004E0FE1"/>
    <w:rsid w:val="004E2125"/>
    <w:rsid w:val="004E304E"/>
    <w:rsid w:val="004E31B6"/>
    <w:rsid w:val="004E5029"/>
    <w:rsid w:val="004F18F3"/>
    <w:rsid w:val="004F3688"/>
    <w:rsid w:val="004F3AAE"/>
    <w:rsid w:val="004F4BDE"/>
    <w:rsid w:val="004F7CAC"/>
    <w:rsid w:val="004F7E00"/>
    <w:rsid w:val="004F7E39"/>
    <w:rsid w:val="00500EC8"/>
    <w:rsid w:val="00505A22"/>
    <w:rsid w:val="005067E6"/>
    <w:rsid w:val="00506D59"/>
    <w:rsid w:val="005075D8"/>
    <w:rsid w:val="00510675"/>
    <w:rsid w:val="00511320"/>
    <w:rsid w:val="00513548"/>
    <w:rsid w:val="005143F9"/>
    <w:rsid w:val="00516566"/>
    <w:rsid w:val="005218C3"/>
    <w:rsid w:val="00523EDC"/>
    <w:rsid w:val="0052476C"/>
    <w:rsid w:val="00525BE5"/>
    <w:rsid w:val="00531C11"/>
    <w:rsid w:val="00531CE7"/>
    <w:rsid w:val="00532021"/>
    <w:rsid w:val="00533DAE"/>
    <w:rsid w:val="00535C74"/>
    <w:rsid w:val="005361AB"/>
    <w:rsid w:val="00536569"/>
    <w:rsid w:val="00541D43"/>
    <w:rsid w:val="00542068"/>
    <w:rsid w:val="00542DAC"/>
    <w:rsid w:val="00543AF9"/>
    <w:rsid w:val="00544B89"/>
    <w:rsid w:val="005452F9"/>
    <w:rsid w:val="00552641"/>
    <w:rsid w:val="00553E7A"/>
    <w:rsid w:val="0055532F"/>
    <w:rsid w:val="005558A9"/>
    <w:rsid w:val="00555E9F"/>
    <w:rsid w:val="00556523"/>
    <w:rsid w:val="00560B37"/>
    <w:rsid w:val="00561D24"/>
    <w:rsid w:val="00565A51"/>
    <w:rsid w:val="005660E5"/>
    <w:rsid w:val="0056625E"/>
    <w:rsid w:val="005736F9"/>
    <w:rsid w:val="00573B32"/>
    <w:rsid w:val="00573C9F"/>
    <w:rsid w:val="00573F09"/>
    <w:rsid w:val="005751D0"/>
    <w:rsid w:val="00575C61"/>
    <w:rsid w:val="00576525"/>
    <w:rsid w:val="00576ADE"/>
    <w:rsid w:val="00577AE5"/>
    <w:rsid w:val="00577CFD"/>
    <w:rsid w:val="00577DEF"/>
    <w:rsid w:val="00593633"/>
    <w:rsid w:val="00594909"/>
    <w:rsid w:val="00597972"/>
    <w:rsid w:val="00597C91"/>
    <w:rsid w:val="005A14F9"/>
    <w:rsid w:val="005A360D"/>
    <w:rsid w:val="005A4A30"/>
    <w:rsid w:val="005A71D0"/>
    <w:rsid w:val="005A7DF4"/>
    <w:rsid w:val="005B103C"/>
    <w:rsid w:val="005B11C1"/>
    <w:rsid w:val="005B1622"/>
    <w:rsid w:val="005B1B74"/>
    <w:rsid w:val="005B5C35"/>
    <w:rsid w:val="005B5F66"/>
    <w:rsid w:val="005B659A"/>
    <w:rsid w:val="005C2CF8"/>
    <w:rsid w:val="005C4F45"/>
    <w:rsid w:val="005C691C"/>
    <w:rsid w:val="005D0AF7"/>
    <w:rsid w:val="005D189E"/>
    <w:rsid w:val="005D282D"/>
    <w:rsid w:val="005D30D5"/>
    <w:rsid w:val="005D5217"/>
    <w:rsid w:val="005D53CE"/>
    <w:rsid w:val="005D5BA1"/>
    <w:rsid w:val="005D6956"/>
    <w:rsid w:val="005D7838"/>
    <w:rsid w:val="005E0419"/>
    <w:rsid w:val="005E4529"/>
    <w:rsid w:val="005E49B2"/>
    <w:rsid w:val="005E6E69"/>
    <w:rsid w:val="005E7A75"/>
    <w:rsid w:val="005F0AE8"/>
    <w:rsid w:val="005F12D7"/>
    <w:rsid w:val="005F2A6B"/>
    <w:rsid w:val="005F2CAA"/>
    <w:rsid w:val="005F340D"/>
    <w:rsid w:val="005F40C1"/>
    <w:rsid w:val="005F51B6"/>
    <w:rsid w:val="005F5E00"/>
    <w:rsid w:val="006024D3"/>
    <w:rsid w:val="00606022"/>
    <w:rsid w:val="00606382"/>
    <w:rsid w:val="00606EF9"/>
    <w:rsid w:val="0060706A"/>
    <w:rsid w:val="0060748B"/>
    <w:rsid w:val="006074FD"/>
    <w:rsid w:val="00607758"/>
    <w:rsid w:val="00610D5E"/>
    <w:rsid w:val="006110E8"/>
    <w:rsid w:val="00611369"/>
    <w:rsid w:val="0061179C"/>
    <w:rsid w:val="006118A4"/>
    <w:rsid w:val="00613467"/>
    <w:rsid w:val="00613823"/>
    <w:rsid w:val="00615AB5"/>
    <w:rsid w:val="00616B9E"/>
    <w:rsid w:val="00620124"/>
    <w:rsid w:val="00620755"/>
    <w:rsid w:val="006223E2"/>
    <w:rsid w:val="00623117"/>
    <w:rsid w:val="00624315"/>
    <w:rsid w:val="0062545B"/>
    <w:rsid w:val="0062552A"/>
    <w:rsid w:val="006261B4"/>
    <w:rsid w:val="00626D70"/>
    <w:rsid w:val="00630309"/>
    <w:rsid w:val="006332BE"/>
    <w:rsid w:val="00633E5A"/>
    <w:rsid w:val="00636BCE"/>
    <w:rsid w:val="006374D3"/>
    <w:rsid w:val="006408C3"/>
    <w:rsid w:val="006411EF"/>
    <w:rsid w:val="00643C32"/>
    <w:rsid w:val="006444C8"/>
    <w:rsid w:val="0064497E"/>
    <w:rsid w:val="0064620D"/>
    <w:rsid w:val="006464F8"/>
    <w:rsid w:val="00651C4B"/>
    <w:rsid w:val="00653392"/>
    <w:rsid w:val="00657754"/>
    <w:rsid w:val="00662479"/>
    <w:rsid w:val="006627A3"/>
    <w:rsid w:val="00662DFF"/>
    <w:rsid w:val="00663C40"/>
    <w:rsid w:val="00664356"/>
    <w:rsid w:val="0066690B"/>
    <w:rsid w:val="006711A5"/>
    <w:rsid w:val="00672120"/>
    <w:rsid w:val="0068015A"/>
    <w:rsid w:val="0068045F"/>
    <w:rsid w:val="00682B5D"/>
    <w:rsid w:val="00691913"/>
    <w:rsid w:val="00695781"/>
    <w:rsid w:val="00697091"/>
    <w:rsid w:val="006A138B"/>
    <w:rsid w:val="006A2649"/>
    <w:rsid w:val="006A3DEE"/>
    <w:rsid w:val="006A5FE6"/>
    <w:rsid w:val="006B0835"/>
    <w:rsid w:val="006B140A"/>
    <w:rsid w:val="006B2ECA"/>
    <w:rsid w:val="006B6A2E"/>
    <w:rsid w:val="006C2705"/>
    <w:rsid w:val="006C3602"/>
    <w:rsid w:val="006C4906"/>
    <w:rsid w:val="006D0BA0"/>
    <w:rsid w:val="006D1DD0"/>
    <w:rsid w:val="006D312D"/>
    <w:rsid w:val="006D3271"/>
    <w:rsid w:val="006D3A74"/>
    <w:rsid w:val="006D4A3E"/>
    <w:rsid w:val="006E2F89"/>
    <w:rsid w:val="006E35DA"/>
    <w:rsid w:val="006E3B04"/>
    <w:rsid w:val="006E44F2"/>
    <w:rsid w:val="006E5009"/>
    <w:rsid w:val="006E68F4"/>
    <w:rsid w:val="006E7302"/>
    <w:rsid w:val="006E795A"/>
    <w:rsid w:val="006F0AB3"/>
    <w:rsid w:val="006F161E"/>
    <w:rsid w:val="006F21CC"/>
    <w:rsid w:val="006F2B5F"/>
    <w:rsid w:val="006F53E8"/>
    <w:rsid w:val="006F5C0C"/>
    <w:rsid w:val="006F71A8"/>
    <w:rsid w:val="006F756D"/>
    <w:rsid w:val="007001D8"/>
    <w:rsid w:val="0070412B"/>
    <w:rsid w:val="00704DEF"/>
    <w:rsid w:val="0071177E"/>
    <w:rsid w:val="00712369"/>
    <w:rsid w:val="00712C73"/>
    <w:rsid w:val="0071604F"/>
    <w:rsid w:val="00716388"/>
    <w:rsid w:val="00716E87"/>
    <w:rsid w:val="00720328"/>
    <w:rsid w:val="00723E1E"/>
    <w:rsid w:val="00726C09"/>
    <w:rsid w:val="007279F8"/>
    <w:rsid w:val="00733782"/>
    <w:rsid w:val="007348F0"/>
    <w:rsid w:val="00740352"/>
    <w:rsid w:val="00742BE9"/>
    <w:rsid w:val="007435A2"/>
    <w:rsid w:val="007509A6"/>
    <w:rsid w:val="00750B5A"/>
    <w:rsid w:val="00754BFB"/>
    <w:rsid w:val="00757F3B"/>
    <w:rsid w:val="00761D53"/>
    <w:rsid w:val="00762EA7"/>
    <w:rsid w:val="00764211"/>
    <w:rsid w:val="00765696"/>
    <w:rsid w:val="00770578"/>
    <w:rsid w:val="00772C70"/>
    <w:rsid w:val="00774230"/>
    <w:rsid w:val="00774237"/>
    <w:rsid w:val="007754E0"/>
    <w:rsid w:val="00775C05"/>
    <w:rsid w:val="00780C82"/>
    <w:rsid w:val="0078164D"/>
    <w:rsid w:val="00782A4C"/>
    <w:rsid w:val="00782E26"/>
    <w:rsid w:val="007830AA"/>
    <w:rsid w:val="00783A76"/>
    <w:rsid w:val="007847FA"/>
    <w:rsid w:val="00785AB1"/>
    <w:rsid w:val="00787C0D"/>
    <w:rsid w:val="00790910"/>
    <w:rsid w:val="00791DE1"/>
    <w:rsid w:val="007924BD"/>
    <w:rsid w:val="007931DE"/>
    <w:rsid w:val="0079483A"/>
    <w:rsid w:val="00795A09"/>
    <w:rsid w:val="007A39B0"/>
    <w:rsid w:val="007A3A8C"/>
    <w:rsid w:val="007A3F15"/>
    <w:rsid w:val="007A4E9B"/>
    <w:rsid w:val="007A4F27"/>
    <w:rsid w:val="007A6163"/>
    <w:rsid w:val="007B0606"/>
    <w:rsid w:val="007B0BBE"/>
    <w:rsid w:val="007B0E0C"/>
    <w:rsid w:val="007B1C6C"/>
    <w:rsid w:val="007B1D70"/>
    <w:rsid w:val="007B25EA"/>
    <w:rsid w:val="007B27CE"/>
    <w:rsid w:val="007B432D"/>
    <w:rsid w:val="007B5530"/>
    <w:rsid w:val="007C07A6"/>
    <w:rsid w:val="007C120A"/>
    <w:rsid w:val="007C26E5"/>
    <w:rsid w:val="007C5864"/>
    <w:rsid w:val="007C720A"/>
    <w:rsid w:val="007C727E"/>
    <w:rsid w:val="007C76EE"/>
    <w:rsid w:val="007D1092"/>
    <w:rsid w:val="007D1619"/>
    <w:rsid w:val="007D1BFA"/>
    <w:rsid w:val="007D2621"/>
    <w:rsid w:val="007D3B37"/>
    <w:rsid w:val="007D674A"/>
    <w:rsid w:val="007E1791"/>
    <w:rsid w:val="007E2CBF"/>
    <w:rsid w:val="007E2F72"/>
    <w:rsid w:val="007E3EA1"/>
    <w:rsid w:val="007E424D"/>
    <w:rsid w:val="007E6ED0"/>
    <w:rsid w:val="007F0228"/>
    <w:rsid w:val="007F06E9"/>
    <w:rsid w:val="007F0708"/>
    <w:rsid w:val="007F08CA"/>
    <w:rsid w:val="007F0A0A"/>
    <w:rsid w:val="007F1999"/>
    <w:rsid w:val="007F1E82"/>
    <w:rsid w:val="007F2C1C"/>
    <w:rsid w:val="007F3B6E"/>
    <w:rsid w:val="007F586B"/>
    <w:rsid w:val="00801A4C"/>
    <w:rsid w:val="008023EE"/>
    <w:rsid w:val="00802CC8"/>
    <w:rsid w:val="0080460C"/>
    <w:rsid w:val="00806103"/>
    <w:rsid w:val="00806375"/>
    <w:rsid w:val="00806434"/>
    <w:rsid w:val="008103DC"/>
    <w:rsid w:val="00813288"/>
    <w:rsid w:val="00820847"/>
    <w:rsid w:val="00821A29"/>
    <w:rsid w:val="00822829"/>
    <w:rsid w:val="00823233"/>
    <w:rsid w:val="00823F52"/>
    <w:rsid w:val="00824426"/>
    <w:rsid w:val="0082446B"/>
    <w:rsid w:val="00830194"/>
    <w:rsid w:val="00830E52"/>
    <w:rsid w:val="008324E3"/>
    <w:rsid w:val="0083374B"/>
    <w:rsid w:val="00833841"/>
    <w:rsid w:val="00834CB8"/>
    <w:rsid w:val="008353EB"/>
    <w:rsid w:val="008362D9"/>
    <w:rsid w:val="00836E8D"/>
    <w:rsid w:val="00841E29"/>
    <w:rsid w:val="00843AD4"/>
    <w:rsid w:val="008444D2"/>
    <w:rsid w:val="00845533"/>
    <w:rsid w:val="00845946"/>
    <w:rsid w:val="008476A0"/>
    <w:rsid w:val="00850ACE"/>
    <w:rsid w:val="00850AFE"/>
    <w:rsid w:val="0085101A"/>
    <w:rsid w:val="00852AE5"/>
    <w:rsid w:val="00852F38"/>
    <w:rsid w:val="0085647C"/>
    <w:rsid w:val="00856C34"/>
    <w:rsid w:val="00857696"/>
    <w:rsid w:val="00863D3A"/>
    <w:rsid w:val="00864433"/>
    <w:rsid w:val="00864C42"/>
    <w:rsid w:val="00865DC1"/>
    <w:rsid w:val="008670B1"/>
    <w:rsid w:val="00867721"/>
    <w:rsid w:val="00870782"/>
    <w:rsid w:val="00872DC1"/>
    <w:rsid w:val="00874C59"/>
    <w:rsid w:val="00874D2A"/>
    <w:rsid w:val="00875098"/>
    <w:rsid w:val="008750F9"/>
    <w:rsid w:val="00875341"/>
    <w:rsid w:val="0087536F"/>
    <w:rsid w:val="00880656"/>
    <w:rsid w:val="00880A40"/>
    <w:rsid w:val="00883CF9"/>
    <w:rsid w:val="00884800"/>
    <w:rsid w:val="00885114"/>
    <w:rsid w:val="008869F4"/>
    <w:rsid w:val="00887754"/>
    <w:rsid w:val="00890A40"/>
    <w:rsid w:val="00893139"/>
    <w:rsid w:val="00893EEF"/>
    <w:rsid w:val="00894021"/>
    <w:rsid w:val="00894AC1"/>
    <w:rsid w:val="008952EC"/>
    <w:rsid w:val="00895DDA"/>
    <w:rsid w:val="008972EA"/>
    <w:rsid w:val="008973F2"/>
    <w:rsid w:val="008A122E"/>
    <w:rsid w:val="008A299E"/>
    <w:rsid w:val="008A337A"/>
    <w:rsid w:val="008A41AC"/>
    <w:rsid w:val="008A4880"/>
    <w:rsid w:val="008A52B1"/>
    <w:rsid w:val="008A5BC4"/>
    <w:rsid w:val="008A6906"/>
    <w:rsid w:val="008B0372"/>
    <w:rsid w:val="008B4BFE"/>
    <w:rsid w:val="008B5B32"/>
    <w:rsid w:val="008B62AF"/>
    <w:rsid w:val="008C0AB4"/>
    <w:rsid w:val="008C3314"/>
    <w:rsid w:val="008C3CD9"/>
    <w:rsid w:val="008C57DB"/>
    <w:rsid w:val="008C5ABC"/>
    <w:rsid w:val="008C772F"/>
    <w:rsid w:val="008D19AC"/>
    <w:rsid w:val="008D23AC"/>
    <w:rsid w:val="008D6076"/>
    <w:rsid w:val="008D66D0"/>
    <w:rsid w:val="008D78FF"/>
    <w:rsid w:val="008E1B14"/>
    <w:rsid w:val="008E3D9F"/>
    <w:rsid w:val="008E637F"/>
    <w:rsid w:val="008F37DF"/>
    <w:rsid w:val="008F4B77"/>
    <w:rsid w:val="008F5D5E"/>
    <w:rsid w:val="008F7898"/>
    <w:rsid w:val="008F7B4F"/>
    <w:rsid w:val="00900201"/>
    <w:rsid w:val="0090611E"/>
    <w:rsid w:val="00906D9A"/>
    <w:rsid w:val="00907067"/>
    <w:rsid w:val="00911406"/>
    <w:rsid w:val="009128C5"/>
    <w:rsid w:val="0091293E"/>
    <w:rsid w:val="00913570"/>
    <w:rsid w:val="00914DA7"/>
    <w:rsid w:val="00915F63"/>
    <w:rsid w:val="009177E9"/>
    <w:rsid w:val="00920F2D"/>
    <w:rsid w:val="00920F39"/>
    <w:rsid w:val="009211CC"/>
    <w:rsid w:val="00922610"/>
    <w:rsid w:val="00924139"/>
    <w:rsid w:val="009320CB"/>
    <w:rsid w:val="0093215A"/>
    <w:rsid w:val="009321A8"/>
    <w:rsid w:val="009331CF"/>
    <w:rsid w:val="009334AC"/>
    <w:rsid w:val="009355F3"/>
    <w:rsid w:val="009406D3"/>
    <w:rsid w:val="00942010"/>
    <w:rsid w:val="00942366"/>
    <w:rsid w:val="00942E7D"/>
    <w:rsid w:val="0094320A"/>
    <w:rsid w:val="009463D7"/>
    <w:rsid w:val="00950030"/>
    <w:rsid w:val="0095170D"/>
    <w:rsid w:val="00951DEE"/>
    <w:rsid w:val="00951E44"/>
    <w:rsid w:val="0095307F"/>
    <w:rsid w:val="00954743"/>
    <w:rsid w:val="00955526"/>
    <w:rsid w:val="0095715D"/>
    <w:rsid w:val="009600F5"/>
    <w:rsid w:val="009630EB"/>
    <w:rsid w:val="00963C3A"/>
    <w:rsid w:val="009650CC"/>
    <w:rsid w:val="00966ADE"/>
    <w:rsid w:val="00966C09"/>
    <w:rsid w:val="00971518"/>
    <w:rsid w:val="00972A89"/>
    <w:rsid w:val="00973D23"/>
    <w:rsid w:val="00973EA5"/>
    <w:rsid w:val="0097418E"/>
    <w:rsid w:val="00974A8E"/>
    <w:rsid w:val="009751F5"/>
    <w:rsid w:val="009760A6"/>
    <w:rsid w:val="009760B1"/>
    <w:rsid w:val="009764A2"/>
    <w:rsid w:val="00976523"/>
    <w:rsid w:val="00976F32"/>
    <w:rsid w:val="009775A1"/>
    <w:rsid w:val="00977B8F"/>
    <w:rsid w:val="0098003B"/>
    <w:rsid w:val="00984441"/>
    <w:rsid w:val="009844CF"/>
    <w:rsid w:val="00984DD8"/>
    <w:rsid w:val="00986FBF"/>
    <w:rsid w:val="009902F2"/>
    <w:rsid w:val="0099037E"/>
    <w:rsid w:val="0099085F"/>
    <w:rsid w:val="009925DB"/>
    <w:rsid w:val="00993322"/>
    <w:rsid w:val="00993BF3"/>
    <w:rsid w:val="00993CC9"/>
    <w:rsid w:val="00995091"/>
    <w:rsid w:val="00995CC1"/>
    <w:rsid w:val="00996EFF"/>
    <w:rsid w:val="00997206"/>
    <w:rsid w:val="00997B7E"/>
    <w:rsid w:val="009A0A86"/>
    <w:rsid w:val="009A259C"/>
    <w:rsid w:val="009A28CB"/>
    <w:rsid w:val="009A5DFB"/>
    <w:rsid w:val="009A6F74"/>
    <w:rsid w:val="009A72D4"/>
    <w:rsid w:val="009A7397"/>
    <w:rsid w:val="009B0115"/>
    <w:rsid w:val="009B18B1"/>
    <w:rsid w:val="009B5471"/>
    <w:rsid w:val="009C03D6"/>
    <w:rsid w:val="009C0466"/>
    <w:rsid w:val="009C06BD"/>
    <w:rsid w:val="009C0C37"/>
    <w:rsid w:val="009C0DF6"/>
    <w:rsid w:val="009C0E40"/>
    <w:rsid w:val="009C18F6"/>
    <w:rsid w:val="009C25F4"/>
    <w:rsid w:val="009C369B"/>
    <w:rsid w:val="009C6AD2"/>
    <w:rsid w:val="009D11B1"/>
    <w:rsid w:val="009D1C61"/>
    <w:rsid w:val="009D21C5"/>
    <w:rsid w:val="009D3628"/>
    <w:rsid w:val="009D448F"/>
    <w:rsid w:val="009D4C2A"/>
    <w:rsid w:val="009D6914"/>
    <w:rsid w:val="009E1C22"/>
    <w:rsid w:val="009E2481"/>
    <w:rsid w:val="009E6B77"/>
    <w:rsid w:val="009F15C1"/>
    <w:rsid w:val="009F3034"/>
    <w:rsid w:val="009F31EA"/>
    <w:rsid w:val="009F3631"/>
    <w:rsid w:val="009F3790"/>
    <w:rsid w:val="009F4357"/>
    <w:rsid w:val="009F6D6C"/>
    <w:rsid w:val="009F7CEB"/>
    <w:rsid w:val="00A00D7D"/>
    <w:rsid w:val="00A03435"/>
    <w:rsid w:val="00A040FD"/>
    <w:rsid w:val="00A0426A"/>
    <w:rsid w:val="00A04C0D"/>
    <w:rsid w:val="00A04DC9"/>
    <w:rsid w:val="00A055E3"/>
    <w:rsid w:val="00A11149"/>
    <w:rsid w:val="00A120D7"/>
    <w:rsid w:val="00A14A18"/>
    <w:rsid w:val="00A14BA2"/>
    <w:rsid w:val="00A15066"/>
    <w:rsid w:val="00A15DF0"/>
    <w:rsid w:val="00A1607B"/>
    <w:rsid w:val="00A20B1A"/>
    <w:rsid w:val="00A219AC"/>
    <w:rsid w:val="00A22A39"/>
    <w:rsid w:val="00A24A60"/>
    <w:rsid w:val="00A269A5"/>
    <w:rsid w:val="00A27F62"/>
    <w:rsid w:val="00A313AB"/>
    <w:rsid w:val="00A321E6"/>
    <w:rsid w:val="00A32EA8"/>
    <w:rsid w:val="00A33306"/>
    <w:rsid w:val="00A35B1B"/>
    <w:rsid w:val="00A37F29"/>
    <w:rsid w:val="00A37FA9"/>
    <w:rsid w:val="00A41E5D"/>
    <w:rsid w:val="00A42258"/>
    <w:rsid w:val="00A43DAD"/>
    <w:rsid w:val="00A460AF"/>
    <w:rsid w:val="00A47206"/>
    <w:rsid w:val="00A474F0"/>
    <w:rsid w:val="00A5085D"/>
    <w:rsid w:val="00A52FF6"/>
    <w:rsid w:val="00A535FB"/>
    <w:rsid w:val="00A547F0"/>
    <w:rsid w:val="00A56C09"/>
    <w:rsid w:val="00A57948"/>
    <w:rsid w:val="00A57A81"/>
    <w:rsid w:val="00A57D2C"/>
    <w:rsid w:val="00A61840"/>
    <w:rsid w:val="00A62EED"/>
    <w:rsid w:val="00A6374D"/>
    <w:rsid w:val="00A6591C"/>
    <w:rsid w:val="00A65F36"/>
    <w:rsid w:val="00A661D6"/>
    <w:rsid w:val="00A66D76"/>
    <w:rsid w:val="00A702C4"/>
    <w:rsid w:val="00A70D3A"/>
    <w:rsid w:val="00A721FC"/>
    <w:rsid w:val="00A7255B"/>
    <w:rsid w:val="00A7293A"/>
    <w:rsid w:val="00A73628"/>
    <w:rsid w:val="00A81F82"/>
    <w:rsid w:val="00A82DFD"/>
    <w:rsid w:val="00A841B0"/>
    <w:rsid w:val="00A85A2B"/>
    <w:rsid w:val="00A913E1"/>
    <w:rsid w:val="00A91547"/>
    <w:rsid w:val="00A9231C"/>
    <w:rsid w:val="00A92D6F"/>
    <w:rsid w:val="00A92FDF"/>
    <w:rsid w:val="00A93543"/>
    <w:rsid w:val="00A94509"/>
    <w:rsid w:val="00A94E94"/>
    <w:rsid w:val="00A94EFC"/>
    <w:rsid w:val="00A97473"/>
    <w:rsid w:val="00AA0A9B"/>
    <w:rsid w:val="00AA0EAD"/>
    <w:rsid w:val="00AA1681"/>
    <w:rsid w:val="00AA1D08"/>
    <w:rsid w:val="00AA228A"/>
    <w:rsid w:val="00AA269A"/>
    <w:rsid w:val="00AA2FA1"/>
    <w:rsid w:val="00AA34EA"/>
    <w:rsid w:val="00AA4460"/>
    <w:rsid w:val="00AA51C1"/>
    <w:rsid w:val="00AA5305"/>
    <w:rsid w:val="00AA5EF9"/>
    <w:rsid w:val="00AA6156"/>
    <w:rsid w:val="00AA627A"/>
    <w:rsid w:val="00AA6AF8"/>
    <w:rsid w:val="00AA73AC"/>
    <w:rsid w:val="00AA7B77"/>
    <w:rsid w:val="00AA7F96"/>
    <w:rsid w:val="00AB187A"/>
    <w:rsid w:val="00AB514A"/>
    <w:rsid w:val="00AB6907"/>
    <w:rsid w:val="00AB6BC8"/>
    <w:rsid w:val="00AC0E53"/>
    <w:rsid w:val="00AC189E"/>
    <w:rsid w:val="00AC4E3A"/>
    <w:rsid w:val="00AC4EF5"/>
    <w:rsid w:val="00AC50E3"/>
    <w:rsid w:val="00AC5937"/>
    <w:rsid w:val="00AC5AFB"/>
    <w:rsid w:val="00AC644A"/>
    <w:rsid w:val="00AD0FE6"/>
    <w:rsid w:val="00AD3954"/>
    <w:rsid w:val="00AD464E"/>
    <w:rsid w:val="00AD51C9"/>
    <w:rsid w:val="00AD5BC8"/>
    <w:rsid w:val="00AE2A68"/>
    <w:rsid w:val="00AE3CA9"/>
    <w:rsid w:val="00AE5453"/>
    <w:rsid w:val="00AE5894"/>
    <w:rsid w:val="00AE631F"/>
    <w:rsid w:val="00AE667A"/>
    <w:rsid w:val="00AF0DF9"/>
    <w:rsid w:val="00AF12D9"/>
    <w:rsid w:val="00AF3120"/>
    <w:rsid w:val="00AF3130"/>
    <w:rsid w:val="00AF4BE4"/>
    <w:rsid w:val="00AF619F"/>
    <w:rsid w:val="00AF7EE1"/>
    <w:rsid w:val="00B0066F"/>
    <w:rsid w:val="00B037F3"/>
    <w:rsid w:val="00B05A6C"/>
    <w:rsid w:val="00B063E1"/>
    <w:rsid w:val="00B06934"/>
    <w:rsid w:val="00B11EA0"/>
    <w:rsid w:val="00B17F19"/>
    <w:rsid w:val="00B17FDB"/>
    <w:rsid w:val="00B21BB1"/>
    <w:rsid w:val="00B23926"/>
    <w:rsid w:val="00B25D68"/>
    <w:rsid w:val="00B2777B"/>
    <w:rsid w:val="00B30284"/>
    <w:rsid w:val="00B32790"/>
    <w:rsid w:val="00B32CAA"/>
    <w:rsid w:val="00B32D8B"/>
    <w:rsid w:val="00B36822"/>
    <w:rsid w:val="00B3682B"/>
    <w:rsid w:val="00B374E1"/>
    <w:rsid w:val="00B4269A"/>
    <w:rsid w:val="00B5051A"/>
    <w:rsid w:val="00B51393"/>
    <w:rsid w:val="00B53027"/>
    <w:rsid w:val="00B54E84"/>
    <w:rsid w:val="00B57451"/>
    <w:rsid w:val="00B57DE6"/>
    <w:rsid w:val="00B65320"/>
    <w:rsid w:val="00B66C37"/>
    <w:rsid w:val="00B66E4B"/>
    <w:rsid w:val="00B66F06"/>
    <w:rsid w:val="00B67119"/>
    <w:rsid w:val="00B71110"/>
    <w:rsid w:val="00B71675"/>
    <w:rsid w:val="00B71B62"/>
    <w:rsid w:val="00B729A2"/>
    <w:rsid w:val="00B734ED"/>
    <w:rsid w:val="00B73773"/>
    <w:rsid w:val="00B75BC0"/>
    <w:rsid w:val="00B77167"/>
    <w:rsid w:val="00B7717C"/>
    <w:rsid w:val="00B7796D"/>
    <w:rsid w:val="00B80B83"/>
    <w:rsid w:val="00B83B9C"/>
    <w:rsid w:val="00B85B3B"/>
    <w:rsid w:val="00B863A0"/>
    <w:rsid w:val="00B873C4"/>
    <w:rsid w:val="00B94F71"/>
    <w:rsid w:val="00B959C9"/>
    <w:rsid w:val="00B97458"/>
    <w:rsid w:val="00BA01AB"/>
    <w:rsid w:val="00BA28A2"/>
    <w:rsid w:val="00BA3306"/>
    <w:rsid w:val="00BA73EE"/>
    <w:rsid w:val="00BB005C"/>
    <w:rsid w:val="00BB1199"/>
    <w:rsid w:val="00BB18E9"/>
    <w:rsid w:val="00BB2184"/>
    <w:rsid w:val="00BB42D4"/>
    <w:rsid w:val="00BB6A65"/>
    <w:rsid w:val="00BC1309"/>
    <w:rsid w:val="00BC175D"/>
    <w:rsid w:val="00BC19BE"/>
    <w:rsid w:val="00BC31A4"/>
    <w:rsid w:val="00BC4F48"/>
    <w:rsid w:val="00BD03EC"/>
    <w:rsid w:val="00BD1E67"/>
    <w:rsid w:val="00BD399B"/>
    <w:rsid w:val="00BD5665"/>
    <w:rsid w:val="00BD7F89"/>
    <w:rsid w:val="00BE3CAA"/>
    <w:rsid w:val="00BE3E5F"/>
    <w:rsid w:val="00BE40C3"/>
    <w:rsid w:val="00BE492B"/>
    <w:rsid w:val="00BE56FF"/>
    <w:rsid w:val="00BE583A"/>
    <w:rsid w:val="00BF4BCC"/>
    <w:rsid w:val="00BF739A"/>
    <w:rsid w:val="00C00E00"/>
    <w:rsid w:val="00C00E4E"/>
    <w:rsid w:val="00C00E86"/>
    <w:rsid w:val="00C014EA"/>
    <w:rsid w:val="00C065EE"/>
    <w:rsid w:val="00C07417"/>
    <w:rsid w:val="00C07BBA"/>
    <w:rsid w:val="00C10F1D"/>
    <w:rsid w:val="00C12D13"/>
    <w:rsid w:val="00C14978"/>
    <w:rsid w:val="00C1510B"/>
    <w:rsid w:val="00C2138A"/>
    <w:rsid w:val="00C21CB8"/>
    <w:rsid w:val="00C23FEA"/>
    <w:rsid w:val="00C242AB"/>
    <w:rsid w:val="00C25AC9"/>
    <w:rsid w:val="00C263EC"/>
    <w:rsid w:val="00C2669F"/>
    <w:rsid w:val="00C26919"/>
    <w:rsid w:val="00C317F3"/>
    <w:rsid w:val="00C32981"/>
    <w:rsid w:val="00C32D24"/>
    <w:rsid w:val="00C338C8"/>
    <w:rsid w:val="00C349F9"/>
    <w:rsid w:val="00C3624D"/>
    <w:rsid w:val="00C42F8C"/>
    <w:rsid w:val="00C430FB"/>
    <w:rsid w:val="00C44C37"/>
    <w:rsid w:val="00C46679"/>
    <w:rsid w:val="00C46AE5"/>
    <w:rsid w:val="00C47654"/>
    <w:rsid w:val="00C50452"/>
    <w:rsid w:val="00C50CE6"/>
    <w:rsid w:val="00C5623A"/>
    <w:rsid w:val="00C56A72"/>
    <w:rsid w:val="00C56CAB"/>
    <w:rsid w:val="00C577ED"/>
    <w:rsid w:val="00C57E4D"/>
    <w:rsid w:val="00C6235F"/>
    <w:rsid w:val="00C626E2"/>
    <w:rsid w:val="00C628C8"/>
    <w:rsid w:val="00C6290F"/>
    <w:rsid w:val="00C64D3D"/>
    <w:rsid w:val="00C65433"/>
    <w:rsid w:val="00C66ED6"/>
    <w:rsid w:val="00C71EA8"/>
    <w:rsid w:val="00C73F13"/>
    <w:rsid w:val="00C74037"/>
    <w:rsid w:val="00C7519E"/>
    <w:rsid w:val="00C81A12"/>
    <w:rsid w:val="00C82732"/>
    <w:rsid w:val="00C846BE"/>
    <w:rsid w:val="00C85356"/>
    <w:rsid w:val="00C8549F"/>
    <w:rsid w:val="00C85DBC"/>
    <w:rsid w:val="00C866E4"/>
    <w:rsid w:val="00C902EC"/>
    <w:rsid w:val="00C916F0"/>
    <w:rsid w:val="00C932D4"/>
    <w:rsid w:val="00C94979"/>
    <w:rsid w:val="00C95163"/>
    <w:rsid w:val="00C963DE"/>
    <w:rsid w:val="00C96D6B"/>
    <w:rsid w:val="00C96F99"/>
    <w:rsid w:val="00CA0C26"/>
    <w:rsid w:val="00CA2558"/>
    <w:rsid w:val="00CA3EF7"/>
    <w:rsid w:val="00CB07A8"/>
    <w:rsid w:val="00CB26B3"/>
    <w:rsid w:val="00CB2F92"/>
    <w:rsid w:val="00CB375A"/>
    <w:rsid w:val="00CB5389"/>
    <w:rsid w:val="00CB7323"/>
    <w:rsid w:val="00CC0A65"/>
    <w:rsid w:val="00CC10E1"/>
    <w:rsid w:val="00CC158B"/>
    <w:rsid w:val="00CC2896"/>
    <w:rsid w:val="00CC3220"/>
    <w:rsid w:val="00CC34D2"/>
    <w:rsid w:val="00CC3502"/>
    <w:rsid w:val="00CC7381"/>
    <w:rsid w:val="00CD03F4"/>
    <w:rsid w:val="00CD0C53"/>
    <w:rsid w:val="00CD12E3"/>
    <w:rsid w:val="00CD1AF3"/>
    <w:rsid w:val="00CD6327"/>
    <w:rsid w:val="00CD7FBA"/>
    <w:rsid w:val="00CE023C"/>
    <w:rsid w:val="00CE1FFC"/>
    <w:rsid w:val="00CE2B78"/>
    <w:rsid w:val="00CE617B"/>
    <w:rsid w:val="00CE74A3"/>
    <w:rsid w:val="00CF0351"/>
    <w:rsid w:val="00CF107F"/>
    <w:rsid w:val="00CF3187"/>
    <w:rsid w:val="00CF3274"/>
    <w:rsid w:val="00CF3E16"/>
    <w:rsid w:val="00CF59BC"/>
    <w:rsid w:val="00CF5AB4"/>
    <w:rsid w:val="00CF6E22"/>
    <w:rsid w:val="00CF7C30"/>
    <w:rsid w:val="00CF7DE8"/>
    <w:rsid w:val="00D02BCE"/>
    <w:rsid w:val="00D02BE5"/>
    <w:rsid w:val="00D02E6B"/>
    <w:rsid w:val="00D034DD"/>
    <w:rsid w:val="00D04952"/>
    <w:rsid w:val="00D04F34"/>
    <w:rsid w:val="00D05EFB"/>
    <w:rsid w:val="00D05F89"/>
    <w:rsid w:val="00D06A16"/>
    <w:rsid w:val="00D1078F"/>
    <w:rsid w:val="00D1099E"/>
    <w:rsid w:val="00D10E60"/>
    <w:rsid w:val="00D120D2"/>
    <w:rsid w:val="00D12252"/>
    <w:rsid w:val="00D12CD2"/>
    <w:rsid w:val="00D14A8C"/>
    <w:rsid w:val="00D14D23"/>
    <w:rsid w:val="00D1511C"/>
    <w:rsid w:val="00D15D8B"/>
    <w:rsid w:val="00D17984"/>
    <w:rsid w:val="00D21D01"/>
    <w:rsid w:val="00D2231C"/>
    <w:rsid w:val="00D23D25"/>
    <w:rsid w:val="00D242CA"/>
    <w:rsid w:val="00D24DAD"/>
    <w:rsid w:val="00D25916"/>
    <w:rsid w:val="00D26C74"/>
    <w:rsid w:val="00D3082E"/>
    <w:rsid w:val="00D329E6"/>
    <w:rsid w:val="00D33A66"/>
    <w:rsid w:val="00D3646A"/>
    <w:rsid w:val="00D37972"/>
    <w:rsid w:val="00D37B3A"/>
    <w:rsid w:val="00D37D5D"/>
    <w:rsid w:val="00D40896"/>
    <w:rsid w:val="00D41534"/>
    <w:rsid w:val="00D417DF"/>
    <w:rsid w:val="00D4470F"/>
    <w:rsid w:val="00D4514D"/>
    <w:rsid w:val="00D451A9"/>
    <w:rsid w:val="00D451FC"/>
    <w:rsid w:val="00D45740"/>
    <w:rsid w:val="00D46580"/>
    <w:rsid w:val="00D4725D"/>
    <w:rsid w:val="00D4779F"/>
    <w:rsid w:val="00D50409"/>
    <w:rsid w:val="00D5222E"/>
    <w:rsid w:val="00D52D13"/>
    <w:rsid w:val="00D5352C"/>
    <w:rsid w:val="00D55417"/>
    <w:rsid w:val="00D56232"/>
    <w:rsid w:val="00D6178E"/>
    <w:rsid w:val="00D62672"/>
    <w:rsid w:val="00D627A5"/>
    <w:rsid w:val="00D63C48"/>
    <w:rsid w:val="00D64289"/>
    <w:rsid w:val="00D655A2"/>
    <w:rsid w:val="00D6667B"/>
    <w:rsid w:val="00D674A2"/>
    <w:rsid w:val="00D67B30"/>
    <w:rsid w:val="00D71196"/>
    <w:rsid w:val="00D71400"/>
    <w:rsid w:val="00D7256F"/>
    <w:rsid w:val="00D73ADD"/>
    <w:rsid w:val="00D747FD"/>
    <w:rsid w:val="00D803F6"/>
    <w:rsid w:val="00D807DF"/>
    <w:rsid w:val="00D812B8"/>
    <w:rsid w:val="00D834A4"/>
    <w:rsid w:val="00D86471"/>
    <w:rsid w:val="00D86FC5"/>
    <w:rsid w:val="00D87FAC"/>
    <w:rsid w:val="00D9330A"/>
    <w:rsid w:val="00D93C1E"/>
    <w:rsid w:val="00D95394"/>
    <w:rsid w:val="00D970E7"/>
    <w:rsid w:val="00D975DE"/>
    <w:rsid w:val="00DA032B"/>
    <w:rsid w:val="00DA0456"/>
    <w:rsid w:val="00DA056A"/>
    <w:rsid w:val="00DA0C38"/>
    <w:rsid w:val="00DA18A6"/>
    <w:rsid w:val="00DA1D78"/>
    <w:rsid w:val="00DA2EF7"/>
    <w:rsid w:val="00DA495E"/>
    <w:rsid w:val="00DA55BB"/>
    <w:rsid w:val="00DA5A57"/>
    <w:rsid w:val="00DA73EE"/>
    <w:rsid w:val="00DB0B36"/>
    <w:rsid w:val="00DB3F60"/>
    <w:rsid w:val="00DB4730"/>
    <w:rsid w:val="00DC09EF"/>
    <w:rsid w:val="00DC0D04"/>
    <w:rsid w:val="00DC1743"/>
    <w:rsid w:val="00DC3FFB"/>
    <w:rsid w:val="00DC44DD"/>
    <w:rsid w:val="00DC4CC9"/>
    <w:rsid w:val="00DC4E19"/>
    <w:rsid w:val="00DC66E5"/>
    <w:rsid w:val="00DC7746"/>
    <w:rsid w:val="00DD3049"/>
    <w:rsid w:val="00DD4A3C"/>
    <w:rsid w:val="00DD4AB8"/>
    <w:rsid w:val="00DD5145"/>
    <w:rsid w:val="00DD6B27"/>
    <w:rsid w:val="00DD6E8B"/>
    <w:rsid w:val="00DE0018"/>
    <w:rsid w:val="00DE03A8"/>
    <w:rsid w:val="00DE0D42"/>
    <w:rsid w:val="00DE30E2"/>
    <w:rsid w:val="00DE324E"/>
    <w:rsid w:val="00DE3A9A"/>
    <w:rsid w:val="00DE3C65"/>
    <w:rsid w:val="00DE3F2B"/>
    <w:rsid w:val="00DE49D5"/>
    <w:rsid w:val="00DE6421"/>
    <w:rsid w:val="00DF0616"/>
    <w:rsid w:val="00DF0B12"/>
    <w:rsid w:val="00DF16C0"/>
    <w:rsid w:val="00DF1AC7"/>
    <w:rsid w:val="00DF20F8"/>
    <w:rsid w:val="00DF3422"/>
    <w:rsid w:val="00DF4DF9"/>
    <w:rsid w:val="00DF548B"/>
    <w:rsid w:val="00E017AA"/>
    <w:rsid w:val="00E0358E"/>
    <w:rsid w:val="00E03BF8"/>
    <w:rsid w:val="00E04DB8"/>
    <w:rsid w:val="00E04E70"/>
    <w:rsid w:val="00E05FBC"/>
    <w:rsid w:val="00E10B7D"/>
    <w:rsid w:val="00E10CEF"/>
    <w:rsid w:val="00E116A8"/>
    <w:rsid w:val="00E11D87"/>
    <w:rsid w:val="00E11E14"/>
    <w:rsid w:val="00E12248"/>
    <w:rsid w:val="00E15D43"/>
    <w:rsid w:val="00E1714A"/>
    <w:rsid w:val="00E17C39"/>
    <w:rsid w:val="00E2027F"/>
    <w:rsid w:val="00E20D9A"/>
    <w:rsid w:val="00E21D46"/>
    <w:rsid w:val="00E227EA"/>
    <w:rsid w:val="00E23623"/>
    <w:rsid w:val="00E23660"/>
    <w:rsid w:val="00E24043"/>
    <w:rsid w:val="00E25918"/>
    <w:rsid w:val="00E2761D"/>
    <w:rsid w:val="00E27A2A"/>
    <w:rsid w:val="00E27A2C"/>
    <w:rsid w:val="00E304F2"/>
    <w:rsid w:val="00E31A1E"/>
    <w:rsid w:val="00E3348A"/>
    <w:rsid w:val="00E34484"/>
    <w:rsid w:val="00E352E0"/>
    <w:rsid w:val="00E36425"/>
    <w:rsid w:val="00E37424"/>
    <w:rsid w:val="00E4114C"/>
    <w:rsid w:val="00E411FF"/>
    <w:rsid w:val="00E438B8"/>
    <w:rsid w:val="00E44134"/>
    <w:rsid w:val="00E45180"/>
    <w:rsid w:val="00E45305"/>
    <w:rsid w:val="00E46AC9"/>
    <w:rsid w:val="00E50761"/>
    <w:rsid w:val="00E51242"/>
    <w:rsid w:val="00E53DB6"/>
    <w:rsid w:val="00E54FB3"/>
    <w:rsid w:val="00E55904"/>
    <w:rsid w:val="00E55E72"/>
    <w:rsid w:val="00E57296"/>
    <w:rsid w:val="00E60AFC"/>
    <w:rsid w:val="00E615DE"/>
    <w:rsid w:val="00E615F1"/>
    <w:rsid w:val="00E64AFD"/>
    <w:rsid w:val="00E64DE1"/>
    <w:rsid w:val="00E65CC8"/>
    <w:rsid w:val="00E66614"/>
    <w:rsid w:val="00E67ACB"/>
    <w:rsid w:val="00E700D8"/>
    <w:rsid w:val="00E703D8"/>
    <w:rsid w:val="00E7046B"/>
    <w:rsid w:val="00E704BB"/>
    <w:rsid w:val="00E70877"/>
    <w:rsid w:val="00E73172"/>
    <w:rsid w:val="00E7528F"/>
    <w:rsid w:val="00E75759"/>
    <w:rsid w:val="00E81B19"/>
    <w:rsid w:val="00E82667"/>
    <w:rsid w:val="00E8269B"/>
    <w:rsid w:val="00E83E2F"/>
    <w:rsid w:val="00E84514"/>
    <w:rsid w:val="00E84A5E"/>
    <w:rsid w:val="00E84DF1"/>
    <w:rsid w:val="00E85C85"/>
    <w:rsid w:val="00E8773A"/>
    <w:rsid w:val="00E87E79"/>
    <w:rsid w:val="00E91D61"/>
    <w:rsid w:val="00E930FA"/>
    <w:rsid w:val="00EA1B29"/>
    <w:rsid w:val="00EA27C6"/>
    <w:rsid w:val="00EA66E6"/>
    <w:rsid w:val="00EB29FB"/>
    <w:rsid w:val="00EB426B"/>
    <w:rsid w:val="00EB44DD"/>
    <w:rsid w:val="00EB5E6D"/>
    <w:rsid w:val="00EC08B4"/>
    <w:rsid w:val="00EC08E7"/>
    <w:rsid w:val="00EC1FBC"/>
    <w:rsid w:val="00EC600B"/>
    <w:rsid w:val="00ED3921"/>
    <w:rsid w:val="00ED3A76"/>
    <w:rsid w:val="00ED5048"/>
    <w:rsid w:val="00ED54AB"/>
    <w:rsid w:val="00ED5F09"/>
    <w:rsid w:val="00ED6A3F"/>
    <w:rsid w:val="00ED7CC6"/>
    <w:rsid w:val="00EE039B"/>
    <w:rsid w:val="00EE0E3C"/>
    <w:rsid w:val="00EE3C18"/>
    <w:rsid w:val="00EE5263"/>
    <w:rsid w:val="00EE5B3B"/>
    <w:rsid w:val="00EE68ED"/>
    <w:rsid w:val="00EF1C4A"/>
    <w:rsid w:val="00EF3278"/>
    <w:rsid w:val="00EF739C"/>
    <w:rsid w:val="00EF7C83"/>
    <w:rsid w:val="00F03B53"/>
    <w:rsid w:val="00F049EC"/>
    <w:rsid w:val="00F050C8"/>
    <w:rsid w:val="00F0512F"/>
    <w:rsid w:val="00F05186"/>
    <w:rsid w:val="00F07C86"/>
    <w:rsid w:val="00F109EA"/>
    <w:rsid w:val="00F12068"/>
    <w:rsid w:val="00F13426"/>
    <w:rsid w:val="00F16DF3"/>
    <w:rsid w:val="00F20A75"/>
    <w:rsid w:val="00F2397F"/>
    <w:rsid w:val="00F23A12"/>
    <w:rsid w:val="00F23E49"/>
    <w:rsid w:val="00F23EFD"/>
    <w:rsid w:val="00F253BD"/>
    <w:rsid w:val="00F253F4"/>
    <w:rsid w:val="00F26B4B"/>
    <w:rsid w:val="00F2706C"/>
    <w:rsid w:val="00F3094A"/>
    <w:rsid w:val="00F3179E"/>
    <w:rsid w:val="00F31AA3"/>
    <w:rsid w:val="00F32934"/>
    <w:rsid w:val="00F371D2"/>
    <w:rsid w:val="00F44753"/>
    <w:rsid w:val="00F50079"/>
    <w:rsid w:val="00F502E9"/>
    <w:rsid w:val="00F51CAA"/>
    <w:rsid w:val="00F56314"/>
    <w:rsid w:val="00F563DD"/>
    <w:rsid w:val="00F579FF"/>
    <w:rsid w:val="00F62FE2"/>
    <w:rsid w:val="00F63E37"/>
    <w:rsid w:val="00F66C9F"/>
    <w:rsid w:val="00F67367"/>
    <w:rsid w:val="00F709F0"/>
    <w:rsid w:val="00F70D47"/>
    <w:rsid w:val="00F72B42"/>
    <w:rsid w:val="00F733F3"/>
    <w:rsid w:val="00F73869"/>
    <w:rsid w:val="00F73A39"/>
    <w:rsid w:val="00F73AE0"/>
    <w:rsid w:val="00F759B5"/>
    <w:rsid w:val="00F75D3A"/>
    <w:rsid w:val="00F773F9"/>
    <w:rsid w:val="00F77D0C"/>
    <w:rsid w:val="00F80139"/>
    <w:rsid w:val="00F83FB5"/>
    <w:rsid w:val="00F84F9D"/>
    <w:rsid w:val="00F87C31"/>
    <w:rsid w:val="00F87E4A"/>
    <w:rsid w:val="00F90DFB"/>
    <w:rsid w:val="00F9212E"/>
    <w:rsid w:val="00F95723"/>
    <w:rsid w:val="00F97916"/>
    <w:rsid w:val="00FA0329"/>
    <w:rsid w:val="00FA1832"/>
    <w:rsid w:val="00FB0422"/>
    <w:rsid w:val="00FB0A02"/>
    <w:rsid w:val="00FB1E23"/>
    <w:rsid w:val="00FB3C2C"/>
    <w:rsid w:val="00FB57DB"/>
    <w:rsid w:val="00FB675F"/>
    <w:rsid w:val="00FC0393"/>
    <w:rsid w:val="00FC06E3"/>
    <w:rsid w:val="00FC22AB"/>
    <w:rsid w:val="00FC2DE3"/>
    <w:rsid w:val="00FC3945"/>
    <w:rsid w:val="00FC449C"/>
    <w:rsid w:val="00FC55F1"/>
    <w:rsid w:val="00FC594B"/>
    <w:rsid w:val="00FD0DA5"/>
    <w:rsid w:val="00FD1292"/>
    <w:rsid w:val="00FD12CC"/>
    <w:rsid w:val="00FD1E32"/>
    <w:rsid w:val="00FD5A7A"/>
    <w:rsid w:val="00FD64EE"/>
    <w:rsid w:val="00FD7841"/>
    <w:rsid w:val="00FE05F2"/>
    <w:rsid w:val="00FE214F"/>
    <w:rsid w:val="00FE2431"/>
    <w:rsid w:val="00FE2DA9"/>
    <w:rsid w:val="00FE2E4C"/>
    <w:rsid w:val="00FE4C58"/>
    <w:rsid w:val="00FE6746"/>
    <w:rsid w:val="00FF2550"/>
    <w:rsid w:val="00FF3A39"/>
    <w:rsid w:val="00FF3F55"/>
    <w:rsid w:val="00FF4229"/>
    <w:rsid w:val="00FF5638"/>
    <w:rsid w:val="00FF610D"/>
    <w:rsid w:val="00FF75F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qFormat="1"/>
    <w:lsdException w:name="annotation reference" w:qFormat="1"/>
    <w:lsdException w:name="List Bullet" w:uiPriority="16" w:qFormat="1"/>
    <w:lsdException w:name="List Bullet 2" w:uiPriority="16" w:qFormat="1"/>
    <w:lsdException w:name="List Bullet 3" w:uiPriority="16" w:qFormat="1"/>
    <w:lsdException w:name="List Bullet 4" w:uiPriority="16" w:qFormat="1"/>
    <w:lsdException w:name="List Number 2" w:uiPriority="16"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23"/>
    <w:pPr>
      <w:spacing w:before="120" w:line="240" w:lineRule="auto"/>
      <w:jc w:val="both"/>
    </w:pPr>
    <w:rPr>
      <w:sz w:val="24"/>
    </w:rPr>
  </w:style>
  <w:style w:type="paragraph" w:styleId="Heading1">
    <w:name w:val="heading 1"/>
    <w:basedOn w:val="Normal"/>
    <w:next w:val="Normal"/>
    <w:link w:val="Heading1Char"/>
    <w:uiPriority w:val="1"/>
    <w:qFormat/>
    <w:rsid w:val="00D24DAD"/>
    <w:pPr>
      <w:keepNext/>
      <w:keepLines/>
      <w:numPr>
        <w:numId w:val="11"/>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99"/>
    <w:unhideWhenUsed/>
    <w:qFormat/>
    <w:rsid w:val="00175B20"/>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175B20"/>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character" w:customStyle="1" w:styleId="A2">
    <w:name w:val="A2"/>
    <w:uiPriority w:val="99"/>
    <w:rsid w:val="006B6A2E"/>
    <w:rPr>
      <w:rFonts w:cs="Janson Text LT"/>
      <w:color w:val="000000"/>
    </w:rPr>
  </w:style>
  <w:style w:type="paragraph" w:customStyle="1" w:styleId="Default">
    <w:name w:val="Default"/>
    <w:rsid w:val="007163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F77D0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77D0C"/>
    <w:rPr>
      <w:rFonts w:ascii="Calibri" w:hAnsi="Calibri"/>
      <w:noProof/>
      <w:sz w:val="24"/>
      <w:lang w:val="en-US"/>
    </w:rPr>
  </w:style>
  <w:style w:type="paragraph" w:customStyle="1" w:styleId="EndNoteBibliography">
    <w:name w:val="EndNote Bibliography"/>
    <w:basedOn w:val="Normal"/>
    <w:link w:val="EndNoteBibliographyChar"/>
    <w:rsid w:val="00F77D0C"/>
    <w:rPr>
      <w:rFonts w:ascii="Calibri" w:hAnsi="Calibri"/>
      <w:noProof/>
      <w:lang w:val="en-US"/>
    </w:rPr>
  </w:style>
  <w:style w:type="character" w:customStyle="1" w:styleId="EndNoteBibliographyChar">
    <w:name w:val="EndNote Bibliography Char"/>
    <w:basedOn w:val="DefaultParagraphFont"/>
    <w:link w:val="EndNoteBibliography"/>
    <w:rsid w:val="00F77D0C"/>
    <w:rPr>
      <w:rFonts w:ascii="Calibri" w:hAnsi="Calibri"/>
      <w:noProof/>
      <w:sz w:val="24"/>
      <w:lang w:val="en-US"/>
    </w:rPr>
  </w:style>
  <w:style w:type="character" w:customStyle="1" w:styleId="TableTextChar">
    <w:name w:val="Table Text Char"/>
    <w:basedOn w:val="DefaultParagraphFont"/>
    <w:link w:val="TableText"/>
    <w:rsid w:val="00C64D3D"/>
    <w:rPr>
      <w:rFonts w:ascii="Arial Narrow" w:hAnsi="Arial Narrow"/>
      <w:sz w:val="20"/>
    </w:rPr>
  </w:style>
  <w:style w:type="paragraph" w:customStyle="1" w:styleId="CoverIntroductionText">
    <w:name w:val="Cover Introduction Text"/>
    <w:basedOn w:val="Normal"/>
    <w:uiPriority w:val="21"/>
    <w:rsid w:val="0066690B"/>
    <w:pPr>
      <w:keepLines/>
      <w:spacing w:before="0" w:after="240" w:line="360" w:lineRule="auto"/>
      <w:jc w:val="center"/>
    </w:pPr>
    <w:rPr>
      <w:rFonts w:ascii="Arial" w:hAnsi="Arial"/>
      <w:b/>
      <w:spacing w:val="-2"/>
      <w:szCs w:val="20"/>
    </w:rPr>
  </w:style>
  <w:style w:type="table" w:customStyle="1" w:styleId="MSDAustralia">
    <w:name w:val="MSD Australia"/>
    <w:basedOn w:val="TableGrid"/>
    <w:uiPriority w:val="99"/>
    <w:rsid w:val="0066690B"/>
    <w:pPr>
      <w:spacing w:before="57"/>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Source">
    <w:name w:val="Source"/>
    <w:basedOn w:val="Normal"/>
    <w:uiPriority w:val="35"/>
    <w:qFormat/>
    <w:rsid w:val="0066690B"/>
    <w:pPr>
      <w:keepLines/>
      <w:tabs>
        <w:tab w:val="left" w:pos="284"/>
      </w:tabs>
      <w:spacing w:before="60" w:after="360" w:line="360" w:lineRule="auto"/>
      <w:contextualSpacing/>
    </w:pPr>
    <w:rPr>
      <w:rFonts w:ascii="Arial" w:hAnsi="Arial"/>
      <w:sz w:val="18"/>
      <w:szCs w:val="20"/>
    </w:rPr>
  </w:style>
  <w:style w:type="paragraph" w:styleId="ListBullet">
    <w:name w:val="List Bullet"/>
    <w:basedOn w:val="Normal"/>
    <w:uiPriority w:val="16"/>
    <w:qFormat/>
    <w:rsid w:val="00105D58"/>
    <w:pPr>
      <w:keepLines/>
      <w:numPr>
        <w:numId w:val="7"/>
      </w:numPr>
      <w:spacing w:before="0" w:after="360" w:line="360" w:lineRule="auto"/>
    </w:pPr>
    <w:rPr>
      <w:rFonts w:ascii="Arial" w:hAnsi="Arial"/>
      <w:sz w:val="20"/>
      <w:szCs w:val="20"/>
    </w:rPr>
  </w:style>
  <w:style w:type="paragraph" w:styleId="ListBullet2">
    <w:name w:val="List Bullet 2"/>
    <w:basedOn w:val="ListBullet"/>
    <w:uiPriority w:val="16"/>
    <w:qFormat/>
    <w:rsid w:val="00105D58"/>
    <w:pPr>
      <w:numPr>
        <w:ilvl w:val="1"/>
      </w:numPr>
    </w:pPr>
  </w:style>
  <w:style w:type="paragraph" w:styleId="ListBullet3">
    <w:name w:val="List Bullet 3"/>
    <w:basedOn w:val="Normal"/>
    <w:uiPriority w:val="16"/>
    <w:qFormat/>
    <w:rsid w:val="00105D58"/>
    <w:pPr>
      <w:keepLines/>
      <w:numPr>
        <w:ilvl w:val="2"/>
        <w:numId w:val="7"/>
      </w:numPr>
      <w:spacing w:before="0" w:after="360" w:line="360" w:lineRule="auto"/>
      <w:contextualSpacing/>
    </w:pPr>
    <w:rPr>
      <w:rFonts w:ascii="Arial" w:hAnsi="Arial"/>
      <w:sz w:val="20"/>
      <w:szCs w:val="20"/>
    </w:rPr>
  </w:style>
  <w:style w:type="paragraph" w:styleId="ListBullet4">
    <w:name w:val="List Bullet 4"/>
    <w:basedOn w:val="Normal"/>
    <w:uiPriority w:val="16"/>
    <w:qFormat/>
    <w:rsid w:val="00105D58"/>
    <w:pPr>
      <w:keepLines/>
      <w:numPr>
        <w:ilvl w:val="3"/>
        <w:numId w:val="7"/>
      </w:numPr>
      <w:spacing w:before="0" w:after="360" w:line="360" w:lineRule="auto"/>
      <w:contextualSpacing/>
    </w:pPr>
    <w:rPr>
      <w:rFonts w:ascii="Arial" w:hAnsi="Arial"/>
      <w:sz w:val="20"/>
      <w:szCs w:val="20"/>
    </w:rPr>
  </w:style>
  <w:style w:type="paragraph" w:customStyle="1" w:styleId="Tabletextcentred">
    <w:name w:val="Table text centred"/>
    <w:basedOn w:val="Normal"/>
    <w:link w:val="TabletextcentredChar"/>
    <w:qFormat/>
    <w:rsid w:val="00DF1AC7"/>
    <w:pPr>
      <w:keepNext/>
      <w:spacing w:before="0" w:after="0"/>
      <w:jc w:val="center"/>
    </w:pPr>
    <w:rPr>
      <w:rFonts w:ascii="Arial Narrow" w:eastAsia="Times New Roman" w:hAnsi="Arial Narrow" w:cs="Arial Narrow"/>
      <w:sz w:val="20"/>
      <w:szCs w:val="20"/>
    </w:rPr>
  </w:style>
  <w:style w:type="character" w:customStyle="1" w:styleId="TabletextcentredChar">
    <w:name w:val="Table text centred Char"/>
    <w:link w:val="Tabletextcentred"/>
    <w:rsid w:val="00DF1AC7"/>
    <w:rPr>
      <w:rFonts w:ascii="Arial Narrow" w:eastAsia="Times New Roman" w:hAnsi="Arial Narrow" w:cs="Arial Narrow"/>
      <w:sz w:val="20"/>
      <w:szCs w:val="20"/>
    </w:rPr>
  </w:style>
  <w:style w:type="table" w:customStyle="1" w:styleId="TableGridLight2">
    <w:name w:val="Table Grid Light2"/>
    <w:basedOn w:val="TableNormal"/>
    <w:uiPriority w:val="40"/>
    <w:rsid w:val="00EE68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CC32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2">
    <w:name w:val="List Number 2"/>
    <w:basedOn w:val="Normal"/>
    <w:uiPriority w:val="16"/>
    <w:qFormat/>
    <w:rsid w:val="00E23623"/>
    <w:pPr>
      <w:keepLines/>
      <w:numPr>
        <w:ilvl w:val="2"/>
      </w:numPr>
      <w:spacing w:before="0" w:after="360" w:line="360" w:lineRule="auto"/>
    </w:pPr>
    <w:rPr>
      <w:rFonts w:ascii="Arial" w:hAnsi="Arial"/>
      <w:sz w:val="20"/>
      <w:szCs w:val="20"/>
    </w:rPr>
  </w:style>
  <w:style w:type="paragraph" w:customStyle="1" w:styleId="SubHeading">
    <w:name w:val="Sub Heading"/>
    <w:basedOn w:val="Normal"/>
    <w:next w:val="Normal"/>
    <w:uiPriority w:val="9"/>
    <w:qFormat/>
    <w:rsid w:val="00E23623"/>
    <w:pPr>
      <w:keepLines/>
      <w:spacing w:before="360" w:after="0" w:line="360" w:lineRule="auto"/>
    </w:pPr>
    <w:rPr>
      <w:rFonts w:ascii="Arial" w:hAnsi="Arial"/>
      <w:b/>
      <w:sz w:val="20"/>
      <w:szCs w:val="20"/>
    </w:rPr>
  </w:style>
  <w:style w:type="paragraph" w:styleId="EndnoteText">
    <w:name w:val="endnote text"/>
    <w:basedOn w:val="Normal"/>
    <w:link w:val="EndnoteTextChar"/>
    <w:uiPriority w:val="99"/>
    <w:semiHidden/>
    <w:unhideWhenUsed/>
    <w:rsid w:val="00A14BA2"/>
    <w:pPr>
      <w:spacing w:before="0" w:after="0"/>
    </w:pPr>
    <w:rPr>
      <w:sz w:val="20"/>
      <w:szCs w:val="20"/>
    </w:rPr>
  </w:style>
  <w:style w:type="character" w:customStyle="1" w:styleId="EndnoteTextChar">
    <w:name w:val="Endnote Text Char"/>
    <w:basedOn w:val="DefaultParagraphFont"/>
    <w:link w:val="EndnoteText"/>
    <w:uiPriority w:val="99"/>
    <w:semiHidden/>
    <w:rsid w:val="00A14BA2"/>
    <w:rPr>
      <w:sz w:val="20"/>
      <w:szCs w:val="20"/>
    </w:rPr>
  </w:style>
  <w:style w:type="character" w:styleId="EndnoteReference">
    <w:name w:val="endnote reference"/>
    <w:basedOn w:val="DefaultParagraphFont"/>
    <w:uiPriority w:val="99"/>
    <w:semiHidden/>
    <w:unhideWhenUsed/>
    <w:rsid w:val="00A14BA2"/>
    <w:rPr>
      <w:vertAlign w:val="superscript"/>
    </w:rPr>
  </w:style>
  <w:style w:type="table" w:customStyle="1" w:styleId="TableGrid2">
    <w:name w:val="Table Grid2"/>
    <w:basedOn w:val="TableNormal"/>
    <w:next w:val="TableGrid"/>
    <w:uiPriority w:val="59"/>
    <w:rsid w:val="007F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qFormat="1"/>
    <w:lsdException w:name="annotation reference" w:qFormat="1"/>
    <w:lsdException w:name="List Bullet" w:uiPriority="16" w:qFormat="1"/>
    <w:lsdException w:name="List Bullet 2" w:uiPriority="16" w:qFormat="1"/>
    <w:lsdException w:name="List Bullet 3" w:uiPriority="16" w:qFormat="1"/>
    <w:lsdException w:name="List Bullet 4" w:uiPriority="16" w:qFormat="1"/>
    <w:lsdException w:name="List Number 2" w:uiPriority="16" w:qFormat="1"/>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23"/>
    <w:pPr>
      <w:spacing w:before="120" w:line="240" w:lineRule="auto"/>
      <w:jc w:val="both"/>
    </w:pPr>
    <w:rPr>
      <w:sz w:val="24"/>
    </w:rPr>
  </w:style>
  <w:style w:type="paragraph" w:styleId="Heading1">
    <w:name w:val="heading 1"/>
    <w:basedOn w:val="Normal"/>
    <w:next w:val="Normal"/>
    <w:link w:val="Heading1Char"/>
    <w:uiPriority w:val="1"/>
    <w:qFormat/>
    <w:rsid w:val="00D24DAD"/>
    <w:pPr>
      <w:keepNext/>
      <w:keepLines/>
      <w:numPr>
        <w:numId w:val="11"/>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99"/>
    <w:unhideWhenUsed/>
    <w:qFormat/>
    <w:rsid w:val="00175B20"/>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175B20"/>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character" w:customStyle="1" w:styleId="A2">
    <w:name w:val="A2"/>
    <w:uiPriority w:val="99"/>
    <w:rsid w:val="006B6A2E"/>
    <w:rPr>
      <w:rFonts w:cs="Janson Text LT"/>
      <w:color w:val="000000"/>
    </w:rPr>
  </w:style>
  <w:style w:type="paragraph" w:customStyle="1" w:styleId="Default">
    <w:name w:val="Default"/>
    <w:rsid w:val="007163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F77D0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77D0C"/>
    <w:rPr>
      <w:rFonts w:ascii="Calibri" w:hAnsi="Calibri"/>
      <w:noProof/>
      <w:sz w:val="24"/>
      <w:lang w:val="en-US"/>
    </w:rPr>
  </w:style>
  <w:style w:type="paragraph" w:customStyle="1" w:styleId="EndNoteBibliography">
    <w:name w:val="EndNote Bibliography"/>
    <w:basedOn w:val="Normal"/>
    <w:link w:val="EndNoteBibliographyChar"/>
    <w:rsid w:val="00F77D0C"/>
    <w:rPr>
      <w:rFonts w:ascii="Calibri" w:hAnsi="Calibri"/>
      <w:noProof/>
      <w:lang w:val="en-US"/>
    </w:rPr>
  </w:style>
  <w:style w:type="character" w:customStyle="1" w:styleId="EndNoteBibliographyChar">
    <w:name w:val="EndNote Bibliography Char"/>
    <w:basedOn w:val="DefaultParagraphFont"/>
    <w:link w:val="EndNoteBibliography"/>
    <w:rsid w:val="00F77D0C"/>
    <w:rPr>
      <w:rFonts w:ascii="Calibri" w:hAnsi="Calibri"/>
      <w:noProof/>
      <w:sz w:val="24"/>
      <w:lang w:val="en-US"/>
    </w:rPr>
  </w:style>
  <w:style w:type="character" w:customStyle="1" w:styleId="TableTextChar">
    <w:name w:val="Table Text Char"/>
    <w:basedOn w:val="DefaultParagraphFont"/>
    <w:link w:val="TableText"/>
    <w:rsid w:val="00C64D3D"/>
    <w:rPr>
      <w:rFonts w:ascii="Arial Narrow" w:hAnsi="Arial Narrow"/>
      <w:sz w:val="20"/>
    </w:rPr>
  </w:style>
  <w:style w:type="paragraph" w:customStyle="1" w:styleId="CoverIntroductionText">
    <w:name w:val="Cover Introduction Text"/>
    <w:basedOn w:val="Normal"/>
    <w:uiPriority w:val="21"/>
    <w:rsid w:val="0066690B"/>
    <w:pPr>
      <w:keepLines/>
      <w:spacing w:before="0" w:after="240" w:line="360" w:lineRule="auto"/>
      <w:jc w:val="center"/>
    </w:pPr>
    <w:rPr>
      <w:rFonts w:ascii="Arial" w:hAnsi="Arial"/>
      <w:b/>
      <w:spacing w:val="-2"/>
      <w:szCs w:val="20"/>
    </w:rPr>
  </w:style>
  <w:style w:type="table" w:customStyle="1" w:styleId="MSDAustralia">
    <w:name w:val="MSD Australia"/>
    <w:basedOn w:val="TableGrid"/>
    <w:uiPriority w:val="99"/>
    <w:rsid w:val="0066690B"/>
    <w:pPr>
      <w:spacing w:before="57"/>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Source">
    <w:name w:val="Source"/>
    <w:basedOn w:val="Normal"/>
    <w:uiPriority w:val="35"/>
    <w:qFormat/>
    <w:rsid w:val="0066690B"/>
    <w:pPr>
      <w:keepLines/>
      <w:tabs>
        <w:tab w:val="left" w:pos="284"/>
      </w:tabs>
      <w:spacing w:before="60" w:after="360" w:line="360" w:lineRule="auto"/>
      <w:contextualSpacing/>
    </w:pPr>
    <w:rPr>
      <w:rFonts w:ascii="Arial" w:hAnsi="Arial"/>
      <w:sz w:val="18"/>
      <w:szCs w:val="20"/>
    </w:rPr>
  </w:style>
  <w:style w:type="paragraph" w:styleId="ListBullet">
    <w:name w:val="List Bullet"/>
    <w:basedOn w:val="Normal"/>
    <w:uiPriority w:val="16"/>
    <w:qFormat/>
    <w:rsid w:val="00105D58"/>
    <w:pPr>
      <w:keepLines/>
      <w:numPr>
        <w:numId w:val="7"/>
      </w:numPr>
      <w:spacing w:before="0" w:after="360" w:line="360" w:lineRule="auto"/>
    </w:pPr>
    <w:rPr>
      <w:rFonts w:ascii="Arial" w:hAnsi="Arial"/>
      <w:sz w:val="20"/>
      <w:szCs w:val="20"/>
    </w:rPr>
  </w:style>
  <w:style w:type="paragraph" w:styleId="ListBullet2">
    <w:name w:val="List Bullet 2"/>
    <w:basedOn w:val="ListBullet"/>
    <w:uiPriority w:val="16"/>
    <w:qFormat/>
    <w:rsid w:val="00105D58"/>
    <w:pPr>
      <w:numPr>
        <w:ilvl w:val="1"/>
      </w:numPr>
    </w:pPr>
  </w:style>
  <w:style w:type="paragraph" w:styleId="ListBullet3">
    <w:name w:val="List Bullet 3"/>
    <w:basedOn w:val="Normal"/>
    <w:uiPriority w:val="16"/>
    <w:qFormat/>
    <w:rsid w:val="00105D58"/>
    <w:pPr>
      <w:keepLines/>
      <w:numPr>
        <w:ilvl w:val="2"/>
        <w:numId w:val="7"/>
      </w:numPr>
      <w:spacing w:before="0" w:after="360" w:line="360" w:lineRule="auto"/>
      <w:contextualSpacing/>
    </w:pPr>
    <w:rPr>
      <w:rFonts w:ascii="Arial" w:hAnsi="Arial"/>
      <w:sz w:val="20"/>
      <w:szCs w:val="20"/>
    </w:rPr>
  </w:style>
  <w:style w:type="paragraph" w:styleId="ListBullet4">
    <w:name w:val="List Bullet 4"/>
    <w:basedOn w:val="Normal"/>
    <w:uiPriority w:val="16"/>
    <w:qFormat/>
    <w:rsid w:val="00105D58"/>
    <w:pPr>
      <w:keepLines/>
      <w:numPr>
        <w:ilvl w:val="3"/>
        <w:numId w:val="7"/>
      </w:numPr>
      <w:spacing w:before="0" w:after="360" w:line="360" w:lineRule="auto"/>
      <w:contextualSpacing/>
    </w:pPr>
    <w:rPr>
      <w:rFonts w:ascii="Arial" w:hAnsi="Arial"/>
      <w:sz w:val="20"/>
      <w:szCs w:val="20"/>
    </w:rPr>
  </w:style>
  <w:style w:type="paragraph" w:customStyle="1" w:styleId="Tabletextcentred">
    <w:name w:val="Table text centred"/>
    <w:basedOn w:val="Normal"/>
    <w:link w:val="TabletextcentredChar"/>
    <w:qFormat/>
    <w:rsid w:val="00DF1AC7"/>
    <w:pPr>
      <w:keepNext/>
      <w:spacing w:before="0" w:after="0"/>
      <w:jc w:val="center"/>
    </w:pPr>
    <w:rPr>
      <w:rFonts w:ascii="Arial Narrow" w:eastAsia="Times New Roman" w:hAnsi="Arial Narrow" w:cs="Arial Narrow"/>
      <w:sz w:val="20"/>
      <w:szCs w:val="20"/>
    </w:rPr>
  </w:style>
  <w:style w:type="character" w:customStyle="1" w:styleId="TabletextcentredChar">
    <w:name w:val="Table text centred Char"/>
    <w:link w:val="Tabletextcentred"/>
    <w:rsid w:val="00DF1AC7"/>
    <w:rPr>
      <w:rFonts w:ascii="Arial Narrow" w:eastAsia="Times New Roman" w:hAnsi="Arial Narrow" w:cs="Arial Narrow"/>
      <w:sz w:val="20"/>
      <w:szCs w:val="20"/>
    </w:rPr>
  </w:style>
  <w:style w:type="table" w:customStyle="1" w:styleId="TableGridLight2">
    <w:name w:val="Table Grid Light2"/>
    <w:basedOn w:val="TableNormal"/>
    <w:uiPriority w:val="40"/>
    <w:rsid w:val="00EE68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CC32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2">
    <w:name w:val="List Number 2"/>
    <w:basedOn w:val="Normal"/>
    <w:uiPriority w:val="16"/>
    <w:qFormat/>
    <w:rsid w:val="00E23623"/>
    <w:pPr>
      <w:keepLines/>
      <w:numPr>
        <w:ilvl w:val="2"/>
      </w:numPr>
      <w:spacing w:before="0" w:after="360" w:line="360" w:lineRule="auto"/>
    </w:pPr>
    <w:rPr>
      <w:rFonts w:ascii="Arial" w:hAnsi="Arial"/>
      <w:sz w:val="20"/>
      <w:szCs w:val="20"/>
    </w:rPr>
  </w:style>
  <w:style w:type="paragraph" w:customStyle="1" w:styleId="SubHeading">
    <w:name w:val="Sub Heading"/>
    <w:basedOn w:val="Normal"/>
    <w:next w:val="Normal"/>
    <w:uiPriority w:val="9"/>
    <w:qFormat/>
    <w:rsid w:val="00E23623"/>
    <w:pPr>
      <w:keepLines/>
      <w:spacing w:before="360" w:after="0" w:line="360" w:lineRule="auto"/>
    </w:pPr>
    <w:rPr>
      <w:rFonts w:ascii="Arial" w:hAnsi="Arial"/>
      <w:b/>
      <w:sz w:val="20"/>
      <w:szCs w:val="20"/>
    </w:rPr>
  </w:style>
  <w:style w:type="paragraph" w:styleId="EndnoteText">
    <w:name w:val="endnote text"/>
    <w:basedOn w:val="Normal"/>
    <w:link w:val="EndnoteTextChar"/>
    <w:uiPriority w:val="99"/>
    <w:semiHidden/>
    <w:unhideWhenUsed/>
    <w:rsid w:val="00A14BA2"/>
    <w:pPr>
      <w:spacing w:before="0" w:after="0"/>
    </w:pPr>
    <w:rPr>
      <w:sz w:val="20"/>
      <w:szCs w:val="20"/>
    </w:rPr>
  </w:style>
  <w:style w:type="character" w:customStyle="1" w:styleId="EndnoteTextChar">
    <w:name w:val="Endnote Text Char"/>
    <w:basedOn w:val="DefaultParagraphFont"/>
    <w:link w:val="EndnoteText"/>
    <w:uiPriority w:val="99"/>
    <w:semiHidden/>
    <w:rsid w:val="00A14BA2"/>
    <w:rPr>
      <w:sz w:val="20"/>
      <w:szCs w:val="20"/>
    </w:rPr>
  </w:style>
  <w:style w:type="character" w:styleId="EndnoteReference">
    <w:name w:val="endnote reference"/>
    <w:basedOn w:val="DefaultParagraphFont"/>
    <w:uiPriority w:val="99"/>
    <w:semiHidden/>
    <w:unhideWhenUsed/>
    <w:rsid w:val="00A14BA2"/>
    <w:rPr>
      <w:vertAlign w:val="superscript"/>
    </w:rPr>
  </w:style>
  <w:style w:type="table" w:customStyle="1" w:styleId="TableGrid2">
    <w:name w:val="Table Grid2"/>
    <w:basedOn w:val="TableNormal"/>
    <w:next w:val="TableGrid"/>
    <w:uiPriority w:val="59"/>
    <w:rsid w:val="007F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22855306">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866413419">
      <w:bodyDiv w:val="1"/>
      <w:marLeft w:val="0"/>
      <w:marRight w:val="0"/>
      <w:marTop w:val="0"/>
      <w:marBottom w:val="0"/>
      <w:divBdr>
        <w:top w:val="none" w:sz="0" w:space="0" w:color="auto"/>
        <w:left w:val="none" w:sz="0" w:space="0" w:color="auto"/>
        <w:bottom w:val="none" w:sz="0" w:space="0" w:color="auto"/>
        <w:right w:val="none" w:sz="0" w:space="0" w:color="auto"/>
      </w:divBdr>
    </w:div>
    <w:div w:id="925696004">
      <w:bodyDiv w:val="1"/>
      <w:marLeft w:val="0"/>
      <w:marRight w:val="0"/>
      <w:marTop w:val="0"/>
      <w:marBottom w:val="0"/>
      <w:divBdr>
        <w:top w:val="none" w:sz="0" w:space="0" w:color="auto"/>
        <w:left w:val="none" w:sz="0" w:space="0" w:color="auto"/>
        <w:bottom w:val="none" w:sz="0" w:space="0" w:color="auto"/>
        <w:right w:val="none" w:sz="0" w:space="0" w:color="auto"/>
      </w:divBdr>
    </w:div>
    <w:div w:id="1091972627">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37016939">
      <w:bodyDiv w:val="1"/>
      <w:marLeft w:val="0"/>
      <w:marRight w:val="0"/>
      <w:marTop w:val="0"/>
      <w:marBottom w:val="0"/>
      <w:divBdr>
        <w:top w:val="none" w:sz="0" w:space="0" w:color="auto"/>
        <w:left w:val="none" w:sz="0" w:space="0" w:color="auto"/>
        <w:bottom w:val="none" w:sz="0" w:space="0" w:color="auto"/>
        <w:right w:val="none" w:sz="0" w:space="0" w:color="auto"/>
      </w:divBdr>
      <w:divsChild>
        <w:div w:id="1105075561">
          <w:marLeft w:val="360"/>
          <w:marRight w:val="0"/>
          <w:marTop w:val="200"/>
          <w:marBottom w:val="0"/>
          <w:divBdr>
            <w:top w:val="none" w:sz="0" w:space="0" w:color="auto"/>
            <w:left w:val="none" w:sz="0" w:space="0" w:color="auto"/>
            <w:bottom w:val="none" w:sz="0" w:space="0" w:color="auto"/>
            <w:right w:val="none" w:sz="0" w:space="0" w:color="auto"/>
          </w:divBdr>
        </w:div>
      </w:divsChild>
    </w:div>
    <w:div w:id="1901213487">
      <w:bodyDiv w:val="1"/>
      <w:marLeft w:val="0"/>
      <w:marRight w:val="0"/>
      <w:marTop w:val="0"/>
      <w:marBottom w:val="0"/>
      <w:divBdr>
        <w:top w:val="none" w:sz="0" w:space="0" w:color="auto"/>
        <w:left w:val="none" w:sz="0" w:space="0" w:color="auto"/>
        <w:bottom w:val="none" w:sz="0" w:space="0" w:color="auto"/>
        <w:right w:val="none" w:sz="0" w:space="0" w:color="auto"/>
      </w:divBdr>
      <w:divsChild>
        <w:div w:id="614098356">
          <w:marLeft w:val="0"/>
          <w:marRight w:val="0"/>
          <w:marTop w:val="0"/>
          <w:marBottom w:val="0"/>
          <w:divBdr>
            <w:top w:val="none" w:sz="0" w:space="0" w:color="auto"/>
            <w:left w:val="none" w:sz="0" w:space="0" w:color="auto"/>
            <w:bottom w:val="none" w:sz="0" w:space="0" w:color="auto"/>
            <w:right w:val="none" w:sz="0" w:space="0" w:color="auto"/>
          </w:divBdr>
        </w:div>
        <w:div w:id="927155037">
          <w:marLeft w:val="0"/>
          <w:marRight w:val="0"/>
          <w:marTop w:val="0"/>
          <w:marBottom w:val="0"/>
          <w:divBdr>
            <w:top w:val="none" w:sz="0" w:space="0" w:color="auto"/>
            <w:left w:val="none" w:sz="0" w:space="0" w:color="auto"/>
            <w:bottom w:val="none" w:sz="0" w:space="0" w:color="auto"/>
            <w:right w:val="none" w:sz="0" w:space="0" w:color="auto"/>
          </w:divBdr>
        </w:div>
        <w:div w:id="1075132639">
          <w:marLeft w:val="0"/>
          <w:marRight w:val="0"/>
          <w:marTop w:val="0"/>
          <w:marBottom w:val="0"/>
          <w:divBdr>
            <w:top w:val="none" w:sz="0" w:space="0" w:color="auto"/>
            <w:left w:val="none" w:sz="0" w:space="0" w:color="auto"/>
            <w:bottom w:val="none" w:sz="0" w:space="0" w:color="auto"/>
            <w:right w:val="none" w:sz="0" w:space="0" w:color="auto"/>
          </w:divBdr>
        </w:div>
        <w:div w:id="1389769910">
          <w:marLeft w:val="0"/>
          <w:marRight w:val="0"/>
          <w:marTop w:val="0"/>
          <w:marBottom w:val="0"/>
          <w:divBdr>
            <w:top w:val="none" w:sz="0" w:space="0" w:color="auto"/>
            <w:left w:val="none" w:sz="0" w:space="0" w:color="auto"/>
            <w:bottom w:val="none" w:sz="0" w:space="0" w:color="auto"/>
            <w:right w:val="none" w:sz="0" w:space="0" w:color="auto"/>
          </w:divBdr>
        </w:div>
        <w:div w:id="1469056836">
          <w:marLeft w:val="0"/>
          <w:marRight w:val="0"/>
          <w:marTop w:val="0"/>
          <w:marBottom w:val="0"/>
          <w:divBdr>
            <w:top w:val="none" w:sz="0" w:space="0" w:color="auto"/>
            <w:left w:val="none" w:sz="0" w:space="0" w:color="auto"/>
            <w:bottom w:val="none" w:sz="0" w:space="0" w:color="auto"/>
            <w:right w:val="none" w:sz="0" w:space="0" w:color="auto"/>
          </w:divBdr>
        </w:div>
        <w:div w:id="1571038443">
          <w:marLeft w:val="0"/>
          <w:marRight w:val="0"/>
          <w:marTop w:val="0"/>
          <w:marBottom w:val="0"/>
          <w:divBdr>
            <w:top w:val="none" w:sz="0" w:space="0" w:color="auto"/>
            <w:left w:val="none" w:sz="0" w:space="0" w:color="auto"/>
            <w:bottom w:val="none" w:sz="0" w:space="0" w:color="auto"/>
            <w:right w:val="none" w:sz="0" w:space="0" w:color="auto"/>
          </w:divBdr>
        </w:div>
        <w:div w:id="1650134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6BFA-8191-4E20-912D-709A1B88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12875</Words>
  <Characters>73393</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2017-10-12T00:47:00Z</dcterms:created>
  <dcterms:modified xsi:type="dcterms:W3CDTF">2017-10-12T00:55:00Z</dcterms:modified>
</cp:coreProperties>
</file>