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E7" w:rsidRPr="00835DE7" w:rsidRDefault="00835DE7" w:rsidP="00835DE7">
      <w:pPr>
        <w:rPr>
          <w:rFonts w:asciiTheme="minorHAnsi" w:hAnsiTheme="minorHAnsi"/>
          <w:sz w:val="24"/>
          <w:szCs w:val="22"/>
        </w:rPr>
      </w:pPr>
      <w:bookmarkStart w:id="0" w:name="_Toc341702043"/>
      <w:bookmarkStart w:id="1" w:name="_Toc380742621"/>
      <w:bookmarkStart w:id="2" w:name="_Toc380746188"/>
      <w:bookmarkStart w:id="3" w:name="_Toc380746314"/>
      <w:bookmarkStart w:id="4" w:name="_Toc380746595"/>
    </w:p>
    <w:p w:rsidR="0045698A" w:rsidRPr="00151DDF" w:rsidRDefault="003076BF" w:rsidP="00604D19">
      <w:pPr>
        <w:widowControl/>
        <w:spacing w:before="120" w:after="160"/>
        <w:ind w:left="1418" w:hanging="1418"/>
        <w:jc w:val="left"/>
        <w:outlineLvl w:val="0"/>
        <w:rPr>
          <w:rFonts w:ascii="Calibri" w:eastAsia="Calibri" w:hAnsi="Calibri"/>
          <w:b/>
          <w:snapToGrid/>
          <w:sz w:val="36"/>
          <w:szCs w:val="36"/>
        </w:rPr>
      </w:pPr>
      <w:r w:rsidRPr="00151DDF">
        <w:rPr>
          <w:rFonts w:ascii="Calibri" w:eastAsia="Calibri" w:hAnsi="Calibri"/>
          <w:b/>
          <w:snapToGrid/>
          <w:sz w:val="36"/>
          <w:szCs w:val="36"/>
        </w:rPr>
        <w:t>5</w:t>
      </w:r>
      <w:r w:rsidR="0045698A" w:rsidRPr="00151DDF">
        <w:rPr>
          <w:rFonts w:ascii="Calibri" w:eastAsia="Calibri" w:hAnsi="Calibri"/>
          <w:b/>
          <w:snapToGrid/>
          <w:sz w:val="36"/>
          <w:szCs w:val="36"/>
        </w:rPr>
        <w:t>.</w:t>
      </w:r>
      <w:r w:rsidRPr="00151DDF">
        <w:rPr>
          <w:rFonts w:ascii="Calibri" w:eastAsia="Calibri" w:hAnsi="Calibri"/>
          <w:b/>
          <w:snapToGrid/>
          <w:sz w:val="36"/>
          <w:szCs w:val="36"/>
        </w:rPr>
        <w:t>09</w:t>
      </w:r>
      <w:r w:rsidR="0045698A" w:rsidRPr="00151DDF">
        <w:rPr>
          <w:rFonts w:ascii="Calibri" w:eastAsia="Calibri" w:hAnsi="Calibri"/>
          <w:b/>
          <w:snapToGrid/>
          <w:sz w:val="36"/>
          <w:szCs w:val="36"/>
        </w:rPr>
        <w:tab/>
      </w:r>
      <w:r w:rsidR="00660309" w:rsidRPr="00151DDF">
        <w:rPr>
          <w:rFonts w:ascii="Calibri" w:eastAsia="Calibri" w:hAnsi="Calibri"/>
          <w:b/>
          <w:snapToGrid/>
          <w:sz w:val="36"/>
          <w:szCs w:val="36"/>
        </w:rPr>
        <w:t>NICOTINE</w:t>
      </w:r>
      <w:r w:rsidR="0045698A" w:rsidRPr="00151DDF">
        <w:rPr>
          <w:rFonts w:ascii="Calibri" w:eastAsia="Calibri" w:hAnsi="Calibri"/>
          <w:b/>
          <w:snapToGrid/>
          <w:sz w:val="36"/>
          <w:szCs w:val="36"/>
        </w:rPr>
        <w:t>,</w:t>
      </w:r>
      <w:r w:rsidR="0045698A" w:rsidRPr="00151DDF">
        <w:rPr>
          <w:rFonts w:ascii="Calibri" w:eastAsia="Calibri" w:hAnsi="Calibri"/>
          <w:b/>
          <w:snapToGrid/>
          <w:sz w:val="36"/>
          <w:szCs w:val="36"/>
        </w:rPr>
        <w:br/>
      </w:r>
      <w:r w:rsidR="00CD4BBA" w:rsidRPr="00151DDF">
        <w:rPr>
          <w:rFonts w:ascii="Calibri" w:eastAsia="Calibri" w:hAnsi="Calibri"/>
          <w:b/>
          <w:snapToGrid/>
          <w:sz w:val="36"/>
          <w:szCs w:val="36"/>
        </w:rPr>
        <w:t xml:space="preserve">Gum 2 mg, Gum 4 mg, </w:t>
      </w:r>
      <w:r w:rsidR="00CD4BBA" w:rsidRPr="00151DDF">
        <w:rPr>
          <w:rFonts w:ascii="Calibri" w:eastAsia="Calibri" w:hAnsi="Calibri"/>
          <w:b/>
          <w:snapToGrid/>
          <w:sz w:val="36"/>
          <w:szCs w:val="36"/>
        </w:rPr>
        <w:br/>
        <w:t>Lozenge 2 mg, Lozenge 4 mg</w:t>
      </w:r>
      <w:r w:rsidR="0045698A" w:rsidRPr="00151DDF">
        <w:rPr>
          <w:rFonts w:ascii="Calibri" w:eastAsia="Calibri" w:hAnsi="Calibri"/>
          <w:b/>
          <w:snapToGrid/>
          <w:sz w:val="36"/>
          <w:szCs w:val="36"/>
        </w:rPr>
        <w:t xml:space="preserve">, </w:t>
      </w:r>
      <w:r w:rsidR="0045698A" w:rsidRPr="00151DDF">
        <w:rPr>
          <w:rFonts w:ascii="Calibri" w:eastAsia="Calibri" w:hAnsi="Calibri"/>
          <w:b/>
          <w:snapToGrid/>
          <w:sz w:val="36"/>
          <w:szCs w:val="36"/>
        </w:rPr>
        <w:br/>
      </w:r>
      <w:proofErr w:type="spellStart"/>
      <w:r w:rsidR="001828C5" w:rsidRPr="00151DDF">
        <w:rPr>
          <w:rFonts w:ascii="Calibri" w:eastAsia="Calibri" w:hAnsi="Calibri"/>
          <w:b/>
          <w:snapToGrid/>
          <w:sz w:val="36"/>
          <w:szCs w:val="36"/>
        </w:rPr>
        <w:t>Nicotinell</w:t>
      </w:r>
      <w:proofErr w:type="spellEnd"/>
      <w:r w:rsidR="0045698A" w:rsidRPr="00151DDF">
        <w:rPr>
          <w:rFonts w:ascii="Calibri" w:eastAsia="Calibri" w:hAnsi="Calibri"/>
          <w:b/>
          <w:snapToGrid/>
          <w:sz w:val="36"/>
          <w:szCs w:val="36"/>
        </w:rPr>
        <w:t xml:space="preserve">®, </w:t>
      </w:r>
      <w:r w:rsidR="00C2006F" w:rsidRPr="00151DDF">
        <w:rPr>
          <w:rFonts w:ascii="Calibri" w:eastAsia="Calibri" w:hAnsi="Calibri"/>
          <w:b/>
          <w:snapToGrid/>
          <w:sz w:val="36"/>
          <w:szCs w:val="36"/>
        </w:rPr>
        <w:t>Orion Laboratories Pty Ltd</w:t>
      </w:r>
    </w:p>
    <w:p w:rsidR="0045698A" w:rsidRPr="002F75D4" w:rsidRDefault="001057D8" w:rsidP="0045698A">
      <w:pPr>
        <w:keepNext/>
        <w:keepLines/>
        <w:widowControl/>
        <w:spacing w:before="400" w:after="120"/>
        <w:ind w:left="709" w:hanging="709"/>
        <w:jc w:val="left"/>
        <w:outlineLvl w:val="0"/>
        <w:rPr>
          <w:rFonts w:ascii="Calibri" w:hAnsi="Calibri" w:cs="Times New Roman"/>
          <w:b/>
          <w:snapToGrid/>
          <w:sz w:val="32"/>
          <w:szCs w:val="28"/>
        </w:rPr>
      </w:pPr>
      <w:bookmarkStart w:id="5" w:name="_Toc413139271"/>
      <w:bookmarkStart w:id="6" w:name="_Toc476306881"/>
      <w:bookmarkStart w:id="7" w:name="_Toc482710281"/>
      <w:r w:rsidRPr="002F75D4">
        <w:rPr>
          <w:rFonts w:ascii="Calibri" w:hAnsi="Calibri" w:cs="Times New Roman"/>
          <w:b/>
          <w:snapToGrid/>
          <w:sz w:val="32"/>
          <w:szCs w:val="28"/>
        </w:rPr>
        <w:t>1</w:t>
      </w:r>
      <w:r w:rsidRPr="002F75D4">
        <w:rPr>
          <w:rFonts w:ascii="Calibri" w:hAnsi="Calibri" w:cs="Times New Roman"/>
          <w:b/>
          <w:snapToGrid/>
          <w:sz w:val="32"/>
          <w:szCs w:val="28"/>
        </w:rPr>
        <w:tab/>
      </w:r>
      <w:r w:rsidR="0045698A" w:rsidRPr="002F75D4">
        <w:rPr>
          <w:rFonts w:ascii="Calibri" w:hAnsi="Calibri" w:cs="Times New Roman"/>
          <w:b/>
          <w:snapToGrid/>
          <w:sz w:val="32"/>
          <w:szCs w:val="28"/>
        </w:rPr>
        <w:t>Purpose of Application</w:t>
      </w:r>
      <w:bookmarkEnd w:id="5"/>
      <w:bookmarkEnd w:id="6"/>
      <w:bookmarkEnd w:id="7"/>
    </w:p>
    <w:p w:rsidR="0045698A" w:rsidRPr="00F10C3A" w:rsidRDefault="00FB581F"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requested </w:t>
      </w:r>
      <w:r w:rsidR="003F1965" w:rsidRPr="00F10C3A">
        <w:rPr>
          <w:rFonts w:ascii="Calibri" w:eastAsia="Calibri" w:hAnsi="Calibri"/>
          <w:snapToGrid/>
          <w:sz w:val="24"/>
          <w:szCs w:val="22"/>
        </w:rPr>
        <w:t xml:space="preserve">that nicotine gum </w:t>
      </w:r>
      <w:r w:rsidR="008949B9" w:rsidRPr="00F10C3A">
        <w:rPr>
          <w:rFonts w:ascii="Calibri" w:eastAsia="Calibri" w:hAnsi="Calibri"/>
          <w:snapToGrid/>
          <w:sz w:val="24"/>
          <w:szCs w:val="22"/>
        </w:rPr>
        <w:t xml:space="preserve">and </w:t>
      </w:r>
      <w:r w:rsidR="003F1965" w:rsidRPr="00F10C3A">
        <w:rPr>
          <w:rFonts w:ascii="Calibri" w:eastAsia="Calibri" w:hAnsi="Calibri"/>
          <w:snapToGrid/>
          <w:sz w:val="24"/>
          <w:szCs w:val="22"/>
        </w:rPr>
        <w:t xml:space="preserve">lozenges be </w:t>
      </w:r>
      <w:r w:rsidR="00B630F8" w:rsidRPr="00F10C3A">
        <w:rPr>
          <w:rFonts w:ascii="Calibri" w:eastAsia="Calibri" w:hAnsi="Calibri"/>
          <w:snapToGrid/>
          <w:sz w:val="24"/>
          <w:szCs w:val="22"/>
        </w:rPr>
        <w:t xml:space="preserve">listed on the PBS as a restricted benefit for </w:t>
      </w:r>
      <w:r w:rsidR="007D1F7B" w:rsidRPr="00F10C3A">
        <w:rPr>
          <w:rFonts w:ascii="Calibri" w:eastAsia="Calibri" w:hAnsi="Calibri"/>
          <w:snapToGrid/>
          <w:sz w:val="24"/>
          <w:szCs w:val="22"/>
        </w:rPr>
        <w:t>treating nicotine dependence in cigarette smokers who wish to quit and enter into a behavioural support program.</w:t>
      </w:r>
    </w:p>
    <w:p w:rsidR="000E2007" w:rsidRPr="00F10C3A" w:rsidRDefault="000E2007" w:rsidP="000E2007">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1</w:t>
      </w:r>
      <w:r w:rsidRPr="00941B3B">
        <w:t>: Key components of the clinical issue addressed by the submission</w:t>
      </w:r>
    </w:p>
    <w:tbl>
      <w:tblPr>
        <w:tblStyle w:val="TableGridbeth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696"/>
        <w:gridCol w:w="7320"/>
      </w:tblGrid>
      <w:tr w:rsidR="0045698A" w:rsidRPr="00F10C3A" w:rsidTr="00BD2227">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Component</w:t>
            </w:r>
          </w:p>
        </w:tc>
        <w:tc>
          <w:tcPr>
            <w:tcW w:w="7320"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Description</w:t>
            </w:r>
          </w:p>
        </w:tc>
      </w:tr>
      <w:tr w:rsidR="0045698A" w:rsidRPr="00F10C3A" w:rsidTr="00BD2227">
        <w:trPr>
          <w:cantSplit/>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Population</w:t>
            </w:r>
          </w:p>
        </w:tc>
        <w:tc>
          <w:tcPr>
            <w:tcW w:w="7320" w:type="dxa"/>
            <w:shd w:val="clear" w:color="auto" w:fill="auto"/>
          </w:tcPr>
          <w:p w:rsidR="0045698A" w:rsidRPr="00F10C3A" w:rsidRDefault="0098730D" w:rsidP="0045698A">
            <w:pPr>
              <w:keepNext/>
              <w:widowControl/>
              <w:spacing w:before="40" w:after="40"/>
              <w:jc w:val="left"/>
              <w:rPr>
                <w:rFonts w:ascii="Arial Narrow" w:hAnsi="Arial Narrow"/>
                <w:sz w:val="20"/>
              </w:rPr>
            </w:pPr>
            <w:r w:rsidRPr="00F10C3A">
              <w:rPr>
                <w:rFonts w:ascii="Arial Narrow" w:hAnsi="Arial Narrow"/>
                <w:sz w:val="20"/>
              </w:rPr>
              <w:t>Cigarette smoker</w:t>
            </w:r>
            <w:r w:rsidR="007D1F7B" w:rsidRPr="00F10C3A">
              <w:rPr>
                <w:rFonts w:ascii="Arial Narrow" w:hAnsi="Arial Narrow"/>
                <w:sz w:val="20"/>
              </w:rPr>
              <w:t>s who have indicated they are ready to quit smoking</w:t>
            </w:r>
          </w:p>
        </w:tc>
      </w:tr>
      <w:tr w:rsidR="0045698A" w:rsidRPr="00F10C3A" w:rsidTr="00BD2227">
        <w:trPr>
          <w:cantSplit/>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Intervention</w:t>
            </w:r>
          </w:p>
        </w:tc>
        <w:tc>
          <w:tcPr>
            <w:tcW w:w="7320" w:type="dxa"/>
            <w:shd w:val="clear" w:color="auto" w:fill="auto"/>
          </w:tcPr>
          <w:p w:rsidR="007D1F7B" w:rsidRPr="00F10C3A" w:rsidRDefault="007D1F7B" w:rsidP="0045698A">
            <w:pPr>
              <w:keepNext/>
              <w:widowControl/>
              <w:spacing w:before="40" w:after="40"/>
              <w:jc w:val="left"/>
              <w:rPr>
                <w:rFonts w:ascii="Arial Narrow" w:hAnsi="Arial Narrow"/>
                <w:sz w:val="20"/>
              </w:rPr>
            </w:pPr>
            <w:r w:rsidRPr="00F10C3A">
              <w:rPr>
                <w:rFonts w:ascii="Arial Narrow" w:hAnsi="Arial Narrow"/>
                <w:sz w:val="20"/>
              </w:rPr>
              <w:t xml:space="preserve">Nicotine gum 2-4 mg </w:t>
            </w:r>
          </w:p>
          <w:p w:rsidR="0045698A" w:rsidRPr="00F10C3A" w:rsidRDefault="007D1F7B" w:rsidP="0045698A">
            <w:pPr>
              <w:keepNext/>
              <w:widowControl/>
              <w:spacing w:before="40" w:after="40"/>
              <w:jc w:val="left"/>
              <w:rPr>
                <w:rFonts w:ascii="Arial Narrow" w:hAnsi="Arial Narrow"/>
                <w:sz w:val="20"/>
              </w:rPr>
            </w:pPr>
            <w:r w:rsidRPr="00F10C3A">
              <w:rPr>
                <w:rFonts w:ascii="Arial Narrow" w:hAnsi="Arial Narrow"/>
                <w:sz w:val="20"/>
              </w:rPr>
              <w:t>Nicotine lozenge 2-4 mg</w:t>
            </w:r>
          </w:p>
        </w:tc>
      </w:tr>
      <w:tr w:rsidR="0045698A" w:rsidRPr="00F10C3A" w:rsidTr="00475A32">
        <w:trPr>
          <w:cantSplit/>
          <w:trHeight w:val="64"/>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Comparator</w:t>
            </w:r>
          </w:p>
        </w:tc>
        <w:tc>
          <w:tcPr>
            <w:tcW w:w="7320" w:type="dxa"/>
            <w:shd w:val="clear" w:color="auto" w:fill="auto"/>
          </w:tcPr>
          <w:p w:rsidR="0045698A" w:rsidRPr="00F10C3A" w:rsidRDefault="007D1F7B" w:rsidP="0045698A">
            <w:pPr>
              <w:keepNext/>
              <w:widowControl/>
              <w:spacing w:before="40" w:after="40"/>
              <w:jc w:val="left"/>
              <w:rPr>
                <w:rFonts w:ascii="Arial Narrow" w:hAnsi="Arial Narrow"/>
                <w:sz w:val="20"/>
              </w:rPr>
            </w:pPr>
            <w:r w:rsidRPr="00F10C3A">
              <w:rPr>
                <w:rFonts w:ascii="Arial Narrow" w:hAnsi="Arial Narrow"/>
                <w:sz w:val="20"/>
              </w:rPr>
              <w:t>Nicotine patch</w:t>
            </w:r>
          </w:p>
        </w:tc>
      </w:tr>
      <w:tr w:rsidR="0045698A" w:rsidRPr="00F10C3A" w:rsidTr="00BD2227">
        <w:trPr>
          <w:cantSplit/>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Outcomes</w:t>
            </w:r>
          </w:p>
        </w:tc>
        <w:tc>
          <w:tcPr>
            <w:tcW w:w="7320" w:type="dxa"/>
            <w:shd w:val="clear" w:color="auto" w:fill="auto"/>
          </w:tcPr>
          <w:p w:rsidR="0045698A" w:rsidRPr="00F10C3A" w:rsidRDefault="007D1F7B" w:rsidP="0045698A">
            <w:pPr>
              <w:keepNext/>
              <w:widowControl/>
              <w:spacing w:before="40" w:after="40"/>
              <w:jc w:val="left"/>
              <w:rPr>
                <w:rFonts w:ascii="Arial Narrow" w:hAnsi="Arial Narrow"/>
                <w:sz w:val="20"/>
              </w:rPr>
            </w:pPr>
            <w:r w:rsidRPr="00F10C3A">
              <w:rPr>
                <w:rFonts w:ascii="Arial Narrow" w:hAnsi="Arial Narrow"/>
                <w:sz w:val="20"/>
              </w:rPr>
              <w:t>Sustained abstinence</w:t>
            </w:r>
          </w:p>
        </w:tc>
      </w:tr>
      <w:tr w:rsidR="0045698A" w:rsidRPr="00F10C3A" w:rsidTr="00BD2227">
        <w:trPr>
          <w:cantSplit/>
        </w:trPr>
        <w:tc>
          <w:tcPr>
            <w:tcW w:w="1696" w:type="dxa"/>
            <w:shd w:val="clear" w:color="auto" w:fill="auto"/>
          </w:tcPr>
          <w:p w:rsidR="0045698A" w:rsidRPr="00F10C3A" w:rsidRDefault="0045698A" w:rsidP="0045698A">
            <w:pPr>
              <w:keepNext/>
              <w:widowControl/>
              <w:spacing w:before="40" w:after="40"/>
              <w:jc w:val="left"/>
              <w:rPr>
                <w:rFonts w:ascii="Arial Narrow" w:hAnsi="Arial Narrow"/>
                <w:sz w:val="20"/>
              </w:rPr>
            </w:pPr>
            <w:r w:rsidRPr="00F10C3A">
              <w:rPr>
                <w:rFonts w:ascii="Arial Narrow" w:hAnsi="Arial Narrow"/>
                <w:sz w:val="20"/>
              </w:rPr>
              <w:t>Clinical claim</w:t>
            </w:r>
          </w:p>
        </w:tc>
        <w:tc>
          <w:tcPr>
            <w:tcW w:w="7320" w:type="dxa"/>
            <w:shd w:val="clear" w:color="auto" w:fill="auto"/>
          </w:tcPr>
          <w:p w:rsidR="0045698A" w:rsidRPr="00F10C3A" w:rsidRDefault="0045698A" w:rsidP="00AC4921">
            <w:pPr>
              <w:keepNext/>
              <w:widowControl/>
              <w:spacing w:before="40" w:after="40"/>
              <w:jc w:val="left"/>
              <w:rPr>
                <w:rFonts w:ascii="Arial Narrow" w:hAnsi="Arial Narrow"/>
                <w:sz w:val="20"/>
              </w:rPr>
            </w:pPr>
            <w:r w:rsidRPr="00F10C3A">
              <w:rPr>
                <w:rFonts w:ascii="Arial Narrow" w:hAnsi="Arial Narrow"/>
                <w:sz w:val="20"/>
              </w:rPr>
              <w:t xml:space="preserve">In </w:t>
            </w:r>
            <w:r w:rsidR="007D1F7B" w:rsidRPr="00F10C3A">
              <w:rPr>
                <w:rFonts w:ascii="Arial Narrow" w:hAnsi="Arial Narrow"/>
                <w:sz w:val="20"/>
              </w:rPr>
              <w:t>cigarette smokers, nicotine gum or lozenges are no worse</w:t>
            </w:r>
            <w:r w:rsidR="00AC4921" w:rsidRPr="00F10C3A">
              <w:rPr>
                <w:rFonts w:ascii="Arial Narrow" w:hAnsi="Arial Narrow"/>
                <w:sz w:val="20"/>
              </w:rPr>
              <w:t xml:space="preserve"> in efficacy in inducing smoking cessation, and no worse in safety,</w:t>
            </w:r>
            <w:r w:rsidRPr="00F10C3A">
              <w:rPr>
                <w:rFonts w:ascii="Arial Narrow" w:hAnsi="Arial Narrow"/>
                <w:sz w:val="20"/>
              </w:rPr>
              <w:t xml:space="preserve"> than </w:t>
            </w:r>
            <w:r w:rsidR="007D1F7B" w:rsidRPr="00F10C3A">
              <w:rPr>
                <w:rFonts w:ascii="Arial Narrow" w:hAnsi="Arial Narrow"/>
                <w:sz w:val="20"/>
              </w:rPr>
              <w:t>nicotine patches</w:t>
            </w:r>
            <w:r w:rsidR="00AC4921" w:rsidRPr="00F10C3A">
              <w:rPr>
                <w:rFonts w:ascii="Arial Narrow" w:hAnsi="Arial Narrow"/>
                <w:sz w:val="20"/>
              </w:rPr>
              <w:t>.</w:t>
            </w:r>
          </w:p>
        </w:tc>
      </w:tr>
    </w:tbl>
    <w:p w:rsidR="0045698A" w:rsidRPr="00F10C3A" w:rsidRDefault="0045698A" w:rsidP="0045698A">
      <w:pPr>
        <w:spacing w:after="120"/>
        <w:contextualSpacing/>
        <w:rPr>
          <w:rFonts w:ascii="Arial Narrow" w:hAnsi="Arial Narrow"/>
          <w:sz w:val="18"/>
        </w:rPr>
      </w:pPr>
      <w:r w:rsidRPr="00F10C3A">
        <w:rPr>
          <w:rFonts w:ascii="Arial Narrow" w:hAnsi="Arial Narrow"/>
          <w:sz w:val="18"/>
        </w:rPr>
        <w:t xml:space="preserve">Source: </w:t>
      </w:r>
      <w:r w:rsidR="00AC4921" w:rsidRPr="00F10C3A">
        <w:rPr>
          <w:rFonts w:ascii="Arial Narrow" w:hAnsi="Arial Narrow"/>
          <w:sz w:val="18"/>
        </w:rPr>
        <w:t>Compiled during the evaluation</w:t>
      </w:r>
    </w:p>
    <w:p w:rsidR="0045698A" w:rsidRPr="00F10C3A" w:rsidRDefault="001057D8" w:rsidP="0045698A">
      <w:pPr>
        <w:keepNext/>
        <w:keepLines/>
        <w:widowControl/>
        <w:spacing w:before="400" w:after="120"/>
        <w:ind w:left="709" w:hanging="709"/>
        <w:jc w:val="left"/>
        <w:outlineLvl w:val="0"/>
        <w:rPr>
          <w:rFonts w:ascii="Calibri" w:hAnsi="Calibri" w:cs="Times New Roman"/>
          <w:b/>
          <w:snapToGrid/>
          <w:sz w:val="32"/>
          <w:szCs w:val="28"/>
        </w:rPr>
      </w:pPr>
      <w:bookmarkStart w:id="8" w:name="_Toc413139272"/>
      <w:bookmarkStart w:id="9" w:name="_Toc476306882"/>
      <w:bookmarkStart w:id="10" w:name="_Toc482710282"/>
      <w:r w:rsidRPr="00F10C3A">
        <w:rPr>
          <w:rFonts w:ascii="Calibri" w:hAnsi="Calibri" w:cs="Times New Roman"/>
          <w:b/>
          <w:snapToGrid/>
          <w:sz w:val="32"/>
          <w:szCs w:val="28"/>
        </w:rPr>
        <w:t>2</w:t>
      </w:r>
      <w:r w:rsidRPr="00F10C3A">
        <w:rPr>
          <w:rFonts w:ascii="Calibri" w:hAnsi="Calibri" w:cs="Times New Roman"/>
          <w:b/>
          <w:snapToGrid/>
          <w:sz w:val="32"/>
          <w:szCs w:val="28"/>
        </w:rPr>
        <w:tab/>
      </w:r>
      <w:r w:rsidR="0045698A" w:rsidRPr="00F10C3A">
        <w:rPr>
          <w:rFonts w:ascii="Calibri" w:hAnsi="Calibri" w:cs="Times New Roman"/>
          <w:b/>
          <w:snapToGrid/>
          <w:sz w:val="32"/>
          <w:szCs w:val="28"/>
        </w:rPr>
        <w:t>Requested listing</w:t>
      </w:r>
      <w:bookmarkEnd w:id="8"/>
      <w:bookmarkEnd w:id="9"/>
      <w:bookmarkEnd w:id="10"/>
    </w:p>
    <w:p w:rsidR="0045698A" w:rsidRPr="00F10C3A" w:rsidRDefault="0045698A" w:rsidP="007E3BC0">
      <w:pPr>
        <w:widowControl/>
        <w:numPr>
          <w:ilvl w:val="0"/>
          <w:numId w:val="3"/>
        </w:numPr>
        <w:spacing w:before="200" w:after="120"/>
        <w:jc w:val="left"/>
        <w:rPr>
          <w:b/>
          <w:vanish/>
          <w:szCs w:val="22"/>
        </w:rPr>
      </w:pPr>
    </w:p>
    <w:p w:rsidR="00B30AB8" w:rsidRPr="00F10C3A" w:rsidRDefault="00B30AB8" w:rsidP="0056179A">
      <w:pPr>
        <w:pStyle w:val="PBACHeading1"/>
        <w:numPr>
          <w:ilvl w:val="0"/>
          <w:numId w:val="0"/>
        </w:numPr>
        <w:rPr>
          <w:sz w:val="24"/>
        </w:rPr>
      </w:pPr>
      <w:r w:rsidRPr="00F10C3A">
        <w:rPr>
          <w:rFonts w:asciiTheme="minorHAnsi" w:hAnsiTheme="minorHAnsi"/>
          <w:b w:val="0"/>
          <w:sz w:val="24"/>
        </w:rPr>
        <w:t>Suggested additions are in</w:t>
      </w:r>
      <w:r w:rsidRPr="00AC53B8">
        <w:rPr>
          <w:rFonts w:asciiTheme="minorHAnsi" w:hAnsiTheme="minorHAnsi"/>
          <w:b w:val="0"/>
          <w:i/>
          <w:sz w:val="24"/>
        </w:rPr>
        <w:t xml:space="preserve"> italics </w:t>
      </w:r>
      <w:r w:rsidRPr="00F10C3A">
        <w:rPr>
          <w:rFonts w:asciiTheme="minorHAnsi" w:hAnsiTheme="minorHAnsi"/>
          <w:b w:val="0"/>
          <w:sz w:val="24"/>
        </w:rPr>
        <w:t xml:space="preserve">and deletions are in </w:t>
      </w:r>
      <w:r w:rsidRPr="00F10C3A">
        <w:rPr>
          <w:rFonts w:asciiTheme="minorHAnsi" w:hAnsiTheme="minorHAnsi"/>
          <w:b w:val="0"/>
          <w:strike/>
          <w:sz w:val="24"/>
        </w:rPr>
        <w:t>strikethrough</w:t>
      </w:r>
      <w:r w:rsidRPr="00F10C3A">
        <w:rPr>
          <w:rFonts w:asciiTheme="minorHAnsi" w:hAnsiTheme="minorHAnsi"/>
          <w:b w:val="0"/>
          <w:sz w:val="24"/>
        </w:rPr>
        <w:t>.</w:t>
      </w:r>
    </w:p>
    <w:p w:rsidR="00B30AB8" w:rsidRPr="00F10C3A" w:rsidRDefault="00B30AB8" w:rsidP="00B30AB8">
      <w:pPr>
        <w:pStyle w:val="PBACHeading1"/>
        <w:numPr>
          <w:ilvl w:val="0"/>
          <w:numId w:val="0"/>
        </w:numPr>
        <w:ind w:left="720"/>
      </w:pPr>
      <w:r w:rsidRPr="00F10C3A">
        <w:t xml:space="preserve"> </w:t>
      </w:r>
    </w:p>
    <w:tbl>
      <w:tblPr>
        <w:tblW w:w="9072" w:type="dxa"/>
        <w:tblInd w:w="108" w:type="dxa"/>
        <w:tblLayout w:type="fixed"/>
        <w:tblLook w:val="0000" w:firstRow="0" w:lastRow="0" w:firstColumn="0" w:lastColumn="0" w:noHBand="0" w:noVBand="0"/>
      </w:tblPr>
      <w:tblGrid>
        <w:gridCol w:w="2268"/>
        <w:gridCol w:w="709"/>
        <w:gridCol w:w="284"/>
        <w:gridCol w:w="567"/>
        <w:gridCol w:w="1559"/>
        <w:gridCol w:w="1559"/>
        <w:gridCol w:w="2126"/>
      </w:tblGrid>
      <w:tr w:rsidR="008E1B0F" w:rsidRPr="00F10C3A" w:rsidTr="008E1B0F">
        <w:trPr>
          <w:cantSplit/>
          <w:trHeight w:val="471"/>
        </w:trPr>
        <w:tc>
          <w:tcPr>
            <w:tcW w:w="2268" w:type="dxa"/>
            <w:tcBorders>
              <w:bottom w:val="single" w:sz="4" w:space="0" w:color="auto"/>
            </w:tcBorders>
          </w:tcPr>
          <w:p w:rsidR="008E1B0F" w:rsidRPr="00F10C3A" w:rsidRDefault="008E1B0F" w:rsidP="008E1B0F">
            <w:pPr>
              <w:keepNext/>
              <w:ind w:left="-108"/>
              <w:jc w:val="center"/>
              <w:rPr>
                <w:rFonts w:ascii="Arial Narrow" w:hAnsi="Arial Narrow"/>
                <w:sz w:val="20"/>
              </w:rPr>
            </w:pPr>
            <w:r w:rsidRPr="00F10C3A">
              <w:rPr>
                <w:rFonts w:ascii="Arial Narrow" w:hAnsi="Arial Narrow"/>
                <w:sz w:val="20"/>
              </w:rPr>
              <w:t>Name, Restriction,</w:t>
            </w:r>
          </w:p>
          <w:p w:rsidR="008E1B0F" w:rsidRPr="00F10C3A" w:rsidRDefault="008E1B0F" w:rsidP="008E1B0F">
            <w:pPr>
              <w:keepNext/>
              <w:ind w:left="-108"/>
              <w:jc w:val="center"/>
              <w:rPr>
                <w:rFonts w:ascii="Arial Narrow" w:hAnsi="Arial Narrow"/>
                <w:sz w:val="20"/>
              </w:rPr>
            </w:pPr>
            <w:r w:rsidRPr="00F10C3A">
              <w:rPr>
                <w:rFonts w:ascii="Arial Narrow" w:hAnsi="Arial Narrow"/>
                <w:sz w:val="20"/>
              </w:rPr>
              <w:t>Manner of administration and form</w:t>
            </w:r>
          </w:p>
        </w:tc>
        <w:tc>
          <w:tcPr>
            <w:tcW w:w="709" w:type="dxa"/>
            <w:tcBorders>
              <w:bottom w:val="single" w:sz="4" w:space="0" w:color="auto"/>
            </w:tcBorders>
          </w:tcPr>
          <w:p w:rsidR="008E1B0F" w:rsidRPr="00F10C3A" w:rsidRDefault="008E1B0F" w:rsidP="008E1B0F">
            <w:pPr>
              <w:keepNext/>
              <w:ind w:left="-108"/>
              <w:jc w:val="center"/>
              <w:rPr>
                <w:rFonts w:ascii="Arial Narrow" w:hAnsi="Arial Narrow"/>
                <w:sz w:val="20"/>
              </w:rPr>
            </w:pPr>
            <w:r w:rsidRPr="00F10C3A">
              <w:rPr>
                <w:rFonts w:ascii="Arial Narrow" w:hAnsi="Arial Narrow"/>
                <w:sz w:val="20"/>
              </w:rPr>
              <w:t>Max.</w:t>
            </w:r>
          </w:p>
          <w:p w:rsidR="008E1B0F" w:rsidRPr="00F10C3A" w:rsidRDefault="008E1B0F" w:rsidP="008E1B0F">
            <w:pPr>
              <w:keepNext/>
              <w:ind w:left="-108"/>
              <w:jc w:val="center"/>
              <w:rPr>
                <w:rFonts w:ascii="Arial Narrow" w:hAnsi="Arial Narrow"/>
                <w:sz w:val="20"/>
              </w:rPr>
            </w:pPr>
            <w:proofErr w:type="spellStart"/>
            <w:r w:rsidRPr="00F10C3A">
              <w:rPr>
                <w:rFonts w:ascii="Arial Narrow" w:hAnsi="Arial Narrow"/>
                <w:sz w:val="20"/>
              </w:rPr>
              <w:t>Qty</w:t>
            </w:r>
            <w:proofErr w:type="spellEnd"/>
          </w:p>
        </w:tc>
        <w:tc>
          <w:tcPr>
            <w:tcW w:w="851" w:type="dxa"/>
            <w:gridSpan w:val="2"/>
            <w:tcBorders>
              <w:bottom w:val="single" w:sz="4" w:space="0" w:color="auto"/>
            </w:tcBorders>
          </w:tcPr>
          <w:p w:rsidR="008E1B0F" w:rsidRPr="00F10C3A" w:rsidRDefault="008E1B0F" w:rsidP="008E1B0F">
            <w:pPr>
              <w:keepNext/>
              <w:ind w:left="-108"/>
              <w:jc w:val="center"/>
              <w:rPr>
                <w:rFonts w:ascii="Arial Narrow" w:hAnsi="Arial Narrow"/>
                <w:sz w:val="20"/>
              </w:rPr>
            </w:pPr>
            <w:r w:rsidRPr="00F10C3A">
              <w:rPr>
                <w:rFonts w:ascii="Arial Narrow" w:hAnsi="Arial Narrow"/>
                <w:sz w:val="20"/>
              </w:rPr>
              <w:t>№.of</w:t>
            </w:r>
          </w:p>
          <w:p w:rsidR="008E1B0F" w:rsidRPr="00F10C3A" w:rsidRDefault="008E1B0F" w:rsidP="008E1B0F">
            <w:pPr>
              <w:keepNext/>
              <w:ind w:left="-108"/>
              <w:jc w:val="center"/>
              <w:rPr>
                <w:rFonts w:ascii="Arial Narrow" w:hAnsi="Arial Narrow"/>
                <w:sz w:val="20"/>
              </w:rPr>
            </w:pPr>
            <w:proofErr w:type="spellStart"/>
            <w:r w:rsidRPr="00F10C3A">
              <w:rPr>
                <w:rFonts w:ascii="Arial Narrow" w:hAnsi="Arial Narrow"/>
                <w:sz w:val="20"/>
              </w:rPr>
              <w:t>Rpts</w:t>
            </w:r>
            <w:proofErr w:type="spellEnd"/>
          </w:p>
        </w:tc>
        <w:tc>
          <w:tcPr>
            <w:tcW w:w="1559" w:type="dxa"/>
            <w:tcBorders>
              <w:bottom w:val="single" w:sz="4" w:space="0" w:color="auto"/>
            </w:tcBorders>
          </w:tcPr>
          <w:p w:rsidR="008E1B0F" w:rsidRPr="00F10C3A" w:rsidRDefault="008E1B0F" w:rsidP="008E1B0F">
            <w:pPr>
              <w:keepNext/>
              <w:jc w:val="center"/>
              <w:rPr>
                <w:rFonts w:ascii="Arial Narrow" w:hAnsi="Arial Narrow"/>
                <w:sz w:val="20"/>
                <w:lang w:val="fr-FR"/>
              </w:rPr>
            </w:pPr>
            <w:proofErr w:type="spellStart"/>
            <w:r w:rsidRPr="00F10C3A">
              <w:rPr>
                <w:rFonts w:ascii="Arial Narrow" w:hAnsi="Arial Narrow"/>
                <w:sz w:val="20"/>
                <w:lang w:val="fr-FR"/>
              </w:rPr>
              <w:t>Dispensed</w:t>
            </w:r>
            <w:proofErr w:type="spellEnd"/>
            <w:r w:rsidRPr="00F10C3A">
              <w:rPr>
                <w:rFonts w:ascii="Arial Narrow" w:hAnsi="Arial Narrow"/>
                <w:sz w:val="20"/>
                <w:lang w:val="fr-FR"/>
              </w:rPr>
              <w:t xml:space="preserve"> </w:t>
            </w:r>
            <w:proofErr w:type="spellStart"/>
            <w:r w:rsidRPr="00F10C3A">
              <w:rPr>
                <w:rFonts w:ascii="Arial Narrow" w:hAnsi="Arial Narrow"/>
                <w:sz w:val="20"/>
                <w:lang w:val="fr-FR"/>
              </w:rPr>
              <w:t>price</w:t>
            </w:r>
            <w:proofErr w:type="spellEnd"/>
            <w:r w:rsidRPr="00F10C3A">
              <w:rPr>
                <w:rFonts w:ascii="Arial Narrow" w:hAnsi="Arial Narrow"/>
                <w:sz w:val="20"/>
                <w:lang w:val="fr-FR"/>
              </w:rPr>
              <w:t xml:space="preserve"> per maximum </w:t>
            </w:r>
            <w:proofErr w:type="spellStart"/>
            <w:r w:rsidRPr="00F10C3A">
              <w:rPr>
                <w:rFonts w:ascii="Arial Narrow" w:hAnsi="Arial Narrow"/>
                <w:sz w:val="20"/>
                <w:lang w:val="fr-FR"/>
              </w:rPr>
              <w:t>Qty</w:t>
            </w:r>
            <w:proofErr w:type="spellEnd"/>
          </w:p>
        </w:tc>
        <w:tc>
          <w:tcPr>
            <w:tcW w:w="3685" w:type="dxa"/>
            <w:gridSpan w:val="2"/>
            <w:tcBorders>
              <w:bottom w:val="single" w:sz="4" w:space="0" w:color="auto"/>
            </w:tcBorders>
          </w:tcPr>
          <w:p w:rsidR="00A4045B" w:rsidRPr="00F10C3A" w:rsidRDefault="00A4045B" w:rsidP="008E1B0F">
            <w:pPr>
              <w:keepNext/>
              <w:jc w:val="center"/>
              <w:rPr>
                <w:rFonts w:ascii="Arial Narrow" w:hAnsi="Arial Narrow"/>
                <w:sz w:val="20"/>
              </w:rPr>
            </w:pPr>
          </w:p>
          <w:p w:rsidR="008E1B0F" w:rsidRPr="00F10C3A" w:rsidRDefault="008E1B0F" w:rsidP="008E1B0F">
            <w:pPr>
              <w:keepNext/>
              <w:jc w:val="center"/>
              <w:rPr>
                <w:rFonts w:ascii="Arial Narrow" w:hAnsi="Arial Narrow"/>
                <w:sz w:val="20"/>
                <w:lang w:val="fr-FR"/>
              </w:rPr>
            </w:pPr>
            <w:r w:rsidRPr="00F10C3A">
              <w:rPr>
                <w:rFonts w:ascii="Arial Narrow" w:hAnsi="Arial Narrow"/>
                <w:sz w:val="20"/>
              </w:rPr>
              <w:t>Proprietary Name and Manufacturer</w:t>
            </w:r>
          </w:p>
        </w:tc>
      </w:tr>
      <w:tr w:rsidR="00C2006F" w:rsidRPr="00F10C3A" w:rsidTr="008E1B0F">
        <w:trPr>
          <w:cantSplit/>
          <w:trHeight w:val="577"/>
        </w:trPr>
        <w:tc>
          <w:tcPr>
            <w:tcW w:w="2268" w:type="dxa"/>
          </w:tcPr>
          <w:p w:rsidR="00C2006F" w:rsidRPr="00F10C3A" w:rsidRDefault="00C2006F" w:rsidP="008E1B0F">
            <w:pPr>
              <w:jc w:val="left"/>
              <w:rPr>
                <w:rFonts w:ascii="Arial Narrow" w:hAnsi="Arial Narrow"/>
                <w:sz w:val="20"/>
              </w:rPr>
            </w:pPr>
            <w:r w:rsidRPr="00F10C3A">
              <w:rPr>
                <w:rFonts w:ascii="Arial Narrow" w:hAnsi="Arial Narrow"/>
                <w:sz w:val="20"/>
              </w:rPr>
              <w:t>NICOTINE</w:t>
            </w:r>
          </w:p>
          <w:p w:rsidR="00C2006F" w:rsidRPr="00F10C3A" w:rsidRDefault="00C2006F" w:rsidP="008E1B0F">
            <w:pPr>
              <w:jc w:val="left"/>
              <w:rPr>
                <w:rFonts w:ascii="Arial Narrow" w:hAnsi="Arial Narrow"/>
                <w:sz w:val="20"/>
              </w:rPr>
            </w:pPr>
            <w:r w:rsidRPr="00F10C3A">
              <w:rPr>
                <w:rFonts w:ascii="Arial Narrow" w:hAnsi="Arial Narrow"/>
                <w:sz w:val="20"/>
              </w:rPr>
              <w:t>Gum 2mg, 216</w:t>
            </w:r>
          </w:p>
          <w:p w:rsidR="00C2006F" w:rsidRPr="00F10C3A" w:rsidRDefault="00C2006F" w:rsidP="008E1B0F">
            <w:pPr>
              <w:jc w:val="left"/>
              <w:rPr>
                <w:rFonts w:ascii="Arial Narrow" w:hAnsi="Arial Narrow"/>
                <w:sz w:val="20"/>
              </w:rPr>
            </w:pPr>
            <w:r w:rsidRPr="00F10C3A">
              <w:rPr>
                <w:rFonts w:ascii="Arial Narrow" w:hAnsi="Arial Narrow"/>
                <w:sz w:val="20"/>
              </w:rPr>
              <w:t>Gum 4 mg, 216</w:t>
            </w:r>
          </w:p>
          <w:p w:rsidR="00C2006F" w:rsidRPr="00F10C3A" w:rsidRDefault="00C2006F" w:rsidP="008E1B0F">
            <w:pPr>
              <w:jc w:val="left"/>
              <w:rPr>
                <w:rFonts w:ascii="Arial Narrow" w:hAnsi="Arial Narrow"/>
                <w:sz w:val="20"/>
              </w:rPr>
            </w:pPr>
            <w:r w:rsidRPr="00F10C3A">
              <w:rPr>
                <w:rFonts w:ascii="Arial Narrow" w:hAnsi="Arial Narrow"/>
                <w:sz w:val="20"/>
              </w:rPr>
              <w:t>Lozenge 2 mg, 216</w:t>
            </w:r>
          </w:p>
          <w:p w:rsidR="00C2006F" w:rsidRPr="00F10C3A" w:rsidRDefault="00C2006F" w:rsidP="008E1B0F">
            <w:pPr>
              <w:jc w:val="left"/>
              <w:rPr>
                <w:rFonts w:ascii="Arial Narrow" w:hAnsi="Arial Narrow"/>
                <w:sz w:val="20"/>
              </w:rPr>
            </w:pPr>
            <w:r w:rsidRPr="00F10C3A">
              <w:rPr>
                <w:rFonts w:ascii="Arial Narrow" w:hAnsi="Arial Narrow"/>
                <w:sz w:val="20"/>
              </w:rPr>
              <w:t>Lozenge 4 mg, 216</w:t>
            </w:r>
          </w:p>
        </w:tc>
        <w:tc>
          <w:tcPr>
            <w:tcW w:w="709" w:type="dxa"/>
          </w:tcPr>
          <w:p w:rsidR="00C2006F" w:rsidRPr="00F10C3A" w:rsidRDefault="00C2006F" w:rsidP="008E1B0F">
            <w:pPr>
              <w:keepNext/>
              <w:ind w:left="-108"/>
              <w:jc w:val="center"/>
              <w:rPr>
                <w:rFonts w:ascii="Arial Narrow" w:hAnsi="Arial Narrow"/>
                <w:sz w:val="20"/>
              </w:rPr>
            </w:pP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1</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1</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1</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1</w:t>
            </w:r>
          </w:p>
          <w:p w:rsidR="00C2006F" w:rsidRPr="00F10C3A" w:rsidRDefault="00C2006F" w:rsidP="008E1B0F">
            <w:pPr>
              <w:keepNext/>
              <w:ind w:left="-108"/>
              <w:jc w:val="center"/>
              <w:rPr>
                <w:rFonts w:ascii="Arial Narrow" w:hAnsi="Arial Narrow"/>
                <w:sz w:val="20"/>
              </w:rPr>
            </w:pPr>
          </w:p>
        </w:tc>
        <w:tc>
          <w:tcPr>
            <w:tcW w:w="851" w:type="dxa"/>
            <w:gridSpan w:val="2"/>
          </w:tcPr>
          <w:p w:rsidR="00C2006F" w:rsidRPr="00F10C3A" w:rsidRDefault="00C2006F" w:rsidP="008E1B0F">
            <w:pPr>
              <w:keepNext/>
              <w:ind w:left="-108"/>
              <w:jc w:val="center"/>
              <w:rPr>
                <w:rFonts w:ascii="Arial Narrow" w:hAnsi="Arial Narrow"/>
                <w:sz w:val="20"/>
              </w:rPr>
            </w:pP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2</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2</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2</w:t>
            </w:r>
          </w:p>
          <w:p w:rsidR="00C2006F" w:rsidRPr="00F10C3A" w:rsidRDefault="00C2006F" w:rsidP="008E1B0F">
            <w:pPr>
              <w:keepNext/>
              <w:ind w:left="-108"/>
              <w:jc w:val="center"/>
              <w:rPr>
                <w:rFonts w:ascii="Arial Narrow" w:hAnsi="Arial Narrow"/>
                <w:sz w:val="20"/>
              </w:rPr>
            </w:pPr>
            <w:r w:rsidRPr="00F10C3A">
              <w:rPr>
                <w:rFonts w:ascii="Arial Narrow" w:hAnsi="Arial Narrow"/>
                <w:sz w:val="20"/>
              </w:rPr>
              <w:t>2</w:t>
            </w:r>
          </w:p>
          <w:p w:rsidR="00C2006F" w:rsidRPr="00F10C3A" w:rsidRDefault="00C2006F" w:rsidP="008E1B0F">
            <w:pPr>
              <w:keepNext/>
              <w:ind w:left="-108"/>
              <w:jc w:val="center"/>
              <w:rPr>
                <w:rFonts w:ascii="Arial Narrow" w:hAnsi="Arial Narrow"/>
                <w:sz w:val="20"/>
              </w:rPr>
            </w:pPr>
          </w:p>
        </w:tc>
        <w:tc>
          <w:tcPr>
            <w:tcW w:w="1559" w:type="dxa"/>
          </w:tcPr>
          <w:p w:rsidR="00C2006F" w:rsidRPr="00F10C3A" w:rsidRDefault="00C2006F" w:rsidP="008E1B0F">
            <w:pPr>
              <w:keepNext/>
              <w:jc w:val="center"/>
              <w:rPr>
                <w:rFonts w:ascii="Arial Narrow" w:hAnsi="Arial Narrow"/>
                <w:sz w:val="20"/>
              </w:rPr>
            </w:pPr>
          </w:p>
          <w:p w:rsidR="00C2006F" w:rsidRPr="00717560" w:rsidRDefault="00C2006F" w:rsidP="008E1B0F">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C2006F" w:rsidRPr="00F10C3A" w:rsidRDefault="00C2006F" w:rsidP="008E1B0F">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C2006F" w:rsidRPr="00717560" w:rsidRDefault="00C2006F" w:rsidP="008E1B0F">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C2006F" w:rsidRPr="00F10C3A" w:rsidRDefault="00C2006F" w:rsidP="008E1B0F">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tc>
        <w:tc>
          <w:tcPr>
            <w:tcW w:w="1559" w:type="dxa"/>
          </w:tcPr>
          <w:p w:rsidR="00C2006F" w:rsidRPr="00F10C3A" w:rsidRDefault="00C2006F" w:rsidP="008E1B0F">
            <w:pPr>
              <w:keepNext/>
              <w:jc w:val="center"/>
              <w:rPr>
                <w:rFonts w:ascii="Arial Narrow" w:hAnsi="Arial Narrow"/>
                <w:sz w:val="20"/>
              </w:rPr>
            </w:pPr>
          </w:p>
          <w:p w:rsidR="00C2006F" w:rsidRPr="00F10C3A" w:rsidRDefault="00C2006F" w:rsidP="008E1B0F">
            <w:pPr>
              <w:keepNext/>
              <w:jc w:val="center"/>
              <w:rPr>
                <w:rFonts w:ascii="Arial Narrow" w:hAnsi="Arial Narrow"/>
                <w:sz w:val="20"/>
              </w:rPr>
            </w:pPr>
          </w:p>
          <w:p w:rsidR="00C2006F" w:rsidRPr="00F10C3A" w:rsidRDefault="00C2006F" w:rsidP="008E1B0F">
            <w:pPr>
              <w:keepNext/>
              <w:jc w:val="center"/>
              <w:rPr>
                <w:rFonts w:ascii="Arial Narrow" w:hAnsi="Arial Narrow"/>
                <w:sz w:val="20"/>
              </w:rPr>
            </w:pPr>
            <w:proofErr w:type="spellStart"/>
            <w:r w:rsidRPr="00F10C3A">
              <w:rPr>
                <w:rFonts w:ascii="Arial Narrow" w:hAnsi="Arial Narrow"/>
                <w:sz w:val="20"/>
              </w:rPr>
              <w:t>Nicotinell</w:t>
            </w:r>
            <w:proofErr w:type="spellEnd"/>
            <w:r w:rsidRPr="00F10C3A">
              <w:rPr>
                <w:rFonts w:ascii="Arial Narrow" w:hAnsi="Arial Narrow"/>
                <w:sz w:val="20"/>
                <w:vertAlign w:val="superscript"/>
              </w:rPr>
              <w:t>®</w:t>
            </w:r>
          </w:p>
        </w:tc>
        <w:tc>
          <w:tcPr>
            <w:tcW w:w="2126" w:type="dxa"/>
          </w:tcPr>
          <w:p w:rsidR="00C2006F" w:rsidRPr="00F10C3A" w:rsidRDefault="00C2006F" w:rsidP="008E1B0F">
            <w:pPr>
              <w:keepNext/>
              <w:jc w:val="center"/>
              <w:rPr>
                <w:rFonts w:ascii="Arial Narrow" w:hAnsi="Arial Narrow"/>
                <w:sz w:val="20"/>
              </w:rPr>
            </w:pPr>
          </w:p>
          <w:p w:rsidR="00A4045B" w:rsidRPr="00F10C3A" w:rsidRDefault="00A4045B" w:rsidP="008E1B0F">
            <w:pPr>
              <w:keepNext/>
              <w:jc w:val="center"/>
              <w:rPr>
                <w:rFonts w:ascii="Arial Narrow" w:hAnsi="Arial Narrow"/>
                <w:sz w:val="20"/>
              </w:rPr>
            </w:pPr>
          </w:p>
          <w:p w:rsidR="00C2006F" w:rsidRPr="00F10C3A" w:rsidRDefault="00C2006F" w:rsidP="008E1B0F">
            <w:pPr>
              <w:keepNext/>
              <w:jc w:val="center"/>
              <w:rPr>
                <w:rFonts w:ascii="Arial Narrow" w:hAnsi="Arial Narrow"/>
                <w:sz w:val="20"/>
              </w:rPr>
            </w:pPr>
            <w:r w:rsidRPr="00F10C3A">
              <w:rPr>
                <w:rFonts w:ascii="Arial Narrow" w:hAnsi="Arial Narrow"/>
                <w:sz w:val="20"/>
              </w:rPr>
              <w:t>Orion Laboratories Pty Ltd</w:t>
            </w:r>
          </w:p>
        </w:tc>
      </w:tr>
      <w:tr w:rsidR="00B30AB8" w:rsidRPr="00F10C3A" w:rsidTr="00CB0691">
        <w:trPr>
          <w:cantSplit/>
          <w:trHeight w:val="360"/>
        </w:trPr>
        <w:tc>
          <w:tcPr>
            <w:tcW w:w="9072" w:type="dxa"/>
            <w:gridSpan w:val="7"/>
            <w:tcBorders>
              <w:bottom w:val="single" w:sz="4" w:space="0" w:color="auto"/>
            </w:tcBorders>
          </w:tcPr>
          <w:p w:rsidR="00B30AB8" w:rsidRPr="00F10C3A" w:rsidRDefault="00B30AB8" w:rsidP="00CB0691">
            <w:pPr>
              <w:rPr>
                <w:rFonts w:ascii="Arial Narrow" w:hAnsi="Arial Narrow"/>
                <w:sz w:val="20"/>
              </w:rPr>
            </w:pP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 xml:space="preserve">Category / </w:t>
            </w:r>
          </w:p>
          <w:p w:rsidR="00B30AB8" w:rsidRPr="00F10C3A" w:rsidRDefault="00B30AB8" w:rsidP="00CB0691">
            <w:pPr>
              <w:rPr>
                <w:rFonts w:ascii="Arial Narrow" w:hAnsi="Arial Narrow"/>
                <w:b/>
                <w:sz w:val="20"/>
              </w:rPr>
            </w:pPr>
            <w:r w:rsidRPr="00F10C3A">
              <w:rPr>
                <w:rFonts w:ascii="Arial Narrow" w:hAnsi="Arial Narrow"/>
                <w:b/>
                <w:sz w:val="20"/>
              </w:rPr>
              <w:t>Program</w:t>
            </w: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GENERAL – General Schedule (Code GE)</w:t>
            </w:r>
          </w:p>
          <w:p w:rsidR="00B30AB8" w:rsidRPr="00F10C3A" w:rsidRDefault="00B30AB8" w:rsidP="00CB0691">
            <w:pPr>
              <w:rPr>
                <w:rFonts w:ascii="Arial Narrow" w:hAnsi="Arial Narrow"/>
                <w:sz w:val="20"/>
              </w:rPr>
            </w:pP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Condition:</w:t>
            </w: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Nicotine dependence</w:t>
            </w: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PBS Indication:</w:t>
            </w: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Nicotine dependence</w:t>
            </w: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B30AB8">
            <w:pPr>
              <w:rPr>
                <w:rFonts w:ascii="Arial Narrow" w:hAnsi="Arial Narrow"/>
                <w:sz w:val="20"/>
              </w:rPr>
            </w:pPr>
            <w:r w:rsidRPr="00F10C3A">
              <w:rPr>
                <w:rFonts w:ascii="Arial Narrow" w:hAnsi="Arial Narrow"/>
                <w:b/>
                <w:sz w:val="20"/>
              </w:rPr>
              <w:t>Restriction:</w:t>
            </w: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B30AB8">
            <w:pPr>
              <w:rPr>
                <w:rFonts w:ascii="Arial Narrow" w:hAnsi="Arial Narrow"/>
                <w:sz w:val="20"/>
              </w:rPr>
            </w:pPr>
            <w:r w:rsidRPr="00F10C3A">
              <w:rPr>
                <w:rFonts w:ascii="Arial Narrow" w:hAnsi="Arial Narrow"/>
                <w:sz w:val="20"/>
              </w:rPr>
              <w:fldChar w:fldCharType="begin">
                <w:ffData>
                  <w:name w:val="Check1"/>
                  <w:enabled/>
                  <w:calcOnExit w:val="0"/>
                  <w:checkBox>
                    <w:sizeAuto/>
                    <w:default w:val="1"/>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Restricted benefit</w:t>
            </w: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lastRenderedPageBreak/>
              <w:t>Clinical criteria:</w:t>
            </w:r>
          </w:p>
          <w:p w:rsidR="00B30AB8" w:rsidRPr="00F10C3A" w:rsidRDefault="00B30AB8" w:rsidP="00CB0691">
            <w:pPr>
              <w:rPr>
                <w:rFonts w:ascii="Arial Narrow" w:hAnsi="Arial Narrow"/>
                <w:sz w:val="20"/>
              </w:rPr>
            </w:pPr>
          </w:p>
          <w:p w:rsidR="00B30AB8" w:rsidRPr="00F10C3A" w:rsidRDefault="00B30AB8" w:rsidP="00CB0691">
            <w:pPr>
              <w:rPr>
                <w:rFonts w:ascii="Arial Narrow" w:hAnsi="Arial Narrow"/>
                <w:sz w:val="20"/>
              </w:rPr>
            </w:pP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autoSpaceDE w:val="0"/>
              <w:autoSpaceDN w:val="0"/>
              <w:adjustRightInd w:val="0"/>
              <w:rPr>
                <w:rFonts w:ascii="Arial Narrow" w:eastAsiaTheme="minorHAnsi" w:hAnsi="Arial Narrow"/>
                <w:b/>
                <w:bCs/>
                <w:strike/>
                <w:color w:val="000000"/>
                <w:sz w:val="20"/>
              </w:rPr>
            </w:pPr>
            <w:r w:rsidRPr="00F10C3A">
              <w:rPr>
                <w:rFonts w:ascii="Arial Narrow" w:eastAsiaTheme="minorHAnsi" w:hAnsi="Arial Narrow"/>
                <w:b/>
                <w:bCs/>
                <w:strike/>
                <w:color w:val="000000"/>
                <w:sz w:val="20"/>
              </w:rPr>
              <w:t xml:space="preserve">Clinical criteria 1: </w:t>
            </w:r>
          </w:p>
          <w:p w:rsidR="00B30AB8" w:rsidRPr="00F10C3A" w:rsidRDefault="00B30AB8" w:rsidP="00CB0691">
            <w:pPr>
              <w:rPr>
                <w:rFonts w:ascii="Arial Narrow" w:hAnsi="Arial Narrow"/>
                <w:sz w:val="20"/>
              </w:rPr>
            </w:pPr>
            <w:r w:rsidRPr="00F10C3A">
              <w:rPr>
                <w:rFonts w:ascii="Arial Narrow" w:hAnsi="Arial Narrow"/>
                <w:sz w:val="20"/>
              </w:rPr>
              <w:t>The treatment must be as an aid to achieving abstinence from smoking,</w:t>
            </w:r>
          </w:p>
          <w:p w:rsidR="00B30AB8" w:rsidRPr="00F10C3A" w:rsidRDefault="00B30AB8" w:rsidP="00CB0691">
            <w:pPr>
              <w:autoSpaceDE w:val="0"/>
              <w:autoSpaceDN w:val="0"/>
              <w:adjustRightInd w:val="0"/>
              <w:rPr>
                <w:rFonts w:ascii="Arial Narrow" w:eastAsiaTheme="minorHAnsi" w:hAnsi="Arial Narrow"/>
                <w:bCs/>
                <w:color w:val="000000"/>
                <w:sz w:val="20"/>
              </w:rPr>
            </w:pPr>
            <w:r w:rsidRPr="00F10C3A">
              <w:rPr>
                <w:rFonts w:ascii="Arial Narrow" w:eastAsiaTheme="minorHAnsi" w:hAnsi="Arial Narrow"/>
                <w:bCs/>
                <w:color w:val="000000"/>
                <w:sz w:val="20"/>
              </w:rPr>
              <w:t>AND</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 xml:space="preserve">The treatment must be the sole PBS-subsidised therapy for this condition, </w:t>
            </w:r>
            <w:r w:rsidRPr="00F10C3A">
              <w:rPr>
                <w:rFonts w:ascii="Arial Narrow" w:eastAsiaTheme="minorHAnsi" w:hAnsi="Arial Narrow"/>
                <w:bCs/>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Patient must have indicated they are ready to cease smoking,</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bCs/>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 xml:space="preserve">Patient must have entered a comprehensive support and counselling program, </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bCs/>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color w:val="000000"/>
                <w:sz w:val="20"/>
              </w:rPr>
            </w:pPr>
            <w:r w:rsidRPr="00F10C3A">
              <w:rPr>
                <w:rFonts w:ascii="Arial Narrow" w:eastAsiaTheme="minorHAnsi" w:hAnsi="Arial Narrow"/>
                <w:color w:val="000000"/>
                <w:sz w:val="20"/>
              </w:rPr>
              <w:t xml:space="preserve">Patient must not receive more than 12 weeks of PBS-subsidised nicotine replacement therapy per 12-month period. </w:t>
            </w:r>
          </w:p>
          <w:p w:rsidR="00B30AB8" w:rsidRPr="00F10C3A" w:rsidRDefault="00B30AB8" w:rsidP="00CB0691">
            <w:pPr>
              <w:autoSpaceDE w:val="0"/>
              <w:autoSpaceDN w:val="0"/>
              <w:adjustRightInd w:val="0"/>
              <w:rPr>
                <w:rFonts w:ascii="Arial Narrow" w:eastAsiaTheme="minorHAnsi" w:hAnsi="Arial Narrow"/>
                <w:color w:val="000000"/>
                <w:sz w:val="20"/>
              </w:rPr>
            </w:pP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 xml:space="preserve">Details of the support and counselling program must be documented in the patient's medical records at the time treatment is initiated. </w:t>
            </w:r>
          </w:p>
          <w:p w:rsidR="00B30AB8" w:rsidRPr="00F10C3A" w:rsidRDefault="00B30AB8" w:rsidP="00CB0691">
            <w:pPr>
              <w:autoSpaceDE w:val="0"/>
              <w:autoSpaceDN w:val="0"/>
              <w:adjustRightInd w:val="0"/>
              <w:rPr>
                <w:rFonts w:ascii="Arial Narrow" w:eastAsiaTheme="minorHAnsi" w:hAnsi="Arial Narrow"/>
                <w:color w:val="000000"/>
                <w:sz w:val="20"/>
              </w:rPr>
            </w:pP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b/>
                <w:bCs/>
                <w:strike/>
                <w:color w:val="000000"/>
                <w:sz w:val="20"/>
              </w:rPr>
              <w:t xml:space="preserve">Clinical criteria 2: </w:t>
            </w: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 xml:space="preserve">• The treatment must be the sole PBS-subsidised therapy for this condition, </w:t>
            </w:r>
            <w:r w:rsidRPr="00F10C3A">
              <w:rPr>
                <w:rFonts w:ascii="Arial Narrow" w:eastAsiaTheme="minorHAnsi" w:hAnsi="Arial Narrow"/>
                <w:b/>
                <w:bCs/>
                <w:strike/>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 xml:space="preserve">• Patient must have indicated they are ready to cease smoking, </w:t>
            </w:r>
            <w:r w:rsidRPr="00F10C3A">
              <w:rPr>
                <w:rFonts w:ascii="Arial Narrow" w:eastAsiaTheme="minorHAnsi" w:hAnsi="Arial Narrow"/>
                <w:b/>
                <w:bCs/>
                <w:strike/>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 xml:space="preserve">• Patient must be entering a comprehensive support and counselling program during the consultation at which this prescription is written, </w:t>
            </w:r>
            <w:r w:rsidRPr="00F10C3A">
              <w:rPr>
                <w:rFonts w:ascii="Arial Narrow" w:eastAsiaTheme="minorHAnsi" w:hAnsi="Arial Narrow"/>
                <w:b/>
                <w:bCs/>
                <w:strike/>
                <w:color w:val="000000"/>
                <w:sz w:val="20"/>
              </w:rPr>
              <w:t xml:space="preserve">AND </w:t>
            </w: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 xml:space="preserve">• Patient must not receive more than 12 weeks of PBS-subsidised nicotine replacement therapy per 12-month period. </w:t>
            </w:r>
          </w:p>
          <w:p w:rsidR="00B30AB8" w:rsidRPr="00F10C3A" w:rsidRDefault="00B30AB8" w:rsidP="00CB0691">
            <w:pPr>
              <w:autoSpaceDE w:val="0"/>
              <w:autoSpaceDN w:val="0"/>
              <w:adjustRightInd w:val="0"/>
              <w:rPr>
                <w:rFonts w:ascii="Arial Narrow" w:eastAsiaTheme="minorHAnsi" w:hAnsi="Arial Narrow"/>
                <w:strike/>
                <w:color w:val="000000"/>
                <w:sz w:val="20"/>
              </w:rPr>
            </w:pPr>
          </w:p>
          <w:p w:rsidR="00B30AB8" w:rsidRPr="00F10C3A" w:rsidRDefault="00B30AB8" w:rsidP="00CB0691">
            <w:pPr>
              <w:rPr>
                <w:rFonts w:ascii="Arial Narrow" w:hAnsi="Arial Narrow"/>
                <w:strike/>
                <w:sz w:val="20"/>
              </w:rPr>
            </w:pPr>
            <w:r w:rsidRPr="00F10C3A">
              <w:rPr>
                <w:rFonts w:ascii="Arial Narrow" w:hAnsi="Arial Narrow"/>
                <w:strike/>
                <w:sz w:val="20"/>
              </w:rPr>
              <w:t>Details of the support and counselling program must be documented in the patient's medical records at the time treatment is initiated.</w:t>
            </w:r>
          </w:p>
          <w:p w:rsidR="00B30AB8" w:rsidRPr="00F10C3A" w:rsidRDefault="00B30AB8" w:rsidP="00CB0691">
            <w:pPr>
              <w:autoSpaceDE w:val="0"/>
              <w:autoSpaceDN w:val="0"/>
              <w:adjustRightInd w:val="0"/>
              <w:rPr>
                <w:rFonts w:ascii="Arial Narrow" w:eastAsiaTheme="minorHAnsi" w:hAnsi="Arial Narrow"/>
                <w:strike/>
                <w:color w:val="000000"/>
                <w:sz w:val="20"/>
              </w:rPr>
            </w:pP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b/>
                <w:bCs/>
                <w:strike/>
                <w:color w:val="000000"/>
                <w:sz w:val="20"/>
              </w:rPr>
              <w:t xml:space="preserve">Clinical criteria 3: </w:t>
            </w:r>
          </w:p>
          <w:p w:rsidR="00B30AB8" w:rsidRPr="00F10C3A" w:rsidRDefault="00B30AB8" w:rsidP="00CB0691">
            <w:pPr>
              <w:autoSpaceDE w:val="0"/>
              <w:autoSpaceDN w:val="0"/>
              <w:adjustRightInd w:val="0"/>
              <w:rPr>
                <w:rFonts w:ascii="Arial Narrow" w:eastAsiaTheme="minorHAnsi" w:hAnsi="Arial Narrow"/>
                <w:strike/>
                <w:color w:val="000000"/>
                <w:sz w:val="20"/>
              </w:rPr>
            </w:pPr>
            <w:r w:rsidRPr="00F10C3A">
              <w:rPr>
                <w:rFonts w:ascii="Arial Narrow" w:eastAsiaTheme="minorHAnsi" w:hAnsi="Arial Narrow"/>
                <w:strike/>
                <w:color w:val="000000"/>
                <w:sz w:val="20"/>
              </w:rPr>
              <w:t>The treatment must be the sole PBS-subsidised therapy for this condition. Only 2 courses of PBS-subsidised nicotine replacement therapy may be prescribed per 12-month period. Benefit is improved if used in conjunction with a comprehensive support and counselling program.</w:t>
            </w:r>
          </w:p>
          <w:p w:rsidR="00B30AB8" w:rsidRPr="00F10C3A" w:rsidRDefault="00B30AB8" w:rsidP="00CB0691">
            <w:pPr>
              <w:autoSpaceDE w:val="0"/>
              <w:autoSpaceDN w:val="0"/>
              <w:adjustRightInd w:val="0"/>
              <w:rPr>
                <w:rFonts w:ascii="Arial Narrow" w:eastAsiaTheme="minorHAnsi" w:hAnsi="Arial Narrow"/>
                <w:color w:val="000000"/>
                <w:sz w:val="20"/>
              </w:rPr>
            </w:pP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trike/>
                <w:sz w:val="20"/>
              </w:rPr>
            </w:pPr>
            <w:r w:rsidRPr="00F10C3A">
              <w:rPr>
                <w:rFonts w:ascii="Arial Narrow" w:hAnsi="Arial Narrow"/>
                <w:b/>
                <w:strike/>
                <w:sz w:val="20"/>
              </w:rPr>
              <w:t>Population criteria:</w:t>
            </w:r>
          </w:p>
          <w:p w:rsidR="00B30AB8" w:rsidRPr="00F10C3A" w:rsidRDefault="00B30AB8" w:rsidP="00CB0691">
            <w:pPr>
              <w:rPr>
                <w:rFonts w:ascii="Arial Narrow" w:hAnsi="Arial Narrow"/>
                <w:strike/>
                <w:sz w:val="20"/>
              </w:rPr>
            </w:pP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eastAsiaTheme="minorHAnsi" w:hAnsi="Arial Narrow"/>
                <w:b/>
                <w:bCs/>
                <w:strike/>
                <w:color w:val="000000"/>
                <w:sz w:val="20"/>
              </w:rPr>
            </w:pPr>
            <w:r w:rsidRPr="00F10C3A">
              <w:rPr>
                <w:rFonts w:ascii="Arial Narrow" w:eastAsiaTheme="minorHAnsi" w:hAnsi="Arial Narrow"/>
                <w:b/>
                <w:bCs/>
                <w:strike/>
                <w:color w:val="000000"/>
                <w:sz w:val="20"/>
              </w:rPr>
              <w:t>For Clinical criteria 3 only:</w:t>
            </w:r>
          </w:p>
          <w:p w:rsidR="00B30AB8" w:rsidRPr="00F10C3A" w:rsidRDefault="00B30AB8" w:rsidP="00CB0691">
            <w:pPr>
              <w:rPr>
                <w:rFonts w:ascii="Arial Narrow" w:hAnsi="Arial Narrow"/>
                <w:strike/>
                <w:sz w:val="20"/>
              </w:rPr>
            </w:pPr>
            <w:r w:rsidRPr="00F10C3A">
              <w:rPr>
                <w:rFonts w:ascii="Arial Narrow" w:hAnsi="Arial Narrow"/>
                <w:strike/>
                <w:sz w:val="20"/>
              </w:rPr>
              <w:t>Patient must be an Aboriginal or a Torres Strait Islander person.</w:t>
            </w: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Prescriber Instructions</w:t>
            </w:r>
          </w:p>
          <w:p w:rsidR="00B30AB8" w:rsidRPr="00F10C3A" w:rsidRDefault="00B30AB8" w:rsidP="00CB0691">
            <w:pPr>
              <w:rPr>
                <w:rFonts w:ascii="Arial Narrow" w:hAnsi="Arial Narrow"/>
                <w:sz w:val="20"/>
              </w:rPr>
            </w:pP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trike/>
                <w:sz w:val="20"/>
              </w:rPr>
            </w:pPr>
            <w:r w:rsidRPr="00F10C3A">
              <w:rPr>
                <w:rFonts w:ascii="Arial Narrow" w:hAnsi="Arial Narrow"/>
                <w:strike/>
                <w:sz w:val="20"/>
              </w:rPr>
              <w:t>N/P</w:t>
            </w:r>
            <w:r w:rsidRPr="00F10C3A">
              <w:rPr>
                <w:rFonts w:ascii="Arial Narrow" w:hAnsi="Arial Narrow"/>
                <w:sz w:val="20"/>
              </w:rPr>
              <w:t>atient must be undergoing concurrent counselling for smoking cessation through a comprehensive support and counselling program or is about to enter such a program at the time PBS-subsidised treatment is initiated.</w:t>
            </w:r>
          </w:p>
        </w:tc>
      </w:tr>
      <w:tr w:rsidR="00B30AB8" w:rsidRPr="00F10C3A" w:rsidTr="00CB0691">
        <w:trPr>
          <w:cantSplit/>
          <w:trHeight w:val="360"/>
        </w:trPr>
        <w:tc>
          <w:tcPr>
            <w:tcW w:w="3261" w:type="dxa"/>
            <w:gridSpan w:val="3"/>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Administrative Advice</w:t>
            </w:r>
          </w:p>
          <w:p w:rsidR="00B30AB8" w:rsidRPr="00F10C3A" w:rsidRDefault="00B30AB8" w:rsidP="00CB0691">
            <w:pPr>
              <w:rPr>
                <w:rFonts w:ascii="Arial Narrow" w:hAnsi="Arial Narrow"/>
                <w:sz w:val="20"/>
              </w:rPr>
            </w:pPr>
          </w:p>
        </w:tc>
        <w:tc>
          <w:tcPr>
            <w:tcW w:w="5811" w:type="dxa"/>
            <w:gridSpan w:val="4"/>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trike/>
                <w:sz w:val="20"/>
              </w:rPr>
              <w:t xml:space="preserve">N/A </w:t>
            </w:r>
            <w:r w:rsidRPr="00F10C3A">
              <w:rPr>
                <w:rFonts w:ascii="Arial Narrow" w:hAnsi="Arial Narrow"/>
                <w:sz w:val="20"/>
              </w:rPr>
              <w:t>No increase in the maximum quantity or number of units may be authorised.</w:t>
            </w:r>
          </w:p>
          <w:p w:rsidR="00B30AB8" w:rsidRPr="00F10C3A" w:rsidRDefault="00B30AB8" w:rsidP="00CB0691">
            <w:pPr>
              <w:rPr>
                <w:rFonts w:ascii="Arial Narrow" w:hAnsi="Arial Narrow"/>
                <w:strike/>
                <w:sz w:val="20"/>
              </w:rPr>
            </w:pPr>
            <w:r w:rsidRPr="00F10C3A">
              <w:rPr>
                <w:rFonts w:ascii="Arial Narrow" w:hAnsi="Arial Narrow"/>
                <w:sz w:val="20"/>
              </w:rPr>
              <w:t>No increase in the maximum number of repeats may be authorised.</w:t>
            </w:r>
          </w:p>
        </w:tc>
      </w:tr>
    </w:tbl>
    <w:p w:rsidR="00B30AB8" w:rsidRPr="00F10C3A" w:rsidRDefault="00B30AB8" w:rsidP="00B30AB8">
      <w:pPr>
        <w:pStyle w:val="PBACHeading1"/>
        <w:numPr>
          <w:ilvl w:val="0"/>
          <w:numId w:val="0"/>
        </w:numPr>
        <w:ind w:left="720"/>
        <w:rPr>
          <w:lang w:val="en-GB"/>
        </w:rPr>
      </w:pPr>
    </w:p>
    <w:tbl>
      <w:tblPr>
        <w:tblW w:w="4907" w:type="pct"/>
        <w:tblInd w:w="109" w:type="dxa"/>
        <w:tblLook w:val="0000" w:firstRow="0" w:lastRow="0" w:firstColumn="0" w:lastColumn="0" w:noHBand="0" w:noVBand="0"/>
      </w:tblPr>
      <w:tblGrid>
        <w:gridCol w:w="2952"/>
        <w:gridCol w:w="445"/>
        <w:gridCol w:w="591"/>
        <w:gridCol w:w="883"/>
        <w:gridCol w:w="1366"/>
        <w:gridCol w:w="1558"/>
        <w:gridCol w:w="1275"/>
      </w:tblGrid>
      <w:tr w:rsidR="00B30AB8" w:rsidRPr="00F10C3A" w:rsidTr="0056179A">
        <w:trPr>
          <w:cantSplit/>
          <w:trHeight w:val="471"/>
        </w:trPr>
        <w:tc>
          <w:tcPr>
            <w:tcW w:w="1872" w:type="pct"/>
            <w:gridSpan w:val="2"/>
            <w:tcBorders>
              <w:bottom w:val="single" w:sz="4" w:space="0" w:color="auto"/>
            </w:tcBorders>
          </w:tcPr>
          <w:p w:rsidR="00B30AB8" w:rsidRPr="00F10C3A" w:rsidRDefault="00B30AB8" w:rsidP="00CB0691">
            <w:pPr>
              <w:keepNext/>
              <w:ind w:left="-108"/>
              <w:rPr>
                <w:rFonts w:ascii="Arial Narrow" w:hAnsi="Arial Narrow"/>
                <w:sz w:val="20"/>
              </w:rPr>
            </w:pPr>
            <w:r w:rsidRPr="00F10C3A">
              <w:rPr>
                <w:rFonts w:ascii="Arial Narrow" w:hAnsi="Arial Narrow"/>
                <w:sz w:val="20"/>
              </w:rPr>
              <w:t>Name, Restriction,</w:t>
            </w:r>
          </w:p>
          <w:p w:rsidR="00B30AB8" w:rsidRPr="00F10C3A" w:rsidRDefault="00B30AB8" w:rsidP="00CB0691">
            <w:pPr>
              <w:keepNext/>
              <w:ind w:left="-108"/>
              <w:rPr>
                <w:rFonts w:ascii="Arial Narrow" w:hAnsi="Arial Narrow"/>
                <w:sz w:val="20"/>
              </w:rPr>
            </w:pPr>
            <w:r w:rsidRPr="00F10C3A">
              <w:rPr>
                <w:rFonts w:ascii="Arial Narrow" w:hAnsi="Arial Narrow"/>
                <w:sz w:val="20"/>
              </w:rPr>
              <w:t>Manner of administration and form</w:t>
            </w:r>
          </w:p>
        </w:tc>
        <w:tc>
          <w:tcPr>
            <w:tcW w:w="326" w:type="pct"/>
            <w:tcBorders>
              <w:bottom w:val="single" w:sz="4" w:space="0" w:color="auto"/>
            </w:tcBorders>
          </w:tcPr>
          <w:p w:rsidR="00B30AB8" w:rsidRPr="00F10C3A" w:rsidRDefault="00B30AB8" w:rsidP="00CB0691">
            <w:pPr>
              <w:keepNext/>
              <w:ind w:left="-108"/>
              <w:rPr>
                <w:rFonts w:ascii="Arial Narrow" w:hAnsi="Arial Narrow"/>
                <w:sz w:val="20"/>
              </w:rPr>
            </w:pPr>
            <w:r w:rsidRPr="00F10C3A">
              <w:rPr>
                <w:rFonts w:ascii="Arial Narrow" w:hAnsi="Arial Narrow"/>
                <w:sz w:val="20"/>
              </w:rPr>
              <w:t>Max.</w:t>
            </w:r>
          </w:p>
          <w:p w:rsidR="00B30AB8" w:rsidRPr="00F10C3A" w:rsidRDefault="00B30AB8" w:rsidP="00CB0691">
            <w:pPr>
              <w:keepNext/>
              <w:ind w:left="-108"/>
              <w:rPr>
                <w:rFonts w:ascii="Arial Narrow" w:hAnsi="Arial Narrow"/>
                <w:sz w:val="20"/>
              </w:rPr>
            </w:pPr>
            <w:proofErr w:type="spellStart"/>
            <w:r w:rsidRPr="00F10C3A">
              <w:rPr>
                <w:rFonts w:ascii="Arial Narrow" w:hAnsi="Arial Narrow"/>
                <w:sz w:val="20"/>
              </w:rPr>
              <w:t>Qty</w:t>
            </w:r>
            <w:proofErr w:type="spellEnd"/>
          </w:p>
        </w:tc>
        <w:tc>
          <w:tcPr>
            <w:tcW w:w="487" w:type="pct"/>
            <w:tcBorders>
              <w:bottom w:val="single" w:sz="4" w:space="0" w:color="auto"/>
            </w:tcBorders>
          </w:tcPr>
          <w:p w:rsidR="00B30AB8" w:rsidRPr="00F10C3A" w:rsidRDefault="00B30AB8" w:rsidP="00CB0691">
            <w:pPr>
              <w:keepNext/>
              <w:ind w:left="-108"/>
              <w:rPr>
                <w:rFonts w:ascii="Arial Narrow" w:hAnsi="Arial Narrow"/>
                <w:sz w:val="20"/>
              </w:rPr>
            </w:pPr>
            <w:r w:rsidRPr="00F10C3A">
              <w:rPr>
                <w:rFonts w:ascii="Arial Narrow" w:hAnsi="Arial Narrow"/>
                <w:sz w:val="20"/>
              </w:rPr>
              <w:t>№.of</w:t>
            </w:r>
          </w:p>
          <w:p w:rsidR="00B30AB8" w:rsidRPr="00F10C3A" w:rsidRDefault="00B30AB8" w:rsidP="00CB0691">
            <w:pPr>
              <w:keepNext/>
              <w:ind w:left="-108"/>
              <w:rPr>
                <w:rFonts w:ascii="Arial Narrow" w:hAnsi="Arial Narrow"/>
                <w:sz w:val="20"/>
              </w:rPr>
            </w:pPr>
            <w:proofErr w:type="spellStart"/>
            <w:r w:rsidRPr="00F10C3A">
              <w:rPr>
                <w:rFonts w:ascii="Arial Narrow" w:hAnsi="Arial Narrow"/>
                <w:sz w:val="20"/>
              </w:rPr>
              <w:t>Rpts</w:t>
            </w:r>
            <w:proofErr w:type="spellEnd"/>
          </w:p>
        </w:tc>
        <w:tc>
          <w:tcPr>
            <w:tcW w:w="753" w:type="pct"/>
            <w:tcBorders>
              <w:bottom w:val="single" w:sz="4" w:space="0" w:color="auto"/>
            </w:tcBorders>
          </w:tcPr>
          <w:p w:rsidR="00B30AB8" w:rsidRPr="00F10C3A" w:rsidRDefault="00B30AB8" w:rsidP="00CB0691">
            <w:pPr>
              <w:keepNext/>
              <w:ind w:left="-108"/>
              <w:rPr>
                <w:rFonts w:ascii="Arial Narrow" w:hAnsi="Arial Narrow"/>
                <w:sz w:val="20"/>
              </w:rPr>
            </w:pPr>
            <w:r w:rsidRPr="00F10C3A">
              <w:rPr>
                <w:rFonts w:ascii="Arial Narrow" w:hAnsi="Arial Narrow"/>
                <w:sz w:val="20"/>
              </w:rPr>
              <w:t xml:space="preserve">Dispensed Price for Max. </w:t>
            </w:r>
            <w:proofErr w:type="spellStart"/>
            <w:r w:rsidRPr="00F10C3A">
              <w:rPr>
                <w:rFonts w:ascii="Arial Narrow" w:hAnsi="Arial Narrow"/>
                <w:sz w:val="20"/>
              </w:rPr>
              <w:t>Qty</w:t>
            </w:r>
            <w:proofErr w:type="spellEnd"/>
          </w:p>
        </w:tc>
        <w:tc>
          <w:tcPr>
            <w:tcW w:w="1563" w:type="pct"/>
            <w:gridSpan w:val="2"/>
            <w:tcBorders>
              <w:bottom w:val="single" w:sz="4" w:space="0" w:color="auto"/>
            </w:tcBorders>
          </w:tcPr>
          <w:p w:rsidR="00B30AB8" w:rsidRPr="00F10C3A" w:rsidRDefault="00B30AB8" w:rsidP="00CB0691">
            <w:pPr>
              <w:keepNext/>
              <w:rPr>
                <w:rFonts w:ascii="Arial Narrow" w:hAnsi="Arial Narrow"/>
                <w:sz w:val="20"/>
                <w:lang w:val="fr-FR"/>
              </w:rPr>
            </w:pPr>
            <w:r w:rsidRPr="00F10C3A">
              <w:rPr>
                <w:rFonts w:ascii="Arial Narrow" w:hAnsi="Arial Narrow"/>
                <w:sz w:val="20"/>
              </w:rPr>
              <w:t>Proprietary Name and Manufacturer</w:t>
            </w:r>
          </w:p>
        </w:tc>
      </w:tr>
      <w:tr w:rsidR="0056179A" w:rsidRPr="00F10C3A" w:rsidTr="0056179A">
        <w:trPr>
          <w:cantSplit/>
          <w:trHeight w:val="577"/>
        </w:trPr>
        <w:tc>
          <w:tcPr>
            <w:tcW w:w="1872" w:type="pct"/>
            <w:gridSpan w:val="2"/>
          </w:tcPr>
          <w:p w:rsidR="0056179A" w:rsidRPr="00F10C3A" w:rsidRDefault="0056179A" w:rsidP="00A02B33">
            <w:pPr>
              <w:jc w:val="left"/>
              <w:rPr>
                <w:rFonts w:ascii="Arial Narrow" w:hAnsi="Arial Narrow"/>
                <w:sz w:val="20"/>
              </w:rPr>
            </w:pPr>
            <w:r w:rsidRPr="00F10C3A">
              <w:rPr>
                <w:rFonts w:ascii="Arial Narrow" w:hAnsi="Arial Narrow"/>
                <w:sz w:val="20"/>
              </w:rPr>
              <w:t>NICOTINE</w:t>
            </w:r>
          </w:p>
          <w:p w:rsidR="0056179A" w:rsidRPr="00F10C3A" w:rsidRDefault="0056179A" w:rsidP="00A02B33">
            <w:pPr>
              <w:jc w:val="left"/>
              <w:rPr>
                <w:rFonts w:ascii="Arial Narrow" w:hAnsi="Arial Narrow"/>
                <w:sz w:val="20"/>
              </w:rPr>
            </w:pPr>
            <w:r w:rsidRPr="00F10C3A">
              <w:rPr>
                <w:rFonts w:ascii="Arial Narrow" w:hAnsi="Arial Narrow"/>
                <w:sz w:val="20"/>
              </w:rPr>
              <w:t>Gum 2mg, 216</w:t>
            </w:r>
          </w:p>
          <w:p w:rsidR="0056179A" w:rsidRPr="00F10C3A" w:rsidRDefault="0056179A" w:rsidP="00A02B33">
            <w:pPr>
              <w:jc w:val="left"/>
              <w:rPr>
                <w:rFonts w:ascii="Arial Narrow" w:hAnsi="Arial Narrow"/>
                <w:sz w:val="20"/>
              </w:rPr>
            </w:pPr>
            <w:r w:rsidRPr="00F10C3A">
              <w:rPr>
                <w:rFonts w:ascii="Arial Narrow" w:hAnsi="Arial Narrow"/>
                <w:sz w:val="20"/>
              </w:rPr>
              <w:t>Gum 4 mg, 216</w:t>
            </w:r>
          </w:p>
          <w:p w:rsidR="0056179A" w:rsidRPr="00F10C3A" w:rsidRDefault="0056179A" w:rsidP="00A02B33">
            <w:pPr>
              <w:jc w:val="left"/>
              <w:rPr>
                <w:rFonts w:ascii="Arial Narrow" w:hAnsi="Arial Narrow"/>
                <w:sz w:val="20"/>
              </w:rPr>
            </w:pPr>
            <w:r w:rsidRPr="00F10C3A">
              <w:rPr>
                <w:rFonts w:ascii="Arial Narrow" w:hAnsi="Arial Narrow"/>
                <w:sz w:val="20"/>
              </w:rPr>
              <w:t>Lozenge 2 mg, 216</w:t>
            </w:r>
          </w:p>
          <w:p w:rsidR="0056179A" w:rsidRPr="00F10C3A" w:rsidRDefault="0056179A" w:rsidP="00CB0691">
            <w:pPr>
              <w:keepNext/>
              <w:ind w:left="-108"/>
              <w:rPr>
                <w:rFonts w:ascii="Arial Narrow" w:hAnsi="Arial Narrow"/>
                <w:sz w:val="20"/>
              </w:rPr>
            </w:pPr>
            <w:r w:rsidRPr="00F10C3A">
              <w:rPr>
                <w:rFonts w:ascii="Arial Narrow" w:hAnsi="Arial Narrow"/>
                <w:sz w:val="20"/>
              </w:rPr>
              <w:t xml:space="preserve">  Lozenge 4 mg, 216</w:t>
            </w:r>
          </w:p>
        </w:tc>
        <w:tc>
          <w:tcPr>
            <w:tcW w:w="326" w:type="pct"/>
          </w:tcPr>
          <w:p w:rsidR="0056179A" w:rsidRPr="00F10C3A" w:rsidRDefault="0056179A" w:rsidP="00A02B33">
            <w:pPr>
              <w:keepNext/>
              <w:ind w:left="-108"/>
              <w:jc w:val="center"/>
              <w:rPr>
                <w:rFonts w:ascii="Arial Narrow" w:hAnsi="Arial Narrow"/>
                <w:sz w:val="20"/>
              </w:rPr>
            </w:pP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1</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1</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1</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1</w:t>
            </w:r>
          </w:p>
          <w:p w:rsidR="0056179A" w:rsidRPr="00F10C3A" w:rsidRDefault="0056179A" w:rsidP="00CB0691">
            <w:pPr>
              <w:keepNext/>
              <w:ind w:left="-108"/>
              <w:rPr>
                <w:rFonts w:ascii="Arial Narrow" w:hAnsi="Arial Narrow"/>
                <w:sz w:val="20"/>
              </w:rPr>
            </w:pPr>
          </w:p>
        </w:tc>
        <w:tc>
          <w:tcPr>
            <w:tcW w:w="487" w:type="pct"/>
          </w:tcPr>
          <w:p w:rsidR="0056179A" w:rsidRPr="00F10C3A" w:rsidRDefault="0056179A" w:rsidP="00A02B33">
            <w:pPr>
              <w:keepNext/>
              <w:ind w:left="-108"/>
              <w:jc w:val="center"/>
              <w:rPr>
                <w:rFonts w:ascii="Arial Narrow" w:hAnsi="Arial Narrow"/>
                <w:sz w:val="20"/>
              </w:rPr>
            </w:pP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2</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2</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2</w:t>
            </w:r>
          </w:p>
          <w:p w:rsidR="0056179A" w:rsidRPr="00F10C3A" w:rsidRDefault="0056179A" w:rsidP="00A02B33">
            <w:pPr>
              <w:keepNext/>
              <w:ind w:left="-108"/>
              <w:jc w:val="center"/>
              <w:rPr>
                <w:rFonts w:ascii="Arial Narrow" w:hAnsi="Arial Narrow"/>
                <w:sz w:val="20"/>
              </w:rPr>
            </w:pPr>
            <w:r w:rsidRPr="00F10C3A">
              <w:rPr>
                <w:rFonts w:ascii="Arial Narrow" w:hAnsi="Arial Narrow"/>
                <w:sz w:val="20"/>
              </w:rPr>
              <w:t>2</w:t>
            </w:r>
          </w:p>
          <w:p w:rsidR="0056179A" w:rsidRPr="00F10C3A" w:rsidRDefault="0056179A" w:rsidP="00CB0691">
            <w:pPr>
              <w:keepNext/>
              <w:ind w:left="-108"/>
              <w:rPr>
                <w:rFonts w:ascii="Arial Narrow" w:hAnsi="Arial Narrow"/>
                <w:sz w:val="20"/>
              </w:rPr>
            </w:pPr>
          </w:p>
        </w:tc>
        <w:tc>
          <w:tcPr>
            <w:tcW w:w="753" w:type="pct"/>
          </w:tcPr>
          <w:p w:rsidR="0056179A" w:rsidRPr="00F10C3A" w:rsidRDefault="0056179A" w:rsidP="00A02B33">
            <w:pPr>
              <w:keepNext/>
              <w:jc w:val="center"/>
              <w:rPr>
                <w:rFonts w:ascii="Arial Narrow" w:hAnsi="Arial Narrow"/>
                <w:sz w:val="20"/>
              </w:rPr>
            </w:pPr>
          </w:p>
          <w:p w:rsidR="0056179A" w:rsidRPr="00F10C3A" w:rsidRDefault="0056179A" w:rsidP="00A02B33">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56179A" w:rsidRPr="00717560" w:rsidRDefault="0056179A" w:rsidP="00A02B33">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56179A" w:rsidRPr="00F10C3A" w:rsidRDefault="0056179A" w:rsidP="00A02B33">
            <w:pPr>
              <w:keepNext/>
              <w:jc w:val="center"/>
              <w:rPr>
                <w:rFonts w:ascii="Arial Narrow" w:hAnsi="Arial Narrow"/>
                <w:sz w:val="20"/>
              </w:rPr>
            </w:pPr>
            <w:r w:rsidRPr="00F10C3A">
              <w:rPr>
                <w:rFonts w:ascii="Arial Narrow" w:hAnsi="Arial Narrow"/>
                <w:sz w:val="20"/>
              </w:rPr>
              <w:t>$</w:t>
            </w:r>
            <w:r w:rsidRPr="00717560">
              <w:rPr>
                <w:rFonts w:ascii="Arial Narrow" w:hAnsi="Arial Narrow"/>
                <w:sz w:val="20"/>
              </w:rPr>
              <w:t>52.64</w:t>
            </w:r>
          </w:p>
          <w:p w:rsidR="0056179A" w:rsidRPr="00F10C3A" w:rsidRDefault="0056179A" w:rsidP="00CB0691">
            <w:pPr>
              <w:keepNext/>
              <w:ind w:left="-108"/>
              <w:rPr>
                <w:rFonts w:ascii="Arial Narrow" w:hAnsi="Arial Narrow"/>
                <w:sz w:val="20"/>
              </w:rPr>
            </w:pPr>
            <w:r w:rsidRPr="00F10C3A">
              <w:rPr>
                <w:rFonts w:ascii="Arial Narrow" w:hAnsi="Arial Narrow"/>
                <w:sz w:val="20"/>
              </w:rPr>
              <w:t xml:space="preserve">         $</w:t>
            </w:r>
            <w:r w:rsidRPr="00717560">
              <w:rPr>
                <w:rFonts w:ascii="Arial Narrow" w:hAnsi="Arial Narrow"/>
                <w:sz w:val="20"/>
              </w:rPr>
              <w:t>52.64</w:t>
            </w:r>
          </w:p>
        </w:tc>
        <w:tc>
          <w:tcPr>
            <w:tcW w:w="859" w:type="pct"/>
          </w:tcPr>
          <w:p w:rsidR="0056179A" w:rsidRPr="00F10C3A" w:rsidRDefault="0056179A" w:rsidP="0056179A">
            <w:pPr>
              <w:keepNext/>
              <w:jc w:val="center"/>
              <w:rPr>
                <w:rFonts w:ascii="Arial Narrow" w:hAnsi="Arial Narrow"/>
                <w:sz w:val="20"/>
              </w:rPr>
            </w:pPr>
          </w:p>
          <w:p w:rsidR="0056179A" w:rsidRPr="00F10C3A" w:rsidRDefault="0056179A" w:rsidP="0056179A">
            <w:pPr>
              <w:keepNext/>
              <w:jc w:val="center"/>
              <w:rPr>
                <w:rFonts w:ascii="Arial Narrow" w:hAnsi="Arial Narrow"/>
                <w:sz w:val="20"/>
              </w:rPr>
            </w:pPr>
          </w:p>
          <w:p w:rsidR="0056179A" w:rsidRPr="00F10C3A" w:rsidRDefault="0056179A" w:rsidP="0056179A">
            <w:pPr>
              <w:keepNext/>
              <w:jc w:val="center"/>
              <w:rPr>
                <w:rFonts w:ascii="Arial Narrow" w:hAnsi="Arial Narrow"/>
                <w:sz w:val="20"/>
              </w:rPr>
            </w:pPr>
            <w:proofErr w:type="spellStart"/>
            <w:r w:rsidRPr="00F10C3A">
              <w:rPr>
                <w:rFonts w:ascii="Arial Narrow" w:hAnsi="Arial Narrow"/>
                <w:sz w:val="20"/>
              </w:rPr>
              <w:t>Nicotinell</w:t>
            </w:r>
            <w:proofErr w:type="spellEnd"/>
            <w:r w:rsidRPr="00F10C3A">
              <w:rPr>
                <w:rFonts w:ascii="Arial Narrow" w:hAnsi="Arial Narrow"/>
                <w:sz w:val="20"/>
                <w:vertAlign w:val="superscript"/>
              </w:rPr>
              <w:t>®</w:t>
            </w:r>
          </w:p>
        </w:tc>
        <w:tc>
          <w:tcPr>
            <w:tcW w:w="704" w:type="pct"/>
          </w:tcPr>
          <w:p w:rsidR="0056179A" w:rsidRPr="00F10C3A" w:rsidRDefault="0056179A" w:rsidP="0056179A">
            <w:pPr>
              <w:keepNext/>
              <w:jc w:val="center"/>
              <w:rPr>
                <w:rFonts w:ascii="Arial Narrow" w:hAnsi="Arial Narrow"/>
                <w:sz w:val="20"/>
              </w:rPr>
            </w:pPr>
          </w:p>
          <w:p w:rsidR="0056179A" w:rsidRPr="00F10C3A" w:rsidRDefault="0056179A" w:rsidP="0056179A">
            <w:pPr>
              <w:keepNext/>
              <w:jc w:val="center"/>
              <w:rPr>
                <w:rFonts w:ascii="Arial Narrow" w:hAnsi="Arial Narrow"/>
                <w:sz w:val="20"/>
              </w:rPr>
            </w:pPr>
          </w:p>
          <w:p w:rsidR="0056179A" w:rsidRPr="00F10C3A" w:rsidRDefault="0056179A" w:rsidP="0056179A">
            <w:pPr>
              <w:keepNext/>
              <w:jc w:val="center"/>
              <w:rPr>
                <w:rFonts w:ascii="Arial Narrow" w:hAnsi="Arial Narrow"/>
                <w:sz w:val="20"/>
              </w:rPr>
            </w:pPr>
            <w:r w:rsidRPr="00F10C3A">
              <w:rPr>
                <w:rFonts w:ascii="Arial Narrow" w:hAnsi="Arial Narrow"/>
                <w:sz w:val="20"/>
              </w:rPr>
              <w:t>Orion Laboratories Pty Ltd</w:t>
            </w:r>
          </w:p>
        </w:tc>
      </w:tr>
      <w:tr w:rsidR="00B30AB8" w:rsidRPr="00F10C3A" w:rsidTr="00B30AB8">
        <w:trPr>
          <w:cantSplit/>
          <w:trHeight w:val="360"/>
        </w:trPr>
        <w:tc>
          <w:tcPr>
            <w:tcW w:w="5000" w:type="pct"/>
            <w:gridSpan w:val="7"/>
            <w:tcBorders>
              <w:bottom w:val="single" w:sz="4" w:space="0" w:color="auto"/>
            </w:tcBorders>
          </w:tcPr>
          <w:p w:rsidR="00B30AB8" w:rsidRPr="00F10C3A" w:rsidRDefault="00B30AB8" w:rsidP="00CB0691">
            <w:pPr>
              <w:rPr>
                <w:rFonts w:ascii="Arial Narrow" w:hAnsi="Arial Narrow"/>
                <w:sz w:val="20"/>
              </w:rPr>
            </w:pP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 xml:space="preserve">Category / </w:t>
            </w:r>
          </w:p>
          <w:p w:rsidR="00B30AB8" w:rsidRPr="00F10C3A" w:rsidRDefault="00B30AB8" w:rsidP="00CB0691">
            <w:pPr>
              <w:rPr>
                <w:rFonts w:ascii="Arial Narrow" w:hAnsi="Arial Narrow"/>
                <w:b/>
                <w:sz w:val="20"/>
              </w:rPr>
            </w:pPr>
            <w:r w:rsidRPr="00F10C3A">
              <w:rPr>
                <w:rFonts w:ascii="Arial Narrow" w:hAnsi="Arial Narrow"/>
                <w:b/>
                <w:sz w:val="20"/>
              </w:rPr>
              <w:t>Program</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GENERAL – General Schedule (Code GE)</w:t>
            </w:r>
          </w:p>
          <w:p w:rsidR="00B30AB8" w:rsidRPr="00F10C3A" w:rsidRDefault="00B30AB8" w:rsidP="00CB0691">
            <w:pPr>
              <w:rPr>
                <w:rFonts w:ascii="Arial Narrow" w:hAnsi="Arial Narrow"/>
                <w:sz w:val="20"/>
              </w:rPr>
            </w:pP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Prescriber type:</w:t>
            </w:r>
          </w:p>
          <w:p w:rsidR="00B30AB8" w:rsidRPr="00F10C3A" w:rsidRDefault="00B30AB8" w:rsidP="00CB0691">
            <w:pPr>
              <w:rPr>
                <w:rFonts w:ascii="Arial Narrow" w:hAnsi="Arial Narrow"/>
                <w:b/>
                <w:sz w:val="20"/>
              </w:rPr>
            </w:pP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1"/>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Dental  </w:t>
            </w:r>
            <w:r w:rsidRPr="00F10C3A">
              <w:rPr>
                <w:rFonts w:ascii="Arial Narrow" w:hAnsi="Arial Narrow"/>
                <w:sz w:val="20"/>
              </w:rPr>
              <w:fldChar w:fldCharType="begin">
                <w:ffData>
                  <w:name w:val=""/>
                  <w:enabled/>
                  <w:calcOnExit w:val="0"/>
                  <w:checkBox>
                    <w:sizeAuto/>
                    <w:default w:val="1"/>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Medical Practitioners  </w:t>
            </w:r>
            <w:r w:rsidRPr="00F10C3A">
              <w:rPr>
                <w:rFonts w:ascii="Arial Narrow" w:hAnsi="Arial Narrow"/>
                <w:sz w:val="20"/>
              </w:rPr>
              <w:fldChar w:fldCharType="begin">
                <w:ffData>
                  <w:name w:val="Check3"/>
                  <w:enabled/>
                  <w:calcOnExit w:val="0"/>
                  <w:checkBox>
                    <w:sizeAuto/>
                    <w:default w:val="1"/>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 xml:space="preserve">Nurse practitioners  </w:t>
            </w: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Optometrists</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Midwives</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Condition:</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Nicotine dependence</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B30AB8">
            <w:pPr>
              <w:rPr>
                <w:rFonts w:ascii="Arial Narrow" w:hAnsi="Arial Narrow"/>
                <w:sz w:val="20"/>
              </w:rPr>
            </w:pPr>
            <w:r w:rsidRPr="00F10C3A">
              <w:rPr>
                <w:rFonts w:ascii="Arial Narrow" w:hAnsi="Arial Narrow"/>
                <w:b/>
                <w:sz w:val="20"/>
              </w:rPr>
              <w:lastRenderedPageBreak/>
              <w:t>PBS Indication:</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Nicotine dependence</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Restriction Level / Method:</w:t>
            </w:r>
          </w:p>
          <w:p w:rsidR="00B30AB8" w:rsidRPr="00F10C3A" w:rsidRDefault="00B30AB8" w:rsidP="00CB0691">
            <w:pPr>
              <w:rPr>
                <w:rFonts w:ascii="Arial Narrow" w:hAnsi="Arial Narrow"/>
                <w:sz w:val="20"/>
                <w:highlight w:val="yellow"/>
              </w:rPr>
            </w:pPr>
          </w:p>
          <w:p w:rsidR="00B30AB8" w:rsidRPr="00F10C3A" w:rsidRDefault="00B30AB8" w:rsidP="00CB0691">
            <w:pPr>
              <w:rPr>
                <w:rFonts w:ascii="Arial Narrow" w:hAnsi="Arial Narrow"/>
                <w:sz w:val="20"/>
              </w:rPr>
            </w:pPr>
          </w:p>
          <w:p w:rsidR="00B30AB8" w:rsidRPr="00F10C3A" w:rsidRDefault="00B30AB8" w:rsidP="00CB0691">
            <w:pPr>
              <w:rPr>
                <w:rFonts w:ascii="Arial Narrow" w:hAnsi="Arial Narrow"/>
                <w:sz w:val="20"/>
              </w:rPr>
            </w:pP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1"/>
                  <w:enabled/>
                  <w:calcOnExit w:val="0"/>
                  <w:checkBox>
                    <w:sizeAuto/>
                    <w:default w:val="1"/>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Restricted benefit</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In Writing</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3"/>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Telephone</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Emergency</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Authority Required - Electronic</w:t>
            </w:r>
          </w:p>
          <w:p w:rsidR="00B30AB8" w:rsidRPr="00F10C3A" w:rsidRDefault="00B30AB8" w:rsidP="00CB0691">
            <w:pPr>
              <w:rPr>
                <w:rFonts w:ascii="Arial Narrow" w:hAnsi="Arial Narrow"/>
                <w:sz w:val="20"/>
              </w:rPr>
            </w:pPr>
            <w:r w:rsidRPr="00F10C3A">
              <w:rPr>
                <w:rFonts w:ascii="Arial Narrow" w:hAnsi="Arial Narrow"/>
                <w:sz w:val="20"/>
              </w:rPr>
              <w:fldChar w:fldCharType="begin">
                <w:ffData>
                  <w:name w:val="Check5"/>
                  <w:enabled/>
                  <w:calcOnExit w:val="0"/>
                  <w:checkBox>
                    <w:sizeAuto/>
                    <w:default w:val="0"/>
                  </w:checkBox>
                </w:ffData>
              </w:fldChar>
            </w:r>
            <w:r w:rsidRPr="00F10C3A">
              <w:rPr>
                <w:rFonts w:ascii="Arial Narrow" w:hAnsi="Arial Narrow"/>
                <w:sz w:val="20"/>
              </w:rPr>
              <w:instrText xml:space="preserve"> FORMCHECKBOX </w:instrText>
            </w:r>
            <w:r w:rsidR="00A45611">
              <w:rPr>
                <w:rFonts w:ascii="Arial Narrow" w:hAnsi="Arial Narrow"/>
                <w:sz w:val="20"/>
              </w:rPr>
            </w:r>
            <w:r w:rsidR="00A45611">
              <w:rPr>
                <w:rFonts w:ascii="Arial Narrow" w:hAnsi="Arial Narrow"/>
                <w:sz w:val="20"/>
              </w:rPr>
              <w:fldChar w:fldCharType="separate"/>
            </w:r>
            <w:r w:rsidRPr="00F10C3A">
              <w:rPr>
                <w:rFonts w:ascii="Arial Narrow" w:hAnsi="Arial Narrow"/>
                <w:sz w:val="20"/>
              </w:rPr>
              <w:fldChar w:fldCharType="end"/>
            </w:r>
            <w:r w:rsidRPr="00F10C3A">
              <w:rPr>
                <w:rFonts w:ascii="Arial Narrow" w:hAnsi="Arial Narrow"/>
                <w:sz w:val="20"/>
              </w:rPr>
              <w:t>Streamlined</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b/>
                <w:sz w:val="20"/>
              </w:rPr>
              <w:t>Clinical criteria:</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The treatment must be the sole PBS-subsidised therapy for this condition.</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3E4908">
            <w:pPr>
              <w:rPr>
                <w:rFonts w:ascii="Arial Narrow" w:hAnsi="Arial Narrow"/>
                <w:sz w:val="20"/>
              </w:rPr>
            </w:pPr>
            <w:r w:rsidRPr="00F10C3A">
              <w:rPr>
                <w:rFonts w:ascii="Arial Narrow" w:hAnsi="Arial Narrow"/>
                <w:b/>
                <w:sz w:val="20"/>
              </w:rPr>
              <w:t>Population criteria:</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Patient must be an Aboriginal or a Torres Strait Islander person</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Note:</w:t>
            </w: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Only 2 courses of PBS-subsidised nicotine replacement therapy may be prescribed per 12-month period.</w:t>
            </w:r>
          </w:p>
          <w:p w:rsidR="00B30AB8" w:rsidRPr="00F10C3A" w:rsidRDefault="00B30AB8" w:rsidP="00CB0691">
            <w:pPr>
              <w:rPr>
                <w:rFonts w:ascii="Arial Narrow" w:hAnsi="Arial Narrow"/>
                <w:sz w:val="20"/>
              </w:rPr>
            </w:pPr>
            <w:r w:rsidRPr="00F10C3A">
              <w:rPr>
                <w:rFonts w:ascii="Arial Narrow" w:hAnsi="Arial Narrow"/>
                <w:sz w:val="20"/>
              </w:rPr>
              <w:t>Benefit is improved if used in conjunction with a comprehensive support and counselling program.</w:t>
            </w:r>
          </w:p>
        </w:tc>
      </w:tr>
      <w:tr w:rsidR="00B30AB8" w:rsidRPr="00F10C3A" w:rsidTr="00B30AB8">
        <w:trPr>
          <w:cantSplit/>
          <w:trHeight w:val="360"/>
        </w:trPr>
        <w:tc>
          <w:tcPr>
            <w:tcW w:w="1627" w:type="pct"/>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b/>
                <w:sz w:val="20"/>
              </w:rPr>
            </w:pPr>
            <w:r w:rsidRPr="00F10C3A">
              <w:rPr>
                <w:rFonts w:ascii="Arial Narrow" w:hAnsi="Arial Narrow"/>
                <w:b/>
                <w:sz w:val="20"/>
              </w:rPr>
              <w:t>Administrative Advice:</w:t>
            </w:r>
          </w:p>
          <w:p w:rsidR="00B30AB8" w:rsidRPr="00F10C3A" w:rsidRDefault="00B30AB8" w:rsidP="00CB0691">
            <w:pPr>
              <w:rPr>
                <w:rFonts w:ascii="Arial Narrow" w:hAnsi="Arial Narrow"/>
                <w:sz w:val="20"/>
              </w:rPr>
            </w:pPr>
          </w:p>
        </w:tc>
        <w:tc>
          <w:tcPr>
            <w:tcW w:w="3373" w:type="pct"/>
            <w:gridSpan w:val="6"/>
            <w:tcBorders>
              <w:top w:val="single" w:sz="4" w:space="0" w:color="auto"/>
              <w:left w:val="single" w:sz="4" w:space="0" w:color="auto"/>
              <w:bottom w:val="single" w:sz="4" w:space="0" w:color="auto"/>
              <w:right w:val="single" w:sz="4" w:space="0" w:color="auto"/>
            </w:tcBorders>
          </w:tcPr>
          <w:p w:rsidR="00B30AB8" w:rsidRPr="00F10C3A" w:rsidRDefault="00B30AB8" w:rsidP="00CB0691">
            <w:pPr>
              <w:rPr>
                <w:rFonts w:ascii="Arial Narrow" w:hAnsi="Arial Narrow"/>
                <w:sz w:val="20"/>
              </w:rPr>
            </w:pPr>
            <w:r w:rsidRPr="00F10C3A">
              <w:rPr>
                <w:rFonts w:ascii="Arial Narrow" w:hAnsi="Arial Narrow"/>
                <w:sz w:val="20"/>
              </w:rPr>
              <w:t>No increase in the maximum quantity or number of units may be authorised.</w:t>
            </w:r>
          </w:p>
          <w:p w:rsidR="00B30AB8" w:rsidRPr="00F10C3A" w:rsidRDefault="00B30AB8" w:rsidP="00CB0691">
            <w:pPr>
              <w:rPr>
                <w:rFonts w:ascii="Arial Narrow" w:hAnsi="Arial Narrow"/>
                <w:sz w:val="20"/>
              </w:rPr>
            </w:pPr>
            <w:r w:rsidRPr="00F10C3A">
              <w:rPr>
                <w:rFonts w:ascii="Arial Narrow" w:hAnsi="Arial Narrow"/>
                <w:sz w:val="20"/>
              </w:rPr>
              <w:t>No increase in the maximum number of repeats may be authorised.</w:t>
            </w:r>
          </w:p>
        </w:tc>
      </w:tr>
    </w:tbl>
    <w:p w:rsidR="00B30AB8" w:rsidRPr="00F10C3A" w:rsidRDefault="00B30AB8" w:rsidP="00B30AB8">
      <w:pPr>
        <w:pStyle w:val="PBACHeading1"/>
        <w:numPr>
          <w:ilvl w:val="0"/>
          <w:numId w:val="0"/>
        </w:numPr>
        <w:ind w:left="720"/>
      </w:pPr>
    </w:p>
    <w:p w:rsidR="0045698A" w:rsidRPr="00F10C3A" w:rsidRDefault="00BA7B62"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presented a cost-minimisation </w:t>
      </w:r>
      <w:r w:rsidR="000E6BFF">
        <w:rPr>
          <w:rFonts w:ascii="Calibri" w:eastAsia="Calibri" w:hAnsi="Calibri"/>
          <w:snapToGrid/>
          <w:sz w:val="24"/>
          <w:szCs w:val="22"/>
        </w:rPr>
        <w:t xml:space="preserve">analysis </w:t>
      </w:r>
      <w:r w:rsidRPr="00F10C3A">
        <w:rPr>
          <w:rFonts w:ascii="Calibri" w:eastAsia="Calibri" w:hAnsi="Calibri"/>
          <w:snapToGrid/>
          <w:sz w:val="24"/>
          <w:szCs w:val="22"/>
        </w:rPr>
        <w:t xml:space="preserve">of nicotine gum </w:t>
      </w:r>
      <w:r w:rsidR="00F2364B" w:rsidRPr="00F10C3A">
        <w:rPr>
          <w:rFonts w:ascii="Calibri" w:eastAsia="Calibri" w:hAnsi="Calibri"/>
          <w:snapToGrid/>
          <w:sz w:val="24"/>
          <w:szCs w:val="22"/>
        </w:rPr>
        <w:t xml:space="preserve">and nicotine </w:t>
      </w:r>
      <w:r w:rsidRPr="00F10C3A">
        <w:rPr>
          <w:rFonts w:ascii="Calibri" w:eastAsia="Calibri" w:hAnsi="Calibri"/>
          <w:snapToGrid/>
          <w:sz w:val="24"/>
          <w:szCs w:val="22"/>
        </w:rPr>
        <w:t xml:space="preserve">lozenges </w:t>
      </w:r>
      <w:r w:rsidR="000E6BFF">
        <w:rPr>
          <w:rFonts w:ascii="Calibri" w:eastAsia="Calibri" w:hAnsi="Calibri"/>
          <w:snapToGrid/>
          <w:sz w:val="24"/>
          <w:szCs w:val="22"/>
        </w:rPr>
        <w:t xml:space="preserve">compared </w:t>
      </w:r>
      <w:r w:rsidRPr="00F10C3A">
        <w:rPr>
          <w:rFonts w:ascii="Calibri" w:eastAsia="Calibri" w:hAnsi="Calibri"/>
          <w:snapToGrid/>
          <w:sz w:val="24"/>
          <w:szCs w:val="22"/>
        </w:rPr>
        <w:t>with nicotine patches.</w:t>
      </w:r>
    </w:p>
    <w:p w:rsidR="000E2007" w:rsidRPr="00F10C3A" w:rsidRDefault="000E2007" w:rsidP="000E2007">
      <w:pPr>
        <w:pStyle w:val="PBACHeading1"/>
        <w:numPr>
          <w:ilvl w:val="0"/>
          <w:numId w:val="0"/>
        </w:numPr>
        <w:ind w:left="720" w:hanging="720"/>
        <w:rPr>
          <w:rFonts w:eastAsia="Calibri"/>
          <w:snapToGrid/>
        </w:rPr>
      </w:pPr>
    </w:p>
    <w:p w:rsidR="00324F9B" w:rsidRPr="00F10C3A" w:rsidRDefault="00324F9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The manner of administration, dosing and length of treatment for nicotine gum and lozenges is as follows:</w:t>
      </w:r>
    </w:p>
    <w:p w:rsidR="00BD1323" w:rsidRPr="00F10C3A" w:rsidRDefault="00BD1323" w:rsidP="000E2007">
      <w:pPr>
        <w:rPr>
          <w:rFonts w:asciiTheme="minorHAnsi" w:eastAsia="Calibri" w:hAnsiTheme="minorHAnsi"/>
          <w:snapToGrid/>
          <w:sz w:val="24"/>
          <w:szCs w:val="24"/>
          <w:u w:val="single"/>
        </w:rPr>
      </w:pPr>
    </w:p>
    <w:p w:rsidR="00BD1323" w:rsidRPr="00F10C3A" w:rsidRDefault="00BD1323" w:rsidP="009A0EEB">
      <w:pPr>
        <w:pStyle w:val="ListParagraph"/>
        <w:numPr>
          <w:ilvl w:val="0"/>
          <w:numId w:val="16"/>
        </w:numPr>
        <w:tabs>
          <w:tab w:val="left" w:pos="993"/>
        </w:tabs>
        <w:ind w:hanging="11"/>
        <w:rPr>
          <w:rFonts w:asciiTheme="minorHAnsi" w:eastAsia="Calibri" w:hAnsiTheme="minorHAnsi"/>
          <w:snapToGrid/>
          <w:sz w:val="24"/>
          <w:szCs w:val="24"/>
          <w:u w:val="single"/>
        </w:rPr>
      </w:pPr>
      <w:r w:rsidRPr="00F10C3A">
        <w:rPr>
          <w:rFonts w:asciiTheme="minorHAnsi" w:eastAsia="Calibri" w:hAnsiTheme="minorHAnsi"/>
          <w:snapToGrid/>
          <w:sz w:val="24"/>
          <w:szCs w:val="24"/>
          <w:u w:val="single"/>
        </w:rPr>
        <w:t>For nicotine lozenges:</w:t>
      </w:r>
    </w:p>
    <w:p w:rsidR="00391A8F" w:rsidRPr="00F10C3A" w:rsidRDefault="00391A8F" w:rsidP="00391A8F">
      <w:pPr>
        <w:widowControl/>
        <w:ind w:left="993"/>
        <w:rPr>
          <w:rFonts w:asciiTheme="minorHAnsi" w:eastAsia="Calibri" w:hAnsiTheme="minorHAnsi"/>
          <w:snapToGrid/>
          <w:sz w:val="24"/>
          <w:szCs w:val="24"/>
        </w:rPr>
      </w:pPr>
      <w:r w:rsidRPr="00F10C3A">
        <w:rPr>
          <w:rFonts w:asciiTheme="minorHAnsi" w:eastAsia="Calibri" w:hAnsiTheme="minorHAnsi"/>
          <w:snapToGrid/>
          <w:sz w:val="24"/>
          <w:szCs w:val="24"/>
        </w:rPr>
        <w:t xml:space="preserve">The proposed dosing schedule in the Product Information (PI) for nicotine lozenges is consistent with that in the trials reported in the submission, and consists of the use of one lozenge every 1-2 hours for the first 6 weeks, followed by one lozenge every 2-4 hours for weeks 7-9, and a lozenge every 4-8 hours for weeks 7-12. Further, the PI recommends a minimum of 9 lozenges for the first 6 weeks, with no more than 15 lozenges per day overall. If recommended for listing, the PBAC is therefore requested to consider whether a separate restriction for nicotine lozenges, including the dose titration schedule, is warranted. </w:t>
      </w:r>
    </w:p>
    <w:p w:rsidR="00BD1323" w:rsidRPr="00F10C3A" w:rsidRDefault="00BD1323" w:rsidP="000E2007">
      <w:pPr>
        <w:rPr>
          <w:rFonts w:asciiTheme="minorHAnsi" w:eastAsia="Calibri" w:hAnsiTheme="minorHAnsi"/>
          <w:snapToGrid/>
          <w:sz w:val="24"/>
          <w:szCs w:val="24"/>
          <w:u w:val="single"/>
        </w:rPr>
      </w:pPr>
    </w:p>
    <w:p w:rsidR="00324F9B" w:rsidRPr="00F10C3A" w:rsidRDefault="00324F9B" w:rsidP="009A0EEB">
      <w:pPr>
        <w:pStyle w:val="ListParagraph"/>
        <w:numPr>
          <w:ilvl w:val="0"/>
          <w:numId w:val="16"/>
        </w:numPr>
        <w:tabs>
          <w:tab w:val="left" w:pos="993"/>
        </w:tabs>
        <w:ind w:hanging="11"/>
        <w:rPr>
          <w:rFonts w:asciiTheme="minorHAnsi" w:eastAsia="Calibri" w:hAnsiTheme="minorHAnsi"/>
          <w:snapToGrid/>
          <w:sz w:val="24"/>
          <w:szCs w:val="24"/>
          <w:u w:val="single"/>
        </w:rPr>
      </w:pPr>
      <w:r w:rsidRPr="00F10C3A">
        <w:rPr>
          <w:rFonts w:asciiTheme="minorHAnsi" w:eastAsia="Calibri" w:hAnsiTheme="minorHAnsi"/>
          <w:snapToGrid/>
          <w:sz w:val="24"/>
          <w:szCs w:val="24"/>
          <w:u w:val="single"/>
        </w:rPr>
        <w:t xml:space="preserve">For nicotine gum: </w:t>
      </w:r>
    </w:p>
    <w:p w:rsidR="00D1459F" w:rsidRPr="00F10C3A" w:rsidRDefault="00391A8F" w:rsidP="009A0EEB">
      <w:pPr>
        <w:ind w:left="993"/>
        <w:rPr>
          <w:rFonts w:asciiTheme="minorHAnsi" w:eastAsia="Calibri" w:hAnsiTheme="minorHAnsi"/>
          <w:snapToGrid/>
          <w:sz w:val="24"/>
          <w:szCs w:val="24"/>
        </w:rPr>
      </w:pPr>
      <w:r w:rsidRPr="00F10C3A">
        <w:rPr>
          <w:rFonts w:asciiTheme="minorHAnsi" w:eastAsia="Calibri" w:hAnsiTheme="minorHAnsi"/>
          <w:snapToGrid/>
          <w:sz w:val="24"/>
          <w:szCs w:val="24"/>
        </w:rPr>
        <w:t xml:space="preserve">The PI for the nicotine gum recommends using a maximum of 20 pieces per day of the 2 mg strength.  It also states that highly dependent smokers, or those who failed to quit while using 2 mg strength gum, be prescribed 4 mg strength gum, with a maximum of 10 pieces per day. The PI further recommends a gradual dose titration after 3 months. As such, the PBAC may wish to consider if the maximum quantity of the 2 mg and 4 mg strengths of the gum should be 1680  and 840, respectively (compared to proposed 648, which is derived from the trials included in the submission, where the 4 mg strength was down-titrated in weeks 1-6, 7-9 and 9-12). </w:t>
      </w:r>
    </w:p>
    <w:p w:rsidR="00F60052" w:rsidRPr="00F10C3A" w:rsidRDefault="00F60052" w:rsidP="008E314F">
      <w:pPr>
        <w:rPr>
          <w:rFonts w:ascii="Calibri" w:eastAsia="Calibri" w:hAnsi="Calibri"/>
          <w:snapToGrid/>
          <w:sz w:val="24"/>
          <w:szCs w:val="22"/>
        </w:rPr>
      </w:pPr>
    </w:p>
    <w:p w:rsidR="00D1459F" w:rsidRPr="00B83D1F" w:rsidRDefault="0060645E" w:rsidP="00B83D1F">
      <w:pPr>
        <w:pStyle w:val="ListParagraph"/>
        <w:numPr>
          <w:ilvl w:val="1"/>
          <w:numId w:val="3"/>
        </w:numPr>
        <w:rPr>
          <w:rFonts w:asciiTheme="minorHAnsi" w:hAnsiTheme="minorHAnsi"/>
          <w:snapToGrid/>
          <w:sz w:val="24"/>
          <w:szCs w:val="24"/>
        </w:rPr>
      </w:pPr>
      <w:r w:rsidRPr="00B83D1F">
        <w:rPr>
          <w:rFonts w:asciiTheme="minorHAnsi" w:hAnsiTheme="minorHAnsi"/>
          <w:snapToGrid/>
          <w:sz w:val="24"/>
          <w:szCs w:val="24"/>
        </w:rPr>
        <w:t xml:space="preserve">The </w:t>
      </w:r>
      <w:r w:rsidR="00712401" w:rsidRPr="00B83D1F">
        <w:rPr>
          <w:rFonts w:ascii="Calibri" w:hAnsi="Calibri"/>
          <w:sz w:val="24"/>
          <w:szCs w:val="24"/>
        </w:rPr>
        <w:t>sponsor’s Pre-Sub-Committee-Response (</w:t>
      </w:r>
      <w:r w:rsidR="00712401" w:rsidRPr="00B83D1F">
        <w:rPr>
          <w:rFonts w:ascii="Calibri" w:eastAsia="Calibri" w:hAnsi="Calibri"/>
          <w:sz w:val="24"/>
          <w:szCs w:val="24"/>
          <w:lang w:val="en-US"/>
        </w:rPr>
        <w:t>PSCR</w:t>
      </w:r>
      <w:r w:rsidR="00712401" w:rsidRPr="00B83D1F">
        <w:rPr>
          <w:rFonts w:ascii="Calibri" w:hAnsi="Calibri"/>
          <w:sz w:val="24"/>
          <w:szCs w:val="24"/>
        </w:rPr>
        <w:t>)</w:t>
      </w:r>
      <w:r w:rsidR="00D1459F" w:rsidRPr="00B83D1F">
        <w:rPr>
          <w:rFonts w:asciiTheme="minorHAnsi" w:hAnsiTheme="minorHAnsi"/>
          <w:snapToGrid/>
          <w:sz w:val="24"/>
          <w:szCs w:val="24"/>
        </w:rPr>
        <w:t xml:space="preserve"> </w:t>
      </w:r>
      <w:r w:rsidRPr="00B83D1F">
        <w:rPr>
          <w:rFonts w:asciiTheme="minorHAnsi" w:hAnsiTheme="minorHAnsi"/>
          <w:snapToGrid/>
          <w:sz w:val="24"/>
          <w:szCs w:val="24"/>
        </w:rPr>
        <w:t xml:space="preserve">(p3) </w:t>
      </w:r>
      <w:r w:rsidR="00D1459F" w:rsidRPr="00B83D1F">
        <w:rPr>
          <w:rFonts w:asciiTheme="minorHAnsi" w:hAnsiTheme="minorHAnsi"/>
          <w:snapToGrid/>
          <w:sz w:val="24"/>
          <w:szCs w:val="24"/>
        </w:rPr>
        <w:t xml:space="preserve">argued that the increase in quantity may result in wastage and could be a safety issue. </w:t>
      </w:r>
      <w:r w:rsidRPr="00B83D1F">
        <w:rPr>
          <w:rFonts w:asciiTheme="minorHAnsi" w:hAnsiTheme="minorHAnsi"/>
          <w:snapToGrid/>
          <w:sz w:val="24"/>
          <w:szCs w:val="24"/>
        </w:rPr>
        <w:t>Further, t</w:t>
      </w:r>
      <w:r w:rsidR="00D1459F" w:rsidRPr="00B83D1F">
        <w:rPr>
          <w:rFonts w:asciiTheme="minorHAnsi" w:hAnsiTheme="minorHAnsi"/>
          <w:snapToGrid/>
          <w:sz w:val="24"/>
          <w:szCs w:val="24"/>
        </w:rPr>
        <w:t>he PSCR</w:t>
      </w:r>
      <w:r w:rsidRPr="00B83D1F">
        <w:rPr>
          <w:rFonts w:asciiTheme="minorHAnsi" w:hAnsiTheme="minorHAnsi"/>
          <w:snapToGrid/>
          <w:sz w:val="24"/>
          <w:szCs w:val="24"/>
        </w:rPr>
        <w:t xml:space="preserve"> claimed that</w:t>
      </w:r>
      <w:r w:rsidR="00D1459F" w:rsidRPr="00B83D1F">
        <w:rPr>
          <w:rFonts w:asciiTheme="minorHAnsi" w:hAnsiTheme="minorHAnsi"/>
          <w:snapToGrid/>
          <w:sz w:val="24"/>
          <w:szCs w:val="24"/>
        </w:rPr>
        <w:t xml:space="preserve"> 648 pieces over 3 months</w:t>
      </w:r>
      <w:r w:rsidR="00B30AB8" w:rsidRPr="00B83D1F">
        <w:rPr>
          <w:rFonts w:asciiTheme="minorHAnsi" w:hAnsiTheme="minorHAnsi"/>
          <w:snapToGrid/>
          <w:sz w:val="24"/>
          <w:szCs w:val="24"/>
        </w:rPr>
        <w:t>,</w:t>
      </w:r>
      <w:r w:rsidR="00D1459F" w:rsidRPr="00B83D1F">
        <w:rPr>
          <w:rFonts w:asciiTheme="minorHAnsi" w:hAnsiTheme="minorHAnsi"/>
          <w:snapToGrid/>
          <w:sz w:val="24"/>
          <w:szCs w:val="24"/>
        </w:rPr>
        <w:t xml:space="preserve"> or</w:t>
      </w:r>
      <w:r w:rsidR="00B30AB8" w:rsidRPr="00B83D1F">
        <w:rPr>
          <w:rFonts w:asciiTheme="minorHAnsi" w:hAnsiTheme="minorHAnsi"/>
          <w:snapToGrid/>
          <w:sz w:val="24"/>
          <w:szCs w:val="24"/>
        </w:rPr>
        <w:t xml:space="preserve"> </w:t>
      </w:r>
      <w:r w:rsidR="00D1459F" w:rsidRPr="00B83D1F">
        <w:rPr>
          <w:rFonts w:asciiTheme="minorHAnsi" w:hAnsiTheme="minorHAnsi"/>
          <w:snapToGrid/>
          <w:sz w:val="24"/>
          <w:szCs w:val="24"/>
        </w:rPr>
        <w:t>216 pieces per script</w:t>
      </w:r>
      <w:r w:rsidR="00B30AB8" w:rsidRPr="00B83D1F">
        <w:rPr>
          <w:rFonts w:asciiTheme="minorHAnsi" w:hAnsiTheme="minorHAnsi"/>
          <w:snapToGrid/>
          <w:sz w:val="24"/>
          <w:szCs w:val="24"/>
        </w:rPr>
        <w:t>,</w:t>
      </w:r>
      <w:r w:rsidR="00D1459F" w:rsidRPr="00B83D1F">
        <w:rPr>
          <w:rFonts w:asciiTheme="minorHAnsi" w:hAnsiTheme="minorHAnsi"/>
          <w:snapToGrid/>
          <w:sz w:val="24"/>
          <w:szCs w:val="24"/>
        </w:rPr>
        <w:t xml:space="preserve"> </w:t>
      </w:r>
      <w:r w:rsidRPr="00B83D1F">
        <w:rPr>
          <w:rFonts w:asciiTheme="minorHAnsi" w:hAnsiTheme="minorHAnsi"/>
          <w:snapToGrid/>
          <w:sz w:val="24"/>
          <w:szCs w:val="24"/>
        </w:rPr>
        <w:t>offered</w:t>
      </w:r>
      <w:r w:rsidR="00D1459F" w:rsidRPr="00B83D1F">
        <w:rPr>
          <w:rFonts w:asciiTheme="minorHAnsi" w:hAnsiTheme="minorHAnsi"/>
          <w:snapToGrid/>
          <w:sz w:val="24"/>
          <w:szCs w:val="24"/>
        </w:rPr>
        <w:t xml:space="preserve"> a reasonable balance by providing adequate treatment for the majority of patients while minimi</w:t>
      </w:r>
      <w:r w:rsidR="000E6BFF">
        <w:rPr>
          <w:rFonts w:asciiTheme="minorHAnsi" w:hAnsiTheme="minorHAnsi"/>
          <w:snapToGrid/>
          <w:sz w:val="24"/>
          <w:szCs w:val="24"/>
        </w:rPr>
        <w:t>s</w:t>
      </w:r>
      <w:r w:rsidR="00D1459F" w:rsidRPr="00B83D1F">
        <w:rPr>
          <w:rFonts w:asciiTheme="minorHAnsi" w:hAnsiTheme="minorHAnsi"/>
          <w:snapToGrid/>
          <w:sz w:val="24"/>
          <w:szCs w:val="24"/>
        </w:rPr>
        <w:t xml:space="preserve">ing the wastage. </w:t>
      </w:r>
      <w:r w:rsidRPr="00B83D1F">
        <w:rPr>
          <w:rFonts w:asciiTheme="minorHAnsi" w:hAnsiTheme="minorHAnsi"/>
          <w:snapToGrid/>
          <w:sz w:val="24"/>
          <w:szCs w:val="24"/>
        </w:rPr>
        <w:t xml:space="preserve">The </w:t>
      </w:r>
      <w:r w:rsidR="00D1459F" w:rsidRPr="00B83D1F">
        <w:rPr>
          <w:rFonts w:asciiTheme="minorHAnsi" w:hAnsiTheme="minorHAnsi"/>
          <w:snapToGrid/>
          <w:sz w:val="24"/>
          <w:szCs w:val="24"/>
        </w:rPr>
        <w:t>ESC noted</w:t>
      </w:r>
      <w:r w:rsidRPr="00B83D1F">
        <w:rPr>
          <w:rFonts w:asciiTheme="minorHAnsi" w:hAnsiTheme="minorHAnsi"/>
          <w:snapToGrid/>
          <w:sz w:val="24"/>
          <w:szCs w:val="24"/>
        </w:rPr>
        <w:t xml:space="preserve"> the PSCR’s arguments, but considered</w:t>
      </w:r>
      <w:r w:rsidR="00D1459F" w:rsidRPr="00B83D1F">
        <w:rPr>
          <w:rFonts w:asciiTheme="minorHAnsi" w:hAnsiTheme="minorHAnsi"/>
          <w:snapToGrid/>
          <w:sz w:val="24"/>
          <w:szCs w:val="24"/>
        </w:rPr>
        <w:t xml:space="preserve"> </w:t>
      </w:r>
      <w:r w:rsidRPr="00B83D1F">
        <w:rPr>
          <w:rFonts w:asciiTheme="minorHAnsi" w:hAnsiTheme="minorHAnsi"/>
          <w:snapToGrid/>
          <w:sz w:val="24"/>
          <w:szCs w:val="24"/>
        </w:rPr>
        <w:t>that the proposed maximum quantity would result in under-treatment</w:t>
      </w:r>
      <w:r w:rsidR="00B30AB8" w:rsidRPr="00B83D1F">
        <w:rPr>
          <w:rFonts w:asciiTheme="minorHAnsi" w:hAnsiTheme="minorHAnsi"/>
          <w:snapToGrid/>
          <w:sz w:val="24"/>
          <w:szCs w:val="24"/>
        </w:rPr>
        <w:t xml:space="preserve"> for some patients and may trigger discontinuation in others</w:t>
      </w:r>
      <w:r w:rsidRPr="00B83D1F">
        <w:rPr>
          <w:rFonts w:asciiTheme="minorHAnsi" w:hAnsiTheme="minorHAnsi"/>
          <w:snapToGrid/>
          <w:sz w:val="24"/>
          <w:szCs w:val="24"/>
        </w:rPr>
        <w:t xml:space="preserve">, and therefore </w:t>
      </w:r>
      <w:r w:rsidR="00B30AB8" w:rsidRPr="00B83D1F">
        <w:rPr>
          <w:rFonts w:asciiTheme="minorHAnsi" w:hAnsiTheme="minorHAnsi"/>
          <w:snapToGrid/>
          <w:sz w:val="24"/>
          <w:szCs w:val="24"/>
        </w:rPr>
        <w:t>it was likely that the efficacy observed in the trials would not be reached</w:t>
      </w:r>
      <w:r w:rsidR="006C7DF9" w:rsidRPr="00B83D1F">
        <w:rPr>
          <w:rFonts w:asciiTheme="minorHAnsi" w:hAnsiTheme="minorHAnsi"/>
          <w:snapToGrid/>
          <w:sz w:val="24"/>
          <w:szCs w:val="24"/>
        </w:rPr>
        <w:t xml:space="preserve"> in clinical practice</w:t>
      </w:r>
      <w:r w:rsidR="00B30AB8" w:rsidRPr="00B83D1F">
        <w:rPr>
          <w:rFonts w:asciiTheme="minorHAnsi" w:hAnsiTheme="minorHAnsi"/>
          <w:snapToGrid/>
          <w:sz w:val="24"/>
          <w:szCs w:val="24"/>
        </w:rPr>
        <w:t xml:space="preserve">. </w:t>
      </w:r>
      <w:r w:rsidR="00B83D1F" w:rsidRPr="00B83D1F">
        <w:rPr>
          <w:rFonts w:asciiTheme="minorHAnsi" w:hAnsiTheme="minorHAnsi"/>
          <w:snapToGrid/>
          <w:sz w:val="24"/>
          <w:szCs w:val="24"/>
        </w:rPr>
        <w:t xml:space="preserve">The </w:t>
      </w:r>
      <w:r w:rsidR="00B83D1F">
        <w:rPr>
          <w:rFonts w:asciiTheme="minorHAnsi" w:hAnsiTheme="minorHAnsi"/>
          <w:snapToGrid/>
          <w:sz w:val="24"/>
          <w:szCs w:val="24"/>
        </w:rPr>
        <w:t xml:space="preserve">pre-PBAC response (p1) </w:t>
      </w:r>
      <w:r w:rsidR="00D472D9">
        <w:rPr>
          <w:rFonts w:asciiTheme="minorHAnsi" w:hAnsiTheme="minorHAnsi"/>
          <w:snapToGrid/>
          <w:sz w:val="24"/>
          <w:szCs w:val="24"/>
        </w:rPr>
        <w:t>expressed the sponsor’s willingness to revise the proposed restriction to</w:t>
      </w:r>
      <w:r w:rsidR="00B83D1F">
        <w:rPr>
          <w:rFonts w:asciiTheme="minorHAnsi" w:hAnsiTheme="minorHAnsi"/>
          <w:snapToGrid/>
          <w:sz w:val="24"/>
          <w:szCs w:val="24"/>
        </w:rPr>
        <w:t xml:space="preserve"> reflect the current </w:t>
      </w:r>
      <w:r w:rsidR="00B83D1F" w:rsidRPr="00B83D1F">
        <w:rPr>
          <w:rFonts w:asciiTheme="minorHAnsi" w:hAnsiTheme="minorHAnsi"/>
          <w:snapToGrid/>
          <w:sz w:val="24"/>
          <w:szCs w:val="24"/>
        </w:rPr>
        <w:t>clinical guidelines, the PI and common practice.</w:t>
      </w:r>
    </w:p>
    <w:p w:rsidR="00F60052" w:rsidRPr="00F10C3A" w:rsidRDefault="00F60052" w:rsidP="00F60052">
      <w:pPr>
        <w:pStyle w:val="ListParagraph"/>
        <w:rPr>
          <w:rFonts w:ascii="Calibri" w:eastAsia="Calibri" w:hAnsi="Calibri"/>
          <w:snapToGrid/>
          <w:sz w:val="24"/>
          <w:szCs w:val="22"/>
        </w:rPr>
      </w:pPr>
    </w:p>
    <w:p w:rsidR="00E20C5C" w:rsidRPr="00F10C3A" w:rsidRDefault="00057AD4" w:rsidP="006C7DF9">
      <w:pPr>
        <w:pStyle w:val="ListParagraph"/>
        <w:numPr>
          <w:ilvl w:val="1"/>
          <w:numId w:val="3"/>
        </w:numPr>
      </w:pPr>
      <w:r w:rsidRPr="00F10C3A">
        <w:rPr>
          <w:rFonts w:ascii="Calibri" w:eastAsia="Calibri" w:hAnsi="Calibri"/>
          <w:snapToGrid/>
          <w:sz w:val="24"/>
          <w:szCs w:val="22"/>
        </w:rPr>
        <w:t>The requested PBS restriction align</w:t>
      </w:r>
      <w:r w:rsidR="00C23D54" w:rsidRPr="00F10C3A">
        <w:rPr>
          <w:rFonts w:ascii="Calibri" w:eastAsia="Calibri" w:hAnsi="Calibri"/>
          <w:snapToGrid/>
          <w:sz w:val="24"/>
          <w:szCs w:val="22"/>
        </w:rPr>
        <w:t>s</w:t>
      </w:r>
      <w:r w:rsidRPr="00F10C3A">
        <w:rPr>
          <w:rFonts w:ascii="Calibri" w:eastAsia="Calibri" w:hAnsi="Calibri"/>
          <w:snapToGrid/>
          <w:sz w:val="24"/>
          <w:szCs w:val="22"/>
        </w:rPr>
        <w:t xml:space="preserve"> with the current PBS restriction for the sponsor-branded nicotine patches, and the approved Product Information </w:t>
      </w:r>
      <w:r w:rsidR="00324F9B" w:rsidRPr="00F10C3A">
        <w:rPr>
          <w:rFonts w:ascii="Calibri" w:eastAsia="Calibri" w:hAnsi="Calibri"/>
          <w:snapToGrid/>
          <w:sz w:val="24"/>
          <w:szCs w:val="22"/>
        </w:rPr>
        <w:t>for nicotine gum and lozenges.</w:t>
      </w:r>
      <w:r w:rsidRPr="00F10C3A">
        <w:rPr>
          <w:rFonts w:ascii="Calibri" w:eastAsia="Calibri" w:hAnsi="Calibri"/>
          <w:snapToGrid/>
          <w:sz w:val="24"/>
          <w:szCs w:val="22"/>
        </w:rPr>
        <w:t xml:space="preserve"> </w:t>
      </w:r>
      <w:r w:rsidR="00E20C5C" w:rsidRPr="00F10C3A">
        <w:rPr>
          <w:rFonts w:ascii="Calibri" w:eastAsia="Calibri" w:hAnsi="Calibri"/>
          <w:snapToGrid/>
          <w:sz w:val="24"/>
          <w:szCs w:val="22"/>
        </w:rPr>
        <w:t>The ESC noted that the PBS-listed nicotine patches are currently suitable for prescribing by nurse prescribers</w:t>
      </w:r>
      <w:r w:rsidR="00D65681" w:rsidRPr="00F10C3A">
        <w:rPr>
          <w:rFonts w:ascii="Calibri" w:eastAsia="Calibri" w:hAnsi="Calibri"/>
          <w:snapToGrid/>
          <w:sz w:val="24"/>
          <w:szCs w:val="22"/>
        </w:rPr>
        <w:t>.</w:t>
      </w:r>
      <w:r w:rsidR="00E20C5C" w:rsidRPr="00F10C3A">
        <w:t xml:space="preserve"> </w:t>
      </w:r>
    </w:p>
    <w:p w:rsidR="00E20C5C" w:rsidRPr="00F10C3A" w:rsidRDefault="00E20C5C" w:rsidP="00E20C5C">
      <w:pPr>
        <w:pStyle w:val="ListParagraph"/>
        <w:rPr>
          <w:rFonts w:ascii="Calibri" w:eastAsia="Calibri" w:hAnsi="Calibri"/>
          <w:snapToGrid/>
          <w:sz w:val="24"/>
          <w:szCs w:val="22"/>
        </w:rPr>
      </w:pPr>
    </w:p>
    <w:p w:rsidR="00A45611" w:rsidRPr="00A45611" w:rsidRDefault="0049267C" w:rsidP="00A45611">
      <w:pPr>
        <w:pStyle w:val="ListParagraph"/>
        <w:numPr>
          <w:ilvl w:val="1"/>
          <w:numId w:val="3"/>
        </w:numPr>
        <w:rPr>
          <w:rFonts w:ascii="Calibri" w:eastAsia="Calibri" w:hAnsi="Calibri"/>
          <w:b/>
          <w:i/>
          <w:snapToGrid/>
          <w:sz w:val="24"/>
        </w:rPr>
      </w:pPr>
      <w:r w:rsidRPr="00F10C3A">
        <w:rPr>
          <w:rFonts w:ascii="Calibri" w:eastAsia="Calibri" w:hAnsi="Calibri"/>
          <w:snapToGrid/>
          <w:sz w:val="24"/>
          <w:szCs w:val="22"/>
        </w:rPr>
        <w:t xml:space="preserve">Patients who begin on nicotine replacement therapy might also switch to treatment with bupropion or </w:t>
      </w:r>
      <w:proofErr w:type="spellStart"/>
      <w:r w:rsidRPr="00F10C3A">
        <w:rPr>
          <w:rFonts w:ascii="Calibri" w:eastAsia="Calibri" w:hAnsi="Calibri"/>
          <w:snapToGrid/>
          <w:sz w:val="24"/>
          <w:szCs w:val="22"/>
        </w:rPr>
        <w:t>varenicline</w:t>
      </w:r>
      <w:proofErr w:type="spellEnd"/>
      <w:r w:rsidR="00F94D69" w:rsidRPr="00F10C3A">
        <w:rPr>
          <w:rFonts w:ascii="Calibri" w:eastAsia="Calibri" w:hAnsi="Calibri"/>
          <w:snapToGrid/>
          <w:sz w:val="24"/>
          <w:szCs w:val="22"/>
        </w:rPr>
        <w:t>,</w:t>
      </w:r>
      <w:r w:rsidRPr="00F10C3A">
        <w:rPr>
          <w:rFonts w:ascii="Calibri" w:eastAsia="Calibri" w:hAnsi="Calibri"/>
          <w:snapToGrid/>
          <w:sz w:val="24"/>
          <w:szCs w:val="22"/>
        </w:rPr>
        <w:t xml:space="preserve"> depending on patient preferences and tolerance.</w:t>
      </w:r>
      <w:r w:rsidR="0015679E" w:rsidRPr="00F10C3A">
        <w:rPr>
          <w:rFonts w:ascii="Calibri" w:eastAsia="Calibri" w:hAnsi="Calibri"/>
          <w:snapToGrid/>
          <w:sz w:val="24"/>
          <w:szCs w:val="22"/>
        </w:rPr>
        <w:t xml:space="preserve"> </w:t>
      </w:r>
      <w:r w:rsidR="00712401" w:rsidRPr="00F10C3A">
        <w:rPr>
          <w:rFonts w:ascii="Calibri" w:eastAsia="Calibri" w:hAnsi="Calibri"/>
          <w:snapToGrid/>
          <w:sz w:val="24"/>
          <w:szCs w:val="22"/>
        </w:rPr>
        <w:t>Furthe</w:t>
      </w:r>
      <w:r w:rsidR="0015679E" w:rsidRPr="00F10C3A">
        <w:rPr>
          <w:rFonts w:ascii="Calibri" w:eastAsia="Calibri" w:hAnsi="Calibri"/>
          <w:snapToGrid/>
          <w:sz w:val="24"/>
          <w:szCs w:val="22"/>
        </w:rPr>
        <w:t xml:space="preserve">r, the ESC noted that the gum and lozenges are recommended as better alternatives to nicotine patches for pregnant women and lactating mothers. The ESC </w:t>
      </w:r>
      <w:r w:rsidR="00ED4961" w:rsidRPr="00F10C3A">
        <w:rPr>
          <w:rFonts w:ascii="Calibri" w:eastAsia="Calibri" w:hAnsi="Calibri"/>
          <w:snapToGrid/>
          <w:sz w:val="24"/>
          <w:szCs w:val="22"/>
        </w:rPr>
        <w:t>also</w:t>
      </w:r>
      <w:r w:rsidR="0015679E" w:rsidRPr="00F10C3A">
        <w:rPr>
          <w:rFonts w:ascii="Calibri" w:eastAsia="Calibri" w:hAnsi="Calibri"/>
          <w:snapToGrid/>
          <w:sz w:val="24"/>
          <w:szCs w:val="22"/>
        </w:rPr>
        <w:t xml:space="preserve"> considered that the availability of the sublingual delivery method of </w:t>
      </w:r>
      <w:r w:rsidR="00ED4961" w:rsidRPr="00F10C3A">
        <w:rPr>
          <w:rFonts w:ascii="Calibri" w:eastAsia="Calibri" w:hAnsi="Calibri"/>
          <w:snapToGrid/>
          <w:sz w:val="24"/>
          <w:szCs w:val="22"/>
        </w:rPr>
        <w:t>nicotine replacement therapy (</w:t>
      </w:r>
      <w:r w:rsidR="0015679E" w:rsidRPr="00F10C3A">
        <w:rPr>
          <w:rFonts w:ascii="Calibri" w:eastAsia="Calibri" w:hAnsi="Calibri"/>
          <w:snapToGrid/>
          <w:sz w:val="24"/>
          <w:szCs w:val="22"/>
        </w:rPr>
        <w:t>NRT</w:t>
      </w:r>
      <w:r w:rsidR="00ED4961" w:rsidRPr="00F10C3A">
        <w:rPr>
          <w:rFonts w:ascii="Calibri" w:eastAsia="Calibri" w:hAnsi="Calibri"/>
          <w:snapToGrid/>
          <w:sz w:val="24"/>
          <w:szCs w:val="22"/>
        </w:rPr>
        <w:t>)</w:t>
      </w:r>
      <w:r w:rsidR="0015679E" w:rsidRPr="00F10C3A">
        <w:rPr>
          <w:rFonts w:ascii="Calibri" w:eastAsia="Calibri" w:hAnsi="Calibri"/>
          <w:snapToGrid/>
          <w:sz w:val="24"/>
          <w:szCs w:val="22"/>
        </w:rPr>
        <w:t xml:space="preserve"> on the PBS could be a favourable option in patien</w:t>
      </w:r>
      <w:r w:rsidR="00ED4961" w:rsidRPr="00F10C3A">
        <w:rPr>
          <w:rFonts w:ascii="Calibri" w:eastAsia="Calibri" w:hAnsi="Calibri"/>
          <w:snapToGrid/>
          <w:sz w:val="24"/>
          <w:szCs w:val="22"/>
        </w:rPr>
        <w:t>ts with</w:t>
      </w:r>
      <w:r w:rsidR="0015679E" w:rsidRPr="00F10C3A">
        <w:rPr>
          <w:rFonts w:ascii="Calibri" w:eastAsia="Calibri" w:hAnsi="Calibri"/>
          <w:snapToGrid/>
          <w:sz w:val="24"/>
          <w:szCs w:val="22"/>
        </w:rPr>
        <w:t xml:space="preserve"> skin conditions</w:t>
      </w:r>
      <w:r w:rsidR="00ED4961" w:rsidRPr="00F10C3A">
        <w:rPr>
          <w:rFonts w:ascii="Calibri" w:eastAsia="Calibri" w:hAnsi="Calibri"/>
          <w:snapToGrid/>
          <w:sz w:val="24"/>
          <w:szCs w:val="22"/>
        </w:rPr>
        <w:t>,</w:t>
      </w:r>
      <w:r w:rsidR="0015679E" w:rsidRPr="00F10C3A">
        <w:rPr>
          <w:rFonts w:ascii="Calibri" w:eastAsia="Calibri" w:hAnsi="Calibri"/>
          <w:snapToGrid/>
          <w:sz w:val="24"/>
          <w:szCs w:val="22"/>
        </w:rPr>
        <w:t xml:space="preserve"> or </w:t>
      </w:r>
      <w:r w:rsidR="00ED4961" w:rsidRPr="00F10C3A">
        <w:rPr>
          <w:rFonts w:ascii="Calibri" w:eastAsia="Calibri" w:hAnsi="Calibri"/>
          <w:snapToGrid/>
          <w:sz w:val="24"/>
          <w:szCs w:val="22"/>
        </w:rPr>
        <w:t>those</w:t>
      </w:r>
      <w:r w:rsidR="005D2580" w:rsidRPr="00F10C3A">
        <w:rPr>
          <w:rFonts w:ascii="Calibri" w:eastAsia="Calibri" w:hAnsi="Calibri"/>
          <w:snapToGrid/>
          <w:sz w:val="24"/>
          <w:szCs w:val="22"/>
        </w:rPr>
        <w:t xml:space="preserve"> who experience</w:t>
      </w:r>
      <w:r w:rsidR="0015679E" w:rsidRPr="00F10C3A">
        <w:rPr>
          <w:rFonts w:ascii="Calibri" w:eastAsia="Calibri" w:hAnsi="Calibri"/>
          <w:snapToGrid/>
          <w:sz w:val="24"/>
          <w:szCs w:val="22"/>
        </w:rPr>
        <w:t xml:space="preserve"> skin irritation due to the use of nicotine patches.</w:t>
      </w:r>
    </w:p>
    <w:p w:rsidR="00A45611" w:rsidRPr="00A45611" w:rsidRDefault="00A45611" w:rsidP="00A45611">
      <w:pPr>
        <w:pStyle w:val="ListParagraph"/>
        <w:rPr>
          <w:rFonts w:ascii="Calibri" w:eastAsia="Calibri" w:hAnsi="Calibri"/>
          <w:b/>
          <w:i/>
          <w:snapToGrid/>
          <w:sz w:val="24"/>
        </w:rPr>
      </w:pPr>
    </w:p>
    <w:p w:rsidR="00702D05" w:rsidRPr="00D067F0" w:rsidRDefault="00A45611" w:rsidP="00A45611">
      <w:pPr>
        <w:pStyle w:val="ListParagraph"/>
        <w:rPr>
          <w:rFonts w:ascii="Calibri" w:eastAsia="Calibri" w:hAnsi="Calibri"/>
          <w:b/>
          <w:i/>
          <w:snapToGrid/>
          <w:sz w:val="24"/>
        </w:rPr>
      </w:pPr>
      <w:r w:rsidRPr="00D067F0">
        <w:rPr>
          <w:rFonts w:ascii="Calibri" w:eastAsia="Calibri" w:hAnsi="Calibri"/>
          <w:b/>
          <w:i/>
          <w:snapToGrid/>
          <w:sz w:val="24"/>
        </w:rPr>
        <w:t xml:space="preserve"> </w:t>
      </w:r>
      <w:r w:rsidR="00702D05" w:rsidRPr="00D067F0">
        <w:rPr>
          <w:rFonts w:ascii="Calibri" w:eastAsia="Calibri" w:hAnsi="Calibri"/>
          <w:i/>
          <w:snapToGrid/>
          <w:sz w:val="24"/>
        </w:rPr>
        <w:t>For more detail on PBAC’s view, see section 7 “PBAC outcome.”</w:t>
      </w:r>
    </w:p>
    <w:p w:rsidR="0045698A" w:rsidRPr="00F10C3A" w:rsidRDefault="001057D8" w:rsidP="0045698A">
      <w:pPr>
        <w:keepNext/>
        <w:keepLines/>
        <w:widowControl/>
        <w:spacing w:before="400" w:after="120"/>
        <w:ind w:left="709" w:hanging="709"/>
        <w:jc w:val="left"/>
        <w:outlineLvl w:val="0"/>
        <w:rPr>
          <w:rFonts w:ascii="Calibri" w:hAnsi="Calibri" w:cs="Times New Roman"/>
          <w:b/>
          <w:snapToGrid/>
          <w:sz w:val="32"/>
          <w:szCs w:val="28"/>
        </w:rPr>
      </w:pPr>
      <w:bookmarkStart w:id="11" w:name="_Toc413139273"/>
      <w:bookmarkStart w:id="12" w:name="_Toc476306883"/>
      <w:bookmarkStart w:id="13" w:name="_Toc482710283"/>
      <w:r w:rsidRPr="00F10C3A">
        <w:rPr>
          <w:rFonts w:ascii="Calibri" w:hAnsi="Calibri" w:cs="Times New Roman"/>
          <w:b/>
          <w:snapToGrid/>
          <w:sz w:val="32"/>
          <w:szCs w:val="28"/>
        </w:rPr>
        <w:t>3</w:t>
      </w:r>
      <w:r w:rsidRPr="00F10C3A">
        <w:rPr>
          <w:rFonts w:ascii="Calibri" w:hAnsi="Calibri" w:cs="Times New Roman"/>
          <w:b/>
          <w:snapToGrid/>
          <w:sz w:val="32"/>
          <w:szCs w:val="28"/>
        </w:rPr>
        <w:tab/>
      </w:r>
      <w:r w:rsidR="0045698A" w:rsidRPr="00F10C3A">
        <w:rPr>
          <w:rFonts w:ascii="Calibri" w:hAnsi="Calibri" w:cs="Times New Roman"/>
          <w:b/>
          <w:snapToGrid/>
          <w:sz w:val="32"/>
          <w:szCs w:val="28"/>
        </w:rPr>
        <w:t>Background</w:t>
      </w:r>
      <w:bookmarkEnd w:id="11"/>
      <w:bookmarkEnd w:id="12"/>
      <w:bookmarkEnd w:id="13"/>
    </w:p>
    <w:p w:rsidR="0045698A" w:rsidRPr="00F10C3A" w:rsidRDefault="0045698A" w:rsidP="007E3BC0">
      <w:pPr>
        <w:widowControl/>
        <w:numPr>
          <w:ilvl w:val="0"/>
          <w:numId w:val="3"/>
        </w:numPr>
        <w:jc w:val="left"/>
        <w:rPr>
          <w:b/>
          <w:vanish/>
          <w:color w:val="FFFFFF" w:themeColor="background1"/>
          <w:szCs w:val="22"/>
        </w:rPr>
      </w:pPr>
    </w:p>
    <w:p w:rsidR="0031154B" w:rsidRPr="00F10C3A" w:rsidRDefault="00324F9B" w:rsidP="007E3BC0">
      <w:pPr>
        <w:widowControl/>
        <w:numPr>
          <w:ilvl w:val="1"/>
          <w:numId w:val="3"/>
        </w:numPr>
        <w:rPr>
          <w:rFonts w:ascii="Calibri" w:eastAsia="Calibri" w:hAnsi="Calibri"/>
          <w:snapToGrid/>
          <w:sz w:val="24"/>
          <w:szCs w:val="22"/>
        </w:rPr>
      </w:pPr>
      <w:r w:rsidRPr="004030EF">
        <w:rPr>
          <w:rFonts w:ascii="Calibri" w:eastAsia="Calibri" w:hAnsi="Calibri"/>
          <w:snapToGrid/>
          <w:sz w:val="24"/>
          <w:szCs w:val="22"/>
        </w:rPr>
        <w:t>TGA status:</w:t>
      </w:r>
      <w:r w:rsidR="0031154B" w:rsidRPr="004030EF">
        <w:rPr>
          <w:rFonts w:ascii="Calibri" w:eastAsia="Calibri" w:hAnsi="Calibri"/>
          <w:snapToGrid/>
          <w:sz w:val="24"/>
          <w:szCs w:val="22"/>
        </w:rPr>
        <w:t xml:space="preserve"> </w:t>
      </w:r>
      <w:r w:rsidR="00827B5B" w:rsidRPr="004030EF">
        <w:rPr>
          <w:rFonts w:ascii="Calibri" w:eastAsia="Calibri" w:hAnsi="Calibri"/>
          <w:snapToGrid/>
          <w:sz w:val="24"/>
          <w:szCs w:val="22"/>
        </w:rPr>
        <w:t>This brand</w:t>
      </w:r>
      <w:r w:rsidR="00827B5B" w:rsidRPr="00F10C3A">
        <w:rPr>
          <w:rFonts w:ascii="Calibri" w:eastAsia="Calibri" w:hAnsi="Calibri"/>
          <w:snapToGrid/>
          <w:sz w:val="24"/>
          <w:szCs w:val="22"/>
        </w:rPr>
        <w:t xml:space="preserve"> of n</w:t>
      </w:r>
      <w:r w:rsidR="0031154B" w:rsidRPr="00F10C3A">
        <w:rPr>
          <w:rFonts w:ascii="Calibri" w:eastAsia="Calibri" w:hAnsi="Calibri"/>
          <w:snapToGrid/>
          <w:sz w:val="24"/>
          <w:szCs w:val="22"/>
        </w:rPr>
        <w:t xml:space="preserve">icotine gum was TGA registered on 26 August 2016 as an aid in the cessation of smoking in smokers with nicotine dependence. </w:t>
      </w:r>
      <w:r w:rsidR="00827B5B" w:rsidRPr="00F10C3A">
        <w:rPr>
          <w:rFonts w:ascii="Calibri" w:eastAsia="Calibri" w:hAnsi="Calibri"/>
          <w:snapToGrid/>
          <w:sz w:val="24"/>
          <w:szCs w:val="22"/>
        </w:rPr>
        <w:t>This brand of n</w:t>
      </w:r>
      <w:r w:rsidR="0031154B" w:rsidRPr="00F10C3A">
        <w:rPr>
          <w:rFonts w:ascii="Calibri" w:eastAsia="Calibri" w:hAnsi="Calibri"/>
          <w:snapToGrid/>
          <w:sz w:val="24"/>
          <w:szCs w:val="22"/>
        </w:rPr>
        <w:t>icotine in lozenge form was TGA registered on 23 June 2016 for the relief of nicotine withdrawal symptoms, including cravings associated with smoking cessation.</w:t>
      </w:r>
    </w:p>
    <w:p w:rsidR="000E2007" w:rsidRPr="00F10C3A" w:rsidRDefault="000E2007" w:rsidP="000E2007">
      <w:pPr>
        <w:pStyle w:val="PBACHeading1"/>
        <w:numPr>
          <w:ilvl w:val="0"/>
          <w:numId w:val="0"/>
        </w:numPr>
        <w:ind w:left="720" w:hanging="720"/>
        <w:rPr>
          <w:rFonts w:eastAsia="Calibri"/>
          <w:snapToGrid/>
        </w:rPr>
      </w:pPr>
    </w:p>
    <w:p w:rsidR="00277A59" w:rsidRPr="00F10C3A" w:rsidRDefault="006F74A1"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Nicotine gum and nicotine lozenges have not been previously</w:t>
      </w:r>
      <w:r w:rsidR="0045698A" w:rsidRPr="00F10C3A">
        <w:rPr>
          <w:rFonts w:ascii="Calibri" w:eastAsia="Calibri" w:hAnsi="Calibri"/>
          <w:snapToGrid/>
          <w:sz w:val="24"/>
          <w:szCs w:val="22"/>
        </w:rPr>
        <w:t xml:space="preserve"> considered by </w:t>
      </w:r>
      <w:r w:rsidRPr="00F10C3A">
        <w:rPr>
          <w:rFonts w:ascii="Calibri" w:eastAsia="Calibri" w:hAnsi="Calibri"/>
          <w:snapToGrid/>
          <w:sz w:val="24"/>
          <w:szCs w:val="22"/>
        </w:rPr>
        <w:t>the PBAC</w:t>
      </w:r>
      <w:r w:rsidR="001057D8" w:rsidRPr="00F10C3A">
        <w:rPr>
          <w:rFonts w:ascii="Calibri" w:eastAsia="Calibri" w:hAnsi="Calibri"/>
          <w:snapToGrid/>
          <w:sz w:val="24"/>
          <w:szCs w:val="22"/>
        </w:rPr>
        <w:t>.</w:t>
      </w:r>
      <w:r w:rsidR="00792998" w:rsidRPr="00F10C3A">
        <w:rPr>
          <w:rFonts w:ascii="Calibri" w:eastAsia="Calibri" w:hAnsi="Calibri"/>
          <w:snapToGrid/>
          <w:sz w:val="24"/>
          <w:szCs w:val="22"/>
        </w:rPr>
        <w:t xml:space="preserve"> </w:t>
      </w:r>
    </w:p>
    <w:p w:rsidR="00277A59" w:rsidRPr="00F10C3A" w:rsidRDefault="00277A59" w:rsidP="00277A59">
      <w:pPr>
        <w:pStyle w:val="ListParagraph"/>
        <w:rPr>
          <w:rFonts w:ascii="Calibri" w:eastAsia="Calibri" w:hAnsi="Calibri"/>
          <w:snapToGrid/>
          <w:sz w:val="24"/>
          <w:szCs w:val="22"/>
        </w:rPr>
      </w:pPr>
    </w:p>
    <w:p w:rsidR="0045698A" w:rsidRPr="00F10C3A" w:rsidRDefault="00C93C13" w:rsidP="007E3BC0">
      <w:pPr>
        <w:widowControl/>
        <w:numPr>
          <w:ilvl w:val="1"/>
          <w:numId w:val="3"/>
        </w:numPr>
        <w:rPr>
          <w:rFonts w:ascii="Calibri" w:eastAsia="Calibri" w:hAnsi="Calibri"/>
          <w:snapToGrid/>
          <w:sz w:val="24"/>
          <w:szCs w:val="22"/>
        </w:rPr>
      </w:pPr>
      <w:r>
        <w:rPr>
          <w:rFonts w:ascii="Calibri" w:eastAsia="Calibri" w:hAnsi="Calibri"/>
          <w:snapToGrid/>
          <w:sz w:val="24"/>
          <w:szCs w:val="22"/>
        </w:rPr>
        <w:t xml:space="preserve">The </w:t>
      </w:r>
      <w:proofErr w:type="spellStart"/>
      <w:r>
        <w:rPr>
          <w:rFonts w:ascii="Calibri" w:eastAsia="Calibri" w:hAnsi="Calibri"/>
          <w:snapToGrid/>
          <w:sz w:val="24"/>
          <w:szCs w:val="22"/>
        </w:rPr>
        <w:t>Nicotinell</w:t>
      </w:r>
      <w:proofErr w:type="spellEnd"/>
      <w:r w:rsidRPr="00C93C13">
        <w:rPr>
          <w:rFonts w:ascii="Calibri" w:eastAsia="Calibri" w:hAnsi="Calibri"/>
          <w:snapToGrid/>
          <w:sz w:val="28"/>
          <w:szCs w:val="22"/>
        </w:rPr>
        <w:t>®</w:t>
      </w:r>
      <w:r>
        <w:rPr>
          <w:rFonts w:ascii="Calibri" w:eastAsia="Calibri" w:hAnsi="Calibri"/>
          <w:snapToGrid/>
          <w:sz w:val="24"/>
          <w:szCs w:val="22"/>
        </w:rPr>
        <w:t xml:space="preserve"> brand of nicotine patches are available through the PBS, while</w:t>
      </w:r>
      <w:r w:rsidRPr="00F10C3A">
        <w:rPr>
          <w:rFonts w:ascii="Calibri" w:eastAsia="Calibri" w:hAnsi="Calibri"/>
          <w:snapToGrid/>
          <w:sz w:val="24"/>
          <w:szCs w:val="22"/>
        </w:rPr>
        <w:t xml:space="preserve"> </w:t>
      </w:r>
      <w:r w:rsidR="00C27A7C">
        <w:rPr>
          <w:rFonts w:ascii="Calibri" w:eastAsia="Calibri" w:hAnsi="Calibri"/>
          <w:snapToGrid/>
          <w:sz w:val="24"/>
          <w:szCs w:val="22"/>
        </w:rPr>
        <w:t>s</w:t>
      </w:r>
      <w:r w:rsidR="00792998" w:rsidRPr="00F10C3A">
        <w:rPr>
          <w:rFonts w:ascii="Calibri" w:eastAsia="Calibri" w:hAnsi="Calibri"/>
          <w:snapToGrid/>
          <w:sz w:val="24"/>
          <w:szCs w:val="22"/>
        </w:rPr>
        <w:t xml:space="preserve">everal </w:t>
      </w:r>
      <w:r>
        <w:rPr>
          <w:rFonts w:ascii="Calibri" w:eastAsia="Calibri" w:hAnsi="Calibri"/>
          <w:snapToGrid/>
          <w:sz w:val="24"/>
          <w:szCs w:val="22"/>
        </w:rPr>
        <w:t xml:space="preserve">other </w:t>
      </w:r>
      <w:r w:rsidR="003236A9" w:rsidRPr="00F10C3A">
        <w:rPr>
          <w:rFonts w:ascii="Calibri" w:eastAsia="Calibri" w:hAnsi="Calibri"/>
          <w:snapToGrid/>
          <w:sz w:val="24"/>
          <w:szCs w:val="22"/>
        </w:rPr>
        <w:t>brands of</w:t>
      </w:r>
      <w:r w:rsidR="00792998" w:rsidRPr="00F10C3A">
        <w:rPr>
          <w:rFonts w:ascii="Calibri" w:eastAsia="Calibri" w:hAnsi="Calibri"/>
          <w:snapToGrid/>
          <w:sz w:val="24"/>
          <w:szCs w:val="22"/>
        </w:rPr>
        <w:t xml:space="preserve"> </w:t>
      </w:r>
      <w:r w:rsidR="003236A9" w:rsidRPr="00F10C3A">
        <w:rPr>
          <w:rFonts w:ascii="Calibri" w:eastAsia="Calibri" w:hAnsi="Calibri"/>
          <w:snapToGrid/>
          <w:sz w:val="24"/>
          <w:szCs w:val="22"/>
        </w:rPr>
        <w:t xml:space="preserve">nicotine </w:t>
      </w:r>
      <w:r w:rsidR="00792998" w:rsidRPr="00F10C3A">
        <w:rPr>
          <w:rFonts w:ascii="Calibri" w:eastAsia="Calibri" w:hAnsi="Calibri"/>
          <w:snapToGrid/>
          <w:sz w:val="24"/>
          <w:szCs w:val="22"/>
        </w:rPr>
        <w:t xml:space="preserve">patches </w:t>
      </w:r>
      <w:r w:rsidR="003236A9" w:rsidRPr="00F10C3A">
        <w:rPr>
          <w:rFonts w:ascii="Calibri" w:eastAsia="Calibri" w:hAnsi="Calibri"/>
          <w:snapToGrid/>
          <w:sz w:val="24"/>
          <w:szCs w:val="22"/>
        </w:rPr>
        <w:t>ranging in strength f</w:t>
      </w:r>
      <w:r w:rsidR="00277A59" w:rsidRPr="00F10C3A">
        <w:rPr>
          <w:rFonts w:ascii="Calibri" w:eastAsia="Calibri" w:hAnsi="Calibri"/>
          <w:snapToGrid/>
          <w:sz w:val="24"/>
          <w:szCs w:val="22"/>
        </w:rPr>
        <w:t>rom</w:t>
      </w:r>
      <w:r w:rsidR="003236A9" w:rsidRPr="00F10C3A">
        <w:rPr>
          <w:rFonts w:ascii="Calibri" w:eastAsia="Calibri" w:hAnsi="Calibri"/>
          <w:snapToGrid/>
          <w:sz w:val="24"/>
          <w:szCs w:val="22"/>
        </w:rPr>
        <w:t xml:space="preserve"> 5-25 mg </w:t>
      </w:r>
      <w:r w:rsidR="00792998" w:rsidRPr="00F10C3A">
        <w:rPr>
          <w:rFonts w:ascii="Calibri" w:eastAsia="Calibri" w:hAnsi="Calibri"/>
          <w:snapToGrid/>
          <w:sz w:val="24"/>
          <w:szCs w:val="22"/>
        </w:rPr>
        <w:t>are</w:t>
      </w:r>
      <w:r>
        <w:rPr>
          <w:rFonts w:ascii="Calibri" w:eastAsia="Calibri" w:hAnsi="Calibri"/>
          <w:snapToGrid/>
          <w:sz w:val="24"/>
          <w:szCs w:val="22"/>
        </w:rPr>
        <w:t xml:space="preserve"> </w:t>
      </w:r>
      <w:r w:rsidR="00792998" w:rsidRPr="00F10C3A">
        <w:rPr>
          <w:rFonts w:ascii="Calibri" w:eastAsia="Calibri" w:hAnsi="Calibri"/>
          <w:snapToGrid/>
          <w:sz w:val="24"/>
          <w:szCs w:val="22"/>
        </w:rPr>
        <w:t>available on the PBS</w:t>
      </w:r>
      <w:r>
        <w:rPr>
          <w:rFonts w:ascii="Calibri" w:eastAsia="Calibri" w:hAnsi="Calibri"/>
          <w:snapToGrid/>
          <w:sz w:val="24"/>
          <w:szCs w:val="22"/>
        </w:rPr>
        <w:t>,</w:t>
      </w:r>
      <w:r w:rsidR="00C27A7C">
        <w:rPr>
          <w:rFonts w:ascii="Calibri" w:eastAsia="Calibri" w:hAnsi="Calibri"/>
          <w:snapToGrid/>
          <w:sz w:val="24"/>
          <w:szCs w:val="22"/>
        </w:rPr>
        <w:t xml:space="preserve"> as well as the </w:t>
      </w:r>
      <w:r w:rsidR="00416840" w:rsidRPr="00F10C3A">
        <w:rPr>
          <w:rFonts w:ascii="Calibri" w:eastAsia="Calibri" w:hAnsi="Calibri"/>
          <w:snapToGrid/>
          <w:sz w:val="24"/>
          <w:szCs w:val="22"/>
        </w:rPr>
        <w:t>RPBS</w:t>
      </w:r>
      <w:r>
        <w:rPr>
          <w:rFonts w:ascii="Calibri" w:eastAsia="Calibri" w:hAnsi="Calibri"/>
          <w:snapToGrid/>
          <w:sz w:val="24"/>
          <w:szCs w:val="22"/>
        </w:rPr>
        <w:t>.</w:t>
      </w:r>
      <w:r w:rsidR="00C27A7C">
        <w:rPr>
          <w:rFonts w:ascii="Calibri" w:eastAsia="Calibri" w:hAnsi="Calibri"/>
          <w:snapToGrid/>
          <w:sz w:val="24"/>
          <w:szCs w:val="22"/>
        </w:rPr>
        <w:t xml:space="preserve"> </w:t>
      </w:r>
      <w:proofErr w:type="spellStart"/>
      <w:r w:rsidR="00634E21" w:rsidRPr="00F10C3A">
        <w:rPr>
          <w:rFonts w:ascii="Calibri" w:eastAsia="Calibri" w:hAnsi="Calibri"/>
          <w:snapToGrid/>
          <w:sz w:val="24"/>
          <w:szCs w:val="22"/>
        </w:rPr>
        <w:t>Varenicline</w:t>
      </w:r>
      <w:proofErr w:type="spellEnd"/>
      <w:r w:rsidR="00634E21" w:rsidRPr="00F10C3A">
        <w:rPr>
          <w:rFonts w:ascii="Calibri" w:eastAsia="Calibri" w:hAnsi="Calibri"/>
          <w:snapToGrid/>
          <w:sz w:val="24"/>
          <w:szCs w:val="22"/>
        </w:rPr>
        <w:t xml:space="preserve"> and bupropion are the other </w:t>
      </w:r>
      <w:r w:rsidR="00F15847" w:rsidRPr="00F10C3A">
        <w:rPr>
          <w:rFonts w:ascii="Calibri" w:eastAsia="Calibri" w:hAnsi="Calibri"/>
          <w:snapToGrid/>
          <w:sz w:val="24"/>
          <w:szCs w:val="22"/>
        </w:rPr>
        <w:t>nicotine dependence treatments</w:t>
      </w:r>
      <w:r w:rsidR="00634E21" w:rsidRPr="00F10C3A">
        <w:rPr>
          <w:rFonts w:ascii="Calibri" w:eastAsia="Calibri" w:hAnsi="Calibri"/>
          <w:snapToGrid/>
          <w:sz w:val="24"/>
          <w:szCs w:val="22"/>
        </w:rPr>
        <w:t xml:space="preserve"> currently listed on the PBS.</w:t>
      </w:r>
    </w:p>
    <w:p w:rsidR="009E662A" w:rsidRPr="00F10C3A" w:rsidRDefault="009E662A" w:rsidP="009E662A">
      <w:pPr>
        <w:pStyle w:val="ListParagraph"/>
        <w:rPr>
          <w:rFonts w:ascii="Calibri" w:eastAsia="Calibri" w:hAnsi="Calibri"/>
          <w:snapToGrid/>
          <w:sz w:val="24"/>
          <w:szCs w:val="22"/>
        </w:rPr>
      </w:pPr>
    </w:p>
    <w:p w:rsidR="00702D05" w:rsidRPr="00F10C3A" w:rsidRDefault="00896A8D" w:rsidP="00702D05">
      <w:pPr>
        <w:pStyle w:val="PBACHeading1"/>
        <w:numPr>
          <w:ilvl w:val="0"/>
          <w:numId w:val="0"/>
        </w:numPr>
        <w:ind w:left="720"/>
        <w:rPr>
          <w:rFonts w:eastAsia="Calibri"/>
          <w:snapToGrid/>
        </w:rPr>
      </w:pPr>
      <w:r w:rsidRPr="00D067F0">
        <w:rPr>
          <w:rFonts w:ascii="Calibri" w:eastAsia="Calibri" w:hAnsi="Calibri"/>
          <w:b w:val="0"/>
          <w:i/>
          <w:snapToGrid/>
          <w:sz w:val="24"/>
        </w:rPr>
        <w:t>For more detail on PBAC’s view, see section 7 “PBAC outcome.”</w:t>
      </w:r>
    </w:p>
    <w:p w:rsidR="0045698A" w:rsidRPr="00F10C3A" w:rsidRDefault="001057D8" w:rsidP="0045698A">
      <w:pPr>
        <w:keepNext/>
        <w:keepLines/>
        <w:widowControl/>
        <w:spacing w:before="400" w:after="120"/>
        <w:ind w:left="709" w:hanging="709"/>
        <w:jc w:val="left"/>
        <w:outlineLvl w:val="0"/>
        <w:rPr>
          <w:rFonts w:ascii="Calibri" w:hAnsi="Calibri" w:cs="Times New Roman"/>
          <w:b/>
          <w:snapToGrid/>
          <w:sz w:val="32"/>
          <w:szCs w:val="28"/>
        </w:rPr>
      </w:pPr>
      <w:bookmarkStart w:id="14" w:name="_Toc476306884"/>
      <w:bookmarkStart w:id="15" w:name="_Toc482710284"/>
      <w:r w:rsidRPr="00F10C3A">
        <w:rPr>
          <w:rFonts w:ascii="Calibri" w:hAnsi="Calibri" w:cs="Times New Roman"/>
          <w:b/>
          <w:snapToGrid/>
          <w:sz w:val="32"/>
          <w:szCs w:val="28"/>
        </w:rPr>
        <w:t>4</w:t>
      </w:r>
      <w:r w:rsidRPr="00F10C3A">
        <w:rPr>
          <w:rFonts w:ascii="Calibri" w:hAnsi="Calibri" w:cs="Times New Roman"/>
          <w:b/>
          <w:snapToGrid/>
          <w:sz w:val="32"/>
          <w:szCs w:val="28"/>
        </w:rPr>
        <w:tab/>
      </w:r>
      <w:r w:rsidR="0045698A" w:rsidRPr="00F10C3A">
        <w:rPr>
          <w:rFonts w:ascii="Calibri" w:hAnsi="Calibri" w:cs="Times New Roman"/>
          <w:b/>
          <w:snapToGrid/>
          <w:sz w:val="32"/>
          <w:szCs w:val="28"/>
        </w:rPr>
        <w:t>Population and disease</w:t>
      </w:r>
      <w:bookmarkEnd w:id="14"/>
      <w:bookmarkEnd w:id="15"/>
    </w:p>
    <w:p w:rsidR="0045698A" w:rsidRPr="00F10C3A" w:rsidRDefault="0045698A" w:rsidP="007E3BC0">
      <w:pPr>
        <w:widowControl/>
        <w:numPr>
          <w:ilvl w:val="0"/>
          <w:numId w:val="3"/>
        </w:numPr>
        <w:jc w:val="left"/>
        <w:rPr>
          <w:b/>
          <w:vanish/>
          <w:color w:val="FFFFFF" w:themeColor="background1"/>
          <w:szCs w:val="22"/>
        </w:rPr>
      </w:pPr>
    </w:p>
    <w:p w:rsidR="0045698A" w:rsidRPr="00F10C3A" w:rsidRDefault="004F277D"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Cigarette smoking is a known risk factor for </w:t>
      </w:r>
      <w:r w:rsidR="00DD15B1" w:rsidRPr="00F10C3A">
        <w:rPr>
          <w:rFonts w:ascii="Calibri" w:eastAsia="Calibri" w:hAnsi="Calibri"/>
          <w:snapToGrid/>
          <w:sz w:val="24"/>
          <w:szCs w:val="22"/>
        </w:rPr>
        <w:t xml:space="preserve">numerous </w:t>
      </w:r>
      <w:r w:rsidRPr="00F10C3A">
        <w:rPr>
          <w:rFonts w:ascii="Calibri" w:eastAsia="Calibri" w:hAnsi="Calibri"/>
          <w:snapToGrid/>
          <w:sz w:val="24"/>
          <w:szCs w:val="22"/>
        </w:rPr>
        <w:t>cancers, cardiovascular disease and other health issues with significant detriment to patie</w:t>
      </w:r>
      <w:r w:rsidR="00DD15B1" w:rsidRPr="00F10C3A">
        <w:rPr>
          <w:rFonts w:ascii="Calibri" w:eastAsia="Calibri" w:hAnsi="Calibri"/>
          <w:snapToGrid/>
          <w:sz w:val="24"/>
          <w:szCs w:val="22"/>
        </w:rPr>
        <w:t xml:space="preserve">nt quality of life. </w:t>
      </w:r>
      <w:r w:rsidR="00196633" w:rsidRPr="00F10C3A">
        <w:rPr>
          <w:rFonts w:ascii="Calibri" w:eastAsia="Calibri" w:hAnsi="Calibri"/>
          <w:snapToGrid/>
          <w:sz w:val="24"/>
          <w:szCs w:val="22"/>
        </w:rPr>
        <w:t xml:space="preserve">The nicotine found in cigarettes is rapidly absorbed through the skin and respiratory tract, and has stimulatory and addictive effects through acting on the central and peripheral nervous system. </w:t>
      </w:r>
      <w:r w:rsidR="00DD15B1" w:rsidRPr="00F10C3A">
        <w:rPr>
          <w:rFonts w:ascii="Calibri" w:eastAsia="Calibri" w:hAnsi="Calibri"/>
          <w:snapToGrid/>
          <w:sz w:val="24"/>
          <w:szCs w:val="22"/>
        </w:rPr>
        <w:t xml:space="preserve">Nicotine gum </w:t>
      </w:r>
      <w:r w:rsidR="00F2364B" w:rsidRPr="00F10C3A">
        <w:rPr>
          <w:rFonts w:ascii="Calibri" w:eastAsia="Calibri" w:hAnsi="Calibri"/>
          <w:snapToGrid/>
          <w:sz w:val="24"/>
          <w:szCs w:val="22"/>
        </w:rPr>
        <w:t xml:space="preserve">and </w:t>
      </w:r>
      <w:r w:rsidR="00DD15B1" w:rsidRPr="00F10C3A">
        <w:rPr>
          <w:rFonts w:ascii="Calibri" w:eastAsia="Calibri" w:hAnsi="Calibri"/>
          <w:snapToGrid/>
          <w:sz w:val="24"/>
          <w:szCs w:val="22"/>
        </w:rPr>
        <w:t xml:space="preserve">lozenges are forms of </w:t>
      </w:r>
      <w:r w:rsidR="00634E21" w:rsidRPr="00F10C3A">
        <w:rPr>
          <w:rFonts w:ascii="Calibri" w:eastAsia="Calibri" w:hAnsi="Calibri"/>
          <w:snapToGrid/>
          <w:sz w:val="24"/>
          <w:szCs w:val="22"/>
        </w:rPr>
        <w:t xml:space="preserve">NRT, </w:t>
      </w:r>
      <w:r w:rsidR="00196633" w:rsidRPr="00F10C3A">
        <w:rPr>
          <w:rFonts w:ascii="Calibri" w:eastAsia="Calibri" w:hAnsi="Calibri"/>
          <w:snapToGrid/>
          <w:sz w:val="24"/>
          <w:szCs w:val="22"/>
        </w:rPr>
        <w:t>and may be used in treating</w:t>
      </w:r>
      <w:r w:rsidR="00DD15B1" w:rsidRPr="00F10C3A">
        <w:rPr>
          <w:rFonts w:ascii="Calibri" w:eastAsia="Calibri" w:hAnsi="Calibri"/>
          <w:snapToGrid/>
          <w:sz w:val="24"/>
          <w:szCs w:val="22"/>
        </w:rPr>
        <w:t xml:space="preserve"> nicotine dependence amongst smokers </w:t>
      </w:r>
      <w:r w:rsidR="0099374A" w:rsidRPr="00F10C3A">
        <w:rPr>
          <w:rFonts w:ascii="Calibri" w:eastAsia="Calibri" w:hAnsi="Calibri"/>
          <w:snapToGrid/>
          <w:sz w:val="24"/>
          <w:szCs w:val="22"/>
        </w:rPr>
        <w:t xml:space="preserve">by </w:t>
      </w:r>
      <w:r w:rsidR="00DD15B1" w:rsidRPr="00F10C3A">
        <w:rPr>
          <w:rFonts w:ascii="Calibri" w:eastAsia="Calibri" w:hAnsi="Calibri"/>
          <w:snapToGrid/>
          <w:sz w:val="24"/>
          <w:szCs w:val="22"/>
        </w:rPr>
        <w:t>providing a safer form of nicotine at doses which are lowered over time.</w:t>
      </w:r>
    </w:p>
    <w:p w:rsidR="000E2007" w:rsidRPr="00F10C3A" w:rsidRDefault="000E2007" w:rsidP="000E2007">
      <w:pPr>
        <w:pStyle w:val="PBACHeading1"/>
        <w:numPr>
          <w:ilvl w:val="0"/>
          <w:numId w:val="0"/>
        </w:numPr>
        <w:ind w:left="720" w:hanging="720"/>
        <w:rPr>
          <w:rFonts w:eastAsia="Calibri"/>
          <w:snapToGrid/>
        </w:rPr>
      </w:pPr>
    </w:p>
    <w:p w:rsidR="0045698A" w:rsidRDefault="00196633"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Based on guidelines from the Royal Australian College of General Practitioners, </w:t>
      </w:r>
      <w:r w:rsidR="00B03DAF" w:rsidRPr="00F10C3A">
        <w:rPr>
          <w:rFonts w:ascii="Calibri" w:eastAsia="Calibri" w:hAnsi="Calibri"/>
          <w:snapToGrid/>
          <w:sz w:val="24"/>
          <w:szCs w:val="22"/>
        </w:rPr>
        <w:t xml:space="preserve">smokers may be treated with pharmacotherapy if they are considered nicotine dependent. Nicotine in gum </w:t>
      </w:r>
      <w:r w:rsidR="00F2364B" w:rsidRPr="00F10C3A">
        <w:rPr>
          <w:rFonts w:ascii="Calibri" w:eastAsia="Calibri" w:hAnsi="Calibri"/>
          <w:snapToGrid/>
          <w:sz w:val="24"/>
          <w:szCs w:val="22"/>
        </w:rPr>
        <w:t xml:space="preserve">and in </w:t>
      </w:r>
      <w:r w:rsidR="00B03DAF" w:rsidRPr="00F10C3A">
        <w:rPr>
          <w:rFonts w:ascii="Calibri" w:eastAsia="Calibri" w:hAnsi="Calibri"/>
          <w:snapToGrid/>
          <w:sz w:val="24"/>
          <w:szCs w:val="22"/>
        </w:rPr>
        <w:t xml:space="preserve">lozenge form is intended to offer an additional treatment option to nicotine patches for </w:t>
      </w:r>
      <w:r w:rsidR="0099374A" w:rsidRPr="00F10C3A">
        <w:rPr>
          <w:rFonts w:ascii="Calibri" w:eastAsia="Calibri" w:hAnsi="Calibri"/>
          <w:snapToGrid/>
          <w:sz w:val="24"/>
          <w:szCs w:val="22"/>
        </w:rPr>
        <w:t>NRT</w:t>
      </w:r>
      <w:r w:rsidR="00B03DAF" w:rsidRPr="00F10C3A">
        <w:rPr>
          <w:rFonts w:ascii="Calibri" w:eastAsia="Calibri" w:hAnsi="Calibri"/>
          <w:snapToGrid/>
          <w:sz w:val="24"/>
          <w:szCs w:val="22"/>
        </w:rPr>
        <w:t>.</w:t>
      </w:r>
    </w:p>
    <w:p w:rsidR="00702D05" w:rsidRDefault="00702D05" w:rsidP="00702D05">
      <w:pPr>
        <w:pStyle w:val="ListParagraph"/>
        <w:rPr>
          <w:rFonts w:ascii="Calibri" w:eastAsia="Calibri" w:hAnsi="Calibri"/>
          <w:snapToGrid/>
          <w:sz w:val="24"/>
          <w:szCs w:val="22"/>
        </w:rPr>
      </w:pPr>
    </w:p>
    <w:p w:rsidR="00702D05" w:rsidRPr="00F10C3A" w:rsidRDefault="003026E3" w:rsidP="00A45611">
      <w:pPr>
        <w:pStyle w:val="PBACHeading1"/>
        <w:numPr>
          <w:ilvl w:val="0"/>
          <w:numId w:val="0"/>
        </w:numPr>
        <w:ind w:left="720"/>
        <w:rPr>
          <w:rFonts w:eastAsia="Calibri"/>
          <w:snapToGrid/>
        </w:rPr>
      </w:pPr>
      <w:r w:rsidRPr="00D067F0">
        <w:rPr>
          <w:rFonts w:ascii="Calibri" w:eastAsia="Calibri" w:hAnsi="Calibri"/>
          <w:b w:val="0"/>
          <w:i/>
          <w:snapToGrid/>
          <w:sz w:val="24"/>
        </w:rPr>
        <w:t>For more detail on PBAC’s view, see section 7 “PBAC outcome.”</w:t>
      </w:r>
    </w:p>
    <w:p w:rsidR="0045698A" w:rsidRPr="00F10C3A" w:rsidRDefault="001057D8" w:rsidP="0045698A">
      <w:pPr>
        <w:keepNext/>
        <w:keepLines/>
        <w:widowControl/>
        <w:spacing w:before="400" w:after="120"/>
        <w:ind w:left="709" w:hanging="709"/>
        <w:jc w:val="left"/>
        <w:outlineLvl w:val="0"/>
        <w:rPr>
          <w:rFonts w:ascii="Calibri" w:hAnsi="Calibri" w:cs="Times New Roman"/>
          <w:b/>
          <w:snapToGrid/>
          <w:sz w:val="32"/>
          <w:szCs w:val="28"/>
        </w:rPr>
      </w:pPr>
      <w:bookmarkStart w:id="16" w:name="_Toc413139275"/>
      <w:bookmarkStart w:id="17" w:name="_Toc476306885"/>
      <w:bookmarkStart w:id="18" w:name="_Toc482710285"/>
      <w:r w:rsidRPr="00F10C3A">
        <w:rPr>
          <w:rFonts w:ascii="Calibri" w:hAnsi="Calibri" w:cs="Times New Roman"/>
          <w:b/>
          <w:snapToGrid/>
          <w:sz w:val="32"/>
          <w:szCs w:val="28"/>
        </w:rPr>
        <w:t>5</w:t>
      </w:r>
      <w:r w:rsidRPr="00F10C3A">
        <w:rPr>
          <w:rFonts w:ascii="Calibri" w:hAnsi="Calibri" w:cs="Times New Roman"/>
          <w:b/>
          <w:snapToGrid/>
          <w:sz w:val="32"/>
          <w:szCs w:val="28"/>
        </w:rPr>
        <w:tab/>
      </w:r>
      <w:r w:rsidR="0045698A" w:rsidRPr="00F10C3A">
        <w:rPr>
          <w:rFonts w:ascii="Calibri" w:hAnsi="Calibri" w:cs="Times New Roman"/>
          <w:b/>
          <w:snapToGrid/>
          <w:sz w:val="32"/>
          <w:szCs w:val="28"/>
        </w:rPr>
        <w:t>Comparator</w:t>
      </w:r>
      <w:bookmarkEnd w:id="16"/>
      <w:bookmarkEnd w:id="17"/>
      <w:bookmarkEnd w:id="18"/>
    </w:p>
    <w:p w:rsidR="0045698A" w:rsidRPr="00F10C3A" w:rsidRDefault="0045698A" w:rsidP="007E3BC0">
      <w:pPr>
        <w:widowControl/>
        <w:numPr>
          <w:ilvl w:val="0"/>
          <w:numId w:val="3"/>
        </w:numPr>
        <w:jc w:val="left"/>
        <w:rPr>
          <w:b/>
          <w:vanish/>
          <w:color w:val="FFFFFF" w:themeColor="background1"/>
          <w:szCs w:val="22"/>
        </w:rPr>
      </w:pPr>
    </w:p>
    <w:p w:rsidR="0045698A" w:rsidRPr="00702D05" w:rsidRDefault="00B03DAF" w:rsidP="007E3BC0">
      <w:pPr>
        <w:widowControl/>
        <w:numPr>
          <w:ilvl w:val="1"/>
          <w:numId w:val="3"/>
        </w:numPr>
        <w:rPr>
          <w:rFonts w:ascii="Calibri" w:eastAsia="Calibri" w:hAnsi="Calibri"/>
          <w:snapToGrid/>
          <w:sz w:val="24"/>
          <w:szCs w:val="22"/>
          <w:lang w:val="en-GB"/>
        </w:rPr>
      </w:pPr>
      <w:r w:rsidRPr="00F10C3A">
        <w:rPr>
          <w:rFonts w:ascii="Calibri" w:eastAsia="Calibri" w:hAnsi="Calibri"/>
          <w:snapToGrid/>
          <w:sz w:val="24"/>
          <w:szCs w:val="22"/>
        </w:rPr>
        <w:t>The submission nominated nicotine patches as the comparator</w:t>
      </w:r>
      <w:r w:rsidR="004054EA" w:rsidRPr="00F10C3A">
        <w:rPr>
          <w:rFonts w:ascii="Calibri" w:eastAsia="Calibri" w:hAnsi="Calibri"/>
          <w:snapToGrid/>
          <w:sz w:val="24"/>
          <w:szCs w:val="22"/>
        </w:rPr>
        <w:t>.</w:t>
      </w:r>
      <w:r w:rsidR="0045698A" w:rsidRPr="00F10C3A">
        <w:rPr>
          <w:rFonts w:ascii="Calibri" w:eastAsia="Calibri" w:hAnsi="Calibri"/>
          <w:snapToGrid/>
          <w:sz w:val="24"/>
          <w:szCs w:val="22"/>
        </w:rPr>
        <w:t xml:space="preserve"> </w:t>
      </w:r>
      <w:r w:rsidR="00F11120">
        <w:rPr>
          <w:rFonts w:ascii="Calibri" w:eastAsia="Calibri" w:hAnsi="Calibri"/>
          <w:snapToGrid/>
          <w:sz w:val="24"/>
          <w:szCs w:val="22"/>
        </w:rPr>
        <w:t xml:space="preserve">The ESC considered that this was reasonable. </w:t>
      </w:r>
    </w:p>
    <w:p w:rsidR="00702D05" w:rsidRPr="00702D05" w:rsidRDefault="00702D05" w:rsidP="00421F10">
      <w:pPr>
        <w:widowControl/>
        <w:ind w:left="720"/>
        <w:rPr>
          <w:rFonts w:ascii="Calibri" w:eastAsia="Calibri" w:hAnsi="Calibri"/>
          <w:snapToGrid/>
          <w:sz w:val="24"/>
          <w:szCs w:val="22"/>
          <w:lang w:val="en-GB"/>
        </w:rPr>
      </w:pPr>
    </w:p>
    <w:p w:rsidR="003026E3" w:rsidRPr="00D067F0" w:rsidRDefault="003026E3" w:rsidP="003026E3">
      <w:pPr>
        <w:pStyle w:val="PBACHeading1"/>
        <w:numPr>
          <w:ilvl w:val="0"/>
          <w:numId w:val="0"/>
        </w:numPr>
        <w:ind w:left="720"/>
        <w:rPr>
          <w:rFonts w:ascii="Calibri" w:eastAsia="Calibri" w:hAnsi="Calibri"/>
          <w:b w:val="0"/>
          <w:i/>
          <w:snapToGrid/>
          <w:sz w:val="24"/>
        </w:rPr>
      </w:pPr>
      <w:r w:rsidRPr="00D067F0">
        <w:rPr>
          <w:rFonts w:ascii="Calibri" w:eastAsia="Calibri" w:hAnsi="Calibri"/>
          <w:b w:val="0"/>
          <w:i/>
          <w:snapToGrid/>
          <w:sz w:val="24"/>
        </w:rPr>
        <w:t>For more detail on PBAC’s view, see section 7 “PBAC outcome.”</w:t>
      </w:r>
    </w:p>
    <w:p w:rsidR="00702D05" w:rsidRPr="00F10C3A" w:rsidRDefault="00702D05" w:rsidP="00702D05">
      <w:pPr>
        <w:pStyle w:val="PBACHeading1"/>
        <w:numPr>
          <w:ilvl w:val="0"/>
          <w:numId w:val="0"/>
        </w:numPr>
        <w:ind w:left="720" w:hanging="720"/>
        <w:rPr>
          <w:rFonts w:eastAsia="Calibri"/>
          <w:snapToGrid/>
          <w:lang w:val="en-GB"/>
        </w:rPr>
      </w:pPr>
    </w:p>
    <w:p w:rsidR="00155F06" w:rsidRPr="00F10C3A" w:rsidRDefault="00155F06" w:rsidP="00155F06">
      <w:pPr>
        <w:keepNext/>
        <w:keepLines/>
        <w:widowControl/>
        <w:spacing w:after="120"/>
        <w:ind w:left="709" w:hanging="709"/>
        <w:jc w:val="left"/>
        <w:outlineLvl w:val="0"/>
        <w:rPr>
          <w:rFonts w:ascii="Calibri" w:hAnsi="Calibri" w:cs="Times New Roman"/>
          <w:b/>
          <w:snapToGrid/>
          <w:sz w:val="32"/>
          <w:szCs w:val="28"/>
        </w:rPr>
      </w:pPr>
      <w:bookmarkStart w:id="19" w:name="_Toc482710286"/>
      <w:r>
        <w:rPr>
          <w:rFonts w:ascii="Calibri" w:hAnsi="Calibri" w:cs="Times New Roman"/>
          <w:b/>
          <w:snapToGrid/>
          <w:sz w:val="32"/>
          <w:szCs w:val="28"/>
        </w:rPr>
        <w:t>6</w:t>
      </w:r>
      <w:r w:rsidRPr="00F10C3A">
        <w:rPr>
          <w:rFonts w:ascii="Calibri" w:hAnsi="Calibri" w:cs="Times New Roman"/>
          <w:b/>
          <w:snapToGrid/>
          <w:sz w:val="32"/>
          <w:szCs w:val="28"/>
        </w:rPr>
        <w:tab/>
        <w:t>Co</w:t>
      </w:r>
      <w:r>
        <w:rPr>
          <w:rFonts w:ascii="Calibri" w:hAnsi="Calibri" w:cs="Times New Roman"/>
          <w:b/>
          <w:snapToGrid/>
          <w:sz w:val="32"/>
          <w:szCs w:val="28"/>
        </w:rPr>
        <w:t>nsideration of evidence</w:t>
      </w:r>
    </w:p>
    <w:p w:rsidR="00155F06" w:rsidRPr="00F10C3A" w:rsidRDefault="00155F06" w:rsidP="00155F06">
      <w:pPr>
        <w:widowControl/>
        <w:numPr>
          <w:ilvl w:val="0"/>
          <w:numId w:val="3"/>
        </w:numPr>
        <w:jc w:val="left"/>
        <w:rPr>
          <w:b/>
          <w:vanish/>
          <w:color w:val="FFFFFF" w:themeColor="background1"/>
          <w:szCs w:val="22"/>
        </w:rPr>
      </w:pPr>
    </w:p>
    <w:bookmarkEnd w:id="19"/>
    <w:p w:rsidR="002C0C88" w:rsidRPr="00421F10" w:rsidRDefault="002C0C88" w:rsidP="0010015B">
      <w:pPr>
        <w:spacing w:before="240" w:after="120" w:line="276" w:lineRule="auto"/>
        <w:outlineLvl w:val="1"/>
        <w:rPr>
          <w:rFonts w:asciiTheme="minorHAnsi" w:hAnsiTheme="minorHAnsi"/>
          <w:b/>
          <w:bCs/>
          <w:i/>
          <w:sz w:val="28"/>
          <w:szCs w:val="28"/>
        </w:rPr>
      </w:pPr>
      <w:r w:rsidRPr="00421F10">
        <w:rPr>
          <w:rFonts w:asciiTheme="minorHAnsi" w:hAnsiTheme="minorHAnsi"/>
          <w:b/>
          <w:bCs/>
          <w:i/>
          <w:sz w:val="28"/>
          <w:szCs w:val="28"/>
        </w:rPr>
        <w:t>Sponsor hearing</w:t>
      </w:r>
    </w:p>
    <w:p w:rsidR="002C0C88" w:rsidRPr="00421F10" w:rsidRDefault="002C0C88" w:rsidP="00FE2486">
      <w:pPr>
        <w:widowControl/>
        <w:numPr>
          <w:ilvl w:val="1"/>
          <w:numId w:val="3"/>
        </w:numPr>
        <w:spacing w:after="120"/>
        <w:jc w:val="left"/>
        <w:rPr>
          <w:rFonts w:asciiTheme="minorHAnsi" w:hAnsiTheme="minorHAnsi"/>
          <w:bCs/>
          <w:sz w:val="24"/>
          <w:szCs w:val="24"/>
          <w:lang w:eastAsia="en-AU"/>
        </w:rPr>
      </w:pPr>
      <w:r w:rsidRPr="00421F10">
        <w:rPr>
          <w:rFonts w:asciiTheme="minorHAnsi" w:hAnsiTheme="minorHAnsi"/>
          <w:bCs/>
          <w:sz w:val="24"/>
          <w:szCs w:val="24"/>
          <w:lang w:eastAsia="en-AU"/>
        </w:rPr>
        <w:t>There was no hearing for this item.</w:t>
      </w:r>
    </w:p>
    <w:p w:rsidR="001657AF" w:rsidRPr="00421F10" w:rsidRDefault="001657AF" w:rsidP="0010015B">
      <w:pPr>
        <w:spacing w:before="240" w:after="120" w:line="276" w:lineRule="auto"/>
        <w:outlineLvl w:val="1"/>
        <w:rPr>
          <w:rFonts w:asciiTheme="minorHAnsi" w:hAnsiTheme="minorHAnsi"/>
          <w:b/>
          <w:bCs/>
          <w:i/>
          <w:sz w:val="28"/>
          <w:szCs w:val="28"/>
        </w:rPr>
      </w:pPr>
      <w:r w:rsidRPr="00421F10">
        <w:rPr>
          <w:rFonts w:asciiTheme="minorHAnsi" w:hAnsiTheme="minorHAnsi"/>
          <w:b/>
          <w:bCs/>
          <w:i/>
          <w:sz w:val="28"/>
          <w:szCs w:val="28"/>
        </w:rPr>
        <w:t>Consumer comments</w:t>
      </w:r>
    </w:p>
    <w:p w:rsidR="001657AF" w:rsidRPr="00155F06" w:rsidRDefault="001657AF" w:rsidP="00155F06">
      <w:pPr>
        <w:numPr>
          <w:ilvl w:val="1"/>
          <w:numId w:val="3"/>
        </w:numPr>
        <w:spacing w:after="120"/>
        <w:rPr>
          <w:rFonts w:ascii="Calibri" w:eastAsia="Calibri" w:hAnsi="Calibri"/>
          <w:snapToGrid/>
          <w:sz w:val="24"/>
          <w:szCs w:val="22"/>
        </w:rPr>
      </w:pPr>
      <w:r w:rsidRPr="00155F06">
        <w:rPr>
          <w:rFonts w:ascii="Calibri" w:eastAsia="Calibri" w:hAnsi="Calibri"/>
          <w:snapToGrid/>
          <w:sz w:val="24"/>
          <w:szCs w:val="22"/>
        </w:rPr>
        <w:t>The PBAC noted that no consumer comments were received for this item</w:t>
      </w:r>
      <w:r w:rsidR="00155F06">
        <w:rPr>
          <w:rFonts w:ascii="Calibri" w:eastAsia="Calibri" w:hAnsi="Calibri"/>
          <w:snapToGrid/>
          <w:sz w:val="24"/>
          <w:szCs w:val="22"/>
        </w:rPr>
        <w:t>.</w:t>
      </w:r>
    </w:p>
    <w:p w:rsidR="00155F06" w:rsidRPr="00155F06" w:rsidRDefault="00155F06" w:rsidP="0010015B">
      <w:pPr>
        <w:spacing w:before="240" w:after="120" w:line="276" w:lineRule="auto"/>
        <w:outlineLvl w:val="1"/>
        <w:rPr>
          <w:rFonts w:asciiTheme="minorHAnsi" w:hAnsiTheme="minorHAnsi"/>
          <w:b/>
          <w:bCs/>
          <w:i/>
          <w:sz w:val="28"/>
          <w:szCs w:val="28"/>
        </w:rPr>
      </w:pPr>
      <w:r w:rsidRPr="00155F06">
        <w:rPr>
          <w:rFonts w:asciiTheme="minorHAnsi" w:hAnsiTheme="minorHAnsi"/>
          <w:b/>
          <w:bCs/>
          <w:i/>
          <w:sz w:val="28"/>
          <w:szCs w:val="28"/>
        </w:rPr>
        <w:t>Clinical trials</w:t>
      </w:r>
    </w:p>
    <w:p w:rsidR="00155F06" w:rsidRPr="00155F06" w:rsidRDefault="00155F06" w:rsidP="00155F06">
      <w:pPr>
        <w:spacing w:after="120"/>
        <w:rPr>
          <w:rFonts w:ascii="Calibri" w:eastAsia="Calibri" w:hAnsi="Calibri"/>
          <w:snapToGrid/>
          <w:sz w:val="24"/>
          <w:szCs w:val="22"/>
          <w:u w:val="single"/>
        </w:rPr>
      </w:pPr>
      <w:r w:rsidRPr="00155F06">
        <w:rPr>
          <w:rFonts w:ascii="Calibri" w:eastAsia="Calibri" w:hAnsi="Calibri"/>
          <w:snapToGrid/>
          <w:sz w:val="24"/>
          <w:szCs w:val="22"/>
          <w:u w:val="single"/>
        </w:rPr>
        <w:t>Nicotine lozenges versus nicotine patches</w:t>
      </w:r>
    </w:p>
    <w:p w:rsidR="00155F06" w:rsidRPr="00155F06" w:rsidRDefault="00155F06" w:rsidP="00155F06">
      <w:pPr>
        <w:numPr>
          <w:ilvl w:val="1"/>
          <w:numId w:val="3"/>
        </w:numPr>
        <w:spacing w:after="120"/>
        <w:rPr>
          <w:rFonts w:ascii="Calibri" w:eastAsia="Calibri" w:hAnsi="Calibri"/>
          <w:snapToGrid/>
          <w:sz w:val="24"/>
          <w:szCs w:val="22"/>
        </w:rPr>
      </w:pPr>
      <w:r w:rsidRPr="00155F06">
        <w:rPr>
          <w:rFonts w:ascii="Calibri" w:eastAsia="Calibri" w:hAnsi="Calibri"/>
          <w:snapToGrid/>
          <w:sz w:val="24"/>
          <w:szCs w:val="22"/>
        </w:rPr>
        <w:t xml:space="preserve">For the direct comparison between nicotine lozenges with nicotine patches, the submission was based on three head-to-head randomised trials: </w:t>
      </w:r>
      <w:proofErr w:type="spellStart"/>
      <w:r w:rsidRPr="00155F06">
        <w:rPr>
          <w:rFonts w:ascii="Calibri" w:eastAsia="Calibri" w:hAnsi="Calibri"/>
          <w:snapToGrid/>
          <w:sz w:val="24"/>
          <w:szCs w:val="22"/>
        </w:rPr>
        <w:t>Schnoll</w:t>
      </w:r>
      <w:proofErr w:type="spellEnd"/>
      <w:r w:rsidRPr="00155F06">
        <w:rPr>
          <w:rFonts w:ascii="Calibri" w:eastAsia="Calibri" w:hAnsi="Calibri"/>
          <w:snapToGrid/>
          <w:sz w:val="24"/>
          <w:szCs w:val="22"/>
        </w:rPr>
        <w:t xml:space="preserve"> (2010) (N = 642), Piper (2009) (N = 1,504) and Smith (2009) (N = 1,346). </w:t>
      </w:r>
    </w:p>
    <w:p w:rsidR="00155F06" w:rsidRPr="00155F06" w:rsidRDefault="00155F06" w:rsidP="00155F06">
      <w:pPr>
        <w:pStyle w:val="PBACHeading1"/>
        <w:numPr>
          <w:ilvl w:val="0"/>
          <w:numId w:val="0"/>
        </w:numPr>
        <w:ind w:left="720" w:hanging="720"/>
        <w:rPr>
          <w:rFonts w:ascii="Calibri" w:eastAsia="Calibri" w:hAnsi="Calibri"/>
          <w:b w:val="0"/>
          <w:snapToGrid/>
          <w:sz w:val="24"/>
        </w:rPr>
      </w:pPr>
    </w:p>
    <w:p w:rsidR="00155F06" w:rsidRPr="000F5F8B" w:rsidRDefault="00155F06" w:rsidP="00155F06">
      <w:pPr>
        <w:pStyle w:val="PBACHeading1"/>
        <w:widowControl w:val="0"/>
        <w:numPr>
          <w:ilvl w:val="1"/>
          <w:numId w:val="3"/>
        </w:numPr>
        <w:spacing w:after="120"/>
        <w:jc w:val="both"/>
        <w:rPr>
          <w:rFonts w:ascii="Calibri" w:eastAsia="Calibri" w:hAnsi="Calibri"/>
          <w:b w:val="0"/>
          <w:snapToGrid/>
          <w:sz w:val="24"/>
        </w:rPr>
      </w:pPr>
      <w:r w:rsidRPr="000F5F8B">
        <w:rPr>
          <w:rFonts w:ascii="Calibri" w:eastAsia="Calibri" w:hAnsi="Calibri"/>
          <w:b w:val="0"/>
          <w:snapToGrid/>
          <w:sz w:val="24"/>
        </w:rPr>
        <w:t>Details of the trials presented in the submission for the direct comparison are provided in the table below.</w:t>
      </w:r>
    </w:p>
    <w:p w:rsidR="00ED2B02" w:rsidRPr="00155F06" w:rsidRDefault="00ED2B02">
      <w:pPr>
        <w:widowControl/>
        <w:jc w:val="left"/>
        <w:rPr>
          <w:rFonts w:ascii="Calibri" w:eastAsia="Calibri" w:hAnsi="Calibri"/>
          <w:b/>
          <w:snapToGrid/>
          <w:sz w:val="24"/>
          <w:szCs w:val="22"/>
        </w:rPr>
      </w:pPr>
    </w:p>
    <w:p w:rsidR="00960248" w:rsidRDefault="00960248" w:rsidP="00960248">
      <w:pPr>
        <w:pStyle w:val="Caption"/>
      </w:pPr>
      <w:r>
        <w:t xml:space="preserve">Table </w:t>
      </w:r>
      <w:r w:rsidR="00910E30">
        <w:rPr>
          <w:noProof/>
        </w:rPr>
        <w:t>2</w:t>
      </w:r>
      <w:r w:rsidRPr="009507B6">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4"/>
        <w:gridCol w:w="5857"/>
        <w:gridCol w:w="2201"/>
      </w:tblGrid>
      <w:tr w:rsidR="00DB4897" w:rsidRPr="00F10C3A" w:rsidTr="00AD34A4">
        <w:trPr>
          <w:tblHeader/>
        </w:trPr>
        <w:tc>
          <w:tcPr>
            <w:tcW w:w="0" w:type="auto"/>
          </w:tcPr>
          <w:p w:rsidR="00DB4897" w:rsidRPr="00F10C3A" w:rsidRDefault="00DB4897" w:rsidP="00DB4897">
            <w:pPr>
              <w:pStyle w:val="Tabletext"/>
              <w:rPr>
                <w:rFonts w:eastAsia="Calibri"/>
                <w:b/>
              </w:rPr>
            </w:pPr>
            <w:r w:rsidRPr="00F10C3A">
              <w:rPr>
                <w:rFonts w:eastAsia="Calibri"/>
                <w:b/>
              </w:rPr>
              <w:t>Trial ID/First Author</w:t>
            </w:r>
          </w:p>
        </w:tc>
        <w:tc>
          <w:tcPr>
            <w:tcW w:w="0" w:type="auto"/>
          </w:tcPr>
          <w:p w:rsidR="00DB4897" w:rsidRPr="00F10C3A" w:rsidRDefault="00DB4897" w:rsidP="00DB4897">
            <w:pPr>
              <w:pStyle w:val="Tabletext"/>
              <w:rPr>
                <w:rFonts w:eastAsia="Calibri"/>
                <w:b/>
              </w:rPr>
            </w:pPr>
            <w:r w:rsidRPr="00F10C3A">
              <w:rPr>
                <w:rFonts w:eastAsia="Calibri"/>
                <w:b/>
              </w:rPr>
              <w:t>Protocol title/ Publication title</w:t>
            </w:r>
          </w:p>
        </w:tc>
        <w:tc>
          <w:tcPr>
            <w:tcW w:w="0" w:type="auto"/>
          </w:tcPr>
          <w:p w:rsidR="00DB4897" w:rsidRPr="00F10C3A" w:rsidRDefault="00DB4897" w:rsidP="00DB4897">
            <w:pPr>
              <w:pStyle w:val="Tabletext"/>
              <w:rPr>
                <w:rFonts w:eastAsia="Calibri"/>
                <w:b/>
              </w:rPr>
            </w:pPr>
            <w:r w:rsidRPr="00F10C3A">
              <w:rPr>
                <w:rFonts w:eastAsia="Calibri"/>
                <w:b/>
              </w:rPr>
              <w:t>Publication citation</w:t>
            </w:r>
          </w:p>
        </w:tc>
      </w:tr>
      <w:tr w:rsidR="00DB4897" w:rsidRPr="00F10C3A" w:rsidTr="00AD34A4">
        <w:tc>
          <w:tcPr>
            <w:tcW w:w="0" w:type="auto"/>
            <w:gridSpan w:val="3"/>
          </w:tcPr>
          <w:p w:rsidR="00DB4897" w:rsidRPr="00F10C3A" w:rsidRDefault="00DB4897" w:rsidP="00DB4897">
            <w:pPr>
              <w:pStyle w:val="Tabletext"/>
              <w:rPr>
                <w:rFonts w:eastAsia="Calibri"/>
                <w:b/>
              </w:rPr>
            </w:pPr>
            <w:r w:rsidRPr="00F10C3A">
              <w:rPr>
                <w:rFonts w:eastAsia="Calibri"/>
                <w:b/>
              </w:rPr>
              <w:t>Direct randomised trials (comparison of lozenge versus patch)</w:t>
            </w:r>
          </w:p>
        </w:tc>
      </w:tr>
      <w:tr w:rsidR="00DB4897" w:rsidRPr="00F10C3A" w:rsidTr="00AD34A4">
        <w:tc>
          <w:tcPr>
            <w:tcW w:w="0" w:type="auto"/>
          </w:tcPr>
          <w:p w:rsidR="00DB4897" w:rsidRPr="00F10C3A" w:rsidRDefault="005925BF" w:rsidP="005925BF">
            <w:pPr>
              <w:pStyle w:val="Tabletext"/>
              <w:rPr>
                <w:rFonts w:eastAsia="Calibri"/>
              </w:rPr>
            </w:pPr>
            <w:r w:rsidRPr="00F10C3A">
              <w:rPr>
                <w:rFonts w:eastAsia="Calibri"/>
              </w:rPr>
              <w:t xml:space="preserve">Piper </w:t>
            </w:r>
            <w:r w:rsidR="00DB4897" w:rsidRPr="00F10C3A">
              <w:rPr>
                <w:rFonts w:eastAsia="Calibri"/>
              </w:rPr>
              <w:t>2009</w:t>
            </w:r>
          </w:p>
        </w:tc>
        <w:tc>
          <w:tcPr>
            <w:tcW w:w="0" w:type="auto"/>
          </w:tcPr>
          <w:p w:rsidR="00DB4897" w:rsidRPr="00F10C3A" w:rsidRDefault="00DB4897" w:rsidP="00DB4897">
            <w:pPr>
              <w:pStyle w:val="Tabletext"/>
              <w:rPr>
                <w:rFonts w:eastAsia="Calibri"/>
              </w:rPr>
            </w:pPr>
            <w:r w:rsidRPr="00F10C3A">
              <w:rPr>
                <w:rFonts w:eastAsia="Calibri"/>
              </w:rPr>
              <w:t xml:space="preserve">Piper, ME, et al. "A Randomized Placebo-Controlled Clinical Trial of 5 Smoking Cessation Pharmacotherapies." </w:t>
            </w:r>
          </w:p>
        </w:tc>
        <w:tc>
          <w:tcPr>
            <w:tcW w:w="0" w:type="auto"/>
          </w:tcPr>
          <w:p w:rsidR="00DB4897" w:rsidRPr="00F10C3A" w:rsidRDefault="00DB4897" w:rsidP="00DB4897">
            <w:pPr>
              <w:pStyle w:val="Tabletext"/>
              <w:rPr>
                <w:rFonts w:eastAsia="Calibri"/>
              </w:rPr>
            </w:pPr>
            <w:r w:rsidRPr="00F10C3A">
              <w:rPr>
                <w:rFonts w:eastAsia="Calibri"/>
              </w:rPr>
              <w:t>Archives of general psychiatry</w:t>
            </w:r>
            <w:r w:rsidR="005925BF" w:rsidRPr="00F10C3A">
              <w:rPr>
                <w:rFonts w:eastAsia="Calibri"/>
              </w:rPr>
              <w:t xml:space="preserve"> 2009</w:t>
            </w:r>
            <w:r w:rsidRPr="00F10C3A">
              <w:rPr>
                <w:rFonts w:eastAsia="Calibri"/>
              </w:rPr>
              <w:t>; 66(11):1253-62.</w:t>
            </w:r>
          </w:p>
        </w:tc>
      </w:tr>
      <w:tr w:rsidR="00DB4897" w:rsidRPr="00F10C3A" w:rsidTr="00AD34A4">
        <w:tc>
          <w:tcPr>
            <w:tcW w:w="0" w:type="auto"/>
          </w:tcPr>
          <w:p w:rsidR="00DB4897" w:rsidRPr="00F10C3A" w:rsidRDefault="00DB4897" w:rsidP="005925BF">
            <w:pPr>
              <w:pStyle w:val="Tabletext"/>
              <w:rPr>
                <w:rFonts w:eastAsia="Calibri"/>
              </w:rPr>
            </w:pPr>
            <w:proofErr w:type="spellStart"/>
            <w:r w:rsidRPr="00F10C3A">
              <w:rPr>
                <w:rFonts w:eastAsia="Calibri"/>
              </w:rPr>
              <w:t>Schnoll</w:t>
            </w:r>
            <w:proofErr w:type="spellEnd"/>
            <w:r w:rsidRPr="00F10C3A">
              <w:rPr>
                <w:rFonts w:eastAsia="Calibri"/>
              </w:rPr>
              <w:t xml:space="preserve"> 2010</w:t>
            </w:r>
          </w:p>
        </w:tc>
        <w:tc>
          <w:tcPr>
            <w:tcW w:w="0" w:type="auto"/>
          </w:tcPr>
          <w:p w:rsidR="00DB4897" w:rsidRPr="00F10C3A" w:rsidRDefault="00DB4897" w:rsidP="00DB4897">
            <w:pPr>
              <w:pStyle w:val="Tabletext"/>
              <w:rPr>
                <w:rFonts w:eastAsia="Calibri"/>
              </w:rPr>
            </w:pPr>
            <w:proofErr w:type="spellStart"/>
            <w:r w:rsidRPr="00F10C3A">
              <w:rPr>
                <w:rFonts w:eastAsia="Calibri"/>
              </w:rPr>
              <w:t>Schnoll</w:t>
            </w:r>
            <w:proofErr w:type="spellEnd"/>
            <w:r w:rsidRPr="00F10C3A">
              <w:rPr>
                <w:rFonts w:eastAsia="Calibri"/>
              </w:rPr>
              <w:t xml:space="preserve">, RA., et al. "Nicotine Patch Vs. Nicotine Lozenge for Smoking Cessation: An Effectiveness Trial Coordinated by the Community Clinical Oncology Program." </w:t>
            </w:r>
          </w:p>
        </w:tc>
        <w:tc>
          <w:tcPr>
            <w:tcW w:w="0" w:type="auto"/>
          </w:tcPr>
          <w:p w:rsidR="00DB4897" w:rsidRPr="00F10C3A" w:rsidRDefault="00DB4897" w:rsidP="00DB4897">
            <w:pPr>
              <w:pStyle w:val="Tabletext"/>
              <w:rPr>
                <w:rFonts w:eastAsia="Calibri"/>
              </w:rPr>
            </w:pPr>
            <w:r w:rsidRPr="00F10C3A">
              <w:rPr>
                <w:rFonts w:eastAsia="Calibri"/>
              </w:rPr>
              <w:t xml:space="preserve">Drug &amp; Alcohol Dependence </w:t>
            </w:r>
            <w:r w:rsidR="005925BF" w:rsidRPr="00F10C3A">
              <w:rPr>
                <w:rFonts w:eastAsia="Calibri"/>
              </w:rPr>
              <w:t>2009</w:t>
            </w:r>
            <w:r w:rsidRPr="00F10C3A">
              <w:rPr>
                <w:rFonts w:eastAsia="Calibri"/>
              </w:rPr>
              <w:t>;107(2-3):237-43</w:t>
            </w:r>
          </w:p>
        </w:tc>
      </w:tr>
      <w:tr w:rsidR="00DB4897" w:rsidRPr="00F10C3A" w:rsidTr="00AD34A4">
        <w:tc>
          <w:tcPr>
            <w:tcW w:w="0" w:type="auto"/>
          </w:tcPr>
          <w:p w:rsidR="00DB4897" w:rsidRPr="00F10C3A" w:rsidRDefault="00DB4897" w:rsidP="005925BF">
            <w:pPr>
              <w:pStyle w:val="Tabletext"/>
              <w:rPr>
                <w:rFonts w:eastAsia="Calibri"/>
              </w:rPr>
            </w:pPr>
            <w:r w:rsidRPr="00F10C3A">
              <w:rPr>
                <w:rFonts w:eastAsia="Calibri"/>
              </w:rPr>
              <w:t>Smith 2009</w:t>
            </w:r>
          </w:p>
        </w:tc>
        <w:tc>
          <w:tcPr>
            <w:tcW w:w="0" w:type="auto"/>
          </w:tcPr>
          <w:p w:rsidR="00DB4897" w:rsidRPr="00F10C3A" w:rsidRDefault="00DB4897" w:rsidP="00DB4897">
            <w:pPr>
              <w:pStyle w:val="Tabletext"/>
              <w:rPr>
                <w:rFonts w:eastAsia="Calibri"/>
              </w:rPr>
            </w:pPr>
            <w:r w:rsidRPr="00F10C3A">
              <w:rPr>
                <w:rFonts w:eastAsia="Calibri"/>
              </w:rPr>
              <w:t xml:space="preserve">Smith, SS, et al. "Comparative Effectiveness of 5 Smoking Cessation Pharmacotherapies in Primary Care Clinics." </w:t>
            </w:r>
          </w:p>
        </w:tc>
        <w:tc>
          <w:tcPr>
            <w:tcW w:w="0" w:type="auto"/>
          </w:tcPr>
          <w:p w:rsidR="00DB4897" w:rsidRPr="00F10C3A" w:rsidRDefault="00DB4897" w:rsidP="00DB4897">
            <w:pPr>
              <w:pStyle w:val="Tabletext"/>
              <w:rPr>
                <w:rFonts w:eastAsia="Calibri"/>
              </w:rPr>
            </w:pPr>
            <w:r w:rsidRPr="00F10C3A">
              <w:rPr>
                <w:rFonts w:eastAsia="Calibri"/>
              </w:rPr>
              <w:t>Archives of internal medicine</w:t>
            </w:r>
            <w:r w:rsidR="005925BF" w:rsidRPr="00F10C3A">
              <w:rPr>
                <w:rFonts w:eastAsia="Calibri"/>
              </w:rPr>
              <w:t xml:space="preserve"> 2009</w:t>
            </w:r>
            <w:r w:rsidRPr="00F10C3A">
              <w:rPr>
                <w:rFonts w:eastAsia="Calibri"/>
              </w:rPr>
              <w:t>; 169(22): 2148-55</w:t>
            </w:r>
          </w:p>
        </w:tc>
      </w:tr>
    </w:tbl>
    <w:p w:rsidR="00E05A25" w:rsidRPr="00F10C3A" w:rsidRDefault="00E05A25" w:rsidP="00DB4897">
      <w:pPr>
        <w:keepLines/>
        <w:rPr>
          <w:rFonts w:ascii="Arial Narrow" w:hAnsi="Arial Narrow"/>
          <w:sz w:val="18"/>
        </w:rPr>
      </w:pPr>
      <w:r w:rsidRPr="00F10C3A">
        <w:rPr>
          <w:rFonts w:ascii="Arial Narrow" w:hAnsi="Arial Narrow"/>
          <w:sz w:val="18"/>
        </w:rPr>
        <w:t>Source: Tables B-6, p42 and B-15, p59-60 of the submission.</w:t>
      </w:r>
    </w:p>
    <w:p w:rsidR="001557E0" w:rsidRPr="00F10C3A" w:rsidRDefault="001557E0" w:rsidP="00DB4897">
      <w:pPr>
        <w:keepLines/>
        <w:rPr>
          <w:rFonts w:ascii="Arial Narrow" w:hAnsi="Arial Narrow"/>
          <w:sz w:val="18"/>
        </w:rPr>
      </w:pPr>
      <w:proofErr w:type="spellStart"/>
      <w:proofErr w:type="gramStart"/>
      <w:r w:rsidRPr="00F10C3A">
        <w:rPr>
          <w:rFonts w:ascii="Arial Narrow" w:hAnsi="Arial Narrow"/>
          <w:sz w:val="18"/>
          <w:vertAlign w:val="superscript"/>
        </w:rPr>
        <w:t>a</w:t>
      </w:r>
      <w:proofErr w:type="spellEnd"/>
      <w:proofErr w:type="gramEnd"/>
      <w:r w:rsidRPr="00F10C3A">
        <w:rPr>
          <w:rFonts w:ascii="Arial Narrow" w:hAnsi="Arial Narrow"/>
          <w:sz w:val="18"/>
        </w:rPr>
        <w:t xml:space="preserve"> Updated to include 11 studies on patch versus control</w:t>
      </w:r>
    </w:p>
    <w:p w:rsidR="000E2007" w:rsidRPr="00F10C3A" w:rsidRDefault="000E2007" w:rsidP="00154AC3">
      <w:pPr>
        <w:pStyle w:val="PBACHeading1"/>
        <w:numPr>
          <w:ilvl w:val="0"/>
          <w:numId w:val="0"/>
        </w:numPr>
        <w:rPr>
          <w:rFonts w:eastAsia="Calibri"/>
          <w:snapToGrid/>
        </w:rPr>
      </w:pPr>
    </w:p>
    <w:p w:rsidR="0045698A" w:rsidRPr="00F10C3A" w:rsidRDefault="0045698A"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The key features</w:t>
      </w:r>
      <w:r w:rsidR="00D90A4F" w:rsidRPr="00F10C3A">
        <w:rPr>
          <w:rFonts w:ascii="Calibri" w:eastAsia="Calibri" w:hAnsi="Calibri"/>
          <w:snapToGrid/>
          <w:sz w:val="24"/>
          <w:szCs w:val="22"/>
        </w:rPr>
        <w:t xml:space="preserve"> of the randomised trial</w:t>
      </w:r>
      <w:r w:rsidR="009D1990" w:rsidRPr="00F10C3A">
        <w:rPr>
          <w:rFonts w:ascii="Calibri" w:eastAsia="Calibri" w:hAnsi="Calibri"/>
          <w:snapToGrid/>
          <w:sz w:val="24"/>
          <w:szCs w:val="22"/>
        </w:rPr>
        <w:t>s</w:t>
      </w:r>
      <w:r w:rsidR="00E45006" w:rsidRPr="00F10C3A">
        <w:rPr>
          <w:rFonts w:ascii="Calibri" w:eastAsia="Calibri" w:hAnsi="Calibri"/>
          <w:snapToGrid/>
          <w:sz w:val="24"/>
          <w:szCs w:val="22"/>
        </w:rPr>
        <w:t xml:space="preserve"> used in the direct comparison between nicotine lozenges and nicotine patches </w:t>
      </w:r>
      <w:r w:rsidR="000F5F8B">
        <w:rPr>
          <w:rFonts w:ascii="Calibri" w:eastAsia="Calibri" w:hAnsi="Calibri"/>
          <w:snapToGrid/>
          <w:sz w:val="24"/>
          <w:szCs w:val="22"/>
        </w:rPr>
        <w:t>are</w:t>
      </w:r>
      <w:r w:rsidRPr="00F10C3A">
        <w:rPr>
          <w:rFonts w:ascii="Calibri" w:eastAsia="Calibri" w:hAnsi="Calibri"/>
          <w:snapToGrid/>
          <w:sz w:val="24"/>
          <w:szCs w:val="22"/>
        </w:rPr>
        <w:t xml:space="preserve"> </w:t>
      </w:r>
      <w:r w:rsidR="00F21840" w:rsidRPr="00F10C3A">
        <w:rPr>
          <w:rFonts w:ascii="Calibri" w:eastAsia="Calibri" w:hAnsi="Calibri"/>
          <w:snapToGrid/>
          <w:sz w:val="24"/>
          <w:szCs w:val="22"/>
        </w:rPr>
        <w:t>summarised in the table below.</w:t>
      </w:r>
    </w:p>
    <w:p w:rsidR="000E2007" w:rsidRPr="00F10C3A" w:rsidRDefault="000E2007" w:rsidP="000E2007">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3</w:t>
      </w:r>
      <w:r w:rsidRPr="00E30D3B">
        <w:t>: Key features of the included evidence, direct comparison of nicotine lozenges versus patches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774"/>
        <w:gridCol w:w="2005"/>
        <w:gridCol w:w="1079"/>
        <w:gridCol w:w="1542"/>
        <w:gridCol w:w="1233"/>
        <w:gridCol w:w="1215"/>
      </w:tblGrid>
      <w:tr w:rsidR="0045698A" w:rsidRPr="00F10C3A" w:rsidTr="00310B78">
        <w:tc>
          <w:tcPr>
            <w:tcW w:w="679" w:type="pct"/>
            <w:shd w:val="clear" w:color="auto" w:fill="auto"/>
            <w:vAlign w:val="center"/>
          </w:tcPr>
          <w:p w:rsidR="0045698A" w:rsidRPr="00F10C3A" w:rsidRDefault="0045698A" w:rsidP="00310B78">
            <w:pPr>
              <w:pStyle w:val="TableText1"/>
              <w:rPr>
                <w:b/>
              </w:rPr>
            </w:pPr>
            <w:r w:rsidRPr="00F10C3A">
              <w:rPr>
                <w:b/>
              </w:rPr>
              <w:t>Trial</w:t>
            </w:r>
          </w:p>
        </w:tc>
        <w:tc>
          <w:tcPr>
            <w:tcW w:w="426" w:type="pct"/>
            <w:shd w:val="clear" w:color="auto" w:fill="auto"/>
            <w:vAlign w:val="center"/>
          </w:tcPr>
          <w:p w:rsidR="0045698A" w:rsidRPr="00F10C3A" w:rsidRDefault="0045698A" w:rsidP="00310B78">
            <w:pPr>
              <w:pStyle w:val="TableText1"/>
              <w:rPr>
                <w:b/>
              </w:rPr>
            </w:pPr>
            <w:r w:rsidRPr="00F10C3A">
              <w:rPr>
                <w:b/>
              </w:rPr>
              <w:t>N</w:t>
            </w:r>
          </w:p>
        </w:tc>
        <w:tc>
          <w:tcPr>
            <w:tcW w:w="1104" w:type="pct"/>
            <w:shd w:val="clear" w:color="auto" w:fill="auto"/>
            <w:vAlign w:val="center"/>
          </w:tcPr>
          <w:p w:rsidR="0045698A" w:rsidRPr="00F10C3A" w:rsidRDefault="0045698A" w:rsidP="00310B78">
            <w:pPr>
              <w:pStyle w:val="TableText1"/>
              <w:rPr>
                <w:b/>
              </w:rPr>
            </w:pPr>
            <w:r w:rsidRPr="00F10C3A">
              <w:rPr>
                <w:b/>
              </w:rPr>
              <w:t>Design/ duration of follow-up</w:t>
            </w:r>
          </w:p>
        </w:tc>
        <w:tc>
          <w:tcPr>
            <w:tcW w:w="594" w:type="pct"/>
            <w:shd w:val="clear" w:color="auto" w:fill="auto"/>
            <w:vAlign w:val="center"/>
          </w:tcPr>
          <w:p w:rsidR="0045698A" w:rsidRPr="00F10C3A" w:rsidRDefault="0045698A" w:rsidP="00310B78">
            <w:pPr>
              <w:pStyle w:val="TableText1"/>
              <w:rPr>
                <w:b/>
              </w:rPr>
            </w:pPr>
            <w:r w:rsidRPr="00F10C3A">
              <w:rPr>
                <w:b/>
              </w:rPr>
              <w:t>Risk of bias</w:t>
            </w:r>
          </w:p>
        </w:tc>
        <w:tc>
          <w:tcPr>
            <w:tcW w:w="849" w:type="pct"/>
            <w:shd w:val="clear" w:color="auto" w:fill="auto"/>
            <w:vAlign w:val="center"/>
          </w:tcPr>
          <w:p w:rsidR="0045698A" w:rsidRPr="00F10C3A" w:rsidRDefault="0045698A" w:rsidP="00310B78">
            <w:pPr>
              <w:pStyle w:val="TableText1"/>
              <w:rPr>
                <w:b/>
              </w:rPr>
            </w:pPr>
            <w:r w:rsidRPr="00F10C3A">
              <w:rPr>
                <w:b/>
              </w:rPr>
              <w:t>Patient population</w:t>
            </w:r>
          </w:p>
        </w:tc>
        <w:tc>
          <w:tcPr>
            <w:tcW w:w="679" w:type="pct"/>
            <w:shd w:val="clear" w:color="auto" w:fill="auto"/>
            <w:vAlign w:val="center"/>
          </w:tcPr>
          <w:p w:rsidR="0045698A" w:rsidRPr="00F10C3A" w:rsidRDefault="0045698A" w:rsidP="000F5F8B">
            <w:pPr>
              <w:pStyle w:val="TableText1"/>
              <w:rPr>
                <w:b/>
              </w:rPr>
            </w:pPr>
            <w:r w:rsidRPr="00F10C3A">
              <w:rPr>
                <w:b/>
              </w:rPr>
              <w:t>Outcome</w:t>
            </w:r>
          </w:p>
        </w:tc>
        <w:tc>
          <w:tcPr>
            <w:tcW w:w="669" w:type="pct"/>
            <w:shd w:val="clear" w:color="auto" w:fill="auto"/>
            <w:vAlign w:val="center"/>
          </w:tcPr>
          <w:p w:rsidR="0045698A" w:rsidRPr="00F10C3A" w:rsidRDefault="0045698A" w:rsidP="00310B78">
            <w:pPr>
              <w:pStyle w:val="TableText1"/>
              <w:rPr>
                <w:b/>
              </w:rPr>
            </w:pPr>
            <w:r w:rsidRPr="00F10C3A">
              <w:rPr>
                <w:b/>
              </w:rPr>
              <w:t>Use</w:t>
            </w:r>
            <w:r w:rsidR="0033132B" w:rsidRPr="00F10C3A">
              <w:rPr>
                <w:b/>
              </w:rPr>
              <w:t xml:space="preserve"> in CMA</w:t>
            </w:r>
          </w:p>
        </w:tc>
      </w:tr>
      <w:tr w:rsidR="009D1990" w:rsidRPr="00F10C3A" w:rsidTr="00310B78">
        <w:tc>
          <w:tcPr>
            <w:tcW w:w="679" w:type="pct"/>
          </w:tcPr>
          <w:p w:rsidR="009D1990" w:rsidRPr="00F10C3A" w:rsidRDefault="009D1990" w:rsidP="00310B78">
            <w:pPr>
              <w:pStyle w:val="TableText1"/>
            </w:pPr>
            <w:r w:rsidRPr="00F10C3A">
              <w:t>Piper (2009)</w:t>
            </w:r>
          </w:p>
        </w:tc>
        <w:tc>
          <w:tcPr>
            <w:tcW w:w="426" w:type="pct"/>
            <w:shd w:val="clear" w:color="auto" w:fill="auto"/>
            <w:vAlign w:val="center"/>
          </w:tcPr>
          <w:p w:rsidR="009D1990" w:rsidRPr="00F10C3A" w:rsidRDefault="009D1990" w:rsidP="00310B78">
            <w:pPr>
              <w:pStyle w:val="TableText1"/>
              <w:rPr>
                <w:rFonts w:ascii="Times" w:hAnsi="Times" w:cs="Times New Roman"/>
              </w:rPr>
            </w:pPr>
            <w:r w:rsidRPr="00F10C3A">
              <w:t>1,504</w:t>
            </w:r>
          </w:p>
        </w:tc>
        <w:tc>
          <w:tcPr>
            <w:tcW w:w="1104" w:type="pct"/>
            <w:shd w:val="clear" w:color="auto" w:fill="auto"/>
            <w:vAlign w:val="center"/>
          </w:tcPr>
          <w:p w:rsidR="009D1990" w:rsidRPr="00F10C3A" w:rsidRDefault="009D1990" w:rsidP="00310B78">
            <w:pPr>
              <w:pStyle w:val="TableText1"/>
              <w:rPr>
                <w:rFonts w:ascii="Times" w:hAnsi="Times" w:cs="Times New Roman"/>
              </w:rPr>
            </w:pPr>
            <w:r w:rsidRPr="00F10C3A">
              <w:t>R, DB</w:t>
            </w:r>
          </w:p>
          <w:p w:rsidR="009D1990" w:rsidRPr="00F10C3A" w:rsidRDefault="009D1990" w:rsidP="00310B78">
            <w:pPr>
              <w:pStyle w:val="TableText1"/>
              <w:rPr>
                <w:rFonts w:ascii="Times" w:hAnsi="Times" w:cs="Times New Roman"/>
              </w:rPr>
            </w:pPr>
            <w:r w:rsidRPr="00F10C3A">
              <w:t xml:space="preserve">6 </w:t>
            </w:r>
            <w:proofErr w:type="spellStart"/>
            <w:r w:rsidRPr="00F10C3A">
              <w:t>mths</w:t>
            </w:r>
            <w:proofErr w:type="spellEnd"/>
          </w:p>
        </w:tc>
        <w:tc>
          <w:tcPr>
            <w:tcW w:w="594" w:type="pct"/>
            <w:shd w:val="clear" w:color="auto" w:fill="auto"/>
            <w:vAlign w:val="center"/>
          </w:tcPr>
          <w:p w:rsidR="009D1990" w:rsidRPr="00F10C3A" w:rsidRDefault="009D1990" w:rsidP="00310B78">
            <w:pPr>
              <w:pStyle w:val="TableText1"/>
              <w:rPr>
                <w:rFonts w:ascii="Times" w:hAnsi="Times" w:cs="Times New Roman"/>
              </w:rPr>
            </w:pPr>
            <w:r w:rsidRPr="00F10C3A">
              <w:t>Low</w:t>
            </w:r>
          </w:p>
        </w:tc>
        <w:tc>
          <w:tcPr>
            <w:tcW w:w="849" w:type="pct"/>
            <w:vMerge w:val="restart"/>
            <w:shd w:val="clear" w:color="auto" w:fill="auto"/>
            <w:vAlign w:val="center"/>
          </w:tcPr>
          <w:p w:rsidR="009D1990" w:rsidRPr="00F10C3A" w:rsidRDefault="009D1990" w:rsidP="00310B78">
            <w:pPr>
              <w:pStyle w:val="TableText1"/>
              <w:rPr>
                <w:rFonts w:ascii="Times" w:hAnsi="Times" w:cs="Times New Roman"/>
              </w:rPr>
            </w:pPr>
            <w:r w:rsidRPr="00F10C3A">
              <w:t xml:space="preserve">Adults smoking ≥ 10 </w:t>
            </w:r>
            <w:r w:rsidR="000F5F8B">
              <w:t>cigarettes per day</w:t>
            </w:r>
          </w:p>
        </w:tc>
        <w:tc>
          <w:tcPr>
            <w:tcW w:w="679" w:type="pct"/>
            <w:vMerge w:val="restart"/>
            <w:shd w:val="clear" w:color="auto" w:fill="auto"/>
            <w:vAlign w:val="center"/>
          </w:tcPr>
          <w:p w:rsidR="009D1990" w:rsidRPr="00F10C3A" w:rsidRDefault="009D1990" w:rsidP="00310B78">
            <w:pPr>
              <w:pStyle w:val="TableText1"/>
              <w:rPr>
                <w:rFonts w:ascii="Times" w:hAnsi="Times" w:cs="Times New Roman"/>
              </w:rPr>
            </w:pPr>
            <w:r w:rsidRPr="00F10C3A">
              <w:t>Sustained abstinence rate</w:t>
            </w:r>
          </w:p>
        </w:tc>
        <w:tc>
          <w:tcPr>
            <w:tcW w:w="669" w:type="pct"/>
            <w:shd w:val="clear" w:color="auto" w:fill="auto"/>
            <w:vAlign w:val="center"/>
          </w:tcPr>
          <w:p w:rsidR="009D1990" w:rsidRPr="00F10C3A" w:rsidRDefault="004859EF" w:rsidP="00310B78">
            <w:pPr>
              <w:pStyle w:val="TableText1"/>
              <w:rPr>
                <w:rFonts w:ascii="Times" w:hAnsi="Times" w:cs="Times New Roman"/>
              </w:rPr>
            </w:pPr>
            <w:r w:rsidRPr="00F10C3A">
              <w:t>Utilisation of lozenges</w:t>
            </w:r>
          </w:p>
        </w:tc>
      </w:tr>
      <w:tr w:rsidR="009D1990" w:rsidRPr="00F10C3A" w:rsidTr="00310B78">
        <w:tc>
          <w:tcPr>
            <w:tcW w:w="679" w:type="pct"/>
          </w:tcPr>
          <w:p w:rsidR="009D1990" w:rsidRPr="00F10C3A" w:rsidRDefault="009D1990" w:rsidP="00310B78">
            <w:pPr>
              <w:pStyle w:val="TableText1"/>
              <w:rPr>
                <w:rFonts w:ascii="Times" w:hAnsi="Times" w:cs="Times New Roman"/>
              </w:rPr>
            </w:pPr>
            <w:proofErr w:type="spellStart"/>
            <w:r w:rsidRPr="00F10C3A">
              <w:t>Schnoll</w:t>
            </w:r>
            <w:proofErr w:type="spellEnd"/>
            <w:r w:rsidRPr="00F10C3A">
              <w:t xml:space="preserve"> (2010)</w:t>
            </w:r>
          </w:p>
        </w:tc>
        <w:tc>
          <w:tcPr>
            <w:tcW w:w="426" w:type="pct"/>
            <w:shd w:val="clear" w:color="auto" w:fill="auto"/>
            <w:vAlign w:val="center"/>
          </w:tcPr>
          <w:p w:rsidR="009D1990" w:rsidRPr="00F10C3A" w:rsidRDefault="009D1990" w:rsidP="00310B78">
            <w:pPr>
              <w:pStyle w:val="TableText1"/>
              <w:rPr>
                <w:rFonts w:ascii="Times" w:hAnsi="Times" w:cs="Times New Roman"/>
              </w:rPr>
            </w:pPr>
            <w:r w:rsidRPr="00F10C3A">
              <w:t>642</w:t>
            </w:r>
          </w:p>
        </w:tc>
        <w:tc>
          <w:tcPr>
            <w:tcW w:w="1104" w:type="pct"/>
            <w:shd w:val="clear" w:color="auto" w:fill="auto"/>
            <w:vAlign w:val="center"/>
          </w:tcPr>
          <w:p w:rsidR="009D1990" w:rsidRPr="00F10C3A" w:rsidRDefault="009D1990" w:rsidP="00310B78">
            <w:pPr>
              <w:pStyle w:val="TableText1"/>
              <w:rPr>
                <w:rFonts w:ascii="Times" w:hAnsi="Times" w:cs="Times New Roman"/>
              </w:rPr>
            </w:pPr>
            <w:r w:rsidRPr="00F10C3A">
              <w:t xml:space="preserve">R, </w:t>
            </w:r>
            <w:r w:rsidR="0033132B" w:rsidRPr="00F10C3A">
              <w:t>OL</w:t>
            </w:r>
          </w:p>
          <w:p w:rsidR="009D1990" w:rsidRPr="00F10C3A" w:rsidRDefault="0033132B" w:rsidP="00310B78">
            <w:pPr>
              <w:pStyle w:val="TableText1"/>
              <w:rPr>
                <w:rFonts w:ascii="Times" w:hAnsi="Times" w:cs="Times New Roman"/>
              </w:rPr>
            </w:pPr>
            <w:r w:rsidRPr="00F10C3A">
              <w:t>6</w:t>
            </w:r>
            <w:r w:rsidR="009D1990" w:rsidRPr="00F10C3A">
              <w:t xml:space="preserve"> </w:t>
            </w:r>
            <w:proofErr w:type="spellStart"/>
            <w:r w:rsidR="009D1990" w:rsidRPr="00F10C3A">
              <w:t>mths</w:t>
            </w:r>
            <w:proofErr w:type="spellEnd"/>
          </w:p>
        </w:tc>
        <w:tc>
          <w:tcPr>
            <w:tcW w:w="594" w:type="pct"/>
            <w:shd w:val="clear" w:color="auto" w:fill="auto"/>
            <w:vAlign w:val="center"/>
          </w:tcPr>
          <w:p w:rsidR="009D1990" w:rsidRPr="00F10C3A" w:rsidRDefault="009D1990" w:rsidP="00310B78">
            <w:pPr>
              <w:pStyle w:val="TableText1"/>
              <w:rPr>
                <w:rFonts w:ascii="Times" w:hAnsi="Times" w:cs="Times New Roman"/>
              </w:rPr>
            </w:pPr>
            <w:r w:rsidRPr="00F10C3A">
              <w:t>Low</w:t>
            </w:r>
          </w:p>
        </w:tc>
        <w:tc>
          <w:tcPr>
            <w:tcW w:w="849" w:type="pct"/>
            <w:vMerge/>
            <w:shd w:val="clear" w:color="auto" w:fill="auto"/>
            <w:vAlign w:val="center"/>
          </w:tcPr>
          <w:p w:rsidR="009D1990" w:rsidRPr="00F10C3A" w:rsidRDefault="009D1990" w:rsidP="00310B78">
            <w:pPr>
              <w:pStyle w:val="TableText1"/>
              <w:rPr>
                <w:rFonts w:ascii="Times" w:hAnsi="Times" w:cs="Times New Roman"/>
              </w:rPr>
            </w:pPr>
          </w:p>
        </w:tc>
        <w:tc>
          <w:tcPr>
            <w:tcW w:w="679" w:type="pct"/>
            <w:vMerge/>
            <w:shd w:val="clear" w:color="auto" w:fill="auto"/>
            <w:vAlign w:val="center"/>
          </w:tcPr>
          <w:p w:rsidR="009D1990" w:rsidRPr="00F10C3A" w:rsidRDefault="009D1990" w:rsidP="00310B78">
            <w:pPr>
              <w:pStyle w:val="TableText1"/>
              <w:rPr>
                <w:rFonts w:ascii="Times" w:hAnsi="Times" w:cs="Times New Roman"/>
              </w:rPr>
            </w:pPr>
          </w:p>
        </w:tc>
        <w:tc>
          <w:tcPr>
            <w:tcW w:w="669" w:type="pct"/>
            <w:shd w:val="clear" w:color="auto" w:fill="auto"/>
            <w:vAlign w:val="center"/>
          </w:tcPr>
          <w:p w:rsidR="009D1990" w:rsidRPr="00F10C3A" w:rsidRDefault="009D1990" w:rsidP="00310B78">
            <w:pPr>
              <w:pStyle w:val="TableText1"/>
              <w:rPr>
                <w:rFonts w:ascii="Times" w:hAnsi="Times" w:cs="Times New Roman"/>
              </w:rPr>
            </w:pPr>
            <w:r w:rsidRPr="00F10C3A">
              <w:t>Not used</w:t>
            </w:r>
          </w:p>
        </w:tc>
      </w:tr>
      <w:tr w:rsidR="009D1990" w:rsidRPr="00F10C3A" w:rsidTr="00310B78">
        <w:tc>
          <w:tcPr>
            <w:tcW w:w="679" w:type="pct"/>
          </w:tcPr>
          <w:p w:rsidR="009D1990" w:rsidRPr="00F10C3A" w:rsidRDefault="009D1990" w:rsidP="00310B78">
            <w:pPr>
              <w:pStyle w:val="TableText1"/>
              <w:keepNext w:val="0"/>
              <w:keepLines/>
              <w:rPr>
                <w:rFonts w:ascii="Times" w:hAnsi="Times" w:cs="Times New Roman"/>
              </w:rPr>
            </w:pPr>
            <w:r w:rsidRPr="00F10C3A">
              <w:t>Smith (2009)</w:t>
            </w:r>
          </w:p>
        </w:tc>
        <w:tc>
          <w:tcPr>
            <w:tcW w:w="426" w:type="pct"/>
            <w:shd w:val="clear" w:color="auto" w:fill="auto"/>
            <w:vAlign w:val="center"/>
          </w:tcPr>
          <w:p w:rsidR="009D1990" w:rsidRPr="00F10C3A" w:rsidRDefault="009D1990" w:rsidP="00310B78">
            <w:pPr>
              <w:pStyle w:val="TableText1"/>
              <w:keepNext w:val="0"/>
              <w:keepLines/>
              <w:rPr>
                <w:rFonts w:ascii="Times" w:hAnsi="Times" w:cs="Times New Roman"/>
              </w:rPr>
            </w:pPr>
            <w:r w:rsidRPr="00F10C3A">
              <w:t>1,346</w:t>
            </w:r>
          </w:p>
        </w:tc>
        <w:tc>
          <w:tcPr>
            <w:tcW w:w="1104" w:type="pct"/>
            <w:shd w:val="clear" w:color="auto" w:fill="auto"/>
            <w:vAlign w:val="center"/>
          </w:tcPr>
          <w:p w:rsidR="009D1990" w:rsidRPr="00F10C3A" w:rsidRDefault="009D1990" w:rsidP="00310B78">
            <w:pPr>
              <w:pStyle w:val="TableText1"/>
              <w:keepNext w:val="0"/>
              <w:keepLines/>
              <w:rPr>
                <w:rFonts w:ascii="Times" w:hAnsi="Times" w:cs="Times New Roman"/>
              </w:rPr>
            </w:pPr>
            <w:r w:rsidRPr="00F10C3A">
              <w:t xml:space="preserve">R, </w:t>
            </w:r>
            <w:r w:rsidR="0033132B" w:rsidRPr="00F10C3A">
              <w:t>OL</w:t>
            </w:r>
          </w:p>
          <w:p w:rsidR="009D1990" w:rsidRPr="00F10C3A" w:rsidRDefault="0033132B" w:rsidP="00310B78">
            <w:pPr>
              <w:pStyle w:val="TableText1"/>
              <w:keepNext w:val="0"/>
              <w:keepLines/>
              <w:rPr>
                <w:rFonts w:ascii="Times" w:hAnsi="Times" w:cs="Times New Roman"/>
              </w:rPr>
            </w:pPr>
            <w:r w:rsidRPr="00F10C3A">
              <w:t>6</w:t>
            </w:r>
            <w:r w:rsidR="009D1990" w:rsidRPr="00F10C3A">
              <w:t xml:space="preserve"> </w:t>
            </w:r>
            <w:proofErr w:type="spellStart"/>
            <w:r w:rsidR="009D1990" w:rsidRPr="00F10C3A">
              <w:t>mths</w:t>
            </w:r>
            <w:proofErr w:type="spellEnd"/>
          </w:p>
        </w:tc>
        <w:tc>
          <w:tcPr>
            <w:tcW w:w="594" w:type="pct"/>
            <w:shd w:val="clear" w:color="auto" w:fill="auto"/>
            <w:vAlign w:val="center"/>
          </w:tcPr>
          <w:p w:rsidR="009D1990" w:rsidRPr="00F10C3A" w:rsidRDefault="009D1990" w:rsidP="00310B78">
            <w:pPr>
              <w:pStyle w:val="TableText1"/>
              <w:keepNext w:val="0"/>
              <w:keepLines/>
              <w:rPr>
                <w:rFonts w:ascii="Times" w:hAnsi="Times" w:cs="Times New Roman"/>
              </w:rPr>
            </w:pPr>
            <w:r w:rsidRPr="00F10C3A">
              <w:t>High</w:t>
            </w:r>
          </w:p>
        </w:tc>
        <w:tc>
          <w:tcPr>
            <w:tcW w:w="849" w:type="pct"/>
            <w:vMerge/>
            <w:shd w:val="clear" w:color="auto" w:fill="auto"/>
            <w:vAlign w:val="center"/>
          </w:tcPr>
          <w:p w:rsidR="009D1990" w:rsidRPr="00F10C3A" w:rsidRDefault="009D1990" w:rsidP="00310B78">
            <w:pPr>
              <w:pStyle w:val="TableText1"/>
              <w:keepNext w:val="0"/>
              <w:keepLines/>
              <w:rPr>
                <w:rFonts w:ascii="Times" w:hAnsi="Times" w:cs="Times New Roman"/>
              </w:rPr>
            </w:pPr>
          </w:p>
        </w:tc>
        <w:tc>
          <w:tcPr>
            <w:tcW w:w="679" w:type="pct"/>
            <w:vMerge/>
            <w:shd w:val="clear" w:color="auto" w:fill="auto"/>
            <w:vAlign w:val="center"/>
          </w:tcPr>
          <w:p w:rsidR="009D1990" w:rsidRPr="00F10C3A" w:rsidRDefault="009D1990" w:rsidP="00310B78">
            <w:pPr>
              <w:pStyle w:val="TableText1"/>
              <w:keepNext w:val="0"/>
              <w:keepLines/>
              <w:rPr>
                <w:rFonts w:ascii="Times" w:hAnsi="Times" w:cs="Times New Roman"/>
              </w:rPr>
            </w:pPr>
          </w:p>
        </w:tc>
        <w:tc>
          <w:tcPr>
            <w:tcW w:w="669" w:type="pct"/>
            <w:shd w:val="clear" w:color="auto" w:fill="auto"/>
            <w:vAlign w:val="center"/>
          </w:tcPr>
          <w:p w:rsidR="009D1990" w:rsidRPr="00F10C3A" w:rsidRDefault="009D1990" w:rsidP="00310B78">
            <w:pPr>
              <w:pStyle w:val="TableText1"/>
              <w:keepNext w:val="0"/>
              <w:keepLines/>
              <w:rPr>
                <w:rFonts w:ascii="Times" w:hAnsi="Times" w:cs="Times New Roman"/>
              </w:rPr>
            </w:pPr>
            <w:r w:rsidRPr="00F10C3A">
              <w:t>Not used</w:t>
            </w:r>
          </w:p>
        </w:tc>
      </w:tr>
    </w:tbl>
    <w:p w:rsidR="00594420" w:rsidRPr="00F10C3A" w:rsidRDefault="00594420" w:rsidP="00594420">
      <w:pPr>
        <w:keepLines/>
        <w:contextualSpacing/>
        <w:rPr>
          <w:rFonts w:ascii="Arial Narrow" w:hAnsi="Arial Narrow"/>
          <w:sz w:val="18"/>
        </w:rPr>
      </w:pPr>
      <w:r w:rsidRPr="00F10C3A">
        <w:rPr>
          <w:rFonts w:ascii="Arial Narrow" w:hAnsi="Arial Narrow"/>
          <w:sz w:val="18"/>
        </w:rPr>
        <w:t>Source: compiled during the evaluation</w:t>
      </w:r>
    </w:p>
    <w:p w:rsidR="0045698A" w:rsidRPr="00F10C3A" w:rsidRDefault="0033132B" w:rsidP="000E2007">
      <w:pPr>
        <w:keepLines/>
        <w:contextualSpacing/>
        <w:rPr>
          <w:rFonts w:ascii="Arial Narrow" w:hAnsi="Arial Narrow"/>
          <w:sz w:val="18"/>
        </w:rPr>
      </w:pPr>
      <w:r w:rsidRPr="00F10C3A">
        <w:rPr>
          <w:rFonts w:ascii="Arial Narrow" w:hAnsi="Arial Narrow"/>
          <w:sz w:val="18"/>
        </w:rPr>
        <w:t>CMA = cost minimisation analysis</w:t>
      </w:r>
      <w:r w:rsidR="009D1990" w:rsidRPr="00F10C3A">
        <w:rPr>
          <w:rFonts w:ascii="Arial Narrow" w:hAnsi="Arial Narrow"/>
          <w:sz w:val="18"/>
        </w:rPr>
        <w:t xml:space="preserve"> DB</w:t>
      </w:r>
      <w:r w:rsidR="00594420" w:rsidRPr="00F10C3A">
        <w:rPr>
          <w:rFonts w:ascii="Arial Narrow" w:hAnsi="Arial Narrow"/>
          <w:sz w:val="18"/>
        </w:rPr>
        <w:t xml:space="preserve"> </w:t>
      </w:r>
      <w:r w:rsidR="009D1990" w:rsidRPr="00F10C3A">
        <w:rPr>
          <w:rFonts w:ascii="Arial Narrow" w:hAnsi="Arial Narrow"/>
          <w:sz w:val="18"/>
        </w:rPr>
        <w:t>=</w:t>
      </w:r>
      <w:r w:rsidR="00594420" w:rsidRPr="00F10C3A">
        <w:rPr>
          <w:rFonts w:ascii="Arial Narrow" w:hAnsi="Arial Narrow"/>
          <w:sz w:val="18"/>
        </w:rPr>
        <w:t xml:space="preserve"> </w:t>
      </w:r>
      <w:r w:rsidR="009D1990" w:rsidRPr="00F10C3A">
        <w:rPr>
          <w:rFonts w:ascii="Arial Narrow" w:hAnsi="Arial Narrow"/>
          <w:sz w:val="18"/>
        </w:rPr>
        <w:t>double blind</w:t>
      </w:r>
      <w:r w:rsidRPr="00F10C3A">
        <w:rPr>
          <w:rFonts w:ascii="Arial Narrow" w:hAnsi="Arial Narrow"/>
          <w:sz w:val="18"/>
        </w:rPr>
        <w:t>ed</w:t>
      </w:r>
      <w:r w:rsidR="0045698A" w:rsidRPr="00F10C3A">
        <w:rPr>
          <w:rFonts w:ascii="Arial Narrow" w:hAnsi="Arial Narrow"/>
          <w:sz w:val="18"/>
        </w:rPr>
        <w:t>; OL=</w:t>
      </w:r>
      <w:r w:rsidR="00594420" w:rsidRPr="00F10C3A">
        <w:rPr>
          <w:rFonts w:ascii="Arial Narrow" w:hAnsi="Arial Narrow"/>
          <w:sz w:val="18"/>
        </w:rPr>
        <w:t xml:space="preserve"> </w:t>
      </w:r>
      <w:r w:rsidR="0045698A" w:rsidRPr="00F10C3A">
        <w:rPr>
          <w:rFonts w:ascii="Arial Narrow" w:hAnsi="Arial Narrow"/>
          <w:sz w:val="18"/>
        </w:rPr>
        <w:t>open label; R</w:t>
      </w:r>
      <w:r w:rsidR="00594420" w:rsidRPr="00F10C3A">
        <w:rPr>
          <w:rFonts w:ascii="Arial Narrow" w:hAnsi="Arial Narrow"/>
          <w:sz w:val="18"/>
        </w:rPr>
        <w:t xml:space="preserve"> </w:t>
      </w:r>
      <w:r w:rsidR="0045698A" w:rsidRPr="00F10C3A">
        <w:rPr>
          <w:rFonts w:ascii="Arial Narrow" w:hAnsi="Arial Narrow"/>
          <w:sz w:val="18"/>
        </w:rPr>
        <w:t>=</w:t>
      </w:r>
      <w:r w:rsidR="00594420" w:rsidRPr="00F10C3A">
        <w:rPr>
          <w:rFonts w:ascii="Arial Narrow" w:hAnsi="Arial Narrow"/>
          <w:sz w:val="18"/>
        </w:rPr>
        <w:t xml:space="preserve"> </w:t>
      </w:r>
      <w:r w:rsidR="0045698A" w:rsidRPr="00F10C3A">
        <w:rPr>
          <w:rFonts w:ascii="Arial Narrow" w:hAnsi="Arial Narrow"/>
          <w:sz w:val="18"/>
        </w:rPr>
        <w:t>randomised.</w:t>
      </w:r>
    </w:p>
    <w:p w:rsidR="00D4082A" w:rsidRPr="00F10C3A" w:rsidRDefault="00D4082A" w:rsidP="000E2007">
      <w:pPr>
        <w:contextualSpacing/>
        <w:rPr>
          <w:rFonts w:asciiTheme="minorHAnsi" w:hAnsiTheme="minorHAnsi"/>
          <w:sz w:val="24"/>
          <w:szCs w:val="24"/>
        </w:rPr>
      </w:pPr>
    </w:p>
    <w:p w:rsidR="00A95B0F" w:rsidRPr="00F10C3A" w:rsidRDefault="00A95B0F"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Piper (2009), Smith (2009) and </w:t>
      </w:r>
      <w:proofErr w:type="spellStart"/>
      <w:r w:rsidRPr="00F10C3A">
        <w:rPr>
          <w:rFonts w:ascii="Calibri" w:eastAsia="Calibri" w:hAnsi="Calibri"/>
          <w:snapToGrid/>
          <w:sz w:val="24"/>
          <w:szCs w:val="22"/>
        </w:rPr>
        <w:t>Schnoll</w:t>
      </w:r>
      <w:proofErr w:type="spellEnd"/>
      <w:r w:rsidRPr="00F10C3A">
        <w:rPr>
          <w:rFonts w:ascii="Calibri" w:eastAsia="Calibri" w:hAnsi="Calibri"/>
          <w:snapToGrid/>
          <w:sz w:val="24"/>
          <w:szCs w:val="22"/>
        </w:rPr>
        <w:t xml:space="preserve"> (2010) were used by the submission to inform the efficacy and safety of nicotine lozenges compared with nicotine patches. Piper (2009) was also used to inform the cost-minimisation analysis for the nicotine lozenge.</w:t>
      </w:r>
      <w:r w:rsidR="00BB5FB3" w:rsidRPr="00F10C3A">
        <w:t xml:space="preserve"> </w:t>
      </w:r>
      <w:r w:rsidR="00BB5FB3" w:rsidRPr="00F10C3A">
        <w:rPr>
          <w:rFonts w:ascii="Calibri" w:eastAsia="Calibri" w:hAnsi="Calibri"/>
          <w:snapToGrid/>
          <w:sz w:val="24"/>
          <w:szCs w:val="22"/>
        </w:rPr>
        <w:t>The population in Piper (2009) might not represent the target PBS population, as the participants underwent intensive screening and would have had to be highly motivated to be included in the study. Also, participants in Piper (2009) had five</w:t>
      </w:r>
      <w:r w:rsidR="00127A27" w:rsidRPr="00F10C3A">
        <w:rPr>
          <w:rFonts w:ascii="Calibri" w:eastAsia="Calibri" w:hAnsi="Calibri"/>
          <w:snapToGrid/>
          <w:sz w:val="24"/>
          <w:szCs w:val="22"/>
        </w:rPr>
        <w:t xml:space="preserve"> treatment</w:t>
      </w:r>
      <w:r w:rsidR="00BB5FB3" w:rsidRPr="00F10C3A">
        <w:rPr>
          <w:rFonts w:ascii="Calibri" w:eastAsia="Calibri" w:hAnsi="Calibri"/>
          <w:snapToGrid/>
          <w:sz w:val="24"/>
          <w:szCs w:val="22"/>
        </w:rPr>
        <w:t xml:space="preserve"> visits during the first 12 week period, which might be greater than required in the Australian setting.</w:t>
      </w:r>
      <w:r w:rsidR="00A15959" w:rsidRPr="00F10C3A">
        <w:rPr>
          <w:rFonts w:ascii="Calibri" w:eastAsia="Calibri" w:hAnsi="Calibri"/>
          <w:snapToGrid/>
          <w:sz w:val="24"/>
          <w:szCs w:val="22"/>
        </w:rPr>
        <w:t xml:space="preserve"> </w:t>
      </w:r>
    </w:p>
    <w:p w:rsidR="00F4009D" w:rsidRPr="00F10C3A" w:rsidRDefault="00F4009D" w:rsidP="000E2007">
      <w:pPr>
        <w:rPr>
          <w:rFonts w:asciiTheme="minorHAnsi" w:hAnsiTheme="minorHAnsi"/>
          <w:sz w:val="24"/>
          <w:szCs w:val="24"/>
        </w:rPr>
      </w:pPr>
    </w:p>
    <w:p w:rsidR="00E265EE" w:rsidRPr="00F10C3A" w:rsidRDefault="00E265EE"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used sustained abstinence as the primary efficacy outcome for the trials comparing nicotine lozenges to nicotine patches, and nicotine gum to nicotine patches. Sustained abstinence was defined as: </w:t>
      </w:r>
    </w:p>
    <w:p w:rsidR="006F023A" w:rsidRPr="00F10C3A" w:rsidRDefault="006F023A" w:rsidP="007E3BC0">
      <w:pPr>
        <w:pStyle w:val="ListParagraph"/>
        <w:numPr>
          <w:ilvl w:val="0"/>
          <w:numId w:val="14"/>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c</w:t>
      </w:r>
      <w:r w:rsidR="00E265EE" w:rsidRPr="00F10C3A">
        <w:rPr>
          <w:rFonts w:asciiTheme="minorHAnsi" w:eastAsia="Calibri" w:hAnsiTheme="minorHAnsi"/>
          <w:snapToGrid/>
          <w:sz w:val="24"/>
          <w:szCs w:val="24"/>
        </w:rPr>
        <w:t xml:space="preserve">ontinuous abstinence </w:t>
      </w:r>
      <w:r w:rsidR="00106475" w:rsidRPr="00F10C3A">
        <w:rPr>
          <w:rFonts w:asciiTheme="minorHAnsi" w:eastAsia="Calibri" w:hAnsiTheme="minorHAnsi"/>
          <w:snapToGrid/>
          <w:sz w:val="24"/>
          <w:szCs w:val="24"/>
        </w:rPr>
        <w:t>since quitting</w:t>
      </w:r>
      <w:r w:rsidRPr="00F10C3A">
        <w:rPr>
          <w:rFonts w:asciiTheme="minorHAnsi" w:eastAsia="Calibri" w:hAnsiTheme="minorHAnsi"/>
          <w:snapToGrid/>
          <w:sz w:val="24"/>
          <w:szCs w:val="24"/>
        </w:rPr>
        <w:t>;</w:t>
      </w:r>
    </w:p>
    <w:p w:rsidR="006F023A" w:rsidRPr="00F10C3A" w:rsidRDefault="006F023A" w:rsidP="007E3BC0">
      <w:pPr>
        <w:pStyle w:val="ListParagraph"/>
        <w:numPr>
          <w:ilvl w:val="0"/>
          <w:numId w:val="14"/>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self-reported abstinence for a prolonged period; or,</w:t>
      </w:r>
    </w:p>
    <w:p w:rsidR="008D2839" w:rsidRPr="00F10C3A" w:rsidRDefault="006F023A" w:rsidP="007E3BC0">
      <w:pPr>
        <w:pStyle w:val="ListParagraph"/>
        <w:numPr>
          <w:ilvl w:val="0"/>
          <w:numId w:val="14"/>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repeated point prevalence </w:t>
      </w:r>
      <w:r w:rsidR="00E265EE" w:rsidRPr="00F10C3A">
        <w:rPr>
          <w:rFonts w:asciiTheme="minorHAnsi" w:eastAsia="Calibri" w:hAnsiTheme="minorHAnsi"/>
          <w:snapToGrid/>
          <w:sz w:val="24"/>
          <w:szCs w:val="24"/>
        </w:rPr>
        <w:t>abstinence (with or without biochemical vali</w:t>
      </w:r>
      <w:r w:rsidRPr="00F10C3A">
        <w:rPr>
          <w:rFonts w:asciiTheme="minorHAnsi" w:eastAsia="Calibri" w:hAnsiTheme="minorHAnsi"/>
          <w:snapToGrid/>
          <w:sz w:val="24"/>
          <w:szCs w:val="24"/>
        </w:rPr>
        <w:t>dation) at multiple follow-ups</w:t>
      </w:r>
    </w:p>
    <w:p w:rsidR="006F023A" w:rsidRPr="00F10C3A" w:rsidRDefault="006F023A" w:rsidP="007E3BC0">
      <w:pPr>
        <w:pStyle w:val="ListParagraph"/>
        <w:numPr>
          <w:ilvl w:val="1"/>
          <w:numId w:val="14"/>
        </w:numPr>
        <w:rPr>
          <w:rFonts w:asciiTheme="minorHAnsi" w:eastAsia="Calibri" w:hAnsiTheme="minorHAnsi"/>
          <w:snapToGrid/>
          <w:sz w:val="24"/>
          <w:szCs w:val="24"/>
        </w:rPr>
      </w:pPr>
      <w:r w:rsidRPr="00F10C3A">
        <w:rPr>
          <w:rFonts w:asciiTheme="minorHAnsi" w:eastAsia="Calibri" w:hAnsiTheme="minorHAnsi"/>
          <w:snapToGrid/>
          <w:sz w:val="24"/>
          <w:szCs w:val="24"/>
        </w:rPr>
        <w:t>Point prevalence abstinence is measured at a single point in follow-up, and is often confirmed by biochemical tests such as exhaled carbon monoxide or saliva cotinine tests.</w:t>
      </w:r>
    </w:p>
    <w:p w:rsidR="00F405CF" w:rsidRPr="00F10C3A" w:rsidRDefault="00F405CF" w:rsidP="00F405CF">
      <w:pPr>
        <w:pStyle w:val="ListParagraph"/>
        <w:ind w:left="1560"/>
        <w:rPr>
          <w:rFonts w:asciiTheme="minorHAnsi" w:eastAsia="Calibri" w:hAnsiTheme="minorHAnsi"/>
          <w:snapToGrid/>
          <w:sz w:val="24"/>
          <w:szCs w:val="24"/>
        </w:rPr>
      </w:pPr>
    </w:p>
    <w:p w:rsidR="00154AC3" w:rsidRPr="00504102" w:rsidRDefault="009C2D27" w:rsidP="00504102">
      <w:pPr>
        <w:widowControl/>
        <w:rPr>
          <w:rFonts w:asciiTheme="minorHAnsi" w:eastAsia="Calibri" w:hAnsiTheme="minorHAnsi"/>
          <w:snapToGrid/>
          <w:sz w:val="24"/>
          <w:szCs w:val="24"/>
          <w:u w:val="single"/>
        </w:rPr>
      </w:pPr>
      <w:bookmarkStart w:id="20" w:name="_Toc482710289"/>
      <w:bookmarkStart w:id="21" w:name="_Toc413139278"/>
      <w:bookmarkStart w:id="22" w:name="_Toc476306888"/>
      <w:r w:rsidRPr="00504102">
        <w:rPr>
          <w:rFonts w:asciiTheme="minorHAnsi" w:eastAsia="Calibri" w:hAnsiTheme="minorHAnsi"/>
          <w:snapToGrid/>
          <w:sz w:val="24"/>
          <w:szCs w:val="24"/>
          <w:u w:val="single"/>
        </w:rPr>
        <w:t>Nicotine gum</w:t>
      </w:r>
      <w:r w:rsidR="003F465D" w:rsidRPr="00504102">
        <w:rPr>
          <w:rFonts w:asciiTheme="minorHAnsi" w:eastAsia="Calibri" w:hAnsiTheme="minorHAnsi"/>
          <w:snapToGrid/>
          <w:sz w:val="24"/>
          <w:szCs w:val="24"/>
          <w:u w:val="single"/>
        </w:rPr>
        <w:t xml:space="preserve"> versus nicotine patches</w:t>
      </w:r>
      <w:bookmarkEnd w:id="20"/>
    </w:p>
    <w:p w:rsidR="007172C5" w:rsidRPr="00F10C3A" w:rsidRDefault="007172C5" w:rsidP="007172C5"/>
    <w:p w:rsidR="00154AC3" w:rsidRPr="00F10C3A" w:rsidRDefault="00154AC3" w:rsidP="007E3BC0">
      <w:pPr>
        <w:pStyle w:val="ListParagraph"/>
        <w:numPr>
          <w:ilvl w:val="1"/>
          <w:numId w:val="3"/>
        </w:numPr>
        <w:rPr>
          <w:rFonts w:ascii="Calibri" w:eastAsia="Calibri" w:hAnsi="Calibri"/>
          <w:snapToGrid/>
          <w:sz w:val="24"/>
          <w:szCs w:val="22"/>
        </w:rPr>
      </w:pPr>
      <w:r w:rsidRPr="00F10C3A">
        <w:rPr>
          <w:rFonts w:ascii="Calibri" w:eastAsia="Calibri" w:hAnsi="Calibri"/>
          <w:snapToGrid/>
          <w:sz w:val="24"/>
          <w:szCs w:val="22"/>
        </w:rPr>
        <w:t>The submission conducted an indirect comparison between nicotine gum and nicotine patches. This was reasonable, as the single direct randomised trial of nicotine gum versus patches (</w:t>
      </w:r>
      <w:proofErr w:type="spellStart"/>
      <w:r w:rsidRPr="00F10C3A">
        <w:rPr>
          <w:rFonts w:ascii="Calibri" w:eastAsia="Calibri" w:hAnsi="Calibri"/>
          <w:snapToGrid/>
          <w:sz w:val="24"/>
          <w:szCs w:val="22"/>
        </w:rPr>
        <w:t>Moolchan</w:t>
      </w:r>
      <w:proofErr w:type="spellEnd"/>
      <w:r w:rsidRPr="00F10C3A">
        <w:rPr>
          <w:rFonts w:ascii="Calibri" w:eastAsia="Calibri" w:hAnsi="Calibri"/>
          <w:snapToGrid/>
          <w:sz w:val="24"/>
          <w:szCs w:val="22"/>
        </w:rPr>
        <w:t>, 2005) identified by the submission provide</w:t>
      </w:r>
      <w:r w:rsidR="000F5F8B">
        <w:rPr>
          <w:rFonts w:ascii="Calibri" w:eastAsia="Calibri" w:hAnsi="Calibri"/>
          <w:snapToGrid/>
          <w:sz w:val="24"/>
          <w:szCs w:val="22"/>
        </w:rPr>
        <w:t>d</w:t>
      </w:r>
      <w:r w:rsidRPr="00F10C3A">
        <w:rPr>
          <w:rFonts w:ascii="Calibri" w:eastAsia="Calibri" w:hAnsi="Calibri"/>
          <w:snapToGrid/>
          <w:sz w:val="24"/>
          <w:szCs w:val="22"/>
        </w:rPr>
        <w:t xml:space="preserve"> inadequate evidence for the relative efficacy and safety of nicotine gum to patches. </w:t>
      </w:r>
    </w:p>
    <w:p w:rsidR="00154AC3" w:rsidRPr="00F10C3A" w:rsidRDefault="00154AC3" w:rsidP="00154AC3">
      <w:pPr>
        <w:widowControl/>
        <w:ind w:left="720"/>
        <w:rPr>
          <w:rFonts w:ascii="Calibri" w:eastAsia="Calibri" w:hAnsi="Calibri"/>
          <w:snapToGrid/>
          <w:sz w:val="24"/>
          <w:szCs w:val="22"/>
        </w:rPr>
      </w:pPr>
    </w:p>
    <w:p w:rsidR="00154AC3" w:rsidRPr="00F10C3A" w:rsidRDefault="000F5F8B" w:rsidP="007E3BC0">
      <w:pPr>
        <w:widowControl/>
        <w:numPr>
          <w:ilvl w:val="1"/>
          <w:numId w:val="3"/>
        </w:numPr>
        <w:rPr>
          <w:rFonts w:ascii="Calibri" w:eastAsia="Calibri" w:hAnsi="Calibri"/>
          <w:snapToGrid/>
          <w:sz w:val="24"/>
          <w:szCs w:val="22"/>
        </w:rPr>
      </w:pPr>
      <w:r>
        <w:rPr>
          <w:rFonts w:asciiTheme="minorHAnsi" w:eastAsia="Calibri" w:hAnsiTheme="minorHAnsi"/>
          <w:snapToGrid/>
          <w:sz w:val="24"/>
          <w:szCs w:val="24"/>
        </w:rPr>
        <w:t>For</w:t>
      </w:r>
      <w:r w:rsidR="00154AC3" w:rsidRPr="00F10C3A">
        <w:rPr>
          <w:rFonts w:asciiTheme="minorHAnsi" w:eastAsia="Calibri" w:hAnsiTheme="minorHAnsi"/>
          <w:snapToGrid/>
          <w:sz w:val="24"/>
          <w:szCs w:val="24"/>
        </w:rPr>
        <w:t xml:space="preserve"> the indirect comparison between nicotine gum with nicotine patches, the submission was based on a meta-analysis conducted using a Cochrane review of nicotine replacement therapies (Stead, 2012) updated with an additional 11 studies comparing nicotine patches with control. Approximately 52,000 patients were considered in the meta-analysis.</w:t>
      </w:r>
      <w:r w:rsidR="00D75B70" w:rsidRPr="00F10C3A">
        <w:rPr>
          <w:rFonts w:asciiTheme="minorHAnsi" w:eastAsia="Calibri" w:hAnsiTheme="minorHAnsi"/>
          <w:snapToGrid/>
          <w:sz w:val="24"/>
          <w:szCs w:val="24"/>
        </w:rPr>
        <w:t xml:space="preserve"> Details of the trials used in the indirect comparison between nicotine </w:t>
      </w:r>
      <w:proofErr w:type="gramStart"/>
      <w:r w:rsidR="00D75B70" w:rsidRPr="00F10C3A">
        <w:rPr>
          <w:rFonts w:asciiTheme="minorHAnsi" w:eastAsia="Calibri" w:hAnsiTheme="minorHAnsi"/>
          <w:snapToGrid/>
          <w:sz w:val="24"/>
          <w:szCs w:val="24"/>
        </w:rPr>
        <w:t>gum</w:t>
      </w:r>
      <w:proofErr w:type="gramEnd"/>
      <w:r w:rsidR="00D75B70" w:rsidRPr="00F10C3A">
        <w:rPr>
          <w:rFonts w:asciiTheme="minorHAnsi" w:eastAsia="Calibri" w:hAnsiTheme="minorHAnsi"/>
          <w:snapToGrid/>
          <w:sz w:val="24"/>
          <w:szCs w:val="24"/>
        </w:rPr>
        <w:t xml:space="preserve"> with nicotine patches is presented in the table below.</w:t>
      </w:r>
    </w:p>
    <w:p w:rsidR="00D75B70" w:rsidRPr="00F10C3A" w:rsidRDefault="00D75B70" w:rsidP="00D75B70">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4</w:t>
      </w:r>
      <w:r w:rsidRPr="00851C68">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8"/>
        <w:gridCol w:w="4885"/>
        <w:gridCol w:w="3099"/>
      </w:tblGrid>
      <w:tr w:rsidR="00D75B70" w:rsidRPr="00F10C3A" w:rsidTr="00C5279A">
        <w:trPr>
          <w:tblHeader/>
        </w:trPr>
        <w:tc>
          <w:tcPr>
            <w:tcW w:w="0" w:type="auto"/>
          </w:tcPr>
          <w:p w:rsidR="00D75B70" w:rsidRPr="00F10C3A" w:rsidRDefault="00D75B70" w:rsidP="00C5279A">
            <w:pPr>
              <w:pStyle w:val="Tabletext"/>
              <w:rPr>
                <w:rFonts w:eastAsia="Calibri"/>
                <w:b/>
              </w:rPr>
            </w:pPr>
            <w:r w:rsidRPr="00F10C3A">
              <w:rPr>
                <w:rFonts w:eastAsia="Calibri"/>
                <w:b/>
              </w:rPr>
              <w:t>Trial ID/First Author</w:t>
            </w:r>
          </w:p>
        </w:tc>
        <w:tc>
          <w:tcPr>
            <w:tcW w:w="0" w:type="auto"/>
          </w:tcPr>
          <w:p w:rsidR="00D75B70" w:rsidRPr="00F10C3A" w:rsidRDefault="00D75B70" w:rsidP="00C5279A">
            <w:pPr>
              <w:pStyle w:val="Tabletext"/>
              <w:rPr>
                <w:rFonts w:eastAsia="Calibri"/>
                <w:b/>
              </w:rPr>
            </w:pPr>
            <w:r w:rsidRPr="00F10C3A">
              <w:rPr>
                <w:rFonts w:eastAsia="Calibri"/>
                <w:b/>
              </w:rPr>
              <w:t>Protocol title/ Publication title</w:t>
            </w:r>
          </w:p>
        </w:tc>
        <w:tc>
          <w:tcPr>
            <w:tcW w:w="0" w:type="auto"/>
          </w:tcPr>
          <w:p w:rsidR="00D75B70" w:rsidRPr="00F10C3A" w:rsidRDefault="00D75B70" w:rsidP="00C5279A">
            <w:pPr>
              <w:pStyle w:val="Tabletext"/>
              <w:rPr>
                <w:rFonts w:eastAsia="Calibri"/>
                <w:b/>
              </w:rPr>
            </w:pPr>
            <w:r w:rsidRPr="00F10C3A">
              <w:rPr>
                <w:rFonts w:eastAsia="Calibri"/>
                <w:b/>
              </w:rPr>
              <w:t>Publication citation</w:t>
            </w:r>
          </w:p>
        </w:tc>
      </w:tr>
      <w:tr w:rsidR="00D75B70" w:rsidRPr="00F10C3A" w:rsidTr="00C5279A">
        <w:tc>
          <w:tcPr>
            <w:tcW w:w="0" w:type="auto"/>
            <w:gridSpan w:val="3"/>
          </w:tcPr>
          <w:p w:rsidR="00D75B70" w:rsidRPr="00F10C3A" w:rsidRDefault="00D75B70" w:rsidP="00C5279A">
            <w:pPr>
              <w:pStyle w:val="Tabletext"/>
              <w:rPr>
                <w:rFonts w:eastAsia="Calibri"/>
                <w:b/>
              </w:rPr>
            </w:pPr>
            <w:r w:rsidRPr="00F10C3A">
              <w:rPr>
                <w:rFonts w:eastAsia="Calibri"/>
                <w:b/>
              </w:rPr>
              <w:t>Systematic review (indirect comparison of gum versus patch)</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Stead 2012</w:t>
            </w:r>
            <w:r w:rsidRPr="00F10C3A">
              <w:rPr>
                <w:rFonts w:eastAsia="Calibri"/>
                <w:vertAlign w:val="superscript"/>
              </w:rPr>
              <w:t>a</w:t>
            </w:r>
          </w:p>
        </w:tc>
        <w:tc>
          <w:tcPr>
            <w:tcW w:w="0" w:type="auto"/>
          </w:tcPr>
          <w:p w:rsidR="00D75B70" w:rsidRPr="00F10C3A" w:rsidRDefault="00D75B70" w:rsidP="00C5279A">
            <w:pPr>
              <w:pStyle w:val="Tabletext"/>
              <w:rPr>
                <w:rFonts w:eastAsia="Calibri"/>
              </w:rPr>
            </w:pPr>
            <w:r w:rsidRPr="00F10C3A">
              <w:rPr>
                <w:rFonts w:eastAsia="Calibri"/>
              </w:rPr>
              <w:t xml:space="preserve">Stead, Lindsay F, et al. "Nicotine Replacement Therapy for Smoking Cessation." </w:t>
            </w:r>
          </w:p>
        </w:tc>
        <w:tc>
          <w:tcPr>
            <w:tcW w:w="0" w:type="auto"/>
          </w:tcPr>
          <w:p w:rsidR="00D75B70" w:rsidRPr="00F10C3A" w:rsidRDefault="00D75B70" w:rsidP="00C5279A">
            <w:pPr>
              <w:pStyle w:val="Tabletext"/>
              <w:rPr>
                <w:rFonts w:eastAsia="Calibri"/>
              </w:rPr>
            </w:pPr>
            <w:r w:rsidRPr="00F10C3A">
              <w:rPr>
                <w:rFonts w:eastAsia="Calibri"/>
              </w:rPr>
              <w:t>Cochrane Database of Systematic Reviews 2012; 11.</w:t>
            </w:r>
          </w:p>
        </w:tc>
      </w:tr>
      <w:tr w:rsidR="00D75B70" w:rsidRPr="00F10C3A" w:rsidTr="00C5279A">
        <w:tc>
          <w:tcPr>
            <w:tcW w:w="0" w:type="auto"/>
            <w:gridSpan w:val="3"/>
          </w:tcPr>
          <w:p w:rsidR="00D75B70" w:rsidRPr="00F10C3A" w:rsidRDefault="00D75B70" w:rsidP="00C5279A">
            <w:pPr>
              <w:pStyle w:val="Tabletext"/>
              <w:rPr>
                <w:rFonts w:eastAsia="Calibri"/>
                <w:b/>
              </w:rPr>
            </w:pPr>
            <w:r w:rsidRPr="00F10C3A">
              <w:rPr>
                <w:rFonts w:eastAsia="Calibri"/>
                <w:b/>
              </w:rPr>
              <w:t>Additional randomised trials added to Stead for meta-analysis of  indirect comparison of gum versus patch</w:t>
            </w:r>
          </w:p>
        </w:tc>
      </w:tr>
      <w:tr w:rsidR="00D75B70" w:rsidRPr="00F10C3A" w:rsidTr="00C5279A">
        <w:tc>
          <w:tcPr>
            <w:tcW w:w="0" w:type="auto"/>
          </w:tcPr>
          <w:p w:rsidR="00D75B70" w:rsidRPr="00F10C3A" w:rsidRDefault="00D75B70" w:rsidP="00C5279A">
            <w:pPr>
              <w:pStyle w:val="Tabletext"/>
              <w:rPr>
                <w:rFonts w:eastAsia="Calibri"/>
              </w:rPr>
            </w:pPr>
            <w:proofErr w:type="spellStart"/>
            <w:r w:rsidRPr="00F10C3A">
              <w:rPr>
                <w:rFonts w:eastAsia="Calibri"/>
              </w:rPr>
              <w:t>Antheneli</w:t>
            </w:r>
            <w:proofErr w:type="spellEnd"/>
            <w:r w:rsidRPr="00F10C3A">
              <w:rPr>
                <w:rFonts w:eastAsia="Calibri"/>
              </w:rPr>
              <w:t xml:space="preserve"> 2016</w:t>
            </w:r>
          </w:p>
        </w:tc>
        <w:tc>
          <w:tcPr>
            <w:tcW w:w="0" w:type="auto"/>
          </w:tcPr>
          <w:p w:rsidR="00D75B70" w:rsidRPr="00F10C3A" w:rsidRDefault="00D75B70" w:rsidP="00C5279A">
            <w:pPr>
              <w:pStyle w:val="Tabletext"/>
              <w:rPr>
                <w:rFonts w:eastAsia="Calibri"/>
              </w:rPr>
            </w:pPr>
            <w:proofErr w:type="spellStart"/>
            <w:r w:rsidRPr="00F10C3A">
              <w:rPr>
                <w:rFonts w:eastAsia="Calibri"/>
              </w:rPr>
              <w:t>Anthenelli</w:t>
            </w:r>
            <w:proofErr w:type="spellEnd"/>
            <w:r w:rsidRPr="00F10C3A">
              <w:rPr>
                <w:rFonts w:eastAsia="Calibri"/>
              </w:rPr>
              <w:t xml:space="preserve">, R. M., et al. "Neuropsychiatric Safety and Efficacy of </w:t>
            </w:r>
            <w:proofErr w:type="spellStart"/>
            <w:r w:rsidRPr="00F10C3A">
              <w:rPr>
                <w:rFonts w:eastAsia="Calibri"/>
              </w:rPr>
              <w:t>Varenicline</w:t>
            </w:r>
            <w:proofErr w:type="spellEnd"/>
            <w:r w:rsidRPr="00F10C3A">
              <w:rPr>
                <w:rFonts w:eastAsia="Calibri"/>
              </w:rPr>
              <w:t xml:space="preserve">, Bupropion, and Nicotine Patch in Smokers with and without Psychiatric Disorders (Eagles): A Double-Blind, Randomised, Placebo-Controlled Clinical Trial." </w:t>
            </w:r>
          </w:p>
        </w:tc>
        <w:tc>
          <w:tcPr>
            <w:tcW w:w="0" w:type="auto"/>
          </w:tcPr>
          <w:p w:rsidR="00D75B70" w:rsidRPr="00F10C3A" w:rsidRDefault="00D75B70" w:rsidP="00C5279A">
            <w:pPr>
              <w:pStyle w:val="Tabletext"/>
              <w:rPr>
                <w:rFonts w:eastAsia="Calibri"/>
              </w:rPr>
            </w:pPr>
            <w:r w:rsidRPr="00F10C3A">
              <w:rPr>
                <w:rFonts w:eastAsia="Calibri"/>
              </w:rPr>
              <w:t>Lancet 2016; 387.10037: 2507-20.</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Berlin 2014</w:t>
            </w:r>
          </w:p>
        </w:tc>
        <w:tc>
          <w:tcPr>
            <w:tcW w:w="0" w:type="auto"/>
          </w:tcPr>
          <w:p w:rsidR="00D75B70" w:rsidRPr="00F10C3A" w:rsidRDefault="00D75B70" w:rsidP="00C5279A">
            <w:pPr>
              <w:pStyle w:val="Tabletext"/>
              <w:rPr>
                <w:rFonts w:eastAsia="Calibri"/>
              </w:rPr>
            </w:pPr>
            <w:r w:rsidRPr="00F10C3A">
              <w:rPr>
                <w:rFonts w:eastAsia="Calibri"/>
              </w:rPr>
              <w:t xml:space="preserve">Berlin, I., et al. "Nicotine Patch in Pregnant Smokers: Randomised, Placebo Controlled, Multicentre Trial of Efficacy." </w:t>
            </w:r>
          </w:p>
        </w:tc>
        <w:tc>
          <w:tcPr>
            <w:tcW w:w="0" w:type="auto"/>
          </w:tcPr>
          <w:p w:rsidR="00D75B70" w:rsidRPr="00F10C3A" w:rsidRDefault="00D75B70" w:rsidP="00C5279A">
            <w:pPr>
              <w:pStyle w:val="Tabletext"/>
              <w:rPr>
                <w:rFonts w:eastAsia="Calibri"/>
              </w:rPr>
            </w:pPr>
            <w:r w:rsidRPr="00F10C3A">
              <w:rPr>
                <w:rFonts w:eastAsia="Calibri"/>
              </w:rPr>
              <w:t>BMJ 2014; 348: g1622.</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Bullen 2013</w:t>
            </w:r>
          </w:p>
        </w:tc>
        <w:tc>
          <w:tcPr>
            <w:tcW w:w="0" w:type="auto"/>
          </w:tcPr>
          <w:p w:rsidR="00D75B70" w:rsidRPr="00F10C3A" w:rsidRDefault="00D75B70" w:rsidP="00C5279A">
            <w:pPr>
              <w:pStyle w:val="Tabletext"/>
              <w:rPr>
                <w:rFonts w:eastAsia="Calibri"/>
              </w:rPr>
            </w:pPr>
            <w:r w:rsidRPr="00F10C3A">
              <w:rPr>
                <w:rFonts w:eastAsia="Calibri"/>
              </w:rPr>
              <w:t xml:space="preserve">Bullen, C., et al. "Electronic Cigarettes for Smoking Cessation: A Randomised Controlled Trial." </w:t>
            </w:r>
          </w:p>
        </w:tc>
        <w:tc>
          <w:tcPr>
            <w:tcW w:w="0" w:type="auto"/>
          </w:tcPr>
          <w:p w:rsidR="00D75B70" w:rsidRPr="00F10C3A" w:rsidRDefault="00D75B70" w:rsidP="00C5279A">
            <w:pPr>
              <w:pStyle w:val="Tabletext"/>
              <w:rPr>
                <w:rFonts w:eastAsia="Calibri"/>
              </w:rPr>
            </w:pPr>
            <w:r w:rsidRPr="00F10C3A">
              <w:rPr>
                <w:rFonts w:eastAsia="Calibri"/>
              </w:rPr>
              <w:t>Lancet 2013; 382 (9905): 1629-37.</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Cummins 2016</w:t>
            </w:r>
          </w:p>
        </w:tc>
        <w:tc>
          <w:tcPr>
            <w:tcW w:w="0" w:type="auto"/>
          </w:tcPr>
          <w:p w:rsidR="00D75B70" w:rsidRPr="00F10C3A" w:rsidRDefault="00D75B70" w:rsidP="00C5279A">
            <w:pPr>
              <w:pStyle w:val="Tabletext"/>
              <w:rPr>
                <w:rFonts w:eastAsia="Calibri"/>
              </w:rPr>
            </w:pPr>
            <w:r w:rsidRPr="00F10C3A">
              <w:rPr>
                <w:rFonts w:eastAsia="Calibri"/>
              </w:rPr>
              <w:t xml:space="preserve">Cummins, S. E., et al. "Helping Hospitalized Smokers: A Factorial </w:t>
            </w:r>
            <w:proofErr w:type="spellStart"/>
            <w:r w:rsidRPr="00F10C3A">
              <w:rPr>
                <w:rFonts w:eastAsia="Calibri"/>
              </w:rPr>
              <w:t>Rct</w:t>
            </w:r>
            <w:proofErr w:type="spellEnd"/>
            <w:r w:rsidRPr="00F10C3A">
              <w:rPr>
                <w:rFonts w:eastAsia="Calibri"/>
              </w:rPr>
              <w:t xml:space="preserve"> of Nicotine Patch and </w:t>
            </w:r>
            <w:proofErr w:type="spellStart"/>
            <w:r w:rsidRPr="00F10C3A">
              <w:rPr>
                <w:rFonts w:eastAsia="Calibri"/>
              </w:rPr>
              <w:t>Counseling</w:t>
            </w:r>
            <w:proofErr w:type="spellEnd"/>
            <w:r w:rsidRPr="00F10C3A">
              <w:rPr>
                <w:rFonts w:eastAsia="Calibri"/>
              </w:rPr>
              <w:t>."</w:t>
            </w:r>
          </w:p>
        </w:tc>
        <w:tc>
          <w:tcPr>
            <w:tcW w:w="0" w:type="auto"/>
          </w:tcPr>
          <w:p w:rsidR="00D75B70" w:rsidRPr="00F10C3A" w:rsidRDefault="00D75B70" w:rsidP="00C5279A">
            <w:pPr>
              <w:pStyle w:val="Tabletext"/>
              <w:rPr>
                <w:rFonts w:eastAsia="Calibri"/>
              </w:rPr>
            </w:pPr>
            <w:r w:rsidRPr="00F10C3A">
              <w:rPr>
                <w:rFonts w:eastAsia="Calibri"/>
              </w:rPr>
              <w:t>American Journal of Preventive Medicine 2016; 51(4): 578-86.</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Cunningham 2016</w:t>
            </w:r>
          </w:p>
        </w:tc>
        <w:tc>
          <w:tcPr>
            <w:tcW w:w="0" w:type="auto"/>
          </w:tcPr>
          <w:p w:rsidR="00D75B70" w:rsidRPr="00F10C3A" w:rsidRDefault="00D75B70" w:rsidP="00C5279A">
            <w:pPr>
              <w:pStyle w:val="Tabletext"/>
              <w:rPr>
                <w:rFonts w:eastAsia="Calibri"/>
              </w:rPr>
            </w:pPr>
            <w:r w:rsidRPr="00F10C3A">
              <w:rPr>
                <w:rFonts w:eastAsia="Calibri"/>
              </w:rPr>
              <w:t xml:space="preserve">Cunningham, J. A., et al. "Effect of Mailing Nicotine Patch on Tobacco Cessation among Adult Smokers: A Randomized Clinical Trial." </w:t>
            </w:r>
          </w:p>
        </w:tc>
        <w:tc>
          <w:tcPr>
            <w:tcW w:w="0" w:type="auto"/>
          </w:tcPr>
          <w:p w:rsidR="00D75B70" w:rsidRPr="00F10C3A" w:rsidRDefault="00D75B70" w:rsidP="00C5279A">
            <w:pPr>
              <w:pStyle w:val="Tabletext"/>
              <w:rPr>
                <w:rFonts w:eastAsia="Calibri"/>
              </w:rPr>
            </w:pPr>
            <w:r w:rsidRPr="00F10C3A">
              <w:rPr>
                <w:rFonts w:eastAsia="Calibri"/>
              </w:rPr>
              <w:t>JAMA Internal Medicine 2016; 176(2): 184-90.</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El-</w:t>
            </w:r>
            <w:proofErr w:type="spellStart"/>
            <w:r w:rsidRPr="00F10C3A">
              <w:rPr>
                <w:rFonts w:eastAsia="Calibri"/>
              </w:rPr>
              <w:t>Mohandes</w:t>
            </w:r>
            <w:proofErr w:type="spellEnd"/>
            <w:r w:rsidRPr="00F10C3A">
              <w:rPr>
                <w:rFonts w:eastAsia="Calibri"/>
              </w:rPr>
              <w:t xml:space="preserve"> 2013</w:t>
            </w:r>
          </w:p>
        </w:tc>
        <w:tc>
          <w:tcPr>
            <w:tcW w:w="0" w:type="auto"/>
          </w:tcPr>
          <w:p w:rsidR="00D75B70" w:rsidRPr="00F10C3A" w:rsidRDefault="00D75B70" w:rsidP="00C5279A">
            <w:pPr>
              <w:pStyle w:val="Tabletext"/>
              <w:rPr>
                <w:rFonts w:eastAsia="Calibri"/>
              </w:rPr>
            </w:pPr>
            <w:r w:rsidRPr="00F10C3A">
              <w:rPr>
                <w:rFonts w:eastAsia="Calibri"/>
              </w:rPr>
              <w:t>El-</w:t>
            </w:r>
            <w:proofErr w:type="spellStart"/>
            <w:r w:rsidRPr="00F10C3A">
              <w:rPr>
                <w:rFonts w:eastAsia="Calibri"/>
              </w:rPr>
              <w:t>Mohandes</w:t>
            </w:r>
            <w:proofErr w:type="spellEnd"/>
            <w:r w:rsidRPr="00F10C3A">
              <w:rPr>
                <w:rFonts w:eastAsia="Calibri"/>
              </w:rPr>
              <w:t xml:space="preserve">, A. A., et al. "A Randomized Clinical Trial of Trans-Dermal Nicotine Replacement in Pregnant African-American Smokers." </w:t>
            </w:r>
          </w:p>
        </w:tc>
        <w:tc>
          <w:tcPr>
            <w:tcW w:w="0" w:type="auto"/>
          </w:tcPr>
          <w:p w:rsidR="00D75B70" w:rsidRPr="00F10C3A" w:rsidRDefault="00D75B70" w:rsidP="00C5279A">
            <w:pPr>
              <w:pStyle w:val="Tabletext"/>
              <w:rPr>
                <w:rFonts w:eastAsia="Calibri"/>
              </w:rPr>
            </w:pPr>
            <w:r w:rsidRPr="00F10C3A">
              <w:rPr>
                <w:rFonts w:eastAsia="Calibri"/>
              </w:rPr>
              <w:t>Maternal &amp; Child Health Journal 2013; 17(5): 897-906.</w:t>
            </w:r>
          </w:p>
        </w:tc>
      </w:tr>
      <w:tr w:rsidR="00D75B70" w:rsidRPr="00F10C3A" w:rsidTr="00C5279A">
        <w:tc>
          <w:tcPr>
            <w:tcW w:w="0" w:type="auto"/>
          </w:tcPr>
          <w:p w:rsidR="00D75B70" w:rsidRPr="00F10C3A" w:rsidRDefault="00D75B70" w:rsidP="00C5279A">
            <w:pPr>
              <w:pStyle w:val="Tabletext"/>
              <w:rPr>
                <w:rFonts w:eastAsia="Calibri"/>
              </w:rPr>
            </w:pPr>
            <w:proofErr w:type="spellStart"/>
            <w:r w:rsidRPr="00F10C3A">
              <w:rPr>
                <w:rFonts w:eastAsia="Calibri"/>
              </w:rPr>
              <w:t>Heydari</w:t>
            </w:r>
            <w:proofErr w:type="spellEnd"/>
            <w:r w:rsidRPr="00F10C3A">
              <w:rPr>
                <w:rFonts w:eastAsia="Calibri"/>
              </w:rPr>
              <w:t xml:space="preserve"> 2012</w:t>
            </w:r>
          </w:p>
        </w:tc>
        <w:tc>
          <w:tcPr>
            <w:tcW w:w="0" w:type="auto"/>
          </w:tcPr>
          <w:p w:rsidR="00D75B70" w:rsidRPr="00F10C3A" w:rsidRDefault="00D75B70" w:rsidP="00C5279A">
            <w:pPr>
              <w:pStyle w:val="Tabletext"/>
              <w:rPr>
                <w:rFonts w:eastAsia="Calibri"/>
              </w:rPr>
            </w:pPr>
            <w:proofErr w:type="spellStart"/>
            <w:r w:rsidRPr="00F10C3A">
              <w:rPr>
                <w:rFonts w:eastAsia="Calibri"/>
              </w:rPr>
              <w:t>Heydari</w:t>
            </w:r>
            <w:proofErr w:type="spellEnd"/>
            <w:r w:rsidRPr="00F10C3A">
              <w:rPr>
                <w:rFonts w:eastAsia="Calibri"/>
              </w:rPr>
              <w:t xml:space="preserve">, G, et al. "Quitting Smoking with </w:t>
            </w:r>
            <w:proofErr w:type="spellStart"/>
            <w:r w:rsidRPr="00F10C3A">
              <w:rPr>
                <w:rFonts w:eastAsia="Calibri"/>
              </w:rPr>
              <w:t>Varenicline</w:t>
            </w:r>
            <w:proofErr w:type="spellEnd"/>
            <w:r w:rsidRPr="00F10C3A">
              <w:rPr>
                <w:rFonts w:eastAsia="Calibri"/>
              </w:rPr>
              <w:t>: Parallel, Randomised Efficacy Trial in Iran."</w:t>
            </w:r>
          </w:p>
        </w:tc>
        <w:tc>
          <w:tcPr>
            <w:tcW w:w="0" w:type="auto"/>
          </w:tcPr>
          <w:p w:rsidR="00D75B70" w:rsidRPr="00F10C3A" w:rsidRDefault="00D75B70" w:rsidP="00C5279A">
            <w:pPr>
              <w:pStyle w:val="Tabletext"/>
              <w:rPr>
                <w:rFonts w:eastAsia="Calibri"/>
              </w:rPr>
            </w:pPr>
            <w:r w:rsidRPr="00F10C3A">
              <w:rPr>
                <w:rFonts w:eastAsia="Calibri"/>
              </w:rPr>
              <w:t xml:space="preserve">The international journal of tuberculosis and lung </w:t>
            </w:r>
            <w:proofErr w:type="gramStart"/>
            <w:r w:rsidRPr="00F10C3A">
              <w:rPr>
                <w:rFonts w:eastAsia="Calibri"/>
              </w:rPr>
              <w:t>disease :</w:t>
            </w:r>
            <w:proofErr w:type="gramEnd"/>
            <w:r w:rsidRPr="00F10C3A">
              <w:rPr>
                <w:rFonts w:eastAsia="Calibri"/>
              </w:rPr>
              <w:t xml:space="preserve"> the official journal of the International Union against Tuberculosis and Lung Disease. 2012</w:t>
            </w:r>
            <w:proofErr w:type="gramStart"/>
            <w:r w:rsidRPr="00F10C3A">
              <w:rPr>
                <w:rFonts w:eastAsia="Calibri"/>
              </w:rPr>
              <w:t>;16</w:t>
            </w:r>
            <w:proofErr w:type="gramEnd"/>
            <w:r w:rsidRPr="00F10C3A">
              <w:rPr>
                <w:rFonts w:eastAsia="Calibri"/>
              </w:rPr>
              <w:t>(2): 268-72.</w:t>
            </w:r>
          </w:p>
        </w:tc>
      </w:tr>
      <w:tr w:rsidR="00D75B70" w:rsidRPr="00F10C3A" w:rsidTr="00C5279A">
        <w:tc>
          <w:tcPr>
            <w:tcW w:w="0" w:type="auto"/>
          </w:tcPr>
          <w:p w:rsidR="00D75B70" w:rsidRPr="00F10C3A" w:rsidRDefault="00D75B70" w:rsidP="00C5279A">
            <w:pPr>
              <w:pStyle w:val="Tabletext"/>
              <w:rPr>
                <w:rFonts w:eastAsia="Calibri"/>
              </w:rPr>
            </w:pPr>
            <w:r w:rsidRPr="00F10C3A">
              <w:rPr>
                <w:rFonts w:eastAsia="Calibri"/>
              </w:rPr>
              <w:t>Lee 2015</w:t>
            </w:r>
          </w:p>
        </w:tc>
        <w:tc>
          <w:tcPr>
            <w:tcW w:w="0" w:type="auto"/>
          </w:tcPr>
          <w:p w:rsidR="00D75B70" w:rsidRPr="00F10C3A" w:rsidRDefault="00D75B70" w:rsidP="00C5279A">
            <w:pPr>
              <w:pStyle w:val="Tabletext"/>
              <w:rPr>
                <w:rFonts w:eastAsia="Calibri"/>
              </w:rPr>
            </w:pPr>
            <w:r w:rsidRPr="00F10C3A">
              <w:rPr>
                <w:rFonts w:eastAsia="Calibri"/>
              </w:rPr>
              <w:t>Lee, S. M., et al. "Long-Term Quit Rates after a Perioperative Smoking Cessation Randomized Controlled Trial."</w:t>
            </w:r>
          </w:p>
        </w:tc>
        <w:tc>
          <w:tcPr>
            <w:tcW w:w="0" w:type="auto"/>
          </w:tcPr>
          <w:p w:rsidR="00D75B70" w:rsidRPr="00F10C3A" w:rsidRDefault="00D75B70" w:rsidP="00C5279A">
            <w:pPr>
              <w:pStyle w:val="Tabletext"/>
              <w:rPr>
                <w:rFonts w:eastAsia="Calibri"/>
              </w:rPr>
            </w:pPr>
            <w:proofErr w:type="spellStart"/>
            <w:r w:rsidRPr="00F10C3A">
              <w:rPr>
                <w:rFonts w:eastAsia="Calibri"/>
              </w:rPr>
              <w:t>Anesthesia</w:t>
            </w:r>
            <w:proofErr w:type="spellEnd"/>
            <w:r w:rsidRPr="00F10C3A">
              <w:rPr>
                <w:rFonts w:eastAsia="Calibri"/>
              </w:rPr>
              <w:t xml:space="preserve"> &amp; Analgesia 2015; 120(3): 582-7.</w:t>
            </w:r>
          </w:p>
        </w:tc>
      </w:tr>
      <w:tr w:rsidR="00D75B70" w:rsidRPr="00F10C3A" w:rsidTr="00C5279A">
        <w:tc>
          <w:tcPr>
            <w:tcW w:w="0" w:type="auto"/>
          </w:tcPr>
          <w:p w:rsidR="00D75B70" w:rsidRPr="00F10C3A" w:rsidRDefault="00D75B70" w:rsidP="00C5279A">
            <w:pPr>
              <w:pStyle w:val="Tabletext"/>
              <w:rPr>
                <w:rFonts w:eastAsia="Calibri"/>
              </w:rPr>
            </w:pPr>
            <w:proofErr w:type="spellStart"/>
            <w:r w:rsidRPr="00F10C3A">
              <w:rPr>
                <w:rFonts w:eastAsia="Calibri"/>
              </w:rPr>
              <w:t>Scherphof</w:t>
            </w:r>
            <w:proofErr w:type="spellEnd"/>
            <w:r w:rsidRPr="00F10C3A">
              <w:rPr>
                <w:rFonts w:eastAsia="Calibri"/>
              </w:rPr>
              <w:t xml:space="preserve"> 2014</w:t>
            </w:r>
          </w:p>
        </w:tc>
        <w:tc>
          <w:tcPr>
            <w:tcW w:w="0" w:type="auto"/>
          </w:tcPr>
          <w:p w:rsidR="00D75B70" w:rsidRPr="00F10C3A" w:rsidRDefault="00D75B70" w:rsidP="00C5279A">
            <w:pPr>
              <w:pStyle w:val="Tabletext"/>
              <w:rPr>
                <w:rFonts w:eastAsia="Calibri"/>
              </w:rPr>
            </w:pPr>
            <w:proofErr w:type="spellStart"/>
            <w:r w:rsidRPr="00F10C3A">
              <w:rPr>
                <w:rFonts w:eastAsia="Calibri"/>
              </w:rPr>
              <w:t>Scherphof</w:t>
            </w:r>
            <w:proofErr w:type="spellEnd"/>
            <w:r w:rsidRPr="00F10C3A">
              <w:rPr>
                <w:rFonts w:eastAsia="Calibri"/>
              </w:rPr>
              <w:t>, C. S., et al. "Long-Term Efficacy of Nicotine Replacement Therapy for Smoking Cessation in Adolescents: A Randomized Controlled Trial”.</w:t>
            </w:r>
          </w:p>
        </w:tc>
        <w:tc>
          <w:tcPr>
            <w:tcW w:w="0" w:type="auto"/>
          </w:tcPr>
          <w:p w:rsidR="00D75B70" w:rsidRPr="00F10C3A" w:rsidRDefault="00D75B70" w:rsidP="00C5279A">
            <w:pPr>
              <w:pStyle w:val="Tabletext"/>
              <w:rPr>
                <w:rFonts w:eastAsia="Calibri"/>
              </w:rPr>
            </w:pPr>
            <w:r w:rsidRPr="00F10C3A">
              <w:rPr>
                <w:rFonts w:eastAsia="Calibri"/>
              </w:rPr>
              <w:t>Drug &amp; Alcohol Dependence 2014; 1402: 17-20.</w:t>
            </w:r>
          </w:p>
        </w:tc>
      </w:tr>
      <w:tr w:rsidR="00D75B70" w:rsidRPr="00F10C3A" w:rsidTr="00C5279A">
        <w:tc>
          <w:tcPr>
            <w:tcW w:w="0" w:type="auto"/>
          </w:tcPr>
          <w:p w:rsidR="00D75B70" w:rsidRPr="00F10C3A" w:rsidRDefault="00D75B70" w:rsidP="00C5279A">
            <w:pPr>
              <w:pStyle w:val="Tabletext"/>
              <w:rPr>
                <w:rFonts w:eastAsia="Calibri"/>
              </w:rPr>
            </w:pPr>
            <w:proofErr w:type="spellStart"/>
            <w:r w:rsidRPr="00F10C3A">
              <w:rPr>
                <w:rFonts w:eastAsia="Calibri"/>
              </w:rPr>
              <w:t>Tuisku</w:t>
            </w:r>
            <w:proofErr w:type="spellEnd"/>
            <w:r w:rsidRPr="00F10C3A">
              <w:rPr>
                <w:rFonts w:eastAsia="Calibri"/>
              </w:rPr>
              <w:t xml:space="preserve"> 2016</w:t>
            </w:r>
          </w:p>
        </w:tc>
        <w:tc>
          <w:tcPr>
            <w:tcW w:w="0" w:type="auto"/>
          </w:tcPr>
          <w:p w:rsidR="00D75B70" w:rsidRPr="00F10C3A" w:rsidRDefault="00D75B70" w:rsidP="00C5279A">
            <w:pPr>
              <w:pStyle w:val="Tabletext"/>
              <w:rPr>
                <w:rFonts w:eastAsia="Calibri"/>
              </w:rPr>
            </w:pPr>
            <w:proofErr w:type="spellStart"/>
            <w:r w:rsidRPr="00F10C3A">
              <w:rPr>
                <w:rFonts w:eastAsia="Calibri"/>
              </w:rPr>
              <w:t>Tuisku</w:t>
            </w:r>
            <w:proofErr w:type="spellEnd"/>
            <w:r w:rsidRPr="00F10C3A">
              <w:rPr>
                <w:rFonts w:eastAsia="Calibri"/>
              </w:rPr>
              <w:t>, A., et al. "</w:t>
            </w:r>
            <w:proofErr w:type="spellStart"/>
            <w:r w:rsidRPr="00F10C3A">
              <w:rPr>
                <w:rFonts w:eastAsia="Calibri"/>
              </w:rPr>
              <w:t>Varenicline</w:t>
            </w:r>
            <w:proofErr w:type="spellEnd"/>
            <w:r w:rsidRPr="00F10C3A">
              <w:rPr>
                <w:rFonts w:eastAsia="Calibri"/>
              </w:rPr>
              <w:t xml:space="preserve"> and Nicotine Patch Therapies in Young Adults Motivated to Quit Smoking: A Randomized, Placebo-Controlled, Prospective Study."</w:t>
            </w:r>
          </w:p>
        </w:tc>
        <w:tc>
          <w:tcPr>
            <w:tcW w:w="0" w:type="auto"/>
          </w:tcPr>
          <w:p w:rsidR="00D75B70" w:rsidRPr="00F10C3A" w:rsidRDefault="00D75B70" w:rsidP="00C5279A">
            <w:pPr>
              <w:pStyle w:val="Tabletext"/>
              <w:rPr>
                <w:rFonts w:eastAsia="Calibri"/>
              </w:rPr>
            </w:pPr>
            <w:r w:rsidRPr="00F10C3A">
              <w:rPr>
                <w:rFonts w:eastAsia="Calibri"/>
              </w:rPr>
              <w:t>Basic &amp; Clinical Pharmacology &amp; Toxicology 2016; 119(1): 78-84.</w:t>
            </w:r>
          </w:p>
        </w:tc>
      </w:tr>
      <w:tr w:rsidR="00D75B70" w:rsidRPr="00F10C3A" w:rsidTr="00C5279A">
        <w:tc>
          <w:tcPr>
            <w:tcW w:w="0" w:type="auto"/>
          </w:tcPr>
          <w:p w:rsidR="00D75B70" w:rsidRPr="00F10C3A" w:rsidRDefault="00D75B70" w:rsidP="00C5279A">
            <w:pPr>
              <w:pStyle w:val="Tabletext"/>
              <w:keepLines/>
              <w:rPr>
                <w:rFonts w:eastAsia="Calibri"/>
              </w:rPr>
            </w:pPr>
            <w:r w:rsidRPr="00F10C3A">
              <w:rPr>
                <w:rFonts w:eastAsia="Calibri"/>
              </w:rPr>
              <w:t>Ward 2013</w:t>
            </w:r>
          </w:p>
        </w:tc>
        <w:tc>
          <w:tcPr>
            <w:tcW w:w="0" w:type="auto"/>
          </w:tcPr>
          <w:p w:rsidR="00D75B70" w:rsidRPr="00F10C3A" w:rsidRDefault="00D75B70" w:rsidP="00C5279A">
            <w:pPr>
              <w:pStyle w:val="Tabletext"/>
              <w:keepLines/>
              <w:rPr>
                <w:rFonts w:eastAsia="Calibri"/>
              </w:rPr>
            </w:pPr>
            <w:r w:rsidRPr="00F10C3A">
              <w:rPr>
                <w:rFonts w:eastAsia="Calibri"/>
              </w:rPr>
              <w:t xml:space="preserve">Ward, K. D., et al. "Randomized Trial of the Effectiveness of Combined </w:t>
            </w:r>
            <w:r w:rsidR="0010015B" w:rsidRPr="00F10C3A">
              <w:rPr>
                <w:rFonts w:eastAsia="Calibri"/>
              </w:rPr>
              <w:t>Behavioural</w:t>
            </w:r>
            <w:r w:rsidRPr="00F10C3A">
              <w:rPr>
                <w:rFonts w:eastAsia="Calibri"/>
              </w:rPr>
              <w:t xml:space="preserve">/Pharmacological Smoking Cessation Treatment in Syrian Primary Care Clinics." </w:t>
            </w:r>
          </w:p>
        </w:tc>
        <w:tc>
          <w:tcPr>
            <w:tcW w:w="0" w:type="auto"/>
          </w:tcPr>
          <w:p w:rsidR="00D75B70" w:rsidRPr="00F10C3A" w:rsidRDefault="00D75B70" w:rsidP="00C5279A">
            <w:pPr>
              <w:pStyle w:val="Tabletext"/>
              <w:keepLines/>
              <w:rPr>
                <w:rFonts w:eastAsia="Calibri"/>
              </w:rPr>
            </w:pPr>
            <w:r w:rsidRPr="00F10C3A">
              <w:rPr>
                <w:rFonts w:eastAsia="Calibri"/>
              </w:rPr>
              <w:t>Addiction 2013; 108(2): 394-403.</w:t>
            </w:r>
          </w:p>
        </w:tc>
      </w:tr>
    </w:tbl>
    <w:p w:rsidR="00D75B70" w:rsidRPr="00F10C3A" w:rsidRDefault="00D75B70" w:rsidP="00D75B70">
      <w:pPr>
        <w:keepLines/>
        <w:rPr>
          <w:rFonts w:ascii="Arial Narrow" w:hAnsi="Arial Narrow"/>
          <w:sz w:val="18"/>
        </w:rPr>
      </w:pPr>
      <w:r w:rsidRPr="00F10C3A">
        <w:rPr>
          <w:rFonts w:ascii="Arial Narrow" w:hAnsi="Arial Narrow"/>
          <w:sz w:val="18"/>
        </w:rPr>
        <w:t>Source: Table B-15, p59-60 of the submission.</w:t>
      </w:r>
    </w:p>
    <w:p w:rsidR="00D75B70" w:rsidRPr="00F10C3A" w:rsidRDefault="00D75B70" w:rsidP="00D75B70">
      <w:pPr>
        <w:keepLines/>
        <w:rPr>
          <w:rFonts w:ascii="Arial Narrow" w:hAnsi="Arial Narrow"/>
          <w:sz w:val="18"/>
        </w:rPr>
      </w:pPr>
      <w:proofErr w:type="spellStart"/>
      <w:proofErr w:type="gramStart"/>
      <w:r w:rsidRPr="00F10C3A">
        <w:rPr>
          <w:rFonts w:ascii="Arial Narrow" w:hAnsi="Arial Narrow"/>
          <w:sz w:val="18"/>
          <w:vertAlign w:val="superscript"/>
        </w:rPr>
        <w:t>a</w:t>
      </w:r>
      <w:proofErr w:type="spellEnd"/>
      <w:proofErr w:type="gramEnd"/>
      <w:r w:rsidRPr="00F10C3A">
        <w:rPr>
          <w:rFonts w:ascii="Arial Narrow" w:hAnsi="Arial Narrow"/>
          <w:sz w:val="18"/>
        </w:rPr>
        <w:t xml:space="preserve"> Updated to include 11 studies on patch versus control</w:t>
      </w:r>
    </w:p>
    <w:p w:rsidR="00154AC3" w:rsidRPr="00F10C3A" w:rsidRDefault="00154AC3" w:rsidP="00154AC3">
      <w:pPr>
        <w:pStyle w:val="PBACHeading1"/>
        <w:numPr>
          <w:ilvl w:val="0"/>
          <w:numId w:val="0"/>
        </w:numPr>
        <w:ind w:left="720" w:hanging="720"/>
        <w:rPr>
          <w:rFonts w:eastAsia="Calibri"/>
          <w:snapToGrid/>
        </w:rPr>
      </w:pPr>
    </w:p>
    <w:p w:rsidR="00154AC3" w:rsidRPr="00F10C3A" w:rsidRDefault="00154AC3"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Table </w:t>
      </w:r>
      <w:r w:rsidR="003F465D" w:rsidRPr="00F10C3A">
        <w:rPr>
          <w:rFonts w:ascii="Calibri" w:eastAsia="Calibri" w:hAnsi="Calibri"/>
          <w:snapToGrid/>
          <w:sz w:val="24"/>
          <w:szCs w:val="22"/>
        </w:rPr>
        <w:t>5</w:t>
      </w:r>
      <w:r w:rsidRPr="00F10C3A">
        <w:rPr>
          <w:rFonts w:ascii="Calibri" w:eastAsia="Calibri" w:hAnsi="Calibri"/>
          <w:snapToGrid/>
          <w:sz w:val="24"/>
          <w:szCs w:val="22"/>
        </w:rPr>
        <w:t xml:space="preserve"> summarises the key features of the included evidence in the indirect comparison between nicotine gum and nicotine patches.</w:t>
      </w:r>
    </w:p>
    <w:p w:rsidR="00154AC3" w:rsidRPr="00F10C3A" w:rsidRDefault="00154AC3" w:rsidP="00154AC3">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5</w:t>
      </w:r>
      <w:r w:rsidRPr="00B42BFB">
        <w:t>: Key features of the included evidence – indirect comparison of nicotine gum versus patches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770"/>
        <w:gridCol w:w="2007"/>
        <w:gridCol w:w="1079"/>
        <w:gridCol w:w="1542"/>
        <w:gridCol w:w="1235"/>
        <w:gridCol w:w="1215"/>
      </w:tblGrid>
      <w:tr w:rsidR="00154AC3" w:rsidRPr="00F10C3A" w:rsidTr="00C5279A">
        <w:trPr>
          <w:tblHeader/>
        </w:trPr>
        <w:tc>
          <w:tcPr>
            <w:tcW w:w="679" w:type="pct"/>
            <w:shd w:val="clear" w:color="auto" w:fill="auto"/>
            <w:vAlign w:val="center"/>
          </w:tcPr>
          <w:p w:rsidR="00154AC3" w:rsidRPr="00F10C3A" w:rsidRDefault="00154AC3" w:rsidP="00C5279A">
            <w:pPr>
              <w:pStyle w:val="TableText1"/>
              <w:rPr>
                <w:b/>
              </w:rPr>
            </w:pPr>
            <w:r w:rsidRPr="00F10C3A">
              <w:rPr>
                <w:b/>
              </w:rPr>
              <w:t>Trial</w:t>
            </w:r>
          </w:p>
        </w:tc>
        <w:tc>
          <w:tcPr>
            <w:tcW w:w="424" w:type="pct"/>
            <w:shd w:val="clear" w:color="auto" w:fill="auto"/>
            <w:vAlign w:val="center"/>
          </w:tcPr>
          <w:p w:rsidR="00154AC3" w:rsidRPr="00F10C3A" w:rsidRDefault="00154AC3" w:rsidP="00C5279A">
            <w:pPr>
              <w:pStyle w:val="TableText1"/>
              <w:rPr>
                <w:b/>
              </w:rPr>
            </w:pPr>
            <w:r w:rsidRPr="00F10C3A">
              <w:rPr>
                <w:b/>
              </w:rPr>
              <w:t>N</w:t>
            </w:r>
          </w:p>
        </w:tc>
        <w:tc>
          <w:tcPr>
            <w:tcW w:w="1105" w:type="pct"/>
            <w:shd w:val="clear" w:color="auto" w:fill="auto"/>
            <w:vAlign w:val="center"/>
          </w:tcPr>
          <w:p w:rsidR="00154AC3" w:rsidRPr="00F10C3A" w:rsidRDefault="00154AC3" w:rsidP="00C5279A">
            <w:pPr>
              <w:pStyle w:val="TableText1"/>
              <w:rPr>
                <w:b/>
              </w:rPr>
            </w:pPr>
            <w:r w:rsidRPr="00F10C3A">
              <w:rPr>
                <w:b/>
              </w:rPr>
              <w:t>Design/ duration of follow-up</w:t>
            </w:r>
          </w:p>
        </w:tc>
        <w:tc>
          <w:tcPr>
            <w:tcW w:w="594" w:type="pct"/>
            <w:shd w:val="clear" w:color="auto" w:fill="auto"/>
            <w:vAlign w:val="center"/>
          </w:tcPr>
          <w:p w:rsidR="00154AC3" w:rsidRPr="00F10C3A" w:rsidRDefault="00154AC3" w:rsidP="00C5279A">
            <w:pPr>
              <w:pStyle w:val="TableText1"/>
              <w:rPr>
                <w:b/>
              </w:rPr>
            </w:pPr>
            <w:r w:rsidRPr="00F10C3A">
              <w:rPr>
                <w:b/>
              </w:rPr>
              <w:t>Risk of bias</w:t>
            </w:r>
          </w:p>
        </w:tc>
        <w:tc>
          <w:tcPr>
            <w:tcW w:w="849" w:type="pct"/>
            <w:shd w:val="clear" w:color="auto" w:fill="auto"/>
            <w:vAlign w:val="center"/>
          </w:tcPr>
          <w:p w:rsidR="00154AC3" w:rsidRPr="00F10C3A" w:rsidRDefault="00154AC3" w:rsidP="00C5279A">
            <w:pPr>
              <w:pStyle w:val="TableText1"/>
              <w:rPr>
                <w:b/>
              </w:rPr>
            </w:pPr>
            <w:r w:rsidRPr="00F10C3A">
              <w:rPr>
                <w:b/>
              </w:rPr>
              <w:t>Patient population</w:t>
            </w:r>
          </w:p>
        </w:tc>
        <w:tc>
          <w:tcPr>
            <w:tcW w:w="680" w:type="pct"/>
            <w:shd w:val="clear" w:color="auto" w:fill="auto"/>
            <w:vAlign w:val="center"/>
          </w:tcPr>
          <w:p w:rsidR="00154AC3" w:rsidRPr="00F10C3A" w:rsidRDefault="00154AC3" w:rsidP="00C5279A">
            <w:pPr>
              <w:pStyle w:val="TableText1"/>
              <w:rPr>
                <w:b/>
              </w:rPr>
            </w:pPr>
            <w:r w:rsidRPr="00F10C3A">
              <w:rPr>
                <w:b/>
              </w:rPr>
              <w:t>Outcome(s)</w:t>
            </w:r>
          </w:p>
        </w:tc>
        <w:tc>
          <w:tcPr>
            <w:tcW w:w="669" w:type="pct"/>
            <w:shd w:val="clear" w:color="auto" w:fill="auto"/>
            <w:vAlign w:val="center"/>
          </w:tcPr>
          <w:p w:rsidR="00154AC3" w:rsidRPr="00F10C3A" w:rsidRDefault="00154AC3" w:rsidP="00C5279A">
            <w:pPr>
              <w:pStyle w:val="TableText1"/>
              <w:rPr>
                <w:b/>
              </w:rPr>
            </w:pPr>
            <w:r w:rsidRPr="00F10C3A">
              <w:rPr>
                <w:b/>
              </w:rPr>
              <w:t>Use in CMA</w:t>
            </w:r>
          </w:p>
        </w:tc>
      </w:tr>
      <w:tr w:rsidR="00154AC3" w:rsidRPr="00F10C3A" w:rsidTr="00C5279A">
        <w:tc>
          <w:tcPr>
            <w:tcW w:w="5000" w:type="pct"/>
            <w:gridSpan w:val="7"/>
            <w:shd w:val="clear" w:color="auto" w:fill="auto"/>
            <w:vAlign w:val="center"/>
          </w:tcPr>
          <w:p w:rsidR="00154AC3" w:rsidRPr="00F10C3A" w:rsidRDefault="00154AC3" w:rsidP="00C5279A">
            <w:pPr>
              <w:pStyle w:val="TableText1"/>
              <w:rPr>
                <w:b/>
              </w:rPr>
            </w:pPr>
            <w:r w:rsidRPr="00F10C3A">
              <w:rPr>
                <w:b/>
              </w:rPr>
              <w:t>Nicotine gum versus control</w:t>
            </w:r>
          </w:p>
        </w:tc>
      </w:tr>
      <w:tr w:rsidR="00154AC3" w:rsidRPr="00F10C3A" w:rsidTr="00C5279A">
        <w:tc>
          <w:tcPr>
            <w:tcW w:w="679" w:type="pct"/>
            <w:shd w:val="clear" w:color="auto" w:fill="auto"/>
            <w:vAlign w:val="center"/>
          </w:tcPr>
          <w:p w:rsidR="00154AC3" w:rsidRPr="00F10C3A" w:rsidRDefault="00154AC3" w:rsidP="00C5279A">
            <w:pPr>
              <w:pStyle w:val="TableText1"/>
              <w:rPr>
                <w:vertAlign w:val="superscript"/>
              </w:rPr>
            </w:pPr>
            <w:r w:rsidRPr="00F10C3A">
              <w:t>Stead 2012</w:t>
            </w:r>
            <w:r w:rsidRPr="00F10C3A">
              <w:rPr>
                <w:vertAlign w:val="superscript"/>
              </w:rPr>
              <w:t>a</w:t>
            </w:r>
          </w:p>
          <w:p w:rsidR="00154AC3" w:rsidRPr="00F10C3A" w:rsidRDefault="00154AC3" w:rsidP="00C5279A">
            <w:pPr>
              <w:pStyle w:val="TableText1"/>
              <w:rPr>
                <w:rFonts w:ascii="Times" w:hAnsi="Times" w:cs="Times New Roman"/>
              </w:rPr>
            </w:pPr>
            <w:r w:rsidRPr="00F10C3A">
              <w:t>(161 trials)</w:t>
            </w:r>
          </w:p>
        </w:tc>
        <w:tc>
          <w:tcPr>
            <w:tcW w:w="424" w:type="pct"/>
            <w:shd w:val="clear" w:color="auto" w:fill="auto"/>
            <w:vAlign w:val="center"/>
          </w:tcPr>
          <w:p w:rsidR="00154AC3" w:rsidRPr="00F10C3A" w:rsidRDefault="00154AC3" w:rsidP="00C5279A">
            <w:pPr>
              <w:pStyle w:val="TableText1"/>
            </w:pPr>
            <w:r w:rsidRPr="00F10C3A">
              <w:t>24,534</w:t>
            </w:r>
          </w:p>
        </w:tc>
        <w:tc>
          <w:tcPr>
            <w:tcW w:w="3228" w:type="pct"/>
            <w:gridSpan w:val="4"/>
            <w:shd w:val="clear" w:color="auto" w:fill="auto"/>
            <w:vAlign w:val="center"/>
          </w:tcPr>
          <w:p w:rsidR="00154AC3" w:rsidRPr="00F10C3A" w:rsidRDefault="00154AC3" w:rsidP="00D64ED2">
            <w:pPr>
              <w:pStyle w:val="TableText1"/>
            </w:pPr>
            <w:r w:rsidRPr="00F10C3A">
              <w:t xml:space="preserve">56 out of 161 trials in the update to Stead (2012) compared nicotine gum with </w:t>
            </w:r>
            <w:r w:rsidR="0069549F" w:rsidRPr="00F10C3A">
              <w:t xml:space="preserve">control. </w:t>
            </w:r>
          </w:p>
        </w:tc>
        <w:tc>
          <w:tcPr>
            <w:tcW w:w="669" w:type="pct"/>
            <w:shd w:val="clear" w:color="auto" w:fill="auto"/>
            <w:vAlign w:val="center"/>
          </w:tcPr>
          <w:p w:rsidR="00154AC3" w:rsidRPr="00F10C3A" w:rsidRDefault="00154AC3" w:rsidP="00C5279A">
            <w:pPr>
              <w:pStyle w:val="TableText1"/>
              <w:rPr>
                <w:rFonts w:ascii="Times" w:hAnsi="Times" w:cs="Times New Roman"/>
              </w:rPr>
            </w:pPr>
            <w:r w:rsidRPr="00F10C3A">
              <w:t>Utilisation of gum</w:t>
            </w:r>
          </w:p>
        </w:tc>
      </w:tr>
      <w:tr w:rsidR="00154AC3" w:rsidRPr="00F10C3A" w:rsidTr="00C5279A">
        <w:tc>
          <w:tcPr>
            <w:tcW w:w="5000" w:type="pct"/>
            <w:gridSpan w:val="7"/>
            <w:shd w:val="clear" w:color="auto" w:fill="auto"/>
            <w:vAlign w:val="center"/>
          </w:tcPr>
          <w:p w:rsidR="00154AC3" w:rsidRPr="00F10C3A" w:rsidRDefault="00154AC3" w:rsidP="00C5279A">
            <w:pPr>
              <w:pStyle w:val="TableText1"/>
              <w:rPr>
                <w:rFonts w:ascii="Times" w:hAnsi="Times" w:cs="Times New Roman"/>
                <w:b/>
              </w:rPr>
            </w:pPr>
            <w:r w:rsidRPr="00F10C3A">
              <w:rPr>
                <w:b/>
              </w:rPr>
              <w:t>Nicotine patch versus control</w:t>
            </w:r>
          </w:p>
        </w:tc>
      </w:tr>
      <w:tr w:rsidR="00154AC3" w:rsidRPr="00F10C3A" w:rsidTr="002D50BB">
        <w:trPr>
          <w:trHeight w:val="77"/>
        </w:trPr>
        <w:tc>
          <w:tcPr>
            <w:tcW w:w="679" w:type="pct"/>
            <w:shd w:val="clear" w:color="auto" w:fill="auto"/>
            <w:vAlign w:val="center"/>
          </w:tcPr>
          <w:p w:rsidR="00154AC3" w:rsidRPr="00F10C3A" w:rsidRDefault="00154AC3" w:rsidP="003F465D">
            <w:pPr>
              <w:pStyle w:val="TableText1"/>
            </w:pPr>
            <w:r w:rsidRPr="00F10C3A">
              <w:t>Stead 2012</w:t>
            </w:r>
            <w:r w:rsidRPr="00F10C3A">
              <w:rPr>
                <w:vertAlign w:val="superscript"/>
              </w:rPr>
              <w:t>a</w:t>
            </w:r>
          </w:p>
          <w:p w:rsidR="00154AC3" w:rsidRPr="00F10C3A" w:rsidRDefault="00154AC3" w:rsidP="003F465D">
            <w:pPr>
              <w:pStyle w:val="TableText1"/>
              <w:rPr>
                <w:rFonts w:ascii="Times" w:hAnsi="Times" w:cs="Times New Roman"/>
              </w:rPr>
            </w:pPr>
            <w:r w:rsidRPr="00F10C3A">
              <w:t>(161 trials)</w:t>
            </w:r>
          </w:p>
        </w:tc>
        <w:tc>
          <w:tcPr>
            <w:tcW w:w="424" w:type="pct"/>
            <w:shd w:val="clear" w:color="auto" w:fill="auto"/>
            <w:vAlign w:val="center"/>
          </w:tcPr>
          <w:p w:rsidR="00154AC3" w:rsidRPr="00F10C3A" w:rsidRDefault="00154AC3" w:rsidP="003F465D">
            <w:pPr>
              <w:pStyle w:val="TableText1"/>
            </w:pPr>
            <w:r w:rsidRPr="00F10C3A">
              <w:t>28,059</w:t>
            </w:r>
          </w:p>
        </w:tc>
        <w:tc>
          <w:tcPr>
            <w:tcW w:w="3228" w:type="pct"/>
            <w:gridSpan w:val="4"/>
            <w:shd w:val="clear" w:color="auto" w:fill="auto"/>
            <w:vAlign w:val="center"/>
          </w:tcPr>
          <w:p w:rsidR="00154AC3" w:rsidRPr="00F10C3A" w:rsidRDefault="00154AC3" w:rsidP="00D64ED2">
            <w:pPr>
              <w:pStyle w:val="TableText1"/>
            </w:pPr>
            <w:r w:rsidRPr="00F10C3A">
              <w:t>54 out of 161 trials in the update to Stead (2012) review compared nicotine patches with control</w:t>
            </w:r>
            <w:r w:rsidR="00D64ED2" w:rsidRPr="00F10C3A">
              <w:t>.</w:t>
            </w:r>
            <w:r w:rsidRPr="00F10C3A">
              <w:t xml:space="preserve"> </w:t>
            </w:r>
          </w:p>
        </w:tc>
        <w:tc>
          <w:tcPr>
            <w:tcW w:w="669" w:type="pct"/>
            <w:shd w:val="clear" w:color="auto" w:fill="auto"/>
            <w:vAlign w:val="center"/>
          </w:tcPr>
          <w:p w:rsidR="00154AC3" w:rsidRPr="00F10C3A" w:rsidRDefault="00154AC3" w:rsidP="003F465D">
            <w:pPr>
              <w:pStyle w:val="TableText1"/>
            </w:pPr>
            <w:r w:rsidRPr="00F10C3A">
              <w:t>Not used</w:t>
            </w:r>
          </w:p>
        </w:tc>
      </w:tr>
    </w:tbl>
    <w:p w:rsidR="00154AC3" w:rsidRPr="00F10C3A" w:rsidRDefault="00154AC3" w:rsidP="003F465D">
      <w:pPr>
        <w:keepNext/>
        <w:contextualSpacing/>
        <w:rPr>
          <w:rFonts w:ascii="Arial Narrow" w:hAnsi="Arial Narrow"/>
          <w:sz w:val="18"/>
        </w:rPr>
      </w:pPr>
      <w:r w:rsidRPr="00F10C3A">
        <w:rPr>
          <w:rFonts w:ascii="Arial Narrow" w:hAnsi="Arial Narrow"/>
          <w:sz w:val="18"/>
        </w:rPr>
        <w:t>Source: compiled during the evaluation</w:t>
      </w:r>
    </w:p>
    <w:p w:rsidR="00154AC3" w:rsidRPr="00F10C3A" w:rsidRDefault="00154AC3" w:rsidP="003F465D">
      <w:pPr>
        <w:keepNext/>
        <w:contextualSpacing/>
        <w:rPr>
          <w:rFonts w:ascii="Arial Narrow" w:hAnsi="Arial Narrow"/>
          <w:sz w:val="18"/>
        </w:rPr>
      </w:pPr>
      <w:r w:rsidRPr="00F10C3A">
        <w:rPr>
          <w:rFonts w:ascii="Arial Narrow" w:hAnsi="Arial Narrow"/>
          <w:sz w:val="18"/>
        </w:rPr>
        <w:t>CMA = cost-minimisation analysis</w:t>
      </w:r>
    </w:p>
    <w:p w:rsidR="00154AC3" w:rsidRPr="00F10C3A" w:rsidRDefault="00154AC3" w:rsidP="003F465D">
      <w:pPr>
        <w:keepNext/>
        <w:contextualSpacing/>
        <w:rPr>
          <w:rFonts w:ascii="Arial Narrow" w:hAnsi="Arial Narrow"/>
          <w:sz w:val="18"/>
        </w:rPr>
      </w:pPr>
      <w:proofErr w:type="spellStart"/>
      <w:proofErr w:type="gramStart"/>
      <w:r w:rsidRPr="00F10C3A">
        <w:rPr>
          <w:rFonts w:ascii="Arial Narrow" w:hAnsi="Arial Narrow"/>
          <w:sz w:val="18"/>
          <w:vertAlign w:val="superscript"/>
        </w:rPr>
        <w:t>a</w:t>
      </w:r>
      <w:proofErr w:type="spellEnd"/>
      <w:proofErr w:type="gramEnd"/>
      <w:r w:rsidRPr="00F10C3A">
        <w:rPr>
          <w:rFonts w:ascii="Arial Narrow" w:hAnsi="Arial Narrow"/>
          <w:sz w:val="18"/>
        </w:rPr>
        <w:t xml:space="preserve"> Updated to include 11 patch versus control trials</w:t>
      </w:r>
    </w:p>
    <w:p w:rsidR="00154AC3" w:rsidRPr="00F10C3A" w:rsidRDefault="00154AC3" w:rsidP="00154AC3">
      <w:pPr>
        <w:contextualSpacing/>
        <w:rPr>
          <w:rFonts w:asciiTheme="minorHAnsi" w:hAnsiTheme="minorHAnsi"/>
          <w:sz w:val="24"/>
          <w:szCs w:val="24"/>
        </w:rPr>
      </w:pPr>
    </w:p>
    <w:p w:rsidR="00154AC3" w:rsidRPr="00F10C3A" w:rsidRDefault="00154AC3"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trials presented by the submission </w:t>
      </w:r>
      <w:r w:rsidR="000F5F8B">
        <w:rPr>
          <w:rFonts w:ascii="Calibri" w:eastAsia="Calibri" w:hAnsi="Calibri"/>
          <w:snapToGrid/>
          <w:sz w:val="24"/>
          <w:szCs w:val="22"/>
        </w:rPr>
        <w:t xml:space="preserve">for </w:t>
      </w:r>
      <w:r w:rsidRPr="00F10C3A">
        <w:rPr>
          <w:rFonts w:ascii="Calibri" w:eastAsia="Calibri" w:hAnsi="Calibri"/>
          <w:snapToGrid/>
          <w:sz w:val="24"/>
          <w:szCs w:val="22"/>
        </w:rPr>
        <w:t xml:space="preserve">the indirect comparison between nicotine </w:t>
      </w:r>
      <w:proofErr w:type="gramStart"/>
      <w:r w:rsidRPr="00F10C3A">
        <w:rPr>
          <w:rFonts w:ascii="Calibri" w:eastAsia="Calibri" w:hAnsi="Calibri"/>
          <w:snapToGrid/>
          <w:sz w:val="24"/>
          <w:szCs w:val="22"/>
        </w:rPr>
        <w:t>gum</w:t>
      </w:r>
      <w:proofErr w:type="gramEnd"/>
      <w:r w:rsidRPr="00F10C3A">
        <w:rPr>
          <w:rFonts w:ascii="Calibri" w:eastAsia="Calibri" w:hAnsi="Calibri"/>
          <w:snapToGrid/>
          <w:sz w:val="24"/>
          <w:szCs w:val="22"/>
        </w:rPr>
        <w:t xml:space="preserve"> with nicotine patches were broadly consistent with the requested PBS listing in terms of the interventions provided and the patient population. Whilst there was considerable heterogeneity between the trials, it is unlikely that the estimated efficacy and safety of nicotine gum relative to nicotine patches would be affected given the considerable number of participants included.</w:t>
      </w:r>
    </w:p>
    <w:p w:rsidR="00154AC3" w:rsidRPr="00F10C3A" w:rsidRDefault="00154AC3" w:rsidP="00154AC3">
      <w:pPr>
        <w:pStyle w:val="PBACHeading1"/>
        <w:numPr>
          <w:ilvl w:val="0"/>
          <w:numId w:val="0"/>
        </w:numPr>
        <w:ind w:left="720" w:hanging="720"/>
        <w:rPr>
          <w:rFonts w:eastAsia="Calibri"/>
          <w:snapToGrid/>
        </w:rPr>
      </w:pPr>
    </w:p>
    <w:p w:rsidR="00154AC3" w:rsidRPr="00F10C3A" w:rsidRDefault="00154AC3"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used sustained abstinence as the primary efficacy outcome for the trials </w:t>
      </w:r>
      <w:r w:rsidR="00715423">
        <w:rPr>
          <w:rFonts w:ascii="Calibri" w:eastAsia="Calibri" w:hAnsi="Calibri"/>
          <w:snapToGrid/>
          <w:sz w:val="24"/>
          <w:szCs w:val="22"/>
        </w:rPr>
        <w:t xml:space="preserve">comparing </w:t>
      </w:r>
      <w:r w:rsidRPr="00F10C3A">
        <w:rPr>
          <w:rFonts w:ascii="Calibri" w:eastAsia="Calibri" w:hAnsi="Calibri"/>
          <w:snapToGrid/>
          <w:sz w:val="24"/>
          <w:szCs w:val="22"/>
        </w:rPr>
        <w:t>nicotine gum to nicotine patches. The same definition of sustained abstinence</w:t>
      </w:r>
      <w:r w:rsidR="00715423">
        <w:rPr>
          <w:rFonts w:ascii="Calibri" w:eastAsia="Calibri" w:hAnsi="Calibri"/>
          <w:snapToGrid/>
          <w:sz w:val="24"/>
          <w:szCs w:val="22"/>
        </w:rPr>
        <w:t xml:space="preserve"> was</w:t>
      </w:r>
      <w:r w:rsidRPr="00F10C3A">
        <w:rPr>
          <w:rFonts w:ascii="Calibri" w:eastAsia="Calibri" w:hAnsi="Calibri"/>
          <w:snapToGrid/>
          <w:sz w:val="24"/>
          <w:szCs w:val="22"/>
        </w:rPr>
        <w:t xml:space="preserve"> used </w:t>
      </w:r>
      <w:r w:rsidR="00715423">
        <w:rPr>
          <w:rFonts w:ascii="Calibri" w:eastAsia="Calibri" w:hAnsi="Calibri"/>
          <w:snapToGrid/>
          <w:sz w:val="24"/>
          <w:szCs w:val="22"/>
        </w:rPr>
        <w:t xml:space="preserve">as </w:t>
      </w:r>
      <w:r w:rsidRPr="00F10C3A">
        <w:rPr>
          <w:rFonts w:ascii="Calibri" w:eastAsia="Calibri" w:hAnsi="Calibri"/>
          <w:snapToGrid/>
          <w:sz w:val="24"/>
          <w:szCs w:val="22"/>
        </w:rPr>
        <w:t xml:space="preserve">in the comparison between nicotine lozenges </w:t>
      </w:r>
      <w:r w:rsidR="00715423">
        <w:rPr>
          <w:rFonts w:ascii="Calibri" w:eastAsia="Calibri" w:hAnsi="Calibri"/>
          <w:snapToGrid/>
          <w:sz w:val="24"/>
          <w:szCs w:val="22"/>
        </w:rPr>
        <w:t>and</w:t>
      </w:r>
      <w:r w:rsidRPr="00F10C3A">
        <w:rPr>
          <w:rFonts w:ascii="Calibri" w:eastAsia="Calibri" w:hAnsi="Calibri"/>
          <w:snapToGrid/>
          <w:sz w:val="24"/>
          <w:szCs w:val="22"/>
        </w:rPr>
        <w:t xml:space="preserve"> nicotine patches. </w:t>
      </w:r>
    </w:p>
    <w:p w:rsidR="00E751C0" w:rsidRPr="00155F06" w:rsidRDefault="0045698A" w:rsidP="003F1965">
      <w:pPr>
        <w:pStyle w:val="V50Heading2nonumbers"/>
      </w:pPr>
      <w:bookmarkStart w:id="23" w:name="_Toc482710290"/>
      <w:r w:rsidRPr="00155F06">
        <w:t>Comparative effectiveness</w:t>
      </w:r>
      <w:bookmarkEnd w:id="21"/>
      <w:bookmarkEnd w:id="22"/>
      <w:bookmarkEnd w:id="23"/>
      <w:r w:rsidR="003F465D" w:rsidRPr="00155F06">
        <w:t xml:space="preserve"> </w:t>
      </w:r>
    </w:p>
    <w:p w:rsidR="0045698A" w:rsidRPr="00504102" w:rsidRDefault="003F465D" w:rsidP="00504102">
      <w:pPr>
        <w:widowControl/>
        <w:rPr>
          <w:rFonts w:asciiTheme="minorHAnsi" w:eastAsia="Calibri" w:hAnsiTheme="minorHAnsi"/>
          <w:snapToGrid/>
          <w:sz w:val="24"/>
          <w:szCs w:val="24"/>
          <w:u w:val="single"/>
        </w:rPr>
      </w:pPr>
      <w:bookmarkStart w:id="24" w:name="_Toc482710291"/>
      <w:r w:rsidRPr="00504102">
        <w:rPr>
          <w:rFonts w:asciiTheme="minorHAnsi" w:eastAsia="Calibri" w:hAnsiTheme="minorHAnsi"/>
          <w:snapToGrid/>
          <w:sz w:val="24"/>
          <w:szCs w:val="24"/>
          <w:u w:val="single"/>
        </w:rPr>
        <w:t>Nicotine lozenges versus nicotine patches</w:t>
      </w:r>
      <w:bookmarkEnd w:id="24"/>
      <w:r w:rsidR="0045698A" w:rsidRPr="00504102">
        <w:rPr>
          <w:rFonts w:asciiTheme="minorHAnsi" w:eastAsia="Calibri" w:hAnsiTheme="minorHAnsi"/>
          <w:snapToGrid/>
          <w:sz w:val="24"/>
          <w:szCs w:val="24"/>
          <w:u w:val="single"/>
        </w:rPr>
        <w:t xml:space="preserve"> </w:t>
      </w:r>
    </w:p>
    <w:p w:rsidR="00F113F3" w:rsidRPr="00F10C3A" w:rsidRDefault="00F113F3" w:rsidP="00F113F3"/>
    <w:p w:rsidR="00F21840" w:rsidRPr="00F10C3A" w:rsidRDefault="00F21840"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Table </w:t>
      </w:r>
      <w:r w:rsidR="00E6694C" w:rsidRPr="00F10C3A">
        <w:rPr>
          <w:rFonts w:ascii="Calibri" w:eastAsia="Calibri" w:hAnsi="Calibri"/>
          <w:snapToGrid/>
          <w:sz w:val="24"/>
          <w:szCs w:val="22"/>
        </w:rPr>
        <w:t>6</w:t>
      </w:r>
      <w:r w:rsidRPr="00F10C3A">
        <w:rPr>
          <w:rFonts w:ascii="Calibri" w:eastAsia="Calibri" w:hAnsi="Calibri"/>
          <w:snapToGrid/>
          <w:sz w:val="24"/>
          <w:szCs w:val="22"/>
        </w:rPr>
        <w:t xml:space="preserve"> summarises six-month smoking abstinence rates across the direct randomised trials, and the meta-analysis conducted by the submission.</w:t>
      </w:r>
      <w:r w:rsidR="005C227F" w:rsidRPr="00F10C3A">
        <w:rPr>
          <w:rFonts w:ascii="Calibri" w:eastAsia="Calibri" w:hAnsi="Calibri"/>
          <w:snapToGrid/>
          <w:sz w:val="24"/>
          <w:szCs w:val="22"/>
        </w:rPr>
        <w:t xml:space="preserve"> </w:t>
      </w:r>
    </w:p>
    <w:p w:rsidR="000E2007" w:rsidRPr="00F10C3A" w:rsidRDefault="000E2007" w:rsidP="000E2007">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6</w:t>
      </w:r>
      <w:r w:rsidRPr="00DD433E">
        <w:t>: Results of smoking cessation across the direct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6"/>
        <w:gridCol w:w="1471"/>
        <w:gridCol w:w="1484"/>
        <w:gridCol w:w="2172"/>
        <w:gridCol w:w="1362"/>
        <w:gridCol w:w="687"/>
      </w:tblGrid>
      <w:tr w:rsidR="00C23D54" w:rsidRPr="00F10C3A" w:rsidTr="00C23D54">
        <w:tc>
          <w:tcPr>
            <w:tcW w:w="1049" w:type="pct"/>
            <w:shd w:val="clear" w:color="auto" w:fill="auto"/>
          </w:tcPr>
          <w:p w:rsidR="00C23D54" w:rsidRPr="00F10C3A" w:rsidRDefault="00C23D54" w:rsidP="00310B78">
            <w:pPr>
              <w:pStyle w:val="TableText1"/>
              <w:rPr>
                <w:b/>
              </w:rPr>
            </w:pPr>
            <w:r w:rsidRPr="00F10C3A">
              <w:rPr>
                <w:b/>
              </w:rPr>
              <w:t>Trial ID</w:t>
            </w:r>
          </w:p>
        </w:tc>
        <w:tc>
          <w:tcPr>
            <w:tcW w:w="810" w:type="pct"/>
          </w:tcPr>
          <w:p w:rsidR="00C23D54" w:rsidRPr="00F10C3A" w:rsidRDefault="00C23D54" w:rsidP="00310B78">
            <w:pPr>
              <w:pStyle w:val="TableText1"/>
              <w:rPr>
                <w:b/>
              </w:rPr>
            </w:pPr>
            <w:r w:rsidRPr="00F10C3A">
              <w:rPr>
                <w:b/>
              </w:rPr>
              <w:t>Nicotine lozenge</w:t>
            </w:r>
          </w:p>
          <w:p w:rsidR="00C23D54" w:rsidRPr="00F10C3A" w:rsidRDefault="00C23D54" w:rsidP="00310B78">
            <w:pPr>
              <w:pStyle w:val="TableText1"/>
              <w:rPr>
                <w:b/>
              </w:rPr>
            </w:pPr>
            <w:proofErr w:type="gramStart"/>
            <w:r w:rsidRPr="00F10C3A">
              <w:rPr>
                <w:b/>
              </w:rPr>
              <w:t>n/N</w:t>
            </w:r>
            <w:proofErr w:type="gramEnd"/>
            <w:r w:rsidRPr="00F10C3A">
              <w:rPr>
                <w:b/>
              </w:rPr>
              <w:t xml:space="preserve"> (%)</w:t>
            </w:r>
          </w:p>
        </w:tc>
        <w:tc>
          <w:tcPr>
            <w:tcW w:w="817" w:type="pct"/>
          </w:tcPr>
          <w:p w:rsidR="00C23D54" w:rsidRPr="00F10C3A" w:rsidRDefault="00C23D54" w:rsidP="00310B78">
            <w:pPr>
              <w:pStyle w:val="TableText1"/>
              <w:rPr>
                <w:b/>
              </w:rPr>
            </w:pPr>
            <w:r w:rsidRPr="00F10C3A">
              <w:rPr>
                <w:b/>
              </w:rPr>
              <w:t>Nicotine patches</w:t>
            </w:r>
          </w:p>
          <w:p w:rsidR="00C23D54" w:rsidRPr="00F10C3A" w:rsidRDefault="00C23D54" w:rsidP="00310B78">
            <w:pPr>
              <w:pStyle w:val="TableText1"/>
              <w:rPr>
                <w:b/>
              </w:rPr>
            </w:pPr>
            <w:proofErr w:type="gramStart"/>
            <w:r w:rsidRPr="00F10C3A">
              <w:rPr>
                <w:b/>
              </w:rPr>
              <w:t>n/N</w:t>
            </w:r>
            <w:proofErr w:type="gramEnd"/>
            <w:r w:rsidRPr="00F10C3A">
              <w:rPr>
                <w:b/>
              </w:rPr>
              <w:t xml:space="preserve"> (%)</w:t>
            </w:r>
          </w:p>
        </w:tc>
        <w:tc>
          <w:tcPr>
            <w:tcW w:w="1196" w:type="pct"/>
          </w:tcPr>
          <w:p w:rsidR="00C23D54" w:rsidRPr="00F10C3A" w:rsidRDefault="00C23D54" w:rsidP="00310B78">
            <w:pPr>
              <w:pStyle w:val="TableText1"/>
              <w:rPr>
                <w:b/>
              </w:rPr>
            </w:pPr>
            <w:r w:rsidRPr="00F10C3A">
              <w:rPr>
                <w:b/>
              </w:rPr>
              <w:t>RD</w:t>
            </w:r>
          </w:p>
          <w:p w:rsidR="00C23D54" w:rsidRPr="00F10C3A" w:rsidRDefault="00C23D54" w:rsidP="00310B78">
            <w:pPr>
              <w:pStyle w:val="TableText1"/>
              <w:rPr>
                <w:b/>
              </w:rPr>
            </w:pPr>
            <w:r w:rsidRPr="00F10C3A">
              <w:rPr>
                <w:b/>
              </w:rPr>
              <w:t>(95% CI)</w:t>
            </w:r>
          </w:p>
        </w:tc>
        <w:tc>
          <w:tcPr>
            <w:tcW w:w="750" w:type="pct"/>
          </w:tcPr>
          <w:p w:rsidR="00C23D54" w:rsidRPr="00F10C3A" w:rsidRDefault="00C23D54" w:rsidP="00310B78">
            <w:pPr>
              <w:pStyle w:val="TableText1"/>
              <w:rPr>
                <w:b/>
              </w:rPr>
            </w:pPr>
            <w:r w:rsidRPr="00F10C3A">
              <w:rPr>
                <w:b/>
              </w:rPr>
              <w:t>RR (95% CI)</w:t>
            </w:r>
          </w:p>
        </w:tc>
        <w:tc>
          <w:tcPr>
            <w:tcW w:w="378" w:type="pct"/>
          </w:tcPr>
          <w:p w:rsidR="00C23D54" w:rsidRPr="00F10C3A" w:rsidRDefault="00C23D54" w:rsidP="00310B78">
            <w:pPr>
              <w:pStyle w:val="TableText1"/>
              <w:rPr>
                <w:b/>
              </w:rPr>
            </w:pPr>
            <w:r w:rsidRPr="00F10C3A">
              <w:rPr>
                <w:b/>
              </w:rPr>
              <w:t>P-value</w:t>
            </w:r>
          </w:p>
        </w:tc>
      </w:tr>
      <w:tr w:rsidR="00C23D54" w:rsidRPr="00F10C3A" w:rsidTr="00C23D54">
        <w:tc>
          <w:tcPr>
            <w:tcW w:w="1049" w:type="pct"/>
          </w:tcPr>
          <w:p w:rsidR="00C23D54" w:rsidRPr="00F10C3A" w:rsidRDefault="00C23D54" w:rsidP="00310B78">
            <w:pPr>
              <w:pStyle w:val="TableText1"/>
            </w:pPr>
            <w:r w:rsidRPr="00F10C3A">
              <w:t>Piper (2009)</w:t>
            </w:r>
            <w:r w:rsidRPr="00F10C3A">
              <w:rPr>
                <w:vertAlign w:val="superscript"/>
              </w:rPr>
              <w:t>a</w:t>
            </w:r>
            <w:r w:rsidRPr="00F10C3A">
              <w:t xml:space="preserve"> </w:t>
            </w:r>
          </w:p>
        </w:tc>
        <w:tc>
          <w:tcPr>
            <w:tcW w:w="810" w:type="pct"/>
          </w:tcPr>
          <w:p w:rsidR="00C23D54" w:rsidRPr="00F10C3A" w:rsidRDefault="00C23D54" w:rsidP="00310B78">
            <w:pPr>
              <w:pStyle w:val="TableText1"/>
            </w:pPr>
            <w:r w:rsidRPr="00F10C3A">
              <w:t>87/260 (33.5%)</w:t>
            </w:r>
          </w:p>
        </w:tc>
        <w:tc>
          <w:tcPr>
            <w:tcW w:w="817" w:type="pct"/>
          </w:tcPr>
          <w:p w:rsidR="00C23D54" w:rsidRPr="00F10C3A" w:rsidRDefault="00C23D54" w:rsidP="00310B78">
            <w:pPr>
              <w:pStyle w:val="TableText1"/>
            </w:pPr>
            <w:r w:rsidRPr="00F10C3A">
              <w:t>90/262 (34.4%)</w:t>
            </w:r>
          </w:p>
        </w:tc>
        <w:tc>
          <w:tcPr>
            <w:tcW w:w="1196" w:type="pct"/>
          </w:tcPr>
          <w:p w:rsidR="00C23D54" w:rsidRPr="00F10C3A" w:rsidRDefault="00C23D54" w:rsidP="00310B78">
            <w:pPr>
              <w:pStyle w:val="TableText1"/>
            </w:pPr>
            <w:r w:rsidRPr="00F10C3A">
              <w:t>-0.01 (-0.09, 0.07)</w:t>
            </w:r>
          </w:p>
        </w:tc>
        <w:tc>
          <w:tcPr>
            <w:tcW w:w="750" w:type="pct"/>
          </w:tcPr>
          <w:p w:rsidR="00C23D54" w:rsidRPr="00F10C3A" w:rsidRDefault="00C23D54" w:rsidP="00310B78">
            <w:pPr>
              <w:pStyle w:val="TableText1"/>
            </w:pPr>
            <w:r w:rsidRPr="00F10C3A">
              <w:t>0.97 (0.77, 1.24)</w:t>
            </w:r>
          </w:p>
        </w:tc>
        <w:tc>
          <w:tcPr>
            <w:tcW w:w="378" w:type="pct"/>
          </w:tcPr>
          <w:p w:rsidR="00C23D54" w:rsidRPr="00F10C3A" w:rsidRDefault="00C23D54" w:rsidP="00310B78">
            <w:pPr>
              <w:pStyle w:val="TableText1"/>
            </w:pPr>
            <w:r w:rsidRPr="00F10C3A">
              <w:t>0.830</w:t>
            </w:r>
          </w:p>
        </w:tc>
      </w:tr>
      <w:tr w:rsidR="00C23D54" w:rsidRPr="00F10C3A" w:rsidTr="00C23D54">
        <w:tc>
          <w:tcPr>
            <w:tcW w:w="1049" w:type="pct"/>
          </w:tcPr>
          <w:p w:rsidR="00C23D54" w:rsidRPr="00F10C3A" w:rsidRDefault="00C23D54" w:rsidP="00310B78">
            <w:pPr>
              <w:pStyle w:val="TableText1"/>
              <w:rPr>
                <w:rFonts w:ascii="Times" w:hAnsi="Times" w:cs="Times New Roman"/>
              </w:rPr>
            </w:pPr>
            <w:proofErr w:type="spellStart"/>
            <w:r w:rsidRPr="00F10C3A">
              <w:t>Schnoll</w:t>
            </w:r>
            <w:proofErr w:type="spellEnd"/>
            <w:r w:rsidRPr="00F10C3A">
              <w:t xml:space="preserve"> (2010)</w:t>
            </w:r>
          </w:p>
        </w:tc>
        <w:tc>
          <w:tcPr>
            <w:tcW w:w="810" w:type="pct"/>
          </w:tcPr>
          <w:p w:rsidR="00C23D54" w:rsidRPr="00F10C3A" w:rsidRDefault="00C23D54" w:rsidP="00310B78">
            <w:pPr>
              <w:pStyle w:val="TableText1"/>
            </w:pPr>
            <w:r w:rsidRPr="00F10C3A">
              <w:t>35/321 (10.9%)</w:t>
            </w:r>
          </w:p>
        </w:tc>
        <w:tc>
          <w:tcPr>
            <w:tcW w:w="817" w:type="pct"/>
          </w:tcPr>
          <w:p w:rsidR="00C23D54" w:rsidRPr="00F10C3A" w:rsidRDefault="00C23D54" w:rsidP="00310B78">
            <w:pPr>
              <w:pStyle w:val="TableText1"/>
            </w:pPr>
            <w:r w:rsidRPr="00F10C3A">
              <w:t>50/321 (15.6%)</w:t>
            </w:r>
          </w:p>
        </w:tc>
        <w:tc>
          <w:tcPr>
            <w:tcW w:w="1196" w:type="pct"/>
          </w:tcPr>
          <w:p w:rsidR="00C23D54" w:rsidRPr="00F10C3A" w:rsidRDefault="00C23D54" w:rsidP="00310B78">
            <w:pPr>
              <w:pStyle w:val="TableText1"/>
            </w:pPr>
            <w:r w:rsidRPr="00F10C3A">
              <w:t>-0.05 (-0.1, 0.01)</w:t>
            </w:r>
          </w:p>
        </w:tc>
        <w:tc>
          <w:tcPr>
            <w:tcW w:w="750" w:type="pct"/>
          </w:tcPr>
          <w:p w:rsidR="00C23D54" w:rsidRPr="00F10C3A" w:rsidRDefault="00C23D54" w:rsidP="00310B78">
            <w:pPr>
              <w:pStyle w:val="TableText1"/>
            </w:pPr>
            <w:r w:rsidRPr="00F10C3A">
              <w:t>0.70 (0.47, 1.05)</w:t>
            </w:r>
          </w:p>
        </w:tc>
        <w:tc>
          <w:tcPr>
            <w:tcW w:w="378" w:type="pct"/>
          </w:tcPr>
          <w:p w:rsidR="00C23D54" w:rsidRPr="00F10C3A" w:rsidRDefault="00C23D54" w:rsidP="00310B78">
            <w:pPr>
              <w:pStyle w:val="TableText1"/>
            </w:pPr>
            <w:r w:rsidRPr="00F10C3A">
              <w:t>0.083</w:t>
            </w:r>
          </w:p>
        </w:tc>
      </w:tr>
      <w:tr w:rsidR="00C23D54" w:rsidRPr="00F10C3A" w:rsidTr="00C23D54">
        <w:tc>
          <w:tcPr>
            <w:tcW w:w="1049" w:type="pct"/>
          </w:tcPr>
          <w:p w:rsidR="00C23D54" w:rsidRPr="00F10C3A" w:rsidRDefault="00C23D54" w:rsidP="00310B78">
            <w:pPr>
              <w:pStyle w:val="TableText1"/>
              <w:rPr>
                <w:rFonts w:ascii="Times" w:hAnsi="Times" w:cs="Times New Roman"/>
              </w:rPr>
            </w:pPr>
            <w:r w:rsidRPr="00F10C3A">
              <w:t>Smith (2009)</w:t>
            </w:r>
          </w:p>
        </w:tc>
        <w:tc>
          <w:tcPr>
            <w:tcW w:w="810" w:type="pct"/>
          </w:tcPr>
          <w:p w:rsidR="00C23D54" w:rsidRPr="00F10C3A" w:rsidRDefault="00C23D54" w:rsidP="00310B78">
            <w:pPr>
              <w:pStyle w:val="TableText1"/>
            </w:pPr>
            <w:r w:rsidRPr="00F10C3A">
              <w:t>53/261 (20.3%)</w:t>
            </w:r>
            <w:r w:rsidRPr="00F10C3A">
              <w:rPr>
                <w:vertAlign w:val="superscript"/>
              </w:rPr>
              <w:t>b</w:t>
            </w:r>
          </w:p>
        </w:tc>
        <w:tc>
          <w:tcPr>
            <w:tcW w:w="817" w:type="pct"/>
          </w:tcPr>
          <w:p w:rsidR="00C23D54" w:rsidRPr="00F10C3A" w:rsidRDefault="00C23D54" w:rsidP="00310B78">
            <w:pPr>
              <w:pStyle w:val="TableText1"/>
            </w:pPr>
            <w:r w:rsidRPr="00F10C3A">
              <w:t>50/282 (17.7%)</w:t>
            </w:r>
          </w:p>
        </w:tc>
        <w:tc>
          <w:tcPr>
            <w:tcW w:w="1196" w:type="pct"/>
          </w:tcPr>
          <w:p w:rsidR="00C23D54" w:rsidRPr="00F10C3A" w:rsidRDefault="00C23D54" w:rsidP="00310B78">
            <w:pPr>
              <w:pStyle w:val="TableText1"/>
            </w:pPr>
            <w:r w:rsidRPr="00F10C3A">
              <w:t>0.03 (-0.04, 0.09)</w:t>
            </w:r>
          </w:p>
        </w:tc>
        <w:tc>
          <w:tcPr>
            <w:tcW w:w="750" w:type="pct"/>
          </w:tcPr>
          <w:p w:rsidR="00C23D54" w:rsidRPr="00F10C3A" w:rsidRDefault="00C23D54" w:rsidP="00310B78">
            <w:pPr>
              <w:pStyle w:val="TableText1"/>
            </w:pPr>
            <w:r w:rsidRPr="00F10C3A">
              <w:t>1.15 (0.81, 1.62)</w:t>
            </w:r>
          </w:p>
        </w:tc>
        <w:tc>
          <w:tcPr>
            <w:tcW w:w="378" w:type="pct"/>
          </w:tcPr>
          <w:p w:rsidR="00C23D54" w:rsidRPr="00F10C3A" w:rsidRDefault="00C23D54" w:rsidP="00310B78">
            <w:pPr>
              <w:pStyle w:val="TableText1"/>
            </w:pPr>
            <w:r w:rsidRPr="00F10C3A">
              <w:t>0.445</w:t>
            </w:r>
          </w:p>
        </w:tc>
      </w:tr>
      <w:tr w:rsidR="00773BCA" w:rsidRPr="00F10C3A" w:rsidTr="00C23D54">
        <w:tc>
          <w:tcPr>
            <w:tcW w:w="1049" w:type="pct"/>
          </w:tcPr>
          <w:p w:rsidR="00773BCA" w:rsidRPr="00F10C3A" w:rsidRDefault="00773BCA" w:rsidP="00310B78">
            <w:pPr>
              <w:pStyle w:val="TableText1"/>
              <w:rPr>
                <w:rFonts w:ascii="Times" w:hAnsi="Times" w:cs="Times New Roman"/>
                <w:b/>
              </w:rPr>
            </w:pPr>
            <w:r w:rsidRPr="00F10C3A">
              <w:rPr>
                <w:b/>
              </w:rPr>
              <w:t>Meta-analysis</w:t>
            </w:r>
          </w:p>
        </w:tc>
        <w:tc>
          <w:tcPr>
            <w:tcW w:w="810" w:type="pct"/>
          </w:tcPr>
          <w:p w:rsidR="00773BCA" w:rsidRPr="00F10C3A" w:rsidRDefault="00773BCA" w:rsidP="00310B78">
            <w:pPr>
              <w:pStyle w:val="TableText1"/>
              <w:rPr>
                <w:b/>
              </w:rPr>
            </w:pPr>
            <w:r w:rsidRPr="00F10C3A">
              <w:rPr>
                <w:b/>
              </w:rPr>
              <w:t>Nicotine lozenge</w:t>
            </w:r>
          </w:p>
          <w:p w:rsidR="00773BCA" w:rsidRPr="00F10C3A" w:rsidRDefault="00773BCA" w:rsidP="00310B78">
            <w:pPr>
              <w:pStyle w:val="TableText1"/>
              <w:rPr>
                <w:b/>
              </w:rPr>
            </w:pPr>
            <w:proofErr w:type="gramStart"/>
            <w:r w:rsidRPr="00F10C3A">
              <w:rPr>
                <w:b/>
              </w:rPr>
              <w:t>n/N</w:t>
            </w:r>
            <w:proofErr w:type="gramEnd"/>
            <w:r w:rsidRPr="00F10C3A">
              <w:rPr>
                <w:b/>
              </w:rPr>
              <w:t xml:space="preserve"> (%)</w:t>
            </w:r>
          </w:p>
        </w:tc>
        <w:tc>
          <w:tcPr>
            <w:tcW w:w="817" w:type="pct"/>
          </w:tcPr>
          <w:p w:rsidR="00773BCA" w:rsidRPr="00F10C3A" w:rsidRDefault="00773BCA" w:rsidP="00310B78">
            <w:pPr>
              <w:pStyle w:val="TableText1"/>
              <w:rPr>
                <w:b/>
              </w:rPr>
            </w:pPr>
            <w:r w:rsidRPr="00F10C3A">
              <w:rPr>
                <w:b/>
              </w:rPr>
              <w:t>Nicotine patches</w:t>
            </w:r>
          </w:p>
          <w:p w:rsidR="00773BCA" w:rsidRPr="00F10C3A" w:rsidRDefault="00773BCA" w:rsidP="00310B78">
            <w:pPr>
              <w:pStyle w:val="TableText1"/>
              <w:rPr>
                <w:b/>
              </w:rPr>
            </w:pPr>
            <w:proofErr w:type="gramStart"/>
            <w:r w:rsidRPr="00F10C3A">
              <w:rPr>
                <w:b/>
              </w:rPr>
              <w:t>n/N</w:t>
            </w:r>
            <w:proofErr w:type="gramEnd"/>
            <w:r w:rsidRPr="00F10C3A">
              <w:rPr>
                <w:b/>
              </w:rPr>
              <w:t xml:space="preserve"> (%)</w:t>
            </w:r>
          </w:p>
        </w:tc>
        <w:tc>
          <w:tcPr>
            <w:tcW w:w="1196" w:type="pct"/>
          </w:tcPr>
          <w:p w:rsidR="00773BCA" w:rsidRPr="00F10C3A" w:rsidRDefault="00773BCA" w:rsidP="00310B78">
            <w:pPr>
              <w:pStyle w:val="TableText1"/>
              <w:rPr>
                <w:b/>
              </w:rPr>
            </w:pPr>
            <w:r w:rsidRPr="00F10C3A">
              <w:rPr>
                <w:b/>
              </w:rPr>
              <w:t>RD</w:t>
            </w:r>
          </w:p>
          <w:p w:rsidR="00773BCA" w:rsidRPr="00F10C3A" w:rsidRDefault="00773BCA" w:rsidP="00310B78">
            <w:pPr>
              <w:pStyle w:val="TableText1"/>
              <w:rPr>
                <w:b/>
              </w:rPr>
            </w:pPr>
            <w:r w:rsidRPr="00F10C3A">
              <w:rPr>
                <w:b/>
              </w:rPr>
              <w:t>(95% CI)</w:t>
            </w:r>
          </w:p>
        </w:tc>
        <w:tc>
          <w:tcPr>
            <w:tcW w:w="1128" w:type="pct"/>
            <w:gridSpan w:val="2"/>
          </w:tcPr>
          <w:p w:rsidR="00D615C4" w:rsidRPr="00F10C3A" w:rsidRDefault="00773BCA" w:rsidP="00310B78">
            <w:pPr>
              <w:pStyle w:val="TableText1"/>
              <w:rPr>
                <w:b/>
              </w:rPr>
            </w:pPr>
            <w:r w:rsidRPr="00F10C3A">
              <w:rPr>
                <w:b/>
              </w:rPr>
              <w:t xml:space="preserve">RR </w:t>
            </w:r>
          </w:p>
          <w:p w:rsidR="00773BCA" w:rsidRPr="00F10C3A" w:rsidRDefault="00773BCA" w:rsidP="00310B78">
            <w:pPr>
              <w:pStyle w:val="TableText1"/>
              <w:rPr>
                <w:b/>
              </w:rPr>
            </w:pPr>
            <w:r w:rsidRPr="00F10C3A">
              <w:rPr>
                <w:b/>
              </w:rPr>
              <w:t>(95% CI)</w:t>
            </w:r>
          </w:p>
        </w:tc>
      </w:tr>
      <w:tr w:rsidR="00773BCA" w:rsidRPr="00F10C3A" w:rsidTr="00C23D54">
        <w:tc>
          <w:tcPr>
            <w:tcW w:w="1049" w:type="pct"/>
            <w:vAlign w:val="center"/>
          </w:tcPr>
          <w:p w:rsidR="00773BCA" w:rsidRPr="00F10C3A" w:rsidRDefault="00D64B4A" w:rsidP="00310B78">
            <w:pPr>
              <w:pStyle w:val="TableText1"/>
            </w:pPr>
            <w:r w:rsidRPr="00F10C3A">
              <w:t xml:space="preserve">Random </w:t>
            </w:r>
            <w:r w:rsidR="00FD7B8E" w:rsidRPr="00F10C3A">
              <w:t>effects</w:t>
            </w:r>
            <w:r w:rsidR="00773BCA" w:rsidRPr="00F10C3A">
              <w:t xml:space="preserve"> </w:t>
            </w:r>
            <w:proofErr w:type="spellStart"/>
            <w:r w:rsidR="00773BCA" w:rsidRPr="00F10C3A">
              <w:t>model</w:t>
            </w:r>
            <w:r w:rsidR="00773BCA" w:rsidRPr="00F10C3A">
              <w:rPr>
                <w:vertAlign w:val="superscript"/>
              </w:rPr>
              <w:t>c</w:t>
            </w:r>
            <w:proofErr w:type="spellEnd"/>
          </w:p>
        </w:tc>
        <w:tc>
          <w:tcPr>
            <w:tcW w:w="810" w:type="pct"/>
          </w:tcPr>
          <w:p w:rsidR="00773BCA" w:rsidRPr="00F10C3A" w:rsidRDefault="00773BCA" w:rsidP="00310B78">
            <w:pPr>
              <w:pStyle w:val="TableText1"/>
            </w:pPr>
            <w:r w:rsidRPr="00F10C3A">
              <w:t>175/842 (20.8%)</w:t>
            </w:r>
          </w:p>
        </w:tc>
        <w:tc>
          <w:tcPr>
            <w:tcW w:w="817" w:type="pct"/>
          </w:tcPr>
          <w:p w:rsidR="00773BCA" w:rsidRPr="00F10C3A" w:rsidRDefault="00773BCA" w:rsidP="00310B78">
            <w:pPr>
              <w:pStyle w:val="TableText1"/>
            </w:pPr>
            <w:r w:rsidRPr="00F10C3A">
              <w:t>190/865 (22%)</w:t>
            </w:r>
          </w:p>
        </w:tc>
        <w:tc>
          <w:tcPr>
            <w:tcW w:w="1196" w:type="pct"/>
          </w:tcPr>
          <w:p w:rsidR="00773BCA" w:rsidRPr="00F10C3A" w:rsidRDefault="006D6D69" w:rsidP="00310B78">
            <w:pPr>
              <w:pStyle w:val="TableText1"/>
            </w:pPr>
            <w:r w:rsidRPr="00F10C3A">
              <w:t>-</w:t>
            </w:r>
            <w:r w:rsidR="00EF0DDD" w:rsidRPr="00F10C3A">
              <w:t>0.01</w:t>
            </w:r>
            <w:r w:rsidR="00D64B4A" w:rsidRPr="00F10C3A">
              <w:t>4 (-0.059, 0.031</w:t>
            </w:r>
            <w:r w:rsidR="00EF0DDD" w:rsidRPr="00F10C3A">
              <w:t>)</w:t>
            </w:r>
          </w:p>
        </w:tc>
        <w:tc>
          <w:tcPr>
            <w:tcW w:w="1128" w:type="pct"/>
            <w:gridSpan w:val="2"/>
          </w:tcPr>
          <w:p w:rsidR="00773BCA" w:rsidRPr="00F10C3A" w:rsidRDefault="00D64B4A" w:rsidP="00310B78">
            <w:pPr>
              <w:pStyle w:val="TableText1"/>
            </w:pPr>
            <w:r w:rsidRPr="00F10C3A">
              <w:t>0.94 (0.74, 1.18</w:t>
            </w:r>
            <w:r w:rsidR="00773BCA" w:rsidRPr="00F10C3A">
              <w:t>)</w:t>
            </w:r>
          </w:p>
        </w:tc>
      </w:tr>
      <w:tr w:rsidR="00773BCA" w:rsidRPr="00F10C3A" w:rsidTr="00C23D54">
        <w:tc>
          <w:tcPr>
            <w:tcW w:w="2676" w:type="pct"/>
            <w:gridSpan w:val="3"/>
            <w:shd w:val="clear" w:color="auto" w:fill="auto"/>
            <w:vAlign w:val="center"/>
          </w:tcPr>
          <w:p w:rsidR="00773BCA" w:rsidRPr="00F10C3A" w:rsidRDefault="00773BCA" w:rsidP="00310B78">
            <w:pPr>
              <w:pStyle w:val="TableText1"/>
              <w:rPr>
                <w:rFonts w:ascii="Times" w:hAnsi="Times" w:cs="Times New Roman"/>
              </w:rPr>
            </w:pPr>
            <w:r w:rsidRPr="00F10C3A">
              <w:t>Chi-square for heterogeneity</w:t>
            </w:r>
          </w:p>
        </w:tc>
        <w:tc>
          <w:tcPr>
            <w:tcW w:w="1196" w:type="pct"/>
            <w:shd w:val="clear" w:color="auto" w:fill="auto"/>
          </w:tcPr>
          <w:p w:rsidR="00773BCA" w:rsidRPr="00F10C3A" w:rsidRDefault="006D6D69" w:rsidP="00310B78">
            <w:pPr>
              <w:pStyle w:val="TableText1"/>
              <w:rPr>
                <w:rFonts w:ascii="Times" w:hAnsi="Times" w:cs="Times New Roman"/>
              </w:rPr>
            </w:pPr>
            <w:r w:rsidRPr="00F10C3A">
              <w:t>0.236</w:t>
            </w:r>
          </w:p>
        </w:tc>
        <w:tc>
          <w:tcPr>
            <w:tcW w:w="1128" w:type="pct"/>
            <w:gridSpan w:val="2"/>
          </w:tcPr>
          <w:p w:rsidR="00773BCA" w:rsidRPr="00F10C3A" w:rsidRDefault="00773BCA" w:rsidP="00310B78">
            <w:pPr>
              <w:pStyle w:val="TableText1"/>
            </w:pPr>
            <w:r w:rsidRPr="00F10C3A">
              <w:t>0.</w:t>
            </w:r>
            <w:r w:rsidR="006D6D69" w:rsidRPr="00F10C3A">
              <w:t>187</w:t>
            </w:r>
          </w:p>
        </w:tc>
      </w:tr>
      <w:tr w:rsidR="00773BCA" w:rsidRPr="00F10C3A" w:rsidTr="00C23D54">
        <w:tc>
          <w:tcPr>
            <w:tcW w:w="2676" w:type="pct"/>
            <w:gridSpan w:val="3"/>
            <w:shd w:val="clear" w:color="auto" w:fill="auto"/>
            <w:vAlign w:val="center"/>
          </w:tcPr>
          <w:p w:rsidR="00773BCA" w:rsidRPr="00F10C3A" w:rsidRDefault="00773BCA" w:rsidP="00310B78">
            <w:pPr>
              <w:pStyle w:val="TableText1"/>
              <w:keepLines/>
            </w:pPr>
            <w:r w:rsidRPr="00F10C3A">
              <w:t>I</w:t>
            </w:r>
            <w:r w:rsidRPr="00F10C3A">
              <w:rPr>
                <w:vertAlign w:val="superscript"/>
              </w:rPr>
              <w:t>2</w:t>
            </w:r>
            <w:r w:rsidRPr="00F10C3A">
              <w:t xml:space="preserve"> statistic</w:t>
            </w:r>
          </w:p>
        </w:tc>
        <w:tc>
          <w:tcPr>
            <w:tcW w:w="1196" w:type="pct"/>
            <w:shd w:val="clear" w:color="auto" w:fill="auto"/>
          </w:tcPr>
          <w:p w:rsidR="00773BCA" w:rsidRPr="00F10C3A" w:rsidRDefault="00D64B4A" w:rsidP="00310B78">
            <w:pPr>
              <w:pStyle w:val="TableText1"/>
              <w:keepLines/>
            </w:pPr>
            <w:r w:rsidRPr="00F10C3A">
              <w:t>30.71</w:t>
            </w:r>
          </w:p>
        </w:tc>
        <w:tc>
          <w:tcPr>
            <w:tcW w:w="1128" w:type="pct"/>
            <w:gridSpan w:val="2"/>
          </w:tcPr>
          <w:p w:rsidR="00773BCA" w:rsidRPr="00F10C3A" w:rsidRDefault="00D64B4A" w:rsidP="00310B78">
            <w:pPr>
              <w:pStyle w:val="TableText1"/>
              <w:keepLines/>
            </w:pPr>
            <w:r w:rsidRPr="00F10C3A">
              <w:t>40.35</w:t>
            </w:r>
          </w:p>
        </w:tc>
      </w:tr>
    </w:tbl>
    <w:p w:rsidR="00F21840" w:rsidRPr="00F10C3A" w:rsidRDefault="00F21840" w:rsidP="000E2007">
      <w:pPr>
        <w:keepLines/>
        <w:widowControl/>
        <w:jc w:val="left"/>
        <w:rPr>
          <w:rFonts w:ascii="Arial Narrow" w:hAnsi="Arial Narrow"/>
          <w:sz w:val="18"/>
        </w:rPr>
      </w:pPr>
      <w:r w:rsidRPr="00F10C3A">
        <w:rPr>
          <w:rFonts w:ascii="Arial Narrow" w:hAnsi="Arial Narrow"/>
          <w:sz w:val="18"/>
        </w:rPr>
        <w:t>Source: Tables B-28, p83-84 and B-51, p96 of the submission and calculated during the evaluation.</w:t>
      </w:r>
    </w:p>
    <w:p w:rsidR="00F21840" w:rsidRPr="00F10C3A" w:rsidRDefault="00F21840" w:rsidP="000E2007">
      <w:pPr>
        <w:keepLines/>
        <w:widowControl/>
        <w:jc w:val="left"/>
        <w:rPr>
          <w:rFonts w:ascii="Arial Narrow" w:hAnsi="Arial Narrow"/>
          <w:sz w:val="18"/>
        </w:rPr>
      </w:pPr>
      <w:r w:rsidRPr="00F10C3A">
        <w:rPr>
          <w:rFonts w:ascii="Arial Narrow" w:hAnsi="Arial Narrow"/>
          <w:sz w:val="18"/>
        </w:rPr>
        <w:t>CI = confidence interval; RD = risk difference; RR = relative risk</w:t>
      </w:r>
    </w:p>
    <w:p w:rsidR="00F21840" w:rsidRPr="00F10C3A" w:rsidRDefault="00F21840" w:rsidP="000E2007">
      <w:pPr>
        <w:keepLines/>
        <w:widowControl/>
        <w:jc w:val="left"/>
        <w:rPr>
          <w:rFonts w:ascii="Arial Narrow" w:hAnsi="Arial Narrow"/>
          <w:sz w:val="18"/>
        </w:rPr>
      </w:pPr>
      <w:proofErr w:type="gramStart"/>
      <w:r w:rsidRPr="00F10C3A">
        <w:rPr>
          <w:rFonts w:ascii="Arial Narrow" w:hAnsi="Arial Narrow"/>
          <w:sz w:val="18"/>
          <w:vertAlign w:val="superscript"/>
        </w:rPr>
        <w:t>a</w:t>
      </w:r>
      <w:proofErr w:type="gramEnd"/>
      <w:r w:rsidRPr="00F10C3A">
        <w:rPr>
          <w:rFonts w:ascii="Arial Narrow" w:hAnsi="Arial Narrow"/>
          <w:sz w:val="18"/>
        </w:rPr>
        <w:t xml:space="preserve"> Number of people with smoking abstinence at 6 months cannot be verified from the publications as only percentages were provided</w:t>
      </w:r>
    </w:p>
    <w:p w:rsidR="00F21840" w:rsidRPr="00F10C3A" w:rsidRDefault="00F21840" w:rsidP="000E2007">
      <w:pPr>
        <w:keepLines/>
        <w:widowControl/>
        <w:jc w:val="left"/>
        <w:rPr>
          <w:rFonts w:ascii="Arial Narrow" w:hAnsi="Arial Narrow"/>
          <w:sz w:val="18"/>
        </w:rPr>
      </w:pPr>
      <w:proofErr w:type="gramStart"/>
      <w:r w:rsidRPr="00F10C3A">
        <w:rPr>
          <w:rFonts w:ascii="Arial Narrow" w:hAnsi="Arial Narrow"/>
          <w:sz w:val="18"/>
          <w:vertAlign w:val="superscript"/>
        </w:rPr>
        <w:t>b</w:t>
      </w:r>
      <w:proofErr w:type="gramEnd"/>
      <w:r w:rsidRPr="00F10C3A">
        <w:rPr>
          <w:rFonts w:ascii="Arial Narrow" w:hAnsi="Arial Narrow"/>
          <w:sz w:val="18"/>
        </w:rPr>
        <w:t xml:space="preserve"> smoking abstinence in Smith (2009) was 19.9%</w:t>
      </w:r>
      <w:r w:rsidR="00D615C4" w:rsidRPr="00F10C3A">
        <w:rPr>
          <w:rFonts w:ascii="Arial Narrow" w:hAnsi="Arial Narrow"/>
          <w:sz w:val="18"/>
        </w:rPr>
        <w:t>.</w:t>
      </w:r>
    </w:p>
    <w:p w:rsidR="00F21840" w:rsidRPr="00F10C3A" w:rsidRDefault="00F21840" w:rsidP="000E2007">
      <w:pPr>
        <w:keepLines/>
        <w:widowControl/>
        <w:jc w:val="left"/>
        <w:rPr>
          <w:rFonts w:ascii="Arial Narrow" w:hAnsi="Arial Narrow"/>
          <w:sz w:val="18"/>
        </w:rPr>
      </w:pPr>
      <w:proofErr w:type="gramStart"/>
      <w:r w:rsidRPr="00F10C3A">
        <w:rPr>
          <w:rFonts w:ascii="Arial Narrow" w:hAnsi="Arial Narrow"/>
          <w:sz w:val="18"/>
          <w:vertAlign w:val="superscript"/>
        </w:rPr>
        <w:t>c</w:t>
      </w:r>
      <w:proofErr w:type="gramEnd"/>
      <w:r w:rsidRPr="00F10C3A">
        <w:rPr>
          <w:rFonts w:ascii="Arial Narrow" w:hAnsi="Arial Narrow"/>
          <w:sz w:val="18"/>
        </w:rPr>
        <w:t xml:space="preserve"> </w:t>
      </w:r>
      <w:r w:rsidR="00D64B4A" w:rsidRPr="00F10C3A">
        <w:rPr>
          <w:rFonts w:ascii="Arial Narrow" w:hAnsi="Arial Narrow"/>
          <w:sz w:val="18"/>
        </w:rPr>
        <w:t xml:space="preserve">Random effects </w:t>
      </w:r>
      <w:r w:rsidRPr="00F10C3A">
        <w:rPr>
          <w:rFonts w:ascii="Arial Narrow" w:hAnsi="Arial Narrow"/>
          <w:sz w:val="18"/>
        </w:rPr>
        <w:t>meta-analysis, adjusted to include abstinence of 19.9% (n = 52) for the lozenge arm of Smith (2009)</w:t>
      </w:r>
      <w:r w:rsidR="00D615C4" w:rsidRPr="00F10C3A">
        <w:rPr>
          <w:rFonts w:ascii="Arial Narrow" w:hAnsi="Arial Narrow"/>
          <w:sz w:val="18"/>
        </w:rPr>
        <w:t>.</w:t>
      </w:r>
    </w:p>
    <w:p w:rsidR="000E2007" w:rsidRPr="00F10C3A" w:rsidRDefault="000E2007" w:rsidP="000E2007">
      <w:pPr>
        <w:rPr>
          <w:sz w:val="24"/>
          <w:szCs w:val="24"/>
        </w:rPr>
      </w:pPr>
    </w:p>
    <w:p w:rsidR="00484F79" w:rsidRPr="00F10C3A" w:rsidRDefault="00281E54"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The</w:t>
      </w:r>
      <w:r w:rsidR="005E7BD5" w:rsidRPr="00F10C3A">
        <w:rPr>
          <w:rFonts w:ascii="Calibri" w:eastAsia="Calibri" w:hAnsi="Calibri"/>
          <w:snapToGrid/>
          <w:sz w:val="24"/>
          <w:szCs w:val="22"/>
        </w:rPr>
        <w:t xml:space="preserve"> three head-to-head trials, and a meta-analysis conducted by the submission, comparing nicotine lozenges </w:t>
      </w:r>
      <w:r w:rsidR="008F43BB" w:rsidRPr="00F10C3A">
        <w:rPr>
          <w:rFonts w:ascii="Calibri" w:eastAsia="Calibri" w:hAnsi="Calibri"/>
          <w:snapToGrid/>
          <w:sz w:val="24"/>
          <w:szCs w:val="22"/>
        </w:rPr>
        <w:t xml:space="preserve">with nicotine </w:t>
      </w:r>
      <w:r w:rsidRPr="00F10C3A">
        <w:rPr>
          <w:rFonts w:ascii="Calibri" w:eastAsia="Calibri" w:hAnsi="Calibri"/>
          <w:snapToGrid/>
          <w:sz w:val="24"/>
          <w:szCs w:val="22"/>
        </w:rPr>
        <w:t>patch</w:t>
      </w:r>
      <w:r w:rsidR="008F43BB" w:rsidRPr="00F10C3A">
        <w:rPr>
          <w:rFonts w:ascii="Calibri" w:eastAsia="Calibri" w:hAnsi="Calibri"/>
          <w:snapToGrid/>
          <w:sz w:val="24"/>
          <w:szCs w:val="22"/>
        </w:rPr>
        <w:t>es</w:t>
      </w:r>
      <w:r w:rsidRPr="00F10C3A">
        <w:rPr>
          <w:rFonts w:ascii="Calibri" w:eastAsia="Calibri" w:hAnsi="Calibri"/>
          <w:snapToGrid/>
          <w:sz w:val="24"/>
          <w:szCs w:val="22"/>
        </w:rPr>
        <w:t xml:space="preserve"> showed no significant differences between the two treatments. </w:t>
      </w:r>
      <w:r w:rsidR="00484F79" w:rsidRPr="00F10C3A">
        <w:rPr>
          <w:rFonts w:ascii="Calibri" w:eastAsia="Calibri" w:hAnsi="Calibri"/>
          <w:snapToGrid/>
          <w:sz w:val="24"/>
          <w:szCs w:val="22"/>
        </w:rPr>
        <w:t>The meta-analysis of the three head-to-head trials</w:t>
      </w:r>
      <w:r w:rsidR="005E7BD5" w:rsidRPr="00F10C3A">
        <w:rPr>
          <w:rFonts w:ascii="Calibri" w:eastAsia="Calibri" w:hAnsi="Calibri"/>
          <w:snapToGrid/>
          <w:sz w:val="24"/>
          <w:szCs w:val="22"/>
        </w:rPr>
        <w:t xml:space="preserve"> </w:t>
      </w:r>
      <w:r w:rsidR="00484F79" w:rsidRPr="00F10C3A">
        <w:rPr>
          <w:rFonts w:ascii="Calibri" w:eastAsia="Calibri" w:hAnsi="Calibri"/>
          <w:snapToGrid/>
          <w:sz w:val="24"/>
          <w:szCs w:val="22"/>
        </w:rPr>
        <w:t xml:space="preserve">was consistent with the published results </w:t>
      </w:r>
      <w:r w:rsidR="00715423">
        <w:rPr>
          <w:rFonts w:ascii="Calibri" w:eastAsia="Calibri" w:hAnsi="Calibri"/>
          <w:snapToGrid/>
          <w:sz w:val="24"/>
          <w:szCs w:val="22"/>
        </w:rPr>
        <w:t>for</w:t>
      </w:r>
      <w:r w:rsidR="00484F79" w:rsidRPr="00F10C3A">
        <w:rPr>
          <w:rFonts w:ascii="Calibri" w:eastAsia="Calibri" w:hAnsi="Calibri"/>
          <w:snapToGrid/>
          <w:sz w:val="24"/>
          <w:szCs w:val="22"/>
        </w:rPr>
        <w:t xml:space="preserve"> each indivi</w:t>
      </w:r>
      <w:r w:rsidR="005E7BD5" w:rsidRPr="00F10C3A">
        <w:rPr>
          <w:rFonts w:ascii="Calibri" w:eastAsia="Calibri" w:hAnsi="Calibri"/>
          <w:snapToGrid/>
          <w:sz w:val="24"/>
          <w:szCs w:val="22"/>
        </w:rPr>
        <w:t>dual study, and</w:t>
      </w:r>
      <w:r w:rsidR="00484F79" w:rsidRPr="00F10C3A">
        <w:rPr>
          <w:rFonts w:ascii="Calibri" w:eastAsia="Calibri" w:hAnsi="Calibri"/>
          <w:snapToGrid/>
          <w:sz w:val="24"/>
          <w:szCs w:val="22"/>
        </w:rPr>
        <w:t xml:space="preserve"> the analysis conducted by Stead (2012) comparing nicotine lozenges with patches (RR</w:t>
      </w:r>
      <w:r w:rsidR="00D615C4" w:rsidRPr="00F10C3A">
        <w:rPr>
          <w:rFonts w:ascii="Calibri" w:eastAsia="Calibri" w:hAnsi="Calibri"/>
          <w:snapToGrid/>
          <w:sz w:val="24"/>
          <w:szCs w:val="22"/>
        </w:rPr>
        <w:t xml:space="preserve"> </w:t>
      </w:r>
      <w:r w:rsidR="00484F79" w:rsidRPr="00F10C3A">
        <w:rPr>
          <w:rFonts w:ascii="Calibri" w:eastAsia="Calibri" w:hAnsi="Calibri"/>
          <w:snapToGrid/>
          <w:sz w:val="24"/>
          <w:szCs w:val="22"/>
        </w:rPr>
        <w:t>=</w:t>
      </w:r>
      <w:r w:rsidR="00D615C4" w:rsidRPr="00F10C3A">
        <w:rPr>
          <w:rFonts w:ascii="Calibri" w:eastAsia="Calibri" w:hAnsi="Calibri"/>
          <w:snapToGrid/>
          <w:sz w:val="24"/>
          <w:szCs w:val="22"/>
        </w:rPr>
        <w:t xml:space="preserve"> </w:t>
      </w:r>
      <w:r w:rsidR="00484F79" w:rsidRPr="00F10C3A">
        <w:rPr>
          <w:rFonts w:ascii="Calibri" w:eastAsia="Calibri" w:hAnsi="Calibri"/>
          <w:snapToGrid/>
          <w:sz w:val="24"/>
          <w:szCs w:val="22"/>
        </w:rPr>
        <w:t>0.9</w:t>
      </w:r>
      <w:r w:rsidR="00CA2108" w:rsidRPr="00F10C3A">
        <w:rPr>
          <w:rFonts w:ascii="Calibri" w:eastAsia="Calibri" w:hAnsi="Calibri"/>
          <w:snapToGrid/>
          <w:sz w:val="24"/>
          <w:szCs w:val="22"/>
        </w:rPr>
        <w:t>4</w:t>
      </w:r>
      <w:r w:rsidR="00484F79" w:rsidRPr="00F10C3A">
        <w:rPr>
          <w:rFonts w:ascii="Calibri" w:eastAsia="Calibri" w:hAnsi="Calibri"/>
          <w:snapToGrid/>
          <w:sz w:val="24"/>
          <w:szCs w:val="22"/>
        </w:rPr>
        <w:t>, 95% CI: 0.</w:t>
      </w:r>
      <w:r w:rsidR="00CA2108" w:rsidRPr="00F10C3A">
        <w:rPr>
          <w:rFonts w:ascii="Calibri" w:eastAsia="Calibri" w:hAnsi="Calibri"/>
          <w:snapToGrid/>
          <w:sz w:val="24"/>
          <w:szCs w:val="22"/>
        </w:rPr>
        <w:t>79</w:t>
      </w:r>
      <w:r w:rsidR="00FD7B8E" w:rsidRPr="00F10C3A">
        <w:rPr>
          <w:rFonts w:ascii="Calibri" w:eastAsia="Calibri" w:hAnsi="Calibri"/>
          <w:snapToGrid/>
          <w:sz w:val="24"/>
          <w:szCs w:val="22"/>
        </w:rPr>
        <w:t xml:space="preserve"> to</w:t>
      </w:r>
      <w:r w:rsidR="00484F79" w:rsidRPr="00F10C3A">
        <w:rPr>
          <w:rFonts w:ascii="Calibri" w:eastAsia="Calibri" w:hAnsi="Calibri"/>
          <w:snapToGrid/>
          <w:sz w:val="24"/>
          <w:szCs w:val="22"/>
        </w:rPr>
        <w:t xml:space="preserve"> 1.1</w:t>
      </w:r>
      <w:r w:rsidR="00CA2108" w:rsidRPr="00F10C3A">
        <w:rPr>
          <w:rFonts w:ascii="Calibri" w:eastAsia="Calibri" w:hAnsi="Calibri"/>
          <w:snapToGrid/>
          <w:sz w:val="24"/>
          <w:szCs w:val="22"/>
        </w:rPr>
        <w:t>2</w:t>
      </w:r>
      <w:r w:rsidR="00484F79" w:rsidRPr="00F10C3A">
        <w:rPr>
          <w:rFonts w:ascii="Calibri" w:eastAsia="Calibri" w:hAnsi="Calibri"/>
          <w:snapToGrid/>
          <w:sz w:val="24"/>
          <w:szCs w:val="22"/>
        </w:rPr>
        <w:t>, p</w:t>
      </w:r>
      <w:r w:rsidR="00D615C4" w:rsidRPr="00F10C3A">
        <w:rPr>
          <w:rFonts w:ascii="Calibri" w:eastAsia="Calibri" w:hAnsi="Calibri"/>
          <w:snapToGrid/>
          <w:sz w:val="24"/>
          <w:szCs w:val="22"/>
        </w:rPr>
        <w:t xml:space="preserve"> </w:t>
      </w:r>
      <w:r w:rsidR="00484F79" w:rsidRPr="00F10C3A">
        <w:rPr>
          <w:rFonts w:ascii="Calibri" w:eastAsia="Calibri" w:hAnsi="Calibri"/>
          <w:snapToGrid/>
          <w:sz w:val="24"/>
          <w:szCs w:val="22"/>
        </w:rPr>
        <w:t>=</w:t>
      </w:r>
      <w:r w:rsidR="00D615C4" w:rsidRPr="00F10C3A">
        <w:rPr>
          <w:rFonts w:ascii="Calibri" w:eastAsia="Calibri" w:hAnsi="Calibri"/>
          <w:snapToGrid/>
          <w:sz w:val="24"/>
          <w:szCs w:val="22"/>
        </w:rPr>
        <w:t xml:space="preserve"> </w:t>
      </w:r>
      <w:r w:rsidR="00484F79" w:rsidRPr="00F10C3A">
        <w:rPr>
          <w:rFonts w:ascii="Calibri" w:eastAsia="Calibri" w:hAnsi="Calibri"/>
          <w:snapToGrid/>
          <w:sz w:val="24"/>
          <w:szCs w:val="22"/>
        </w:rPr>
        <w:t>0.54).</w:t>
      </w:r>
    </w:p>
    <w:p w:rsidR="000E2007" w:rsidRPr="00F10C3A" w:rsidRDefault="000E2007" w:rsidP="000E2007">
      <w:pPr>
        <w:pStyle w:val="PBACHeading1"/>
        <w:numPr>
          <w:ilvl w:val="0"/>
          <w:numId w:val="0"/>
        </w:numPr>
        <w:ind w:left="720" w:hanging="720"/>
        <w:rPr>
          <w:rFonts w:eastAsia="Calibri"/>
          <w:snapToGrid/>
        </w:rPr>
      </w:pPr>
    </w:p>
    <w:p w:rsidR="005E7BD5" w:rsidRPr="00F10C3A" w:rsidRDefault="00281E54"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In the Smith (2009)</w:t>
      </w:r>
      <w:r w:rsidR="005E7BD5" w:rsidRPr="00F10C3A">
        <w:rPr>
          <w:rFonts w:ascii="Calibri" w:eastAsia="Calibri" w:hAnsi="Calibri"/>
          <w:snapToGrid/>
          <w:sz w:val="24"/>
          <w:szCs w:val="22"/>
        </w:rPr>
        <w:t xml:space="preserve"> trial,</w:t>
      </w:r>
      <w:r w:rsidRPr="00F10C3A">
        <w:rPr>
          <w:rFonts w:ascii="Calibri" w:eastAsia="Calibri" w:hAnsi="Calibri"/>
          <w:snapToGrid/>
          <w:sz w:val="24"/>
          <w:szCs w:val="22"/>
        </w:rPr>
        <w:t xml:space="preserve"> the 6 month abstinence rate was 19.9% and not 20.3% as stated in the submission; however, this had limited effect on the overall result of the meta-analysis. </w:t>
      </w:r>
    </w:p>
    <w:p w:rsidR="000E2007" w:rsidRPr="00F10C3A" w:rsidRDefault="000E2007" w:rsidP="000E2007">
      <w:pPr>
        <w:pStyle w:val="PBACHeading1"/>
        <w:numPr>
          <w:ilvl w:val="0"/>
          <w:numId w:val="0"/>
        </w:numPr>
        <w:ind w:left="720" w:hanging="720"/>
        <w:rPr>
          <w:rFonts w:eastAsia="Calibri"/>
          <w:snapToGrid/>
        </w:rPr>
      </w:pPr>
    </w:p>
    <w:p w:rsidR="00281E54" w:rsidRPr="00F10C3A" w:rsidRDefault="00281E54"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did not specify </w:t>
      </w:r>
      <w:r w:rsidR="00C23D54" w:rsidRPr="00F10C3A">
        <w:rPr>
          <w:rFonts w:ascii="Calibri" w:eastAsia="Calibri" w:hAnsi="Calibri"/>
          <w:snapToGrid/>
          <w:sz w:val="24"/>
          <w:szCs w:val="22"/>
        </w:rPr>
        <w:t xml:space="preserve">a </w:t>
      </w:r>
      <w:r w:rsidRPr="00F10C3A">
        <w:rPr>
          <w:rFonts w:ascii="Calibri" w:eastAsia="Calibri" w:hAnsi="Calibri"/>
          <w:snapToGrid/>
          <w:sz w:val="24"/>
          <w:szCs w:val="22"/>
        </w:rPr>
        <w:t>non-inferiority margin</w:t>
      </w:r>
      <w:r w:rsidR="00DA5721">
        <w:rPr>
          <w:rFonts w:ascii="Calibri" w:eastAsia="Calibri" w:hAnsi="Calibri"/>
          <w:snapToGrid/>
          <w:sz w:val="24"/>
          <w:szCs w:val="22"/>
        </w:rPr>
        <w:t>.</w:t>
      </w:r>
      <w:r w:rsidRPr="00F10C3A">
        <w:rPr>
          <w:rFonts w:ascii="Calibri" w:eastAsia="Calibri" w:hAnsi="Calibri"/>
          <w:snapToGrid/>
          <w:sz w:val="24"/>
          <w:szCs w:val="22"/>
        </w:rPr>
        <w:t xml:space="preserve"> </w:t>
      </w:r>
      <w:r w:rsidR="00DA5721">
        <w:rPr>
          <w:rFonts w:ascii="Calibri" w:eastAsia="Calibri" w:hAnsi="Calibri"/>
          <w:snapToGrid/>
          <w:sz w:val="24"/>
          <w:szCs w:val="22"/>
        </w:rPr>
        <w:t>T</w:t>
      </w:r>
      <w:r w:rsidRPr="00F10C3A">
        <w:rPr>
          <w:rFonts w:ascii="Calibri" w:eastAsia="Calibri" w:hAnsi="Calibri"/>
          <w:snapToGrid/>
          <w:sz w:val="24"/>
          <w:szCs w:val="22"/>
        </w:rPr>
        <w:t xml:space="preserve">he </w:t>
      </w:r>
      <w:r w:rsidR="00E75D99" w:rsidRPr="00F10C3A">
        <w:rPr>
          <w:rFonts w:ascii="Calibri" w:eastAsia="Calibri" w:hAnsi="Calibri"/>
          <w:snapToGrid/>
          <w:sz w:val="24"/>
          <w:szCs w:val="22"/>
        </w:rPr>
        <w:t>95% confidence interval indicat</w:t>
      </w:r>
      <w:r w:rsidR="00996A76">
        <w:rPr>
          <w:rFonts w:ascii="Calibri" w:eastAsia="Calibri" w:hAnsi="Calibri"/>
          <w:snapToGrid/>
          <w:sz w:val="24"/>
          <w:szCs w:val="22"/>
        </w:rPr>
        <w:t>ed</w:t>
      </w:r>
      <w:r w:rsidRPr="00F10C3A">
        <w:rPr>
          <w:rFonts w:ascii="Calibri" w:eastAsia="Calibri" w:hAnsi="Calibri"/>
          <w:snapToGrid/>
          <w:sz w:val="24"/>
          <w:szCs w:val="22"/>
        </w:rPr>
        <w:t xml:space="preserve"> </w:t>
      </w:r>
      <w:r w:rsidR="006660BF">
        <w:rPr>
          <w:rFonts w:ascii="Calibri" w:eastAsia="Calibri" w:hAnsi="Calibri"/>
          <w:snapToGrid/>
          <w:sz w:val="24"/>
          <w:szCs w:val="22"/>
        </w:rPr>
        <w:t>the</w:t>
      </w:r>
      <w:r w:rsidR="00DB52A9" w:rsidRPr="00F10C3A">
        <w:rPr>
          <w:rFonts w:ascii="Calibri" w:eastAsia="Calibri" w:hAnsi="Calibri"/>
          <w:snapToGrid/>
          <w:sz w:val="24"/>
          <w:szCs w:val="22"/>
        </w:rPr>
        <w:t xml:space="preserve"> </w:t>
      </w:r>
      <w:r w:rsidRPr="00F10C3A">
        <w:rPr>
          <w:rFonts w:ascii="Calibri" w:eastAsia="Calibri" w:hAnsi="Calibri"/>
          <w:snapToGrid/>
          <w:sz w:val="24"/>
          <w:szCs w:val="22"/>
        </w:rPr>
        <w:t>efficacy</w:t>
      </w:r>
      <w:r w:rsidR="00E75D99" w:rsidRPr="00F10C3A">
        <w:rPr>
          <w:rFonts w:ascii="Calibri" w:eastAsia="Calibri" w:hAnsi="Calibri"/>
          <w:snapToGrid/>
          <w:sz w:val="24"/>
          <w:szCs w:val="22"/>
        </w:rPr>
        <w:t xml:space="preserve"> of nicotine lozenges </w:t>
      </w:r>
      <w:r w:rsidR="00D64B4A" w:rsidRPr="00F10C3A">
        <w:rPr>
          <w:rFonts w:ascii="Calibri" w:eastAsia="Calibri" w:hAnsi="Calibri"/>
          <w:snapToGrid/>
          <w:sz w:val="24"/>
          <w:szCs w:val="22"/>
        </w:rPr>
        <w:t>(RR</w:t>
      </w:r>
      <w:r w:rsidR="00D615C4" w:rsidRPr="00F10C3A">
        <w:rPr>
          <w:rFonts w:ascii="Calibri" w:eastAsia="Calibri" w:hAnsi="Calibri"/>
          <w:snapToGrid/>
          <w:sz w:val="24"/>
          <w:szCs w:val="22"/>
        </w:rPr>
        <w:t xml:space="preserve"> </w:t>
      </w:r>
      <w:r w:rsidR="00D64B4A" w:rsidRPr="00F10C3A">
        <w:rPr>
          <w:rFonts w:ascii="Calibri" w:eastAsia="Calibri" w:hAnsi="Calibri"/>
          <w:snapToGrid/>
          <w:sz w:val="24"/>
          <w:szCs w:val="22"/>
        </w:rPr>
        <w:t>=</w:t>
      </w:r>
      <w:r w:rsidR="00D615C4" w:rsidRPr="00F10C3A">
        <w:rPr>
          <w:rFonts w:ascii="Calibri" w:eastAsia="Calibri" w:hAnsi="Calibri"/>
          <w:snapToGrid/>
          <w:sz w:val="24"/>
          <w:szCs w:val="22"/>
        </w:rPr>
        <w:t xml:space="preserve"> </w:t>
      </w:r>
      <w:r w:rsidR="00D64B4A" w:rsidRPr="00F10C3A">
        <w:rPr>
          <w:rFonts w:ascii="Calibri" w:eastAsia="Calibri" w:hAnsi="Calibri"/>
          <w:snapToGrid/>
          <w:sz w:val="24"/>
          <w:szCs w:val="22"/>
        </w:rPr>
        <w:t>0.94</w:t>
      </w:r>
      <w:r w:rsidR="003C297B" w:rsidRPr="00F10C3A">
        <w:rPr>
          <w:rFonts w:ascii="Calibri" w:eastAsia="Calibri" w:hAnsi="Calibri"/>
          <w:snapToGrid/>
          <w:sz w:val="24"/>
          <w:szCs w:val="22"/>
        </w:rPr>
        <w:t>, 95% CI: 0.</w:t>
      </w:r>
      <w:r w:rsidR="00D64B4A" w:rsidRPr="00F10C3A">
        <w:rPr>
          <w:rFonts w:ascii="Calibri" w:eastAsia="Calibri" w:hAnsi="Calibri"/>
          <w:snapToGrid/>
          <w:sz w:val="24"/>
          <w:szCs w:val="22"/>
        </w:rPr>
        <w:t>74 to 1.18</w:t>
      </w:r>
      <w:r w:rsidR="00E75D99" w:rsidRPr="00F10C3A">
        <w:rPr>
          <w:rFonts w:ascii="Calibri" w:eastAsia="Calibri" w:hAnsi="Calibri"/>
          <w:snapToGrid/>
          <w:sz w:val="24"/>
          <w:szCs w:val="22"/>
        </w:rPr>
        <w:t>)</w:t>
      </w:r>
      <w:r w:rsidRPr="00F10C3A">
        <w:rPr>
          <w:rFonts w:ascii="Calibri" w:eastAsia="Calibri" w:hAnsi="Calibri"/>
          <w:snapToGrid/>
          <w:sz w:val="24"/>
          <w:szCs w:val="22"/>
        </w:rPr>
        <w:t xml:space="preserve"> </w:t>
      </w:r>
      <w:r w:rsidR="006660BF">
        <w:rPr>
          <w:rFonts w:ascii="Calibri" w:eastAsia="Calibri" w:hAnsi="Calibri"/>
          <w:snapToGrid/>
          <w:sz w:val="24"/>
          <w:szCs w:val="22"/>
        </w:rPr>
        <w:t xml:space="preserve">could </w:t>
      </w:r>
      <w:r w:rsidR="00DA5721">
        <w:rPr>
          <w:rFonts w:ascii="Calibri" w:eastAsia="Calibri" w:hAnsi="Calibri"/>
          <w:snapToGrid/>
          <w:sz w:val="24"/>
          <w:szCs w:val="22"/>
        </w:rPr>
        <w:t xml:space="preserve">be </w:t>
      </w:r>
      <w:r w:rsidR="006660BF">
        <w:rPr>
          <w:rFonts w:ascii="Calibri" w:eastAsia="Calibri" w:hAnsi="Calibri"/>
          <w:snapToGrid/>
          <w:sz w:val="24"/>
          <w:szCs w:val="22"/>
        </w:rPr>
        <w:t xml:space="preserve">26% lower than that for the patches. </w:t>
      </w:r>
      <w:r w:rsidR="00FD5CE4" w:rsidRPr="00F10C3A">
        <w:rPr>
          <w:rFonts w:ascii="Calibri" w:eastAsia="Calibri" w:hAnsi="Calibri"/>
          <w:snapToGrid/>
          <w:sz w:val="24"/>
          <w:szCs w:val="22"/>
        </w:rPr>
        <w:t xml:space="preserve"> </w:t>
      </w:r>
      <w:r w:rsidR="004E21E1" w:rsidRPr="00F10C3A">
        <w:rPr>
          <w:rFonts w:ascii="Calibri" w:eastAsia="Calibri" w:hAnsi="Calibri"/>
          <w:snapToGrid/>
          <w:sz w:val="24"/>
          <w:szCs w:val="22"/>
        </w:rPr>
        <w:t xml:space="preserve">The ESC considered that </w:t>
      </w:r>
      <w:r w:rsidR="00F8734F" w:rsidRPr="00F10C3A">
        <w:rPr>
          <w:rFonts w:ascii="Calibri" w:eastAsia="Calibri" w:hAnsi="Calibri"/>
          <w:snapToGrid/>
          <w:sz w:val="24"/>
          <w:szCs w:val="22"/>
        </w:rPr>
        <w:t xml:space="preserve">the submission’s </w:t>
      </w:r>
      <w:r w:rsidR="004E21E1" w:rsidRPr="00F10C3A">
        <w:rPr>
          <w:rFonts w:ascii="Calibri" w:eastAsia="Calibri" w:hAnsi="Calibri"/>
          <w:snapToGrid/>
          <w:sz w:val="24"/>
          <w:szCs w:val="22"/>
        </w:rPr>
        <w:t>claim</w:t>
      </w:r>
      <w:r w:rsidR="006660BF">
        <w:rPr>
          <w:rFonts w:ascii="Calibri" w:eastAsia="Calibri" w:hAnsi="Calibri"/>
          <w:snapToGrid/>
          <w:sz w:val="24"/>
          <w:szCs w:val="22"/>
        </w:rPr>
        <w:t xml:space="preserve"> of non-inferiority</w:t>
      </w:r>
      <w:r w:rsidR="004E21E1" w:rsidRPr="00F10C3A">
        <w:rPr>
          <w:rFonts w:ascii="Calibri" w:eastAsia="Calibri" w:hAnsi="Calibri"/>
          <w:snapToGrid/>
          <w:sz w:val="24"/>
          <w:szCs w:val="22"/>
        </w:rPr>
        <w:t xml:space="preserve"> was likely to be reasonable, as </w:t>
      </w:r>
      <w:r w:rsidR="00FD5CE4" w:rsidRPr="00F10C3A">
        <w:rPr>
          <w:rFonts w:ascii="Calibri" w:eastAsia="Calibri" w:hAnsi="Calibri"/>
          <w:snapToGrid/>
          <w:sz w:val="24"/>
          <w:szCs w:val="22"/>
        </w:rPr>
        <w:t xml:space="preserve">the point estimate </w:t>
      </w:r>
      <w:r w:rsidR="004E21E1" w:rsidRPr="00F10C3A">
        <w:rPr>
          <w:rFonts w:ascii="Calibri" w:eastAsia="Calibri" w:hAnsi="Calibri"/>
          <w:snapToGrid/>
          <w:sz w:val="24"/>
          <w:szCs w:val="22"/>
        </w:rPr>
        <w:t>wa</w:t>
      </w:r>
      <w:r w:rsidR="00FD5CE4" w:rsidRPr="00F10C3A">
        <w:rPr>
          <w:rFonts w:ascii="Calibri" w:eastAsia="Calibri" w:hAnsi="Calibri"/>
          <w:snapToGrid/>
          <w:sz w:val="24"/>
          <w:szCs w:val="22"/>
        </w:rPr>
        <w:t>s close to 1, and the 95%</w:t>
      </w:r>
      <w:r w:rsidR="004E21E1" w:rsidRPr="00F10C3A">
        <w:rPr>
          <w:rFonts w:ascii="Calibri" w:eastAsia="Calibri" w:hAnsi="Calibri"/>
          <w:snapToGrid/>
          <w:sz w:val="24"/>
          <w:szCs w:val="22"/>
        </w:rPr>
        <w:t xml:space="preserve"> </w:t>
      </w:r>
      <w:r w:rsidR="00FD5CE4" w:rsidRPr="00F10C3A">
        <w:rPr>
          <w:rFonts w:ascii="Calibri" w:eastAsia="Calibri" w:hAnsi="Calibri"/>
          <w:snapToGrid/>
          <w:sz w:val="24"/>
          <w:szCs w:val="22"/>
        </w:rPr>
        <w:t>CI span</w:t>
      </w:r>
      <w:r w:rsidR="004E21E1" w:rsidRPr="00F10C3A">
        <w:rPr>
          <w:rFonts w:ascii="Calibri" w:eastAsia="Calibri" w:hAnsi="Calibri"/>
          <w:snapToGrid/>
          <w:sz w:val="24"/>
          <w:szCs w:val="22"/>
        </w:rPr>
        <w:t>ned</w:t>
      </w:r>
      <w:r w:rsidR="00FD5CE4" w:rsidRPr="00F10C3A">
        <w:rPr>
          <w:rFonts w:ascii="Calibri" w:eastAsia="Calibri" w:hAnsi="Calibri"/>
          <w:snapToGrid/>
          <w:sz w:val="24"/>
          <w:szCs w:val="22"/>
        </w:rPr>
        <w:t xml:space="preserve"> reasonably equally above and below unity. </w:t>
      </w:r>
      <w:r w:rsidR="004E21E1" w:rsidRPr="00F10C3A">
        <w:rPr>
          <w:rFonts w:ascii="Calibri" w:eastAsia="Calibri" w:hAnsi="Calibri"/>
          <w:snapToGrid/>
          <w:sz w:val="24"/>
          <w:szCs w:val="22"/>
        </w:rPr>
        <w:t xml:space="preserve">The ESC also noted that the Piper (2009) study concluded that combination therapy using </w:t>
      </w:r>
      <w:r w:rsidR="006660BF">
        <w:rPr>
          <w:rFonts w:ascii="Calibri" w:eastAsia="Calibri" w:hAnsi="Calibri"/>
          <w:snapToGrid/>
          <w:sz w:val="24"/>
          <w:szCs w:val="22"/>
        </w:rPr>
        <w:t xml:space="preserve">both </w:t>
      </w:r>
      <w:r w:rsidR="004E21E1" w:rsidRPr="00F10C3A">
        <w:rPr>
          <w:rFonts w:ascii="Calibri" w:eastAsia="Calibri" w:hAnsi="Calibri"/>
          <w:snapToGrid/>
          <w:sz w:val="24"/>
          <w:szCs w:val="22"/>
        </w:rPr>
        <w:t xml:space="preserve">nicotine patches </w:t>
      </w:r>
      <w:r w:rsidR="006660BF">
        <w:rPr>
          <w:rFonts w:ascii="Calibri" w:eastAsia="Calibri" w:hAnsi="Calibri"/>
          <w:snapToGrid/>
          <w:sz w:val="24"/>
          <w:szCs w:val="22"/>
        </w:rPr>
        <w:t>and</w:t>
      </w:r>
      <w:r w:rsidR="004E21E1" w:rsidRPr="00F10C3A">
        <w:rPr>
          <w:rFonts w:ascii="Calibri" w:eastAsia="Calibri" w:hAnsi="Calibri"/>
          <w:snapToGrid/>
          <w:sz w:val="24"/>
          <w:szCs w:val="22"/>
        </w:rPr>
        <w:t xml:space="preserve"> lozenges </w:t>
      </w:r>
      <w:r w:rsidR="006660BF">
        <w:rPr>
          <w:rFonts w:ascii="Calibri" w:eastAsia="Calibri" w:hAnsi="Calibri"/>
          <w:snapToGrid/>
          <w:sz w:val="24"/>
          <w:szCs w:val="22"/>
        </w:rPr>
        <w:t xml:space="preserve">was </w:t>
      </w:r>
      <w:r w:rsidRPr="00F10C3A">
        <w:rPr>
          <w:rFonts w:ascii="Calibri" w:eastAsia="Calibri" w:hAnsi="Calibri"/>
          <w:snapToGrid/>
          <w:sz w:val="24"/>
          <w:szCs w:val="22"/>
        </w:rPr>
        <w:t>the most effective treatment arm</w:t>
      </w:r>
      <w:r w:rsidR="0069103C" w:rsidRPr="00F10C3A">
        <w:rPr>
          <w:rFonts w:ascii="Calibri" w:eastAsia="Calibri" w:hAnsi="Calibri"/>
          <w:snapToGrid/>
          <w:sz w:val="24"/>
          <w:szCs w:val="22"/>
        </w:rPr>
        <w:t>.</w:t>
      </w:r>
    </w:p>
    <w:p w:rsidR="00F47E2B" w:rsidRPr="00F10C3A" w:rsidRDefault="00F47E2B" w:rsidP="00F47E2B">
      <w:pPr>
        <w:pStyle w:val="PBACHeading1"/>
        <w:numPr>
          <w:ilvl w:val="0"/>
          <w:numId w:val="0"/>
        </w:numPr>
        <w:ind w:left="720" w:hanging="720"/>
        <w:rPr>
          <w:rFonts w:eastAsia="Calibri"/>
          <w:snapToGrid/>
        </w:rPr>
      </w:pPr>
    </w:p>
    <w:p w:rsidR="00544BC7" w:rsidRPr="00F10C3A" w:rsidRDefault="00F47E2B" w:rsidP="007E3BC0">
      <w:pPr>
        <w:pStyle w:val="ListParagraph"/>
        <w:numPr>
          <w:ilvl w:val="1"/>
          <w:numId w:val="3"/>
        </w:numPr>
        <w:rPr>
          <w:rFonts w:asciiTheme="minorHAnsi" w:eastAsia="Calibri" w:hAnsiTheme="minorHAnsi"/>
          <w:snapToGrid/>
          <w:sz w:val="24"/>
          <w:szCs w:val="24"/>
        </w:rPr>
      </w:pPr>
      <w:r w:rsidRPr="00F10C3A">
        <w:rPr>
          <w:rFonts w:ascii="Calibri" w:eastAsia="Calibri" w:hAnsi="Calibri"/>
          <w:snapToGrid/>
          <w:sz w:val="24"/>
          <w:szCs w:val="22"/>
        </w:rPr>
        <w:t>The submission presented data on patient adherence to nicotine lozenges</w:t>
      </w:r>
      <w:r w:rsidR="00B4666C">
        <w:rPr>
          <w:rFonts w:ascii="Calibri" w:eastAsia="Calibri" w:hAnsi="Calibri"/>
          <w:snapToGrid/>
          <w:sz w:val="24"/>
          <w:szCs w:val="22"/>
        </w:rPr>
        <w:t xml:space="preserve"> and</w:t>
      </w:r>
      <w:r w:rsidRPr="00F10C3A">
        <w:rPr>
          <w:rFonts w:ascii="Calibri" w:eastAsia="Calibri" w:hAnsi="Calibri"/>
          <w:snapToGrid/>
          <w:sz w:val="24"/>
          <w:szCs w:val="22"/>
        </w:rPr>
        <w:t xml:space="preserve"> patches. An adherence rate </w:t>
      </w:r>
      <w:r w:rsidR="00AB750A" w:rsidRPr="00F10C3A">
        <w:rPr>
          <w:rFonts w:ascii="Calibri" w:eastAsia="Calibri" w:hAnsi="Calibri"/>
          <w:snapToGrid/>
          <w:sz w:val="24"/>
          <w:szCs w:val="22"/>
        </w:rPr>
        <w:t xml:space="preserve">of </w:t>
      </w:r>
      <w:r w:rsidRPr="00F10C3A">
        <w:rPr>
          <w:rFonts w:ascii="Calibri" w:eastAsia="Calibri" w:hAnsi="Calibri"/>
          <w:snapToGrid/>
          <w:sz w:val="24"/>
          <w:szCs w:val="22"/>
        </w:rPr>
        <w:t>67% based on Pip</w:t>
      </w:r>
      <w:r w:rsidR="00AB750A" w:rsidRPr="00F10C3A">
        <w:rPr>
          <w:rFonts w:ascii="Calibri" w:eastAsia="Calibri" w:hAnsi="Calibri"/>
          <w:snapToGrid/>
          <w:sz w:val="24"/>
          <w:szCs w:val="22"/>
        </w:rPr>
        <w:t xml:space="preserve">er (2009) was applied to the recommended dose in the PI for nicotine lozenges. </w:t>
      </w:r>
      <w:r w:rsidRPr="00F10C3A">
        <w:rPr>
          <w:rFonts w:ascii="Calibri" w:eastAsia="Calibri" w:hAnsi="Calibri"/>
          <w:snapToGrid/>
          <w:sz w:val="24"/>
          <w:szCs w:val="22"/>
        </w:rPr>
        <w:t>Briefly, the submission estimated that, in a 12-week period, individuals would consume</w:t>
      </w:r>
      <w:r w:rsidR="00AB750A" w:rsidRPr="00F10C3A">
        <w:rPr>
          <w:rFonts w:ascii="Calibri" w:eastAsia="Calibri" w:hAnsi="Calibri"/>
          <w:snapToGrid/>
          <w:sz w:val="24"/>
          <w:szCs w:val="22"/>
        </w:rPr>
        <w:t xml:space="preserve"> </w:t>
      </w:r>
      <w:proofErr w:type="gramStart"/>
      <w:r w:rsidRPr="00F10C3A">
        <w:rPr>
          <w:rFonts w:asciiTheme="minorHAnsi" w:eastAsia="Calibri" w:hAnsiTheme="minorHAnsi"/>
          <w:snapToGrid/>
          <w:sz w:val="24"/>
          <w:szCs w:val="24"/>
        </w:rPr>
        <w:t>10 lozenges/day</w:t>
      </w:r>
      <w:proofErr w:type="gramEnd"/>
      <w:r w:rsidRPr="00F10C3A">
        <w:rPr>
          <w:rFonts w:asciiTheme="minorHAnsi" w:eastAsia="Calibri" w:hAnsiTheme="minorHAnsi"/>
          <w:snapToGrid/>
          <w:sz w:val="24"/>
          <w:szCs w:val="24"/>
        </w:rPr>
        <w:t xml:space="preserve"> for weeks 1-6, 7 lozenges/day for weeks 7-9 and 3 lozenges/day for weeks 10-12</w:t>
      </w:r>
      <w:r w:rsidR="00AB750A" w:rsidRPr="00F10C3A">
        <w:rPr>
          <w:rFonts w:asciiTheme="minorHAnsi" w:eastAsia="Calibri" w:hAnsiTheme="minorHAnsi"/>
          <w:snapToGrid/>
          <w:sz w:val="24"/>
          <w:szCs w:val="24"/>
        </w:rPr>
        <w:t>.</w:t>
      </w:r>
      <w:r w:rsidR="00544BC7" w:rsidRPr="00F10C3A">
        <w:t xml:space="preserve"> </w:t>
      </w:r>
      <w:r w:rsidR="00DA5721" w:rsidRPr="00F10C3A">
        <w:rPr>
          <w:rFonts w:asciiTheme="minorHAnsi" w:eastAsia="Calibri" w:hAnsiTheme="minorHAnsi"/>
          <w:snapToGrid/>
          <w:sz w:val="24"/>
          <w:szCs w:val="24"/>
        </w:rPr>
        <w:t>The submission assumed a 100% compliance rate</w:t>
      </w:r>
      <w:r w:rsidR="00DA5721">
        <w:rPr>
          <w:rFonts w:asciiTheme="minorHAnsi" w:eastAsia="Calibri" w:hAnsiTheme="minorHAnsi"/>
          <w:snapToGrid/>
          <w:sz w:val="24"/>
          <w:szCs w:val="24"/>
        </w:rPr>
        <w:t xml:space="preserve"> for the patches</w:t>
      </w:r>
      <w:r w:rsidR="00DA5721" w:rsidRPr="00F10C3A">
        <w:rPr>
          <w:rFonts w:asciiTheme="minorHAnsi" w:eastAsia="Calibri" w:hAnsiTheme="minorHAnsi"/>
          <w:snapToGrid/>
          <w:sz w:val="24"/>
          <w:szCs w:val="24"/>
        </w:rPr>
        <w:t xml:space="preserve">, and that patients would use 84 patches over a 12-week treatment period. </w:t>
      </w:r>
    </w:p>
    <w:p w:rsidR="00F47E2B" w:rsidRPr="00F10C3A" w:rsidRDefault="00F47E2B" w:rsidP="00544BC7">
      <w:pPr>
        <w:widowControl/>
        <w:rPr>
          <w:rFonts w:asciiTheme="minorHAnsi" w:eastAsia="Calibri" w:hAnsiTheme="minorHAnsi"/>
          <w:snapToGrid/>
          <w:sz w:val="24"/>
          <w:szCs w:val="24"/>
        </w:rPr>
      </w:pPr>
    </w:p>
    <w:p w:rsidR="00F47E2B" w:rsidRPr="00F10C3A" w:rsidRDefault="00F47E2B" w:rsidP="007E3BC0">
      <w:pPr>
        <w:widowControl/>
        <w:numPr>
          <w:ilvl w:val="1"/>
          <w:numId w:val="3"/>
        </w:numPr>
        <w:rPr>
          <w:rFonts w:asciiTheme="minorHAnsi" w:eastAsia="Calibri" w:hAnsiTheme="minorHAnsi"/>
          <w:snapToGrid/>
          <w:sz w:val="24"/>
          <w:szCs w:val="24"/>
        </w:rPr>
      </w:pPr>
      <w:r w:rsidRPr="00F10C3A">
        <w:rPr>
          <w:rFonts w:asciiTheme="minorHAnsi" w:eastAsia="Calibri" w:hAnsiTheme="minorHAnsi"/>
          <w:snapToGrid/>
          <w:sz w:val="24"/>
          <w:szCs w:val="24"/>
        </w:rPr>
        <w:t xml:space="preserve">Data informing patient adherence was used by the submission in the estimation of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-effective doses for nicotine lozenges and gum in the cost-minimisation analysis, and is discussed in further detail (see 6.</w:t>
      </w:r>
      <w:r w:rsidR="00122D0A" w:rsidRPr="00F10C3A">
        <w:rPr>
          <w:rFonts w:asciiTheme="minorHAnsi" w:eastAsia="Calibri" w:hAnsiTheme="minorHAnsi"/>
          <w:snapToGrid/>
          <w:sz w:val="24"/>
          <w:szCs w:val="24"/>
        </w:rPr>
        <w:t>3</w:t>
      </w:r>
      <w:r w:rsidR="00122D0A">
        <w:rPr>
          <w:rFonts w:asciiTheme="minorHAnsi" w:eastAsia="Calibri" w:hAnsiTheme="minorHAnsi"/>
          <w:snapToGrid/>
          <w:sz w:val="24"/>
          <w:szCs w:val="24"/>
        </w:rPr>
        <w:t>8 and 6.48</w:t>
      </w:r>
      <w:r w:rsidR="00122D0A" w:rsidRPr="00F10C3A">
        <w:rPr>
          <w:rFonts w:asciiTheme="minorHAnsi" w:eastAsia="Calibri" w:hAnsiTheme="minorHAnsi"/>
          <w:snapToGrid/>
          <w:sz w:val="24"/>
          <w:szCs w:val="24"/>
        </w:rPr>
        <w:t xml:space="preserve"> </w:t>
      </w:r>
      <w:r w:rsidRPr="00F10C3A">
        <w:rPr>
          <w:rFonts w:asciiTheme="minorHAnsi" w:eastAsia="Calibri" w:hAnsiTheme="minorHAnsi"/>
          <w:snapToGrid/>
          <w:sz w:val="24"/>
          <w:szCs w:val="24"/>
        </w:rPr>
        <w:t>below).</w:t>
      </w:r>
      <w:r w:rsidRPr="00F10C3A">
        <w:t xml:space="preserve"> </w:t>
      </w:r>
      <w:r w:rsidRPr="00F10C3A">
        <w:rPr>
          <w:rFonts w:asciiTheme="minorHAnsi" w:eastAsia="Calibri" w:hAnsiTheme="minorHAnsi"/>
          <w:snapToGrid/>
          <w:sz w:val="24"/>
          <w:szCs w:val="24"/>
        </w:rPr>
        <w:t xml:space="preserve">It was noted during the evaluation that there is considerable uncertainty and variation in the number of lozenges administered </w:t>
      </w:r>
      <w:r w:rsidR="006660BF">
        <w:rPr>
          <w:rFonts w:asciiTheme="minorHAnsi" w:eastAsia="Calibri" w:hAnsiTheme="minorHAnsi"/>
          <w:snapToGrid/>
          <w:sz w:val="24"/>
          <w:szCs w:val="24"/>
        </w:rPr>
        <w:t>across the</w:t>
      </w:r>
      <w:r w:rsidRPr="00F10C3A">
        <w:rPr>
          <w:rFonts w:asciiTheme="minorHAnsi" w:eastAsia="Calibri" w:hAnsiTheme="minorHAnsi"/>
          <w:snapToGrid/>
          <w:sz w:val="24"/>
          <w:szCs w:val="24"/>
        </w:rPr>
        <w:t xml:space="preserve"> trial</w:t>
      </w:r>
      <w:r w:rsidR="006660BF">
        <w:rPr>
          <w:rFonts w:asciiTheme="minorHAnsi" w:eastAsia="Calibri" w:hAnsiTheme="minorHAnsi"/>
          <w:snapToGrid/>
          <w:sz w:val="24"/>
          <w:szCs w:val="24"/>
        </w:rPr>
        <w:t>s</w:t>
      </w:r>
      <w:r w:rsidRPr="00F10C3A">
        <w:rPr>
          <w:rFonts w:asciiTheme="minorHAnsi" w:eastAsia="Calibri" w:hAnsiTheme="minorHAnsi"/>
          <w:snapToGrid/>
          <w:sz w:val="24"/>
          <w:szCs w:val="24"/>
        </w:rPr>
        <w:t xml:space="preserve">. </w:t>
      </w:r>
    </w:p>
    <w:p w:rsidR="00F113F3" w:rsidRPr="00F10C3A" w:rsidRDefault="00F113F3" w:rsidP="00F113F3">
      <w:pPr>
        <w:widowControl/>
        <w:rPr>
          <w:rFonts w:asciiTheme="minorHAnsi" w:eastAsia="Calibri" w:hAnsiTheme="minorHAnsi"/>
          <w:snapToGrid/>
          <w:sz w:val="24"/>
          <w:szCs w:val="24"/>
        </w:rPr>
      </w:pPr>
    </w:p>
    <w:p w:rsidR="000E2007" w:rsidRPr="00504102" w:rsidRDefault="003F465D" w:rsidP="00504102">
      <w:pPr>
        <w:widowControl/>
        <w:rPr>
          <w:rFonts w:asciiTheme="minorHAnsi" w:eastAsia="Calibri" w:hAnsiTheme="minorHAnsi"/>
          <w:snapToGrid/>
          <w:sz w:val="24"/>
          <w:szCs w:val="24"/>
          <w:u w:val="single"/>
        </w:rPr>
      </w:pPr>
      <w:bookmarkStart w:id="25" w:name="_Toc482710292"/>
      <w:r w:rsidRPr="00504102">
        <w:rPr>
          <w:rFonts w:asciiTheme="minorHAnsi" w:eastAsia="Calibri" w:hAnsiTheme="minorHAnsi"/>
          <w:snapToGrid/>
          <w:sz w:val="24"/>
          <w:szCs w:val="24"/>
          <w:u w:val="single"/>
        </w:rPr>
        <w:t>Nicotine gum versus nicotine patches</w:t>
      </w:r>
      <w:bookmarkEnd w:id="25"/>
      <w:r w:rsidRPr="00504102">
        <w:rPr>
          <w:rFonts w:asciiTheme="minorHAnsi" w:eastAsia="Calibri" w:hAnsiTheme="minorHAnsi"/>
          <w:snapToGrid/>
          <w:sz w:val="24"/>
          <w:szCs w:val="24"/>
          <w:u w:val="single"/>
        </w:rPr>
        <w:t xml:space="preserve"> </w:t>
      </w:r>
    </w:p>
    <w:p w:rsidR="00F113F3" w:rsidRPr="00F10C3A" w:rsidRDefault="00F113F3" w:rsidP="00F113F3"/>
    <w:p w:rsidR="00FB6995" w:rsidRPr="00F10C3A" w:rsidRDefault="00B01856"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Table</w:t>
      </w:r>
      <w:r w:rsidR="00FB6995" w:rsidRPr="00F10C3A">
        <w:rPr>
          <w:rFonts w:ascii="Calibri" w:eastAsia="Calibri" w:hAnsi="Calibri"/>
          <w:snapToGrid/>
          <w:sz w:val="24"/>
          <w:szCs w:val="22"/>
        </w:rPr>
        <w:t xml:space="preserve"> </w:t>
      </w:r>
      <w:r w:rsidR="00E6694C" w:rsidRPr="00F10C3A">
        <w:rPr>
          <w:rFonts w:ascii="Calibri" w:eastAsia="Calibri" w:hAnsi="Calibri"/>
          <w:snapToGrid/>
          <w:sz w:val="24"/>
          <w:szCs w:val="22"/>
        </w:rPr>
        <w:t xml:space="preserve">7 </w:t>
      </w:r>
      <w:r w:rsidR="00FB6995" w:rsidRPr="00F10C3A">
        <w:rPr>
          <w:rFonts w:ascii="Calibri" w:eastAsia="Calibri" w:hAnsi="Calibri"/>
          <w:snapToGrid/>
          <w:sz w:val="24"/>
          <w:szCs w:val="22"/>
        </w:rPr>
        <w:t>present</w:t>
      </w:r>
      <w:r w:rsidRPr="00F10C3A">
        <w:rPr>
          <w:rFonts w:ascii="Calibri" w:eastAsia="Calibri" w:hAnsi="Calibri"/>
          <w:snapToGrid/>
          <w:sz w:val="24"/>
          <w:szCs w:val="22"/>
        </w:rPr>
        <w:t>s</w:t>
      </w:r>
      <w:r w:rsidR="00FB6995" w:rsidRPr="00F10C3A">
        <w:rPr>
          <w:rFonts w:ascii="Calibri" w:eastAsia="Calibri" w:hAnsi="Calibri"/>
          <w:snapToGrid/>
          <w:sz w:val="24"/>
          <w:szCs w:val="22"/>
        </w:rPr>
        <w:t xml:space="preserve"> the results of the indirect comparison of abstinence rates between nicotine gum and patches. </w:t>
      </w:r>
    </w:p>
    <w:p w:rsidR="000E2007" w:rsidRPr="00F10C3A" w:rsidRDefault="000E2007" w:rsidP="000E2007">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7</w:t>
      </w:r>
      <w:r w:rsidRPr="008A6FDE">
        <w:t>: Indirect comparison of abstinence rates between nicotine gum versus nicotine patches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6"/>
        <w:gridCol w:w="1064"/>
        <w:gridCol w:w="1143"/>
        <w:gridCol w:w="1237"/>
        <w:gridCol w:w="1048"/>
        <w:gridCol w:w="1286"/>
        <w:gridCol w:w="1141"/>
        <w:gridCol w:w="1377"/>
      </w:tblGrid>
      <w:tr w:rsidR="00FB6995" w:rsidRPr="00F10C3A" w:rsidTr="003D000C">
        <w:trPr>
          <w:tblHeader/>
        </w:trPr>
        <w:tc>
          <w:tcPr>
            <w:tcW w:w="433" w:type="pct"/>
            <w:vMerge w:val="restart"/>
            <w:tcBorders>
              <w:top w:val="single" w:sz="4" w:space="0" w:color="auto"/>
              <w:left w:val="single" w:sz="4" w:space="0" w:color="auto"/>
              <w:right w:val="single" w:sz="4" w:space="0" w:color="auto"/>
            </w:tcBorders>
            <w:tcMar>
              <w:right w:w="28" w:type="dxa"/>
            </w:tcMar>
            <w:vAlign w:val="center"/>
          </w:tcPr>
          <w:p w:rsidR="00FB6995" w:rsidRPr="00F10C3A" w:rsidRDefault="00FB6995" w:rsidP="00310B78">
            <w:pPr>
              <w:pStyle w:val="TableText1"/>
              <w:rPr>
                <w:b/>
                <w:bCs/>
                <w:vertAlign w:val="superscript"/>
              </w:rPr>
            </w:pPr>
            <w:r w:rsidRPr="00F10C3A">
              <w:t>Stead (2012) update</w:t>
            </w:r>
            <w:r w:rsidR="003D000C" w:rsidRPr="00F10C3A">
              <w:t xml:space="preserve">d meta </w:t>
            </w:r>
            <w:proofErr w:type="spellStart"/>
            <w:r w:rsidR="003D000C" w:rsidRPr="00F10C3A">
              <w:t>analysis</w:t>
            </w:r>
            <w:r w:rsidRPr="00F10C3A">
              <w:rPr>
                <w:vertAlign w:val="superscript"/>
              </w:rPr>
              <w:t>a</w:t>
            </w:r>
            <w:proofErr w:type="spellEnd"/>
          </w:p>
        </w:tc>
        <w:tc>
          <w:tcPr>
            <w:tcW w:w="1896" w:type="pct"/>
            <w:gridSpan w:val="3"/>
            <w:tcBorders>
              <w:top w:val="single" w:sz="4" w:space="0" w:color="auto"/>
              <w:left w:val="nil"/>
              <w:bottom w:val="single" w:sz="4" w:space="0" w:color="auto"/>
              <w:right w:val="double" w:sz="4" w:space="0" w:color="auto"/>
            </w:tcBorders>
            <w:vAlign w:val="center"/>
          </w:tcPr>
          <w:p w:rsidR="00FB6995" w:rsidRPr="00F10C3A" w:rsidRDefault="00FB6995" w:rsidP="00310B78">
            <w:pPr>
              <w:pStyle w:val="TableText1"/>
              <w:rPr>
                <w:b/>
                <w:bCs/>
              </w:rPr>
            </w:pPr>
            <w:r w:rsidRPr="00F10C3A">
              <w:rPr>
                <w:b/>
                <w:bCs/>
              </w:rPr>
              <w:t>Trials of nicotine gum</w:t>
            </w:r>
          </w:p>
        </w:tc>
        <w:tc>
          <w:tcPr>
            <w:tcW w:w="1913" w:type="pct"/>
            <w:gridSpan w:val="3"/>
            <w:tcBorders>
              <w:top w:val="single" w:sz="4" w:space="0" w:color="auto"/>
              <w:left w:val="nil"/>
              <w:bottom w:val="single" w:sz="4" w:space="0" w:color="auto"/>
              <w:right w:val="single" w:sz="4" w:space="0" w:color="auto"/>
            </w:tcBorders>
            <w:vAlign w:val="center"/>
          </w:tcPr>
          <w:p w:rsidR="00FB6995" w:rsidRPr="00F10C3A" w:rsidRDefault="00FB6995" w:rsidP="00310B78">
            <w:pPr>
              <w:pStyle w:val="TableText1"/>
              <w:rPr>
                <w:b/>
                <w:bCs/>
              </w:rPr>
            </w:pPr>
            <w:r w:rsidRPr="00F10C3A">
              <w:rPr>
                <w:b/>
                <w:bCs/>
              </w:rPr>
              <w:t>Trials of nicotine patches</w:t>
            </w:r>
          </w:p>
        </w:tc>
        <w:tc>
          <w:tcPr>
            <w:tcW w:w="758" w:type="pct"/>
            <w:vMerge w:val="restart"/>
            <w:tcBorders>
              <w:top w:val="single" w:sz="4" w:space="0" w:color="auto"/>
              <w:left w:val="single" w:sz="4" w:space="0" w:color="auto"/>
              <w:bottom w:val="single" w:sz="4" w:space="0" w:color="auto"/>
              <w:right w:val="single" w:sz="4" w:space="0" w:color="auto"/>
            </w:tcBorders>
            <w:vAlign w:val="center"/>
          </w:tcPr>
          <w:p w:rsidR="00FB6995" w:rsidRPr="00F10C3A" w:rsidRDefault="00FB6995" w:rsidP="00310B78">
            <w:pPr>
              <w:pStyle w:val="TableText1"/>
              <w:rPr>
                <w:b/>
                <w:bCs/>
              </w:rPr>
            </w:pPr>
            <w:r w:rsidRPr="00F10C3A">
              <w:rPr>
                <w:b/>
                <w:bCs/>
              </w:rPr>
              <w:t>Indirect estimate of abstinence</w:t>
            </w:r>
            <w:r w:rsidRPr="00F10C3A">
              <w:br/>
            </w:r>
            <w:r w:rsidRPr="00F10C3A">
              <w:rPr>
                <w:b/>
                <w:bCs/>
              </w:rPr>
              <w:t>Indirect RR</w:t>
            </w:r>
            <w:r w:rsidRPr="00F10C3A">
              <w:rPr>
                <w:b/>
                <w:bCs/>
              </w:rPr>
              <w:br/>
              <w:t>(95% CI)</w:t>
            </w:r>
          </w:p>
        </w:tc>
      </w:tr>
      <w:tr w:rsidR="00FB6995" w:rsidRPr="00F10C3A" w:rsidTr="00F02A2B">
        <w:trPr>
          <w:tblHeader/>
        </w:trPr>
        <w:tc>
          <w:tcPr>
            <w:tcW w:w="433" w:type="pct"/>
            <w:vMerge/>
            <w:tcBorders>
              <w:left w:val="single" w:sz="4" w:space="0" w:color="auto"/>
              <w:right w:val="single" w:sz="4" w:space="0" w:color="auto"/>
            </w:tcBorders>
            <w:tcMar>
              <w:right w:w="28" w:type="dxa"/>
            </w:tcMar>
            <w:vAlign w:val="center"/>
          </w:tcPr>
          <w:p w:rsidR="00FB6995" w:rsidRPr="00F10C3A" w:rsidRDefault="00FB6995" w:rsidP="00310B78">
            <w:pPr>
              <w:pStyle w:val="TableText1"/>
            </w:pPr>
          </w:p>
        </w:tc>
        <w:tc>
          <w:tcPr>
            <w:tcW w:w="586" w:type="pct"/>
            <w:tcBorders>
              <w:top w:val="single" w:sz="4" w:space="0" w:color="auto"/>
              <w:left w:val="single" w:sz="4" w:space="0" w:color="auto"/>
              <w:bottom w:val="single" w:sz="4" w:space="0" w:color="auto"/>
              <w:right w:val="single" w:sz="4" w:space="0" w:color="auto"/>
            </w:tcBorders>
          </w:tcPr>
          <w:p w:rsidR="00FB6995" w:rsidRPr="00F10C3A" w:rsidRDefault="00FB6995" w:rsidP="00310B78">
            <w:pPr>
              <w:pStyle w:val="TableText1"/>
              <w:rPr>
                <w:b/>
                <w:bCs/>
              </w:rPr>
            </w:pPr>
            <w:r w:rsidRPr="00F10C3A">
              <w:rPr>
                <w:b/>
                <w:bCs/>
              </w:rPr>
              <w:t>Abstinence</w:t>
            </w:r>
            <w:r w:rsidRPr="00F10C3A">
              <w:rPr>
                <w:b/>
                <w:bCs/>
                <w:vertAlign w:val="superscript"/>
              </w:rPr>
              <w:br/>
            </w:r>
            <w:r w:rsidRPr="00F10C3A">
              <w:rPr>
                <w:b/>
                <w:bCs/>
              </w:rPr>
              <w:t>RR</w:t>
            </w:r>
            <w:r w:rsidRPr="00F10C3A">
              <w:rPr>
                <w:b/>
                <w:bCs/>
              </w:rPr>
              <w:br/>
              <w:t>(95% CI)</w:t>
            </w:r>
          </w:p>
        </w:tc>
        <w:tc>
          <w:tcPr>
            <w:tcW w:w="629" w:type="pct"/>
            <w:tcBorders>
              <w:top w:val="single" w:sz="4" w:space="0" w:color="auto"/>
              <w:left w:val="single" w:sz="4" w:space="0" w:color="auto"/>
              <w:bottom w:val="single" w:sz="4" w:space="0" w:color="auto"/>
              <w:right w:val="single" w:sz="4" w:space="0" w:color="auto"/>
            </w:tcBorders>
          </w:tcPr>
          <w:p w:rsidR="00FB6995" w:rsidRPr="00F10C3A" w:rsidRDefault="00FB6995" w:rsidP="00310B78">
            <w:pPr>
              <w:pStyle w:val="TableText1"/>
              <w:rPr>
                <w:b/>
                <w:bCs/>
                <w:iCs/>
              </w:rPr>
            </w:pPr>
            <w:r w:rsidRPr="00F10C3A">
              <w:rPr>
                <w:b/>
                <w:bCs/>
              </w:rPr>
              <w:t>Gum</w:t>
            </w:r>
            <w:r w:rsidRPr="00F10C3A">
              <w:rPr>
                <w:b/>
                <w:bCs/>
              </w:rPr>
              <w:br/>
            </w:r>
            <w:r w:rsidRPr="00F10C3A">
              <w:rPr>
                <w:b/>
                <w:bCs/>
                <w:iCs/>
              </w:rPr>
              <w:t>n/N</w:t>
            </w:r>
            <w:r w:rsidRPr="00F10C3A">
              <w:rPr>
                <w:b/>
                <w:bCs/>
              </w:rPr>
              <w:t xml:space="preserve"> </w:t>
            </w:r>
            <w:r w:rsidRPr="00F10C3A">
              <w:rPr>
                <w:b/>
                <w:bCs/>
                <w:iCs/>
              </w:rPr>
              <w:t>(%)</w:t>
            </w:r>
          </w:p>
          <w:p w:rsidR="00FB6995" w:rsidRPr="00F10C3A" w:rsidRDefault="00FB6995" w:rsidP="00310B78">
            <w:pPr>
              <w:pStyle w:val="TableText1"/>
              <w:rPr>
                <w:b/>
                <w:bCs/>
              </w:rPr>
            </w:pPr>
            <w:r w:rsidRPr="00F10C3A">
              <w:rPr>
                <w:b/>
                <w:bCs/>
              </w:rPr>
              <w:t>N = 10,596</w:t>
            </w:r>
          </w:p>
        </w:tc>
        <w:tc>
          <w:tcPr>
            <w:tcW w:w="681" w:type="pct"/>
            <w:tcBorders>
              <w:top w:val="single" w:sz="4" w:space="0" w:color="auto"/>
              <w:left w:val="single" w:sz="4" w:space="0" w:color="auto"/>
              <w:bottom w:val="single" w:sz="4" w:space="0" w:color="auto"/>
              <w:right w:val="double" w:sz="4" w:space="0" w:color="auto"/>
            </w:tcBorders>
          </w:tcPr>
          <w:p w:rsidR="00FB6995" w:rsidRPr="00F10C3A" w:rsidRDefault="00FB6995" w:rsidP="00310B78">
            <w:pPr>
              <w:pStyle w:val="TableText1"/>
              <w:rPr>
                <w:b/>
                <w:bCs/>
              </w:rPr>
            </w:pPr>
            <w:r w:rsidRPr="00F10C3A">
              <w:rPr>
                <w:b/>
                <w:bCs/>
              </w:rPr>
              <w:t xml:space="preserve">Placebo </w:t>
            </w:r>
            <w:r w:rsidRPr="00F10C3A">
              <w:rPr>
                <w:b/>
                <w:bCs/>
              </w:rPr>
              <w:br/>
            </w:r>
            <w:r w:rsidRPr="00F10C3A">
              <w:rPr>
                <w:b/>
                <w:bCs/>
                <w:iCs/>
              </w:rPr>
              <w:t>n/N</w:t>
            </w:r>
            <w:r w:rsidRPr="00F10C3A">
              <w:rPr>
                <w:b/>
                <w:bCs/>
              </w:rPr>
              <w:t xml:space="preserve"> (%)</w:t>
            </w:r>
          </w:p>
          <w:p w:rsidR="00FB6995" w:rsidRPr="00F10C3A" w:rsidRDefault="00FB6995" w:rsidP="00310B78">
            <w:pPr>
              <w:pStyle w:val="TableText1"/>
              <w:rPr>
                <w:b/>
                <w:bCs/>
              </w:rPr>
            </w:pPr>
            <w:r w:rsidRPr="00F10C3A">
              <w:rPr>
                <w:b/>
                <w:bCs/>
              </w:rPr>
              <w:t>N =11,986</w:t>
            </w:r>
          </w:p>
        </w:tc>
        <w:tc>
          <w:tcPr>
            <w:tcW w:w="577" w:type="pct"/>
            <w:tcBorders>
              <w:top w:val="single" w:sz="4" w:space="0" w:color="auto"/>
              <w:left w:val="double" w:sz="4" w:space="0" w:color="auto"/>
              <w:bottom w:val="single" w:sz="4" w:space="0" w:color="auto"/>
              <w:right w:val="single" w:sz="4" w:space="0" w:color="auto"/>
            </w:tcBorders>
          </w:tcPr>
          <w:p w:rsidR="00FB6995" w:rsidRPr="00F10C3A" w:rsidRDefault="00FB6995" w:rsidP="00310B78">
            <w:pPr>
              <w:pStyle w:val="TableText1"/>
              <w:rPr>
                <w:b/>
                <w:bCs/>
              </w:rPr>
            </w:pPr>
            <w:r w:rsidRPr="00F10C3A">
              <w:rPr>
                <w:b/>
                <w:bCs/>
              </w:rPr>
              <w:t xml:space="preserve">Placebo </w:t>
            </w:r>
            <w:r w:rsidRPr="00F10C3A">
              <w:rPr>
                <w:b/>
                <w:bCs/>
              </w:rPr>
              <w:br/>
            </w:r>
            <w:r w:rsidRPr="00F10C3A">
              <w:rPr>
                <w:b/>
                <w:bCs/>
                <w:iCs/>
              </w:rPr>
              <w:t>n/N</w:t>
            </w:r>
            <w:r w:rsidRPr="00F10C3A">
              <w:rPr>
                <w:b/>
                <w:bCs/>
              </w:rPr>
              <w:t xml:space="preserve"> (%)</w:t>
            </w:r>
          </w:p>
          <w:p w:rsidR="00FB6995" w:rsidRPr="00F10C3A" w:rsidRDefault="00FB6995" w:rsidP="00310B78">
            <w:pPr>
              <w:pStyle w:val="TableText1"/>
              <w:rPr>
                <w:b/>
                <w:bCs/>
              </w:rPr>
            </w:pPr>
            <w:r w:rsidRPr="00F10C3A">
              <w:rPr>
                <w:b/>
                <w:bCs/>
              </w:rPr>
              <w:t>N = 11,912</w:t>
            </w:r>
          </w:p>
        </w:tc>
        <w:tc>
          <w:tcPr>
            <w:tcW w:w="708" w:type="pct"/>
            <w:tcBorders>
              <w:top w:val="single" w:sz="4" w:space="0" w:color="auto"/>
              <w:left w:val="single" w:sz="4" w:space="0" w:color="auto"/>
              <w:bottom w:val="single" w:sz="4" w:space="0" w:color="auto"/>
              <w:right w:val="single" w:sz="4" w:space="0" w:color="auto"/>
            </w:tcBorders>
          </w:tcPr>
          <w:p w:rsidR="00FB6995" w:rsidRPr="00F10C3A" w:rsidRDefault="00FB6995" w:rsidP="00310B78">
            <w:pPr>
              <w:pStyle w:val="TableText1"/>
              <w:rPr>
                <w:b/>
                <w:bCs/>
              </w:rPr>
            </w:pPr>
            <w:r w:rsidRPr="00F10C3A">
              <w:rPr>
                <w:b/>
                <w:bCs/>
              </w:rPr>
              <w:t>Patch</w:t>
            </w:r>
            <w:r w:rsidRPr="00F10C3A">
              <w:rPr>
                <w:b/>
                <w:bCs/>
              </w:rPr>
              <w:br/>
            </w:r>
            <w:r w:rsidRPr="00F10C3A">
              <w:rPr>
                <w:b/>
                <w:bCs/>
                <w:iCs/>
              </w:rPr>
              <w:t>n</w:t>
            </w:r>
            <w:r w:rsidRPr="00F10C3A">
              <w:rPr>
                <w:b/>
                <w:bCs/>
              </w:rPr>
              <w:t>/</w:t>
            </w:r>
            <w:r w:rsidRPr="00F10C3A">
              <w:rPr>
                <w:b/>
                <w:bCs/>
                <w:iCs/>
              </w:rPr>
              <w:t>N</w:t>
            </w:r>
            <w:r w:rsidRPr="00F10C3A">
              <w:rPr>
                <w:b/>
                <w:bCs/>
              </w:rPr>
              <w:t xml:space="preserve"> (%)</w:t>
            </w:r>
          </w:p>
          <w:p w:rsidR="00FB6995" w:rsidRPr="00F10C3A" w:rsidRDefault="00FB6995" w:rsidP="00310B78">
            <w:pPr>
              <w:pStyle w:val="TableText1"/>
              <w:rPr>
                <w:b/>
                <w:bCs/>
              </w:rPr>
            </w:pPr>
            <w:r w:rsidRPr="00F10C3A">
              <w:rPr>
                <w:b/>
                <w:bCs/>
              </w:rPr>
              <w:t>N = 16,073</w:t>
            </w:r>
          </w:p>
        </w:tc>
        <w:tc>
          <w:tcPr>
            <w:tcW w:w="628" w:type="pct"/>
            <w:tcBorders>
              <w:top w:val="single" w:sz="4" w:space="0" w:color="auto"/>
              <w:left w:val="single" w:sz="4" w:space="0" w:color="auto"/>
              <w:bottom w:val="single" w:sz="4" w:space="0" w:color="auto"/>
              <w:right w:val="single" w:sz="4" w:space="0" w:color="auto"/>
            </w:tcBorders>
          </w:tcPr>
          <w:p w:rsidR="00FB6995" w:rsidRPr="00F10C3A" w:rsidRDefault="00FB6995" w:rsidP="00310B78">
            <w:pPr>
              <w:pStyle w:val="TableText1"/>
              <w:rPr>
                <w:b/>
                <w:bCs/>
              </w:rPr>
            </w:pPr>
            <w:r w:rsidRPr="00F10C3A">
              <w:rPr>
                <w:b/>
                <w:bCs/>
              </w:rPr>
              <w:t>Abstinence</w:t>
            </w:r>
            <w:r w:rsidRPr="00F10C3A">
              <w:rPr>
                <w:b/>
                <w:bCs/>
                <w:vertAlign w:val="superscript"/>
              </w:rPr>
              <w:br/>
            </w:r>
            <w:r w:rsidRPr="00F10C3A">
              <w:rPr>
                <w:b/>
                <w:bCs/>
              </w:rPr>
              <w:t>RR</w:t>
            </w:r>
            <w:r w:rsidRPr="00F10C3A">
              <w:rPr>
                <w:b/>
                <w:bCs/>
              </w:rPr>
              <w:br/>
              <w:t>(95% CI)</w:t>
            </w:r>
          </w:p>
        </w:tc>
        <w:tc>
          <w:tcPr>
            <w:tcW w:w="758" w:type="pct"/>
            <w:vMerge/>
            <w:tcBorders>
              <w:top w:val="single" w:sz="4" w:space="0" w:color="auto"/>
              <w:left w:val="single" w:sz="4" w:space="0" w:color="auto"/>
              <w:bottom w:val="single" w:sz="4" w:space="0" w:color="auto"/>
              <w:right w:val="single" w:sz="4" w:space="0" w:color="auto"/>
            </w:tcBorders>
            <w:vAlign w:val="center"/>
          </w:tcPr>
          <w:p w:rsidR="00FB6995" w:rsidRPr="00F10C3A" w:rsidRDefault="00FB6995" w:rsidP="00310B78">
            <w:pPr>
              <w:pStyle w:val="TableText1"/>
              <w:rPr>
                <w:b/>
                <w:bCs/>
              </w:rPr>
            </w:pPr>
          </w:p>
        </w:tc>
      </w:tr>
      <w:tr w:rsidR="00FB6995" w:rsidRPr="00F10C3A" w:rsidTr="00F02A2B">
        <w:tc>
          <w:tcPr>
            <w:tcW w:w="433" w:type="pct"/>
            <w:vMerge/>
            <w:tcBorders>
              <w:left w:val="single" w:sz="4" w:space="0" w:color="auto"/>
              <w:right w:val="single" w:sz="4" w:space="0" w:color="auto"/>
            </w:tcBorders>
            <w:tcMar>
              <w:right w:w="28" w:type="dxa"/>
            </w:tcMar>
            <w:vAlign w:val="center"/>
          </w:tcPr>
          <w:p w:rsidR="00FB6995" w:rsidRPr="00F10C3A" w:rsidRDefault="00FB6995" w:rsidP="00310B78">
            <w:pPr>
              <w:pStyle w:val="TableText1"/>
            </w:pPr>
          </w:p>
        </w:tc>
        <w:tc>
          <w:tcPr>
            <w:tcW w:w="586" w:type="pct"/>
            <w:tcBorders>
              <w:top w:val="single" w:sz="4" w:space="0" w:color="auto"/>
              <w:left w:val="single" w:sz="4" w:space="0" w:color="auto"/>
              <w:bottom w:val="single" w:sz="4" w:space="0" w:color="auto"/>
              <w:right w:val="single" w:sz="4" w:space="0" w:color="auto"/>
            </w:tcBorders>
            <w:vAlign w:val="center"/>
          </w:tcPr>
          <w:p w:rsidR="00546BF1" w:rsidRPr="00F10C3A" w:rsidRDefault="00546BF1" w:rsidP="00310B78">
            <w:pPr>
              <w:pStyle w:val="TableText1"/>
              <w:rPr>
                <w:b/>
              </w:rPr>
            </w:pPr>
            <w:r w:rsidRPr="00F10C3A">
              <w:rPr>
                <w:b/>
              </w:rPr>
              <w:t xml:space="preserve">1.49 </w:t>
            </w:r>
          </w:p>
          <w:p w:rsidR="00FB6995" w:rsidRPr="00F10C3A" w:rsidRDefault="00546BF1" w:rsidP="00310B78">
            <w:pPr>
              <w:pStyle w:val="TableText1"/>
              <w:rPr>
                <w:b/>
              </w:rPr>
            </w:pPr>
            <w:r w:rsidRPr="00F10C3A">
              <w:rPr>
                <w:b/>
              </w:rPr>
              <w:t>(1.36, 1.64)</w:t>
            </w:r>
          </w:p>
        </w:tc>
        <w:tc>
          <w:tcPr>
            <w:tcW w:w="629" w:type="pct"/>
            <w:tcBorders>
              <w:top w:val="single" w:sz="4" w:space="0" w:color="auto"/>
              <w:left w:val="single" w:sz="4" w:space="0" w:color="auto"/>
              <w:bottom w:val="single" w:sz="4" w:space="0" w:color="auto"/>
              <w:right w:val="single" w:sz="4" w:space="0" w:color="auto"/>
            </w:tcBorders>
            <w:vAlign w:val="center"/>
          </w:tcPr>
          <w:p w:rsidR="00FB6995" w:rsidRPr="00F10C3A" w:rsidRDefault="00FB6995" w:rsidP="00310B78">
            <w:pPr>
              <w:pStyle w:val="TableText1"/>
            </w:pPr>
            <w:r w:rsidRPr="00F10C3A">
              <w:t>1</w:t>
            </w:r>
            <w:r w:rsidR="00F02A2B" w:rsidRPr="00F10C3A">
              <w:t>,</w:t>
            </w:r>
            <w:r w:rsidRPr="00F10C3A">
              <w:t>732 (16.3%)</w:t>
            </w:r>
          </w:p>
        </w:tc>
        <w:tc>
          <w:tcPr>
            <w:tcW w:w="681" w:type="pct"/>
            <w:tcBorders>
              <w:top w:val="single" w:sz="4" w:space="0" w:color="auto"/>
              <w:left w:val="single" w:sz="4" w:space="0" w:color="auto"/>
              <w:bottom w:val="single" w:sz="4" w:space="0" w:color="auto"/>
              <w:right w:val="double" w:sz="4" w:space="0" w:color="auto"/>
            </w:tcBorders>
            <w:vAlign w:val="center"/>
          </w:tcPr>
          <w:p w:rsidR="00FB6995" w:rsidRPr="00F10C3A" w:rsidRDefault="00FB6995" w:rsidP="00310B78">
            <w:pPr>
              <w:pStyle w:val="TableText1"/>
            </w:pPr>
            <w:r w:rsidRPr="00F10C3A">
              <w:t>1</w:t>
            </w:r>
            <w:r w:rsidR="00F02A2B" w:rsidRPr="00F10C3A">
              <w:t>,</w:t>
            </w:r>
            <w:r w:rsidRPr="00F10C3A">
              <w:t>196 (10.0%)</w:t>
            </w:r>
          </w:p>
        </w:tc>
        <w:tc>
          <w:tcPr>
            <w:tcW w:w="577" w:type="pct"/>
            <w:tcBorders>
              <w:top w:val="single" w:sz="4" w:space="0" w:color="auto"/>
              <w:left w:val="double" w:sz="4" w:space="0" w:color="auto"/>
              <w:bottom w:val="single" w:sz="4" w:space="0" w:color="auto"/>
              <w:right w:val="single" w:sz="4" w:space="0" w:color="auto"/>
            </w:tcBorders>
            <w:vAlign w:val="center"/>
          </w:tcPr>
          <w:p w:rsidR="00FB6995" w:rsidRPr="00F10C3A" w:rsidRDefault="00FB6995" w:rsidP="00310B78">
            <w:pPr>
              <w:pStyle w:val="TableText1"/>
            </w:pPr>
            <w:r w:rsidRPr="00F10C3A">
              <w:t>1,072 (9.0%)</w:t>
            </w:r>
          </w:p>
        </w:tc>
        <w:tc>
          <w:tcPr>
            <w:tcW w:w="708" w:type="pct"/>
            <w:tcBorders>
              <w:top w:val="single" w:sz="4" w:space="0" w:color="auto"/>
              <w:left w:val="single" w:sz="4" w:space="0" w:color="auto"/>
              <w:bottom w:val="single" w:sz="4" w:space="0" w:color="auto"/>
              <w:right w:val="single" w:sz="4" w:space="0" w:color="auto"/>
            </w:tcBorders>
            <w:vAlign w:val="center"/>
          </w:tcPr>
          <w:p w:rsidR="00FB6995" w:rsidRPr="00F10C3A" w:rsidRDefault="00FB6995" w:rsidP="00310B78">
            <w:pPr>
              <w:pStyle w:val="TableText1"/>
            </w:pPr>
            <w:r w:rsidRPr="00F10C3A">
              <w:t>2,391 (14.9%)</w:t>
            </w:r>
          </w:p>
        </w:tc>
        <w:tc>
          <w:tcPr>
            <w:tcW w:w="628" w:type="pct"/>
            <w:tcBorders>
              <w:top w:val="single" w:sz="4" w:space="0" w:color="auto"/>
              <w:left w:val="single" w:sz="4" w:space="0" w:color="auto"/>
              <w:bottom w:val="single" w:sz="4" w:space="0" w:color="auto"/>
              <w:right w:val="single" w:sz="4" w:space="0" w:color="auto"/>
            </w:tcBorders>
            <w:vAlign w:val="center"/>
          </w:tcPr>
          <w:p w:rsidR="00546BF1" w:rsidRPr="00F10C3A" w:rsidRDefault="00546BF1" w:rsidP="00310B78">
            <w:pPr>
              <w:pStyle w:val="TableText1"/>
              <w:rPr>
                <w:b/>
              </w:rPr>
            </w:pPr>
            <w:r w:rsidRPr="00F10C3A">
              <w:rPr>
                <w:b/>
              </w:rPr>
              <w:t xml:space="preserve">1.63 </w:t>
            </w:r>
          </w:p>
          <w:p w:rsidR="00FB6995" w:rsidRPr="00F10C3A" w:rsidRDefault="00546BF1" w:rsidP="00310B78">
            <w:pPr>
              <w:pStyle w:val="TableText1"/>
              <w:rPr>
                <w:b/>
              </w:rPr>
            </w:pPr>
            <w:r w:rsidRPr="00F10C3A">
              <w:rPr>
                <w:b/>
              </w:rPr>
              <w:t>(1.49, 1.79</w:t>
            </w:r>
            <w:r w:rsidR="00FB6995" w:rsidRPr="00F10C3A">
              <w:rPr>
                <w:b/>
              </w:rPr>
              <w:t>)</w:t>
            </w:r>
          </w:p>
        </w:tc>
        <w:tc>
          <w:tcPr>
            <w:tcW w:w="758" w:type="pct"/>
            <w:tcBorders>
              <w:top w:val="single" w:sz="4" w:space="0" w:color="auto"/>
              <w:left w:val="single" w:sz="4" w:space="0" w:color="auto"/>
              <w:bottom w:val="single" w:sz="4" w:space="0" w:color="auto"/>
              <w:right w:val="single" w:sz="4" w:space="0" w:color="auto"/>
            </w:tcBorders>
            <w:vAlign w:val="center"/>
          </w:tcPr>
          <w:p w:rsidR="00FB6995" w:rsidRPr="00F10C3A" w:rsidRDefault="00546BF1" w:rsidP="00310B78">
            <w:pPr>
              <w:pStyle w:val="TableText1"/>
            </w:pPr>
            <w:r w:rsidRPr="00F10C3A">
              <w:t>0.91 (0.80, 1.04</w:t>
            </w:r>
            <w:r w:rsidR="00FB6995" w:rsidRPr="00F10C3A">
              <w:t>)</w:t>
            </w:r>
          </w:p>
        </w:tc>
      </w:tr>
    </w:tbl>
    <w:p w:rsidR="00FB6995" w:rsidRPr="00F10C3A" w:rsidRDefault="00FB6995" w:rsidP="000E2007">
      <w:pPr>
        <w:pStyle w:val="TableFooter"/>
      </w:pPr>
      <w:r w:rsidRPr="00F10C3A">
        <w:t xml:space="preserve">Source: Tables B-52 to B-55, pp97-101 of the submission and calculated during the evaluation </w:t>
      </w:r>
    </w:p>
    <w:p w:rsidR="00FB6995" w:rsidRPr="00F10C3A" w:rsidRDefault="00FB6995" w:rsidP="000E2007">
      <w:pPr>
        <w:pStyle w:val="TableFooter"/>
      </w:pPr>
      <w:r w:rsidRPr="00F10C3A">
        <w:t>CI = confidence interval;</w:t>
      </w:r>
      <w:r w:rsidRPr="00F10C3A">
        <w:rPr>
          <w:iCs/>
        </w:rPr>
        <w:t xml:space="preserve"> n </w:t>
      </w:r>
      <w:r w:rsidRPr="00F10C3A">
        <w:t>= number with event;</w:t>
      </w:r>
      <w:r w:rsidRPr="00F10C3A">
        <w:rPr>
          <w:iCs/>
        </w:rPr>
        <w:t xml:space="preserve"> N </w:t>
      </w:r>
      <w:r w:rsidRPr="00F10C3A">
        <w:t xml:space="preserve">= number in group; RR = relative risk </w:t>
      </w:r>
    </w:p>
    <w:p w:rsidR="00FB6995" w:rsidRPr="00F10C3A" w:rsidRDefault="00FB6995" w:rsidP="000E2007">
      <w:pPr>
        <w:pStyle w:val="TableFooter"/>
      </w:pPr>
      <w:proofErr w:type="gramStart"/>
      <w:r w:rsidRPr="00F10C3A">
        <w:rPr>
          <w:vertAlign w:val="superscript"/>
        </w:rPr>
        <w:t>a</w:t>
      </w:r>
      <w:proofErr w:type="gramEnd"/>
      <w:r w:rsidRPr="00F10C3A">
        <w:rPr>
          <w:vertAlign w:val="superscript"/>
        </w:rPr>
        <w:t xml:space="preserve"> </w:t>
      </w:r>
      <w:r w:rsidRPr="00F10C3A">
        <w:t xml:space="preserve">pooled using the </w:t>
      </w:r>
      <w:r w:rsidR="00546BF1" w:rsidRPr="00F10C3A">
        <w:t>ran</w:t>
      </w:r>
      <w:r w:rsidR="00EF0DDD" w:rsidRPr="00F10C3A">
        <w:t>d</w:t>
      </w:r>
      <w:r w:rsidR="00546BF1" w:rsidRPr="00F10C3A">
        <w:t>om</w:t>
      </w:r>
      <w:r w:rsidRPr="00F10C3A">
        <w:t xml:space="preserve"> effects model</w:t>
      </w:r>
    </w:p>
    <w:p w:rsidR="00FB6995" w:rsidRPr="00F10C3A" w:rsidRDefault="00FB6995" w:rsidP="000E2007">
      <w:pPr>
        <w:pStyle w:val="TableFooter"/>
      </w:pPr>
      <w:r w:rsidRPr="00F10C3A">
        <w:rPr>
          <w:b/>
        </w:rPr>
        <w:t>Bold</w:t>
      </w:r>
      <w:r w:rsidRPr="00F10C3A">
        <w:t xml:space="preserve"> = statistically significant</w:t>
      </w:r>
    </w:p>
    <w:p w:rsidR="00BC1970" w:rsidRPr="00F10C3A" w:rsidRDefault="00BC1970" w:rsidP="000E2007">
      <w:pPr>
        <w:widowControl/>
        <w:rPr>
          <w:rFonts w:ascii="Calibri" w:eastAsia="Calibri" w:hAnsi="Calibri"/>
          <w:snapToGrid/>
          <w:sz w:val="24"/>
          <w:szCs w:val="22"/>
        </w:rPr>
      </w:pPr>
    </w:p>
    <w:p w:rsidR="008D7B62" w:rsidRPr="00F10C3A" w:rsidRDefault="008D7B62"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Based on the results of the indirect comparison, the submission concluded that no statistically significant differences were observed between nicotine gum and nicotine patches</w:t>
      </w:r>
      <w:r w:rsidR="006660BF">
        <w:rPr>
          <w:rFonts w:ascii="Calibri" w:eastAsia="Calibri" w:hAnsi="Calibri"/>
          <w:snapToGrid/>
          <w:sz w:val="24"/>
          <w:szCs w:val="22"/>
        </w:rPr>
        <w:t xml:space="preserve"> in efficacy</w:t>
      </w:r>
      <w:r w:rsidRPr="00F10C3A">
        <w:rPr>
          <w:rFonts w:ascii="Calibri" w:eastAsia="Calibri" w:hAnsi="Calibri"/>
          <w:snapToGrid/>
          <w:sz w:val="24"/>
          <w:szCs w:val="22"/>
        </w:rPr>
        <w:t xml:space="preserve">. </w:t>
      </w:r>
    </w:p>
    <w:p w:rsidR="000E2007" w:rsidRPr="00F10C3A" w:rsidRDefault="000E2007" w:rsidP="000E2007">
      <w:pPr>
        <w:pStyle w:val="PBACHeading1"/>
        <w:numPr>
          <w:ilvl w:val="0"/>
          <w:numId w:val="0"/>
        </w:numPr>
        <w:ind w:left="720" w:hanging="720"/>
        <w:rPr>
          <w:rFonts w:eastAsia="Calibri"/>
          <w:snapToGrid/>
        </w:rPr>
      </w:pPr>
    </w:p>
    <w:p w:rsidR="0069103C" w:rsidRPr="00F10C3A" w:rsidRDefault="008D7B62"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During the evaluation, a</w:t>
      </w:r>
      <w:r w:rsidR="0064589C" w:rsidRPr="00F10C3A">
        <w:rPr>
          <w:rFonts w:ascii="Calibri" w:eastAsia="Calibri" w:hAnsi="Calibri"/>
          <w:snapToGrid/>
          <w:sz w:val="24"/>
          <w:szCs w:val="22"/>
        </w:rPr>
        <w:t xml:space="preserve"> random effects</w:t>
      </w:r>
      <w:r w:rsidRPr="00F10C3A">
        <w:rPr>
          <w:rFonts w:ascii="Calibri" w:eastAsia="Calibri" w:hAnsi="Calibri"/>
          <w:snapToGrid/>
          <w:sz w:val="24"/>
          <w:szCs w:val="22"/>
        </w:rPr>
        <w:t xml:space="preserve"> meta-analysis was conducted </w:t>
      </w:r>
      <w:r w:rsidR="000D5945" w:rsidRPr="00F10C3A">
        <w:rPr>
          <w:rFonts w:ascii="Calibri" w:eastAsia="Calibri" w:hAnsi="Calibri"/>
          <w:snapToGrid/>
          <w:sz w:val="24"/>
          <w:szCs w:val="22"/>
        </w:rPr>
        <w:t>and a</w:t>
      </w:r>
      <w:r w:rsidR="0069103C" w:rsidRPr="00F10C3A">
        <w:rPr>
          <w:rFonts w:ascii="Calibri" w:eastAsia="Calibri" w:hAnsi="Calibri"/>
          <w:snapToGrid/>
          <w:sz w:val="24"/>
          <w:szCs w:val="22"/>
        </w:rPr>
        <w:t xml:space="preserve"> moderate degree of</w:t>
      </w:r>
      <w:r w:rsidR="000D5945" w:rsidRPr="00F10C3A">
        <w:rPr>
          <w:rFonts w:ascii="Calibri" w:eastAsia="Calibri" w:hAnsi="Calibri"/>
          <w:snapToGrid/>
          <w:sz w:val="24"/>
          <w:szCs w:val="22"/>
        </w:rPr>
        <w:t xml:space="preserve"> heterogeneity was identified. H</w:t>
      </w:r>
      <w:r w:rsidR="0069103C" w:rsidRPr="00F10C3A">
        <w:rPr>
          <w:rFonts w:ascii="Calibri" w:eastAsia="Calibri" w:hAnsi="Calibri"/>
          <w:snapToGrid/>
          <w:sz w:val="24"/>
          <w:szCs w:val="22"/>
        </w:rPr>
        <w:t xml:space="preserve">owever, despite heterogeneity, </w:t>
      </w:r>
      <w:r w:rsidRPr="00F10C3A">
        <w:rPr>
          <w:rFonts w:ascii="Calibri" w:eastAsia="Calibri" w:hAnsi="Calibri"/>
          <w:snapToGrid/>
          <w:sz w:val="24"/>
          <w:szCs w:val="22"/>
        </w:rPr>
        <w:t xml:space="preserve">the analyses presented </w:t>
      </w:r>
      <w:r w:rsidR="0069103C" w:rsidRPr="00F10C3A">
        <w:rPr>
          <w:rFonts w:ascii="Calibri" w:eastAsia="Calibri" w:hAnsi="Calibri"/>
          <w:snapToGrid/>
          <w:sz w:val="24"/>
          <w:szCs w:val="22"/>
        </w:rPr>
        <w:t xml:space="preserve">by the submission were </w:t>
      </w:r>
      <w:r w:rsidR="006660BF">
        <w:rPr>
          <w:rFonts w:ascii="Calibri" w:eastAsia="Calibri" w:hAnsi="Calibri"/>
          <w:snapToGrid/>
          <w:sz w:val="24"/>
          <w:szCs w:val="22"/>
        </w:rPr>
        <w:t xml:space="preserve">considered </w:t>
      </w:r>
      <w:r w:rsidR="0069103C" w:rsidRPr="00F10C3A">
        <w:rPr>
          <w:rFonts w:ascii="Calibri" w:eastAsia="Calibri" w:hAnsi="Calibri"/>
          <w:snapToGrid/>
          <w:sz w:val="24"/>
          <w:szCs w:val="22"/>
        </w:rPr>
        <w:t>reasonable and aligned with existing reviews on smoking cessation therapy (Stead (2012) and Cahill (2013))</w:t>
      </w:r>
      <w:r w:rsidRPr="00F10C3A">
        <w:rPr>
          <w:rFonts w:ascii="Calibri" w:eastAsia="Calibri" w:hAnsi="Calibri"/>
          <w:snapToGrid/>
          <w:sz w:val="24"/>
          <w:szCs w:val="22"/>
        </w:rPr>
        <w:t>.</w:t>
      </w:r>
      <w:r w:rsidR="000D5613" w:rsidRPr="00F10C3A">
        <w:t xml:space="preserve"> </w:t>
      </w:r>
    </w:p>
    <w:p w:rsidR="0069103C" w:rsidRPr="00F10C3A" w:rsidRDefault="0069103C" w:rsidP="0069103C">
      <w:pPr>
        <w:pStyle w:val="PBACHeading1"/>
        <w:numPr>
          <w:ilvl w:val="0"/>
          <w:numId w:val="0"/>
        </w:numPr>
        <w:ind w:left="720" w:hanging="720"/>
        <w:rPr>
          <w:rFonts w:eastAsia="Calibri"/>
          <w:snapToGrid/>
        </w:rPr>
      </w:pPr>
    </w:p>
    <w:p w:rsidR="000D5613" w:rsidRPr="00F10C3A" w:rsidRDefault="000D5613" w:rsidP="00DA5721">
      <w:pPr>
        <w:widowControl/>
        <w:numPr>
          <w:ilvl w:val="1"/>
          <w:numId w:val="3"/>
        </w:numPr>
        <w:rPr>
          <w:rFonts w:ascii="Calibri" w:eastAsia="Calibri" w:hAnsi="Calibri"/>
          <w:snapToGrid/>
          <w:sz w:val="24"/>
          <w:szCs w:val="22"/>
        </w:rPr>
      </w:pPr>
      <w:r w:rsidRPr="00F10C3A">
        <w:rPr>
          <w:rFonts w:asciiTheme="minorHAnsi" w:hAnsiTheme="minorHAnsi"/>
          <w:sz w:val="24"/>
        </w:rPr>
        <w:t>The submission did not specify a non-inferiority margin</w:t>
      </w:r>
      <w:r w:rsidR="00DA5721">
        <w:rPr>
          <w:rFonts w:asciiTheme="minorHAnsi" w:hAnsiTheme="minorHAnsi"/>
          <w:sz w:val="24"/>
        </w:rPr>
        <w:t>.</w:t>
      </w:r>
      <w:r w:rsidR="00DA5721" w:rsidRPr="00DA5721">
        <w:t xml:space="preserve"> </w:t>
      </w:r>
      <w:r w:rsidR="00DA5721" w:rsidRPr="00DA5721">
        <w:rPr>
          <w:rFonts w:asciiTheme="minorHAnsi" w:hAnsiTheme="minorHAnsi"/>
          <w:sz w:val="24"/>
        </w:rPr>
        <w:t xml:space="preserve">The 95% confidence interval indicated the efficacy of nicotine </w:t>
      </w:r>
      <w:r w:rsidR="00DA5721" w:rsidRPr="00F10C3A">
        <w:rPr>
          <w:rFonts w:ascii="Calibri" w:eastAsia="Calibri" w:hAnsi="Calibri"/>
          <w:snapToGrid/>
          <w:sz w:val="24"/>
          <w:szCs w:val="22"/>
        </w:rPr>
        <w:t xml:space="preserve">gum (RR: 0.91; 95% CI: 0.80 to 1.04) </w:t>
      </w:r>
      <w:r w:rsidR="00DA5721">
        <w:rPr>
          <w:rFonts w:asciiTheme="minorHAnsi" w:hAnsiTheme="minorHAnsi"/>
          <w:sz w:val="24"/>
        </w:rPr>
        <w:t>could be 20</w:t>
      </w:r>
      <w:r w:rsidR="00DA5721" w:rsidRPr="00DA5721">
        <w:rPr>
          <w:rFonts w:asciiTheme="minorHAnsi" w:hAnsiTheme="minorHAnsi"/>
          <w:sz w:val="24"/>
        </w:rPr>
        <w:t>% lower than that for the patches</w:t>
      </w:r>
      <w:r w:rsidR="00DA5721">
        <w:rPr>
          <w:rFonts w:asciiTheme="minorHAnsi" w:hAnsiTheme="minorHAnsi"/>
          <w:sz w:val="24"/>
        </w:rPr>
        <w:t xml:space="preserve">. </w:t>
      </w:r>
      <w:r w:rsidR="003C5AC7" w:rsidRPr="00F10C3A">
        <w:rPr>
          <w:rFonts w:ascii="Calibri" w:eastAsia="Calibri" w:hAnsi="Calibri"/>
          <w:snapToGrid/>
          <w:sz w:val="24"/>
          <w:szCs w:val="22"/>
        </w:rPr>
        <w:t xml:space="preserve">The ESC considered that </w:t>
      </w:r>
      <w:r w:rsidR="00F8734F" w:rsidRPr="00F10C3A">
        <w:rPr>
          <w:rFonts w:ascii="Calibri" w:eastAsia="Calibri" w:hAnsi="Calibri"/>
          <w:snapToGrid/>
          <w:sz w:val="24"/>
          <w:szCs w:val="22"/>
        </w:rPr>
        <w:t xml:space="preserve">the submission’s </w:t>
      </w:r>
      <w:r w:rsidR="003C5AC7" w:rsidRPr="00F10C3A">
        <w:rPr>
          <w:rFonts w:ascii="Calibri" w:eastAsia="Calibri" w:hAnsi="Calibri"/>
          <w:snapToGrid/>
          <w:sz w:val="24"/>
          <w:szCs w:val="22"/>
        </w:rPr>
        <w:t xml:space="preserve">claim of non-inferiority was not adequately supported by the evidence presented in the submission, particularly given that </w:t>
      </w:r>
      <w:r w:rsidR="00F53B2C" w:rsidRPr="00F10C3A">
        <w:rPr>
          <w:rFonts w:ascii="Calibri" w:eastAsia="Calibri" w:hAnsi="Calibri"/>
          <w:snapToGrid/>
          <w:sz w:val="24"/>
          <w:szCs w:val="22"/>
        </w:rPr>
        <w:t>the upper limit of the 95%</w:t>
      </w:r>
      <w:r w:rsidR="003C5AC7" w:rsidRPr="00F10C3A">
        <w:rPr>
          <w:rFonts w:ascii="Calibri" w:eastAsia="Calibri" w:hAnsi="Calibri"/>
          <w:snapToGrid/>
          <w:sz w:val="24"/>
          <w:szCs w:val="22"/>
        </w:rPr>
        <w:t xml:space="preserve"> </w:t>
      </w:r>
      <w:r w:rsidR="00F53B2C" w:rsidRPr="00F10C3A">
        <w:rPr>
          <w:rFonts w:ascii="Calibri" w:eastAsia="Calibri" w:hAnsi="Calibri"/>
          <w:snapToGrid/>
          <w:sz w:val="24"/>
          <w:szCs w:val="22"/>
        </w:rPr>
        <w:t xml:space="preserve">CI only just crosses unity. </w:t>
      </w:r>
    </w:p>
    <w:p w:rsidR="000E2007" w:rsidRPr="00F10C3A" w:rsidRDefault="000E2007" w:rsidP="00062B8C">
      <w:pPr>
        <w:pStyle w:val="PBACHeading1"/>
        <w:numPr>
          <w:ilvl w:val="0"/>
          <w:numId w:val="0"/>
        </w:numPr>
        <w:rPr>
          <w:rFonts w:eastAsia="Calibri"/>
          <w:snapToGrid/>
        </w:rPr>
      </w:pPr>
    </w:p>
    <w:p w:rsidR="00346DFC" w:rsidRPr="00F10C3A" w:rsidRDefault="00AC7E0B" w:rsidP="007E3BC0">
      <w:pPr>
        <w:widowControl/>
        <w:numPr>
          <w:ilvl w:val="1"/>
          <w:numId w:val="3"/>
        </w:numPr>
        <w:rPr>
          <w:rFonts w:asciiTheme="minorHAnsi" w:eastAsia="Calibri" w:hAnsiTheme="minorHAnsi"/>
          <w:snapToGrid/>
          <w:sz w:val="24"/>
          <w:szCs w:val="24"/>
        </w:rPr>
      </w:pPr>
      <w:r w:rsidRPr="00F10C3A">
        <w:rPr>
          <w:rFonts w:ascii="Calibri" w:eastAsia="Calibri" w:hAnsi="Calibri"/>
          <w:snapToGrid/>
          <w:sz w:val="24"/>
          <w:szCs w:val="22"/>
        </w:rPr>
        <w:t xml:space="preserve">The submission presented data on patient adherence to nicotine </w:t>
      </w:r>
      <w:r w:rsidR="00544BC7" w:rsidRPr="00F10C3A">
        <w:rPr>
          <w:rFonts w:ascii="Calibri" w:eastAsia="Calibri" w:hAnsi="Calibri"/>
          <w:snapToGrid/>
          <w:sz w:val="24"/>
          <w:szCs w:val="22"/>
        </w:rPr>
        <w:t>gum and patches</w:t>
      </w:r>
      <w:r w:rsidRPr="00F10C3A">
        <w:rPr>
          <w:rFonts w:ascii="Calibri" w:eastAsia="Calibri" w:hAnsi="Calibri"/>
          <w:snapToGrid/>
          <w:sz w:val="24"/>
          <w:szCs w:val="22"/>
        </w:rPr>
        <w:t>.</w:t>
      </w:r>
      <w:r w:rsidR="000F0FB2" w:rsidRPr="00F10C3A">
        <w:rPr>
          <w:rFonts w:ascii="Calibri" w:eastAsia="Calibri" w:hAnsi="Calibri"/>
          <w:snapToGrid/>
          <w:sz w:val="24"/>
          <w:szCs w:val="22"/>
        </w:rPr>
        <w:t xml:space="preserve"> </w:t>
      </w:r>
      <w:r w:rsidR="00EB1659" w:rsidRPr="00F10C3A">
        <w:rPr>
          <w:rFonts w:ascii="Calibri" w:eastAsia="Calibri" w:hAnsi="Calibri"/>
          <w:snapToGrid/>
          <w:sz w:val="24"/>
          <w:szCs w:val="22"/>
        </w:rPr>
        <w:t>T</w:t>
      </w:r>
      <w:r w:rsidR="00346DFC" w:rsidRPr="00F10C3A">
        <w:rPr>
          <w:rFonts w:ascii="Calibri" w:eastAsia="Calibri" w:hAnsi="Calibri"/>
          <w:snapToGrid/>
          <w:sz w:val="24"/>
          <w:szCs w:val="22"/>
        </w:rPr>
        <w:t xml:space="preserve">he mean number of pieces of gum used per day in Garvey (2000), </w:t>
      </w:r>
      <w:proofErr w:type="spellStart"/>
      <w:r w:rsidR="00346DFC" w:rsidRPr="00F10C3A">
        <w:rPr>
          <w:rFonts w:ascii="Calibri" w:eastAsia="Calibri" w:hAnsi="Calibri"/>
          <w:snapToGrid/>
          <w:sz w:val="24"/>
          <w:szCs w:val="22"/>
        </w:rPr>
        <w:t>Harackiewicz</w:t>
      </w:r>
      <w:proofErr w:type="spellEnd"/>
      <w:r w:rsidR="00346DFC" w:rsidRPr="00F10C3A">
        <w:rPr>
          <w:rFonts w:ascii="Calibri" w:eastAsia="Calibri" w:hAnsi="Calibri"/>
          <w:snapToGrid/>
          <w:sz w:val="24"/>
          <w:szCs w:val="22"/>
        </w:rPr>
        <w:t xml:space="preserve"> (1988) and J</w:t>
      </w:r>
      <w:r w:rsidR="00712344" w:rsidRPr="00F10C3A">
        <w:rPr>
          <w:rFonts w:ascii="Calibri" w:eastAsia="Calibri" w:hAnsi="Calibri"/>
          <w:snapToGrid/>
          <w:sz w:val="24"/>
          <w:szCs w:val="22"/>
        </w:rPr>
        <w:t xml:space="preserve">arvis (1982) was used to estimate patient adherence to nicotine gum. </w:t>
      </w:r>
      <w:r w:rsidR="00BC26D7" w:rsidRPr="00F10C3A">
        <w:rPr>
          <w:rFonts w:ascii="Calibri" w:eastAsia="Calibri" w:hAnsi="Calibri"/>
          <w:snapToGrid/>
          <w:sz w:val="24"/>
          <w:szCs w:val="22"/>
        </w:rPr>
        <w:t xml:space="preserve">The ESC noted that the submission did not provide a rationale for presenting data from these three specific trials, over others. </w:t>
      </w:r>
      <w:r w:rsidRPr="00F10C3A">
        <w:rPr>
          <w:rFonts w:ascii="Calibri" w:eastAsia="Calibri" w:hAnsi="Calibri"/>
          <w:snapToGrid/>
          <w:sz w:val="24"/>
          <w:szCs w:val="22"/>
        </w:rPr>
        <w:t>Briefly, the submission estimated that, in a 12-week period, individuals would</w:t>
      </w:r>
      <w:r w:rsidR="00346DFC" w:rsidRPr="00F10C3A">
        <w:rPr>
          <w:rFonts w:ascii="Calibri" w:eastAsia="Calibri" w:hAnsi="Calibri"/>
          <w:snapToGrid/>
          <w:sz w:val="24"/>
          <w:szCs w:val="22"/>
        </w:rPr>
        <w:t xml:space="preserve"> </w:t>
      </w:r>
      <w:r w:rsidR="00B4666C">
        <w:rPr>
          <w:rFonts w:ascii="Calibri" w:eastAsia="Calibri" w:hAnsi="Calibri"/>
          <w:snapToGrid/>
          <w:sz w:val="24"/>
          <w:szCs w:val="22"/>
        </w:rPr>
        <w:t xml:space="preserve">initially </w:t>
      </w:r>
      <w:r w:rsidR="00346DFC" w:rsidRPr="00F10C3A">
        <w:rPr>
          <w:rFonts w:ascii="Calibri" w:eastAsia="Calibri" w:hAnsi="Calibri"/>
          <w:snapToGrid/>
          <w:sz w:val="24"/>
          <w:szCs w:val="22"/>
        </w:rPr>
        <w:t>consume</w:t>
      </w:r>
      <w:r w:rsidR="00544BC7" w:rsidRPr="00F10C3A">
        <w:rPr>
          <w:rFonts w:asciiTheme="minorHAnsi" w:eastAsia="Calibri" w:hAnsiTheme="minorHAnsi"/>
          <w:snapToGrid/>
          <w:sz w:val="24"/>
          <w:szCs w:val="24"/>
        </w:rPr>
        <w:t xml:space="preserve"> approximately</w:t>
      </w:r>
      <w:r w:rsidRPr="00F10C3A">
        <w:rPr>
          <w:rFonts w:asciiTheme="minorHAnsi" w:eastAsia="Calibri" w:hAnsiTheme="minorHAnsi"/>
          <w:snapToGrid/>
          <w:sz w:val="24"/>
          <w:szCs w:val="24"/>
        </w:rPr>
        <w:t xml:space="preserve"> 7 pieces/day of nicotine gum, decreasing to 4-5 pieces/day until week 12</w:t>
      </w:r>
      <w:r w:rsidR="00346DFC" w:rsidRPr="00F10C3A">
        <w:rPr>
          <w:rFonts w:asciiTheme="minorHAnsi" w:eastAsia="Calibri" w:hAnsiTheme="minorHAnsi"/>
          <w:snapToGrid/>
          <w:sz w:val="24"/>
          <w:szCs w:val="24"/>
        </w:rPr>
        <w:t xml:space="preserve">. </w:t>
      </w:r>
      <w:r w:rsidR="00544BC7" w:rsidRPr="00F10C3A">
        <w:rPr>
          <w:rFonts w:asciiTheme="minorHAnsi" w:eastAsia="Calibri" w:hAnsiTheme="minorHAnsi"/>
          <w:snapToGrid/>
          <w:sz w:val="24"/>
          <w:szCs w:val="24"/>
        </w:rPr>
        <w:t>The submission assumed a 100% compliance rate</w:t>
      </w:r>
      <w:r w:rsidR="00B4666C">
        <w:rPr>
          <w:rFonts w:asciiTheme="minorHAnsi" w:eastAsia="Calibri" w:hAnsiTheme="minorHAnsi"/>
          <w:snapToGrid/>
          <w:sz w:val="24"/>
          <w:szCs w:val="24"/>
        </w:rPr>
        <w:t xml:space="preserve"> for the patches</w:t>
      </w:r>
      <w:r w:rsidR="00544BC7" w:rsidRPr="00F10C3A">
        <w:rPr>
          <w:rFonts w:asciiTheme="minorHAnsi" w:eastAsia="Calibri" w:hAnsiTheme="minorHAnsi"/>
          <w:snapToGrid/>
          <w:sz w:val="24"/>
          <w:szCs w:val="24"/>
        </w:rPr>
        <w:t xml:space="preserve">, and that patients would use 84 patches over a 12-week treatment period. </w:t>
      </w:r>
    </w:p>
    <w:p w:rsidR="00346DFC" w:rsidRPr="00F10C3A" w:rsidRDefault="00346DFC" w:rsidP="000E2007">
      <w:pPr>
        <w:widowControl/>
        <w:rPr>
          <w:rFonts w:asciiTheme="minorHAnsi" w:eastAsia="Calibri" w:hAnsiTheme="minorHAnsi"/>
          <w:snapToGrid/>
          <w:sz w:val="24"/>
          <w:szCs w:val="24"/>
        </w:rPr>
      </w:pPr>
    </w:p>
    <w:p w:rsidR="00AC7E0B" w:rsidRPr="00F10C3A" w:rsidRDefault="00AC7E0B" w:rsidP="007E3BC0">
      <w:pPr>
        <w:widowControl/>
        <w:numPr>
          <w:ilvl w:val="1"/>
          <w:numId w:val="3"/>
        </w:numPr>
        <w:rPr>
          <w:rFonts w:asciiTheme="minorHAnsi" w:eastAsia="Calibri" w:hAnsiTheme="minorHAnsi"/>
          <w:snapToGrid/>
          <w:sz w:val="24"/>
          <w:szCs w:val="24"/>
        </w:rPr>
      </w:pPr>
      <w:r w:rsidRPr="00F10C3A">
        <w:rPr>
          <w:rFonts w:asciiTheme="minorHAnsi" w:eastAsia="Calibri" w:hAnsiTheme="minorHAnsi"/>
          <w:snapToGrid/>
          <w:sz w:val="24"/>
          <w:szCs w:val="24"/>
        </w:rPr>
        <w:t>Data informing patient adherence was used</w:t>
      </w:r>
      <w:r w:rsidR="00CE07EA" w:rsidRPr="00F10C3A">
        <w:rPr>
          <w:rFonts w:asciiTheme="minorHAnsi" w:eastAsia="Calibri" w:hAnsiTheme="minorHAnsi"/>
          <w:snapToGrid/>
          <w:sz w:val="24"/>
          <w:szCs w:val="24"/>
        </w:rPr>
        <w:t xml:space="preserve"> by the submission in the estimation of the </w:t>
      </w:r>
      <w:proofErr w:type="spellStart"/>
      <w:r w:rsidR="00CE07EA" w:rsidRPr="00F10C3A">
        <w:rPr>
          <w:rFonts w:asciiTheme="minorHAnsi" w:eastAsia="Calibri" w:hAnsiTheme="minorHAnsi"/>
          <w:snapToGrid/>
          <w:sz w:val="24"/>
          <w:szCs w:val="24"/>
        </w:rPr>
        <w:t>equi</w:t>
      </w:r>
      <w:proofErr w:type="spellEnd"/>
      <w:r w:rsidR="00CE07EA" w:rsidRPr="00F10C3A">
        <w:rPr>
          <w:rFonts w:asciiTheme="minorHAnsi" w:eastAsia="Calibri" w:hAnsiTheme="minorHAnsi"/>
          <w:snapToGrid/>
          <w:sz w:val="24"/>
          <w:szCs w:val="24"/>
        </w:rPr>
        <w:t xml:space="preserve">-effective </w:t>
      </w:r>
      <w:r w:rsidR="00544BC7" w:rsidRPr="00F10C3A">
        <w:rPr>
          <w:rFonts w:asciiTheme="minorHAnsi" w:eastAsia="Calibri" w:hAnsiTheme="minorHAnsi"/>
          <w:snapToGrid/>
          <w:sz w:val="24"/>
          <w:szCs w:val="24"/>
        </w:rPr>
        <w:t>dose for nicotine</w:t>
      </w:r>
      <w:r w:rsidR="00CE07EA" w:rsidRPr="00F10C3A">
        <w:rPr>
          <w:rFonts w:asciiTheme="minorHAnsi" w:eastAsia="Calibri" w:hAnsiTheme="minorHAnsi"/>
          <w:snapToGrid/>
          <w:sz w:val="24"/>
          <w:szCs w:val="24"/>
        </w:rPr>
        <w:t xml:space="preserve"> gum in the cost-minimisation analysis</w:t>
      </w:r>
      <w:r w:rsidR="000F0FB2" w:rsidRPr="00F10C3A">
        <w:rPr>
          <w:rFonts w:asciiTheme="minorHAnsi" w:eastAsia="Calibri" w:hAnsiTheme="minorHAnsi"/>
          <w:snapToGrid/>
          <w:sz w:val="24"/>
          <w:szCs w:val="24"/>
        </w:rPr>
        <w:t xml:space="preserve"> </w:t>
      </w:r>
      <w:r w:rsidR="00CE07EA" w:rsidRPr="00F10C3A">
        <w:rPr>
          <w:rFonts w:asciiTheme="minorHAnsi" w:eastAsia="Calibri" w:hAnsiTheme="minorHAnsi"/>
          <w:snapToGrid/>
          <w:sz w:val="24"/>
          <w:szCs w:val="24"/>
        </w:rPr>
        <w:t xml:space="preserve">(see </w:t>
      </w:r>
      <w:r w:rsidR="0093598F" w:rsidRPr="00F10C3A">
        <w:rPr>
          <w:rFonts w:asciiTheme="minorHAnsi" w:eastAsia="Calibri" w:hAnsiTheme="minorHAnsi"/>
          <w:snapToGrid/>
          <w:sz w:val="24"/>
          <w:szCs w:val="24"/>
        </w:rPr>
        <w:t>6.4</w:t>
      </w:r>
      <w:r w:rsidR="009006F5" w:rsidRPr="00F10C3A">
        <w:rPr>
          <w:rFonts w:asciiTheme="minorHAnsi" w:eastAsia="Calibri" w:hAnsiTheme="minorHAnsi"/>
          <w:snapToGrid/>
          <w:sz w:val="24"/>
          <w:szCs w:val="24"/>
        </w:rPr>
        <w:t>2</w:t>
      </w:r>
      <w:r w:rsidR="00544BC7" w:rsidRPr="00F10C3A">
        <w:rPr>
          <w:rFonts w:asciiTheme="minorHAnsi" w:eastAsia="Calibri" w:hAnsiTheme="minorHAnsi"/>
          <w:snapToGrid/>
          <w:sz w:val="24"/>
          <w:szCs w:val="24"/>
        </w:rPr>
        <w:t xml:space="preserve"> </w:t>
      </w:r>
      <w:r w:rsidR="00CE07EA" w:rsidRPr="00F10C3A">
        <w:rPr>
          <w:rFonts w:asciiTheme="minorHAnsi" w:eastAsia="Calibri" w:hAnsiTheme="minorHAnsi"/>
          <w:snapToGrid/>
          <w:sz w:val="24"/>
          <w:szCs w:val="24"/>
        </w:rPr>
        <w:t>below).</w:t>
      </w:r>
      <w:r w:rsidR="00CE07EA" w:rsidRPr="00F10C3A">
        <w:t xml:space="preserve"> </w:t>
      </w:r>
      <w:r w:rsidR="00CE07EA" w:rsidRPr="00F10C3A">
        <w:rPr>
          <w:rFonts w:asciiTheme="minorHAnsi" w:eastAsia="Calibri" w:hAnsiTheme="minorHAnsi"/>
          <w:snapToGrid/>
          <w:sz w:val="24"/>
          <w:szCs w:val="24"/>
        </w:rPr>
        <w:t xml:space="preserve">It was noted during the evaluation that there is considerable uncertainty and variation in the number of </w:t>
      </w:r>
      <w:r w:rsidR="00BE2B41" w:rsidRPr="00F10C3A">
        <w:rPr>
          <w:rFonts w:asciiTheme="minorHAnsi" w:eastAsia="Calibri" w:hAnsiTheme="minorHAnsi"/>
          <w:snapToGrid/>
          <w:sz w:val="24"/>
          <w:szCs w:val="24"/>
        </w:rPr>
        <w:t xml:space="preserve">pieces </w:t>
      </w:r>
      <w:r w:rsidR="00CE07EA" w:rsidRPr="00F10C3A">
        <w:rPr>
          <w:rFonts w:asciiTheme="minorHAnsi" w:eastAsia="Calibri" w:hAnsiTheme="minorHAnsi"/>
          <w:snapToGrid/>
          <w:sz w:val="24"/>
          <w:szCs w:val="24"/>
        </w:rPr>
        <w:t xml:space="preserve">gum administered </w:t>
      </w:r>
      <w:r w:rsidR="00B4666C">
        <w:rPr>
          <w:rFonts w:asciiTheme="minorHAnsi" w:eastAsia="Calibri" w:hAnsiTheme="minorHAnsi"/>
          <w:snapToGrid/>
          <w:sz w:val="24"/>
          <w:szCs w:val="24"/>
        </w:rPr>
        <w:t>across</w:t>
      </w:r>
      <w:r w:rsidR="00B4666C" w:rsidRPr="00F10C3A">
        <w:rPr>
          <w:rFonts w:asciiTheme="minorHAnsi" w:eastAsia="Calibri" w:hAnsiTheme="minorHAnsi"/>
          <w:snapToGrid/>
          <w:sz w:val="24"/>
          <w:szCs w:val="24"/>
        </w:rPr>
        <w:t xml:space="preserve"> </w:t>
      </w:r>
      <w:r w:rsidR="00CE07EA" w:rsidRPr="00F10C3A">
        <w:rPr>
          <w:rFonts w:asciiTheme="minorHAnsi" w:eastAsia="Calibri" w:hAnsiTheme="minorHAnsi"/>
          <w:snapToGrid/>
          <w:sz w:val="24"/>
          <w:szCs w:val="24"/>
        </w:rPr>
        <w:t xml:space="preserve">each trial. </w:t>
      </w:r>
    </w:p>
    <w:p w:rsidR="00606B13" w:rsidRPr="00F10C3A" w:rsidRDefault="0045698A" w:rsidP="003F1965">
      <w:pPr>
        <w:pStyle w:val="V50Heading2nonumbers"/>
        <w:rPr>
          <w:i w:val="0"/>
        </w:rPr>
      </w:pPr>
      <w:bookmarkStart w:id="26" w:name="_Toc413139279"/>
      <w:bookmarkStart w:id="27" w:name="_Toc476306889"/>
      <w:bookmarkStart w:id="28" w:name="_Toc482710293"/>
      <w:r w:rsidRPr="00F10C3A">
        <w:rPr>
          <w:i w:val="0"/>
        </w:rPr>
        <w:t>Comparative harms</w:t>
      </w:r>
      <w:bookmarkEnd w:id="26"/>
      <w:bookmarkEnd w:id="27"/>
      <w:bookmarkEnd w:id="28"/>
      <w:r w:rsidR="00544BC7" w:rsidRPr="00F10C3A">
        <w:rPr>
          <w:i w:val="0"/>
        </w:rPr>
        <w:t xml:space="preserve"> </w:t>
      </w:r>
    </w:p>
    <w:p w:rsidR="00544BC7" w:rsidRPr="00F10C3A" w:rsidRDefault="00544BC7" w:rsidP="007E3BC0">
      <w:pPr>
        <w:widowControl/>
        <w:numPr>
          <w:ilvl w:val="1"/>
          <w:numId w:val="3"/>
        </w:numPr>
        <w:rPr>
          <w:rFonts w:ascii="Calibri" w:eastAsia="Calibri" w:hAnsi="Calibri"/>
          <w:snapToGrid/>
          <w:color w:val="000000" w:themeColor="text1"/>
          <w:sz w:val="24"/>
          <w:szCs w:val="22"/>
        </w:rPr>
      </w:pPr>
      <w:r w:rsidRPr="00F10C3A">
        <w:rPr>
          <w:rFonts w:ascii="Calibri" w:eastAsia="Calibri" w:hAnsi="Calibri"/>
          <w:snapToGrid/>
          <w:color w:val="000000" w:themeColor="text1"/>
          <w:sz w:val="24"/>
          <w:szCs w:val="22"/>
        </w:rPr>
        <w:t xml:space="preserve">The key safety concerns for nicotine lozenges compared with patches included nausea or vomiting, oral reactions and hiccups. Key safety concerns for nicotine gum compared with patches included hiccups and oral reactions; after excluding </w:t>
      </w:r>
      <w:proofErr w:type="spellStart"/>
      <w:r w:rsidRPr="00F10C3A">
        <w:rPr>
          <w:rFonts w:ascii="Calibri" w:eastAsia="Calibri" w:hAnsi="Calibri"/>
          <w:snapToGrid/>
          <w:color w:val="000000" w:themeColor="text1"/>
          <w:sz w:val="24"/>
          <w:szCs w:val="22"/>
        </w:rPr>
        <w:t>Moolchan</w:t>
      </w:r>
      <w:proofErr w:type="spellEnd"/>
      <w:r w:rsidRPr="00F10C3A">
        <w:rPr>
          <w:rFonts w:ascii="Calibri" w:eastAsia="Calibri" w:hAnsi="Calibri"/>
          <w:snapToGrid/>
          <w:color w:val="000000" w:themeColor="text1"/>
          <w:sz w:val="24"/>
          <w:szCs w:val="22"/>
        </w:rPr>
        <w:t xml:space="preserve"> (2005) from the indirect safety comparison, patients using nicotine gum were at a greater risk of oral reaction. </w:t>
      </w:r>
    </w:p>
    <w:p w:rsidR="000E2007" w:rsidRPr="00F10C3A" w:rsidRDefault="000E2007" w:rsidP="000E2007">
      <w:pPr>
        <w:pStyle w:val="PBACHeading1"/>
        <w:numPr>
          <w:ilvl w:val="0"/>
          <w:numId w:val="0"/>
        </w:numPr>
        <w:ind w:left="720" w:hanging="720"/>
        <w:rPr>
          <w:rFonts w:eastAsia="Calibri"/>
          <w:snapToGrid/>
        </w:rPr>
      </w:pPr>
    </w:p>
    <w:p w:rsidR="00060D2D" w:rsidRPr="00F10C3A" w:rsidRDefault="00060D2D" w:rsidP="007E3BC0">
      <w:pPr>
        <w:widowControl/>
        <w:numPr>
          <w:ilvl w:val="1"/>
          <w:numId w:val="3"/>
        </w:numPr>
        <w:rPr>
          <w:rFonts w:ascii="Calibri" w:eastAsia="Calibri" w:hAnsi="Calibri"/>
          <w:snapToGrid/>
          <w:color w:val="000000" w:themeColor="text1"/>
          <w:sz w:val="24"/>
          <w:szCs w:val="22"/>
        </w:rPr>
      </w:pPr>
      <w:r w:rsidRPr="00F10C3A">
        <w:rPr>
          <w:rFonts w:ascii="Calibri" w:eastAsia="Calibri" w:hAnsi="Calibri"/>
          <w:snapToGrid/>
          <w:color w:val="000000" w:themeColor="text1"/>
          <w:sz w:val="24"/>
          <w:szCs w:val="22"/>
        </w:rPr>
        <w:t xml:space="preserve">The </w:t>
      </w:r>
      <w:r w:rsidR="006D1E18" w:rsidRPr="00F10C3A">
        <w:rPr>
          <w:rFonts w:ascii="Calibri" w:eastAsia="Calibri" w:hAnsi="Calibri"/>
          <w:snapToGrid/>
          <w:color w:val="000000" w:themeColor="text1"/>
          <w:sz w:val="24"/>
          <w:szCs w:val="22"/>
        </w:rPr>
        <w:t xml:space="preserve">exclusion of </w:t>
      </w:r>
      <w:proofErr w:type="spellStart"/>
      <w:r w:rsidR="006D1E18" w:rsidRPr="00F10C3A">
        <w:rPr>
          <w:rFonts w:ascii="Calibri" w:eastAsia="Calibri" w:hAnsi="Calibri"/>
          <w:snapToGrid/>
          <w:color w:val="000000" w:themeColor="text1"/>
          <w:sz w:val="24"/>
          <w:szCs w:val="22"/>
        </w:rPr>
        <w:t>Moolchan</w:t>
      </w:r>
      <w:proofErr w:type="spellEnd"/>
      <w:r w:rsidR="006D1E18" w:rsidRPr="00F10C3A">
        <w:rPr>
          <w:rFonts w:ascii="Calibri" w:eastAsia="Calibri" w:hAnsi="Calibri"/>
          <w:snapToGrid/>
          <w:color w:val="000000" w:themeColor="text1"/>
          <w:sz w:val="24"/>
          <w:szCs w:val="22"/>
        </w:rPr>
        <w:t xml:space="preserve"> (2005) in the sensitivity analysis of the indirect comparison was reasonable, as participants</w:t>
      </w:r>
      <w:r w:rsidR="00A245DD" w:rsidRPr="00F10C3A">
        <w:rPr>
          <w:rFonts w:ascii="Calibri" w:eastAsia="Calibri" w:hAnsi="Calibri"/>
          <w:snapToGrid/>
          <w:color w:val="000000" w:themeColor="text1"/>
          <w:sz w:val="24"/>
          <w:szCs w:val="22"/>
        </w:rPr>
        <w:t xml:space="preserve"> in the trial</w:t>
      </w:r>
      <w:r w:rsidR="006D1E18" w:rsidRPr="00F10C3A">
        <w:rPr>
          <w:rFonts w:ascii="Calibri" w:eastAsia="Calibri" w:hAnsi="Calibri"/>
          <w:snapToGrid/>
          <w:color w:val="000000" w:themeColor="text1"/>
          <w:sz w:val="24"/>
          <w:szCs w:val="22"/>
        </w:rPr>
        <w:t xml:space="preserve"> we</w:t>
      </w:r>
      <w:r w:rsidR="005F23AA" w:rsidRPr="00F10C3A">
        <w:rPr>
          <w:rFonts w:ascii="Calibri" w:eastAsia="Calibri" w:hAnsi="Calibri"/>
          <w:snapToGrid/>
          <w:color w:val="000000" w:themeColor="text1"/>
          <w:sz w:val="24"/>
          <w:szCs w:val="22"/>
        </w:rPr>
        <w:t xml:space="preserve">re randomised to receive </w:t>
      </w:r>
      <w:proofErr w:type="gramStart"/>
      <w:r w:rsidR="005F23AA" w:rsidRPr="00F10C3A">
        <w:rPr>
          <w:rFonts w:ascii="Calibri" w:eastAsia="Calibri" w:hAnsi="Calibri"/>
          <w:snapToGrid/>
          <w:color w:val="000000" w:themeColor="text1"/>
          <w:sz w:val="24"/>
          <w:szCs w:val="22"/>
        </w:rPr>
        <w:t xml:space="preserve">either </w:t>
      </w:r>
      <w:r w:rsidR="006D1E18" w:rsidRPr="00F10C3A">
        <w:rPr>
          <w:rFonts w:ascii="Calibri" w:eastAsia="Calibri" w:hAnsi="Calibri"/>
          <w:snapToGrid/>
          <w:color w:val="000000" w:themeColor="text1"/>
          <w:sz w:val="24"/>
          <w:szCs w:val="22"/>
        </w:rPr>
        <w:t>nicotine</w:t>
      </w:r>
      <w:proofErr w:type="gramEnd"/>
      <w:r w:rsidR="006D1E18" w:rsidRPr="00F10C3A">
        <w:rPr>
          <w:rFonts w:ascii="Calibri" w:eastAsia="Calibri" w:hAnsi="Calibri"/>
          <w:snapToGrid/>
          <w:color w:val="000000" w:themeColor="text1"/>
          <w:sz w:val="24"/>
          <w:szCs w:val="22"/>
        </w:rPr>
        <w:t xml:space="preserve"> gum or patches rather than control</w:t>
      </w:r>
      <w:r w:rsidR="00A245DD" w:rsidRPr="00F10C3A">
        <w:rPr>
          <w:rFonts w:ascii="Calibri" w:eastAsia="Calibri" w:hAnsi="Calibri"/>
          <w:snapToGrid/>
          <w:color w:val="000000" w:themeColor="text1"/>
          <w:sz w:val="24"/>
          <w:szCs w:val="22"/>
        </w:rPr>
        <w:t xml:space="preserve">. The safety comparisons performed by the submission aligned with the current </w:t>
      </w:r>
      <w:r w:rsidR="00F02A2B" w:rsidRPr="00F10C3A">
        <w:rPr>
          <w:rFonts w:ascii="Calibri" w:eastAsia="Calibri" w:hAnsi="Calibri"/>
          <w:snapToGrid/>
          <w:color w:val="000000" w:themeColor="text1"/>
          <w:sz w:val="24"/>
          <w:szCs w:val="22"/>
        </w:rPr>
        <w:t xml:space="preserve">Product </w:t>
      </w:r>
      <w:r w:rsidR="00A245DD" w:rsidRPr="00F10C3A">
        <w:rPr>
          <w:rFonts w:ascii="Calibri" w:eastAsia="Calibri" w:hAnsi="Calibri"/>
          <w:snapToGrid/>
          <w:color w:val="000000" w:themeColor="text1"/>
          <w:sz w:val="24"/>
          <w:szCs w:val="22"/>
        </w:rPr>
        <w:t>I</w:t>
      </w:r>
      <w:r w:rsidR="00F02A2B" w:rsidRPr="00F10C3A">
        <w:rPr>
          <w:rFonts w:ascii="Calibri" w:eastAsia="Calibri" w:hAnsi="Calibri"/>
          <w:snapToGrid/>
          <w:color w:val="000000" w:themeColor="text1"/>
          <w:sz w:val="24"/>
          <w:szCs w:val="22"/>
        </w:rPr>
        <w:t>nformation</w:t>
      </w:r>
      <w:r w:rsidR="00A245DD" w:rsidRPr="00F10C3A">
        <w:rPr>
          <w:rFonts w:ascii="Calibri" w:eastAsia="Calibri" w:hAnsi="Calibri"/>
          <w:snapToGrid/>
          <w:color w:val="000000" w:themeColor="text1"/>
          <w:sz w:val="24"/>
          <w:szCs w:val="22"/>
        </w:rPr>
        <w:t xml:space="preserve"> for nicotine gum and nicotine lozenges.</w:t>
      </w:r>
    </w:p>
    <w:p w:rsidR="00606B13" w:rsidRPr="00F10C3A" w:rsidRDefault="0045698A" w:rsidP="003F1965">
      <w:pPr>
        <w:pStyle w:val="V50Heading2nonumbers"/>
        <w:rPr>
          <w:i w:val="0"/>
        </w:rPr>
      </w:pPr>
      <w:bookmarkStart w:id="29" w:name="_Toc476306890"/>
      <w:bookmarkStart w:id="30" w:name="_Toc482710294"/>
      <w:bookmarkStart w:id="31" w:name="_Toc413139281"/>
      <w:r w:rsidRPr="00F10C3A">
        <w:rPr>
          <w:i w:val="0"/>
        </w:rPr>
        <w:t>Benefits and harms</w:t>
      </w:r>
      <w:bookmarkEnd w:id="29"/>
      <w:bookmarkEnd w:id="30"/>
    </w:p>
    <w:p w:rsidR="0045698A" w:rsidRPr="00504102" w:rsidRDefault="00544BC7" w:rsidP="00504102">
      <w:pPr>
        <w:widowControl/>
        <w:rPr>
          <w:rFonts w:asciiTheme="minorHAnsi" w:eastAsia="Calibri" w:hAnsiTheme="minorHAnsi"/>
          <w:snapToGrid/>
          <w:sz w:val="24"/>
          <w:szCs w:val="24"/>
          <w:u w:val="single"/>
        </w:rPr>
      </w:pPr>
      <w:bookmarkStart w:id="32" w:name="_Toc482710295"/>
      <w:r w:rsidRPr="00504102">
        <w:rPr>
          <w:rFonts w:asciiTheme="minorHAnsi" w:eastAsia="Calibri" w:hAnsiTheme="minorHAnsi"/>
          <w:snapToGrid/>
          <w:sz w:val="24"/>
          <w:szCs w:val="24"/>
          <w:u w:val="single"/>
        </w:rPr>
        <w:t>Nicotine lozenges versus patches</w:t>
      </w:r>
      <w:bookmarkEnd w:id="32"/>
    </w:p>
    <w:p w:rsidR="0045698A" w:rsidRPr="00F10C3A" w:rsidRDefault="0045698A" w:rsidP="007E3BC0">
      <w:pPr>
        <w:widowControl/>
        <w:numPr>
          <w:ilvl w:val="1"/>
          <w:numId w:val="3"/>
        </w:numPr>
        <w:spacing w:before="120" w:after="120"/>
        <w:rPr>
          <w:rFonts w:ascii="Calibri" w:eastAsia="Calibri" w:hAnsi="Calibri"/>
          <w:snapToGrid/>
          <w:sz w:val="24"/>
          <w:szCs w:val="22"/>
        </w:rPr>
      </w:pPr>
      <w:r w:rsidRPr="00F10C3A">
        <w:rPr>
          <w:rFonts w:ascii="Calibri" w:eastAsia="Calibri" w:hAnsi="Calibri"/>
          <w:snapToGrid/>
          <w:sz w:val="24"/>
          <w:szCs w:val="22"/>
        </w:rPr>
        <w:t xml:space="preserve">A summary of the comparative benefits and harms for </w:t>
      </w:r>
      <w:r w:rsidR="00145BB4" w:rsidRPr="00F10C3A">
        <w:rPr>
          <w:rFonts w:ascii="Calibri" w:eastAsia="Calibri" w:hAnsi="Calibri"/>
          <w:snapToGrid/>
          <w:sz w:val="24"/>
          <w:szCs w:val="22"/>
        </w:rPr>
        <w:t>nicotine lozenges</w:t>
      </w:r>
      <w:r w:rsidRPr="00F10C3A">
        <w:rPr>
          <w:rFonts w:ascii="Calibri" w:eastAsia="Calibri" w:hAnsi="Calibri"/>
          <w:snapToGrid/>
          <w:sz w:val="24"/>
          <w:szCs w:val="22"/>
        </w:rPr>
        <w:t xml:space="preserve"> versus </w:t>
      </w:r>
      <w:r w:rsidR="00145BB4" w:rsidRPr="00F10C3A">
        <w:rPr>
          <w:rFonts w:ascii="Calibri" w:eastAsia="Calibri" w:hAnsi="Calibri"/>
          <w:snapToGrid/>
          <w:sz w:val="24"/>
          <w:szCs w:val="22"/>
        </w:rPr>
        <w:t>patches</w:t>
      </w:r>
      <w:r w:rsidRPr="00F10C3A">
        <w:rPr>
          <w:rFonts w:ascii="Calibri" w:eastAsia="Calibri" w:hAnsi="Calibri"/>
          <w:snapToGrid/>
          <w:sz w:val="24"/>
          <w:szCs w:val="22"/>
        </w:rPr>
        <w:t xml:space="preserve"> is presented in the table below. </w:t>
      </w:r>
    </w:p>
    <w:p w:rsidR="00151DDF" w:rsidRDefault="00151DDF">
      <w:pPr>
        <w:widowControl/>
        <w:jc w:val="left"/>
        <w:rPr>
          <w:rFonts w:ascii="Arial Narrow" w:eastAsia="Calibri" w:hAnsi="Arial Narrow"/>
          <w:b/>
          <w:snapToGrid/>
          <w:sz w:val="20"/>
          <w:szCs w:val="22"/>
        </w:rPr>
      </w:pPr>
      <w:r>
        <w:rPr>
          <w:rFonts w:ascii="Arial Narrow" w:eastAsia="Calibri" w:hAnsi="Arial Narrow"/>
          <w:b/>
          <w:snapToGrid/>
          <w:sz w:val="20"/>
          <w:szCs w:val="22"/>
        </w:rPr>
        <w:br w:type="page"/>
      </w:r>
    </w:p>
    <w:p w:rsidR="00960248" w:rsidRDefault="00960248" w:rsidP="00960248">
      <w:pPr>
        <w:pStyle w:val="Caption"/>
      </w:pPr>
      <w:r>
        <w:t xml:space="preserve">Table </w:t>
      </w:r>
      <w:r w:rsidR="00910E30">
        <w:rPr>
          <w:noProof/>
        </w:rPr>
        <w:t>8</w:t>
      </w:r>
      <w:r w:rsidRPr="0073658A">
        <w:t>: Summary of comparative benefits and harms for nicotine lozenges and nicotine patches</w:t>
      </w:r>
    </w:p>
    <w:tbl>
      <w:tblPr>
        <w:tblStyle w:val="TableGridbeth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comparative benefits and harms for nicotine lozenges and nicotine patches"/>
      </w:tblPr>
      <w:tblGrid>
        <w:gridCol w:w="1550"/>
        <w:gridCol w:w="1254"/>
        <w:gridCol w:w="1113"/>
        <w:gridCol w:w="1533"/>
        <w:gridCol w:w="1253"/>
        <w:gridCol w:w="837"/>
        <w:gridCol w:w="9"/>
        <w:gridCol w:w="1533"/>
      </w:tblGrid>
      <w:tr w:rsidR="0045698A" w:rsidRPr="00F10C3A" w:rsidTr="00604D19">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8"/>
            <w:shd w:val="clear" w:color="auto" w:fill="auto"/>
            <w:vAlign w:val="center"/>
          </w:tcPr>
          <w:p w:rsidR="0045698A" w:rsidRPr="00F10C3A" w:rsidRDefault="0045698A" w:rsidP="00310B78">
            <w:pPr>
              <w:keepNext/>
              <w:widowControl/>
              <w:jc w:val="left"/>
              <w:rPr>
                <w:rFonts w:ascii="Arial Narrow" w:hAnsi="Arial Narrow"/>
                <w:sz w:val="20"/>
              </w:rPr>
            </w:pPr>
            <w:r w:rsidRPr="00F10C3A">
              <w:rPr>
                <w:rFonts w:ascii="Arial Narrow" w:hAnsi="Arial Narrow"/>
                <w:sz w:val="20"/>
              </w:rPr>
              <w:t>Benefits</w:t>
            </w:r>
          </w:p>
        </w:tc>
      </w:tr>
      <w:tr w:rsidR="0045698A" w:rsidRPr="00F10C3A" w:rsidTr="00BE2B41">
        <w:trPr>
          <w:trHeight w:val="150"/>
        </w:trPr>
        <w:tc>
          <w:tcPr>
            <w:tcW w:w="5000" w:type="pct"/>
            <w:gridSpan w:val="8"/>
            <w:shd w:val="clear" w:color="auto" w:fill="auto"/>
            <w:vAlign w:val="center"/>
          </w:tcPr>
          <w:p w:rsidR="0045698A" w:rsidRPr="00F10C3A" w:rsidRDefault="005F459D" w:rsidP="00310B78">
            <w:pPr>
              <w:keepNext/>
              <w:widowControl/>
              <w:jc w:val="left"/>
              <w:rPr>
                <w:rFonts w:ascii="Arial Narrow" w:hAnsi="Arial Narrow"/>
                <w:b/>
                <w:sz w:val="20"/>
              </w:rPr>
            </w:pPr>
            <w:r w:rsidRPr="00F10C3A">
              <w:rPr>
                <w:rFonts w:ascii="Arial Narrow" w:hAnsi="Arial Narrow"/>
                <w:b/>
                <w:sz w:val="20"/>
              </w:rPr>
              <w:t>Sustained abstinence</w:t>
            </w:r>
          </w:p>
        </w:tc>
      </w:tr>
      <w:tr w:rsidR="0045698A" w:rsidRPr="00F10C3A" w:rsidTr="00BE2B41">
        <w:trPr>
          <w:trHeight w:val="150"/>
        </w:trPr>
        <w:tc>
          <w:tcPr>
            <w:tcW w:w="853" w:type="pct"/>
            <w:vMerge w:val="restart"/>
            <w:shd w:val="clear" w:color="auto" w:fill="auto"/>
            <w:vAlign w:val="center"/>
          </w:tcPr>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Trial</w:t>
            </w:r>
          </w:p>
        </w:tc>
        <w:tc>
          <w:tcPr>
            <w:tcW w:w="690" w:type="pct"/>
            <w:vMerge w:val="restart"/>
            <w:shd w:val="clear" w:color="auto" w:fill="auto"/>
            <w:vAlign w:val="center"/>
          </w:tcPr>
          <w:p w:rsidR="0045698A" w:rsidRPr="00F10C3A" w:rsidRDefault="007D2CF9" w:rsidP="00310B78">
            <w:pPr>
              <w:keepNext/>
              <w:widowControl/>
              <w:jc w:val="left"/>
              <w:rPr>
                <w:rFonts w:ascii="Arial Narrow" w:hAnsi="Arial Narrow"/>
                <w:b/>
                <w:sz w:val="20"/>
              </w:rPr>
            </w:pPr>
            <w:r w:rsidRPr="00F10C3A">
              <w:rPr>
                <w:rFonts w:ascii="Arial Narrow" w:hAnsi="Arial Narrow"/>
                <w:b/>
                <w:sz w:val="20"/>
              </w:rPr>
              <w:t xml:space="preserve">Nicotine </w:t>
            </w:r>
            <w:proofErr w:type="spellStart"/>
            <w:r w:rsidRPr="00F10C3A">
              <w:rPr>
                <w:rFonts w:ascii="Arial Narrow" w:hAnsi="Arial Narrow"/>
                <w:b/>
                <w:sz w:val="20"/>
              </w:rPr>
              <w:t>lozenge</w:t>
            </w:r>
            <w:r w:rsidR="00D64B4A" w:rsidRPr="00F10C3A">
              <w:rPr>
                <w:rFonts w:ascii="Arial Narrow" w:hAnsi="Arial Narrow"/>
                <w:b/>
                <w:sz w:val="20"/>
                <w:vertAlign w:val="superscript"/>
              </w:rPr>
              <w:t>b</w:t>
            </w:r>
            <w:proofErr w:type="spellEnd"/>
          </w:p>
          <w:p w:rsidR="0012016E" w:rsidRPr="00F10C3A" w:rsidRDefault="0012016E" w:rsidP="00310B78">
            <w:pPr>
              <w:keepNext/>
              <w:widowControl/>
              <w:jc w:val="left"/>
              <w:rPr>
                <w:rFonts w:ascii="Arial Narrow" w:hAnsi="Arial Narrow"/>
                <w:b/>
                <w:sz w:val="20"/>
              </w:rPr>
            </w:pPr>
            <w:proofErr w:type="gramStart"/>
            <w:r w:rsidRPr="00F10C3A">
              <w:rPr>
                <w:rFonts w:ascii="Arial Narrow" w:hAnsi="Arial Narrow"/>
                <w:b/>
                <w:sz w:val="20"/>
              </w:rPr>
              <w:t>n/N</w:t>
            </w:r>
            <w:proofErr w:type="gramEnd"/>
            <w:r w:rsidRPr="00F10C3A">
              <w:rPr>
                <w:rFonts w:ascii="Arial Narrow" w:hAnsi="Arial Narrow"/>
                <w:b/>
                <w:sz w:val="20"/>
              </w:rPr>
              <w:t xml:space="preserve"> (%)</w:t>
            </w:r>
          </w:p>
        </w:tc>
        <w:tc>
          <w:tcPr>
            <w:tcW w:w="613" w:type="pct"/>
            <w:vMerge w:val="restart"/>
            <w:shd w:val="clear" w:color="auto" w:fill="auto"/>
            <w:vAlign w:val="center"/>
          </w:tcPr>
          <w:p w:rsidR="0045698A" w:rsidRPr="00F10C3A" w:rsidRDefault="007D2CF9" w:rsidP="00310B78">
            <w:pPr>
              <w:keepNext/>
              <w:widowControl/>
              <w:jc w:val="left"/>
              <w:rPr>
                <w:rFonts w:ascii="Arial Narrow" w:hAnsi="Arial Narrow"/>
                <w:b/>
                <w:sz w:val="20"/>
              </w:rPr>
            </w:pPr>
            <w:r w:rsidRPr="00F10C3A">
              <w:rPr>
                <w:rFonts w:ascii="Arial Narrow" w:hAnsi="Arial Narrow"/>
                <w:b/>
                <w:sz w:val="20"/>
              </w:rPr>
              <w:t xml:space="preserve">Nicotine </w:t>
            </w:r>
            <w:proofErr w:type="spellStart"/>
            <w:r w:rsidRPr="00F10C3A">
              <w:rPr>
                <w:rFonts w:ascii="Arial Narrow" w:hAnsi="Arial Narrow"/>
                <w:b/>
                <w:sz w:val="20"/>
              </w:rPr>
              <w:t>patch</w:t>
            </w:r>
            <w:r w:rsidR="00D64B4A" w:rsidRPr="00F10C3A">
              <w:rPr>
                <w:rFonts w:ascii="Arial Narrow" w:hAnsi="Arial Narrow"/>
                <w:b/>
                <w:sz w:val="20"/>
                <w:vertAlign w:val="superscript"/>
              </w:rPr>
              <w:t>b</w:t>
            </w:r>
            <w:proofErr w:type="spellEnd"/>
          </w:p>
          <w:p w:rsidR="0012016E" w:rsidRPr="00F10C3A" w:rsidRDefault="0012016E" w:rsidP="00310B78">
            <w:pPr>
              <w:keepNext/>
              <w:widowControl/>
              <w:jc w:val="left"/>
              <w:rPr>
                <w:rFonts w:ascii="Arial Narrow" w:hAnsi="Arial Narrow"/>
                <w:b/>
                <w:sz w:val="20"/>
              </w:rPr>
            </w:pPr>
            <w:r w:rsidRPr="00F10C3A">
              <w:rPr>
                <w:rFonts w:ascii="Arial Narrow" w:hAnsi="Arial Narrow"/>
                <w:b/>
                <w:sz w:val="20"/>
              </w:rPr>
              <w:t>n/</w:t>
            </w:r>
            <w:proofErr w:type="gramStart"/>
            <w:r w:rsidRPr="00F10C3A">
              <w:rPr>
                <w:rFonts w:ascii="Arial Narrow" w:hAnsi="Arial Narrow"/>
                <w:b/>
                <w:sz w:val="20"/>
              </w:rPr>
              <w:t>N(</w:t>
            </w:r>
            <w:proofErr w:type="gramEnd"/>
            <w:r w:rsidRPr="00F10C3A">
              <w:rPr>
                <w:rFonts w:ascii="Arial Narrow" w:hAnsi="Arial Narrow"/>
                <w:b/>
                <w:sz w:val="20"/>
              </w:rPr>
              <w:t>%)</w:t>
            </w:r>
          </w:p>
        </w:tc>
        <w:tc>
          <w:tcPr>
            <w:tcW w:w="844" w:type="pct"/>
            <w:vMerge w:val="restart"/>
            <w:shd w:val="clear" w:color="auto" w:fill="auto"/>
            <w:vAlign w:val="center"/>
          </w:tcPr>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RR</w:t>
            </w:r>
          </w:p>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(95% CI)</w:t>
            </w:r>
          </w:p>
        </w:tc>
        <w:tc>
          <w:tcPr>
            <w:tcW w:w="1156" w:type="pct"/>
            <w:gridSpan w:val="3"/>
            <w:shd w:val="clear" w:color="auto" w:fill="auto"/>
            <w:vAlign w:val="center"/>
          </w:tcPr>
          <w:p w:rsidR="0045698A" w:rsidRPr="00F10C3A" w:rsidRDefault="00D42AB0" w:rsidP="00310B78">
            <w:pPr>
              <w:keepNext/>
              <w:widowControl/>
              <w:jc w:val="left"/>
              <w:rPr>
                <w:rFonts w:ascii="Arial Narrow" w:hAnsi="Arial Narrow"/>
                <w:b/>
                <w:sz w:val="20"/>
                <w:vertAlign w:val="superscript"/>
              </w:rPr>
            </w:pPr>
            <w:r w:rsidRPr="00F10C3A">
              <w:rPr>
                <w:rFonts w:ascii="Arial Narrow" w:hAnsi="Arial Narrow"/>
                <w:b/>
                <w:sz w:val="20"/>
              </w:rPr>
              <w:t xml:space="preserve">Events/100 </w:t>
            </w:r>
            <w:proofErr w:type="spellStart"/>
            <w:r w:rsidRPr="00F10C3A">
              <w:rPr>
                <w:rFonts w:ascii="Arial Narrow" w:hAnsi="Arial Narrow"/>
                <w:b/>
                <w:sz w:val="20"/>
              </w:rPr>
              <w:t>patients</w:t>
            </w:r>
            <w:r w:rsidRPr="00F10C3A">
              <w:rPr>
                <w:rFonts w:ascii="Arial Narrow" w:hAnsi="Arial Narrow"/>
                <w:b/>
                <w:sz w:val="20"/>
                <w:vertAlign w:val="superscript"/>
              </w:rPr>
              <w:t>a</w:t>
            </w:r>
            <w:proofErr w:type="spellEnd"/>
          </w:p>
        </w:tc>
        <w:tc>
          <w:tcPr>
            <w:tcW w:w="844" w:type="pct"/>
            <w:vMerge w:val="restart"/>
            <w:shd w:val="clear" w:color="auto" w:fill="auto"/>
            <w:vAlign w:val="center"/>
          </w:tcPr>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RD</w:t>
            </w:r>
          </w:p>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(95% CI)</w:t>
            </w:r>
          </w:p>
        </w:tc>
      </w:tr>
      <w:tr w:rsidR="0045698A" w:rsidRPr="00F10C3A" w:rsidTr="00BE2B41">
        <w:trPr>
          <w:trHeight w:val="315"/>
        </w:trPr>
        <w:tc>
          <w:tcPr>
            <w:tcW w:w="853"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90"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13"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844"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90" w:type="pct"/>
            <w:shd w:val="clear" w:color="auto" w:fill="auto"/>
            <w:vAlign w:val="center"/>
          </w:tcPr>
          <w:p w:rsidR="0045698A" w:rsidRPr="00F10C3A" w:rsidRDefault="007D2CF9" w:rsidP="00310B78">
            <w:pPr>
              <w:keepNext/>
              <w:widowControl/>
              <w:jc w:val="left"/>
              <w:rPr>
                <w:rFonts w:ascii="Arial Narrow" w:hAnsi="Arial Narrow"/>
                <w:b/>
                <w:sz w:val="20"/>
              </w:rPr>
            </w:pPr>
            <w:r w:rsidRPr="00F10C3A">
              <w:rPr>
                <w:rFonts w:ascii="Arial Narrow" w:hAnsi="Arial Narrow"/>
                <w:b/>
                <w:sz w:val="20"/>
              </w:rPr>
              <w:t>Nicotine lozenge</w:t>
            </w:r>
          </w:p>
        </w:tc>
        <w:tc>
          <w:tcPr>
            <w:tcW w:w="466" w:type="pct"/>
            <w:gridSpan w:val="2"/>
            <w:shd w:val="clear" w:color="auto" w:fill="auto"/>
            <w:vAlign w:val="center"/>
          </w:tcPr>
          <w:p w:rsidR="0045698A" w:rsidRPr="00F10C3A" w:rsidRDefault="007D2CF9" w:rsidP="00310B78">
            <w:pPr>
              <w:keepNext/>
              <w:widowControl/>
              <w:jc w:val="left"/>
              <w:rPr>
                <w:rFonts w:ascii="Arial Narrow" w:hAnsi="Arial Narrow"/>
                <w:b/>
                <w:sz w:val="20"/>
              </w:rPr>
            </w:pPr>
            <w:r w:rsidRPr="00F10C3A">
              <w:rPr>
                <w:rFonts w:ascii="Arial Narrow" w:hAnsi="Arial Narrow"/>
                <w:b/>
                <w:sz w:val="20"/>
              </w:rPr>
              <w:t>Nicotine Patch</w:t>
            </w:r>
          </w:p>
        </w:tc>
        <w:tc>
          <w:tcPr>
            <w:tcW w:w="844" w:type="pct"/>
            <w:vMerge/>
            <w:shd w:val="clear" w:color="auto" w:fill="auto"/>
            <w:vAlign w:val="center"/>
          </w:tcPr>
          <w:p w:rsidR="0045698A" w:rsidRPr="00F10C3A" w:rsidRDefault="0045698A" w:rsidP="00310B78">
            <w:pPr>
              <w:keepNext/>
              <w:widowControl/>
              <w:jc w:val="left"/>
              <w:rPr>
                <w:rFonts w:ascii="Arial Narrow" w:hAnsi="Arial Narrow"/>
                <w:b/>
                <w:sz w:val="20"/>
              </w:rPr>
            </w:pPr>
          </w:p>
        </w:tc>
      </w:tr>
      <w:tr w:rsidR="007D2CF9" w:rsidRPr="00F10C3A" w:rsidTr="00BE2B41">
        <w:tc>
          <w:tcPr>
            <w:tcW w:w="5000" w:type="pct"/>
            <w:gridSpan w:val="8"/>
            <w:shd w:val="clear" w:color="auto" w:fill="auto"/>
            <w:vAlign w:val="center"/>
          </w:tcPr>
          <w:p w:rsidR="007D2CF9" w:rsidRPr="00F10C3A" w:rsidRDefault="008A2A2C" w:rsidP="00310B78">
            <w:pPr>
              <w:pStyle w:val="Tabletext"/>
              <w:rPr>
                <w:b/>
              </w:rPr>
            </w:pPr>
            <w:r w:rsidRPr="00F10C3A">
              <w:rPr>
                <w:b/>
              </w:rPr>
              <w:t>Meta-analysis</w:t>
            </w:r>
          </w:p>
        </w:tc>
      </w:tr>
      <w:tr w:rsidR="008A2A2C" w:rsidRPr="00F10C3A" w:rsidTr="00BE2B41">
        <w:tc>
          <w:tcPr>
            <w:tcW w:w="853" w:type="pct"/>
            <w:vAlign w:val="center"/>
          </w:tcPr>
          <w:p w:rsidR="008A2A2C" w:rsidRPr="00F10C3A" w:rsidRDefault="00D64B4A" w:rsidP="00310B78">
            <w:pPr>
              <w:pStyle w:val="Tabletext"/>
              <w:rPr>
                <w:vertAlign w:val="superscript"/>
              </w:rPr>
            </w:pPr>
            <w:r w:rsidRPr="00F10C3A">
              <w:t>Random-effects</w:t>
            </w:r>
            <w:r w:rsidR="008A2A2C" w:rsidRPr="00F10C3A">
              <w:t xml:space="preserve"> </w:t>
            </w:r>
            <w:proofErr w:type="spellStart"/>
            <w:r w:rsidR="008A2A2C" w:rsidRPr="00F10C3A">
              <w:t>model</w:t>
            </w:r>
            <w:r w:rsidRPr="00F10C3A">
              <w:rPr>
                <w:vertAlign w:val="superscript"/>
              </w:rPr>
              <w:t>c</w:t>
            </w:r>
            <w:proofErr w:type="spellEnd"/>
          </w:p>
        </w:tc>
        <w:tc>
          <w:tcPr>
            <w:tcW w:w="690" w:type="pct"/>
          </w:tcPr>
          <w:p w:rsidR="008A2A2C" w:rsidRPr="00F10C3A" w:rsidRDefault="008A2A2C" w:rsidP="00310B78">
            <w:pPr>
              <w:pStyle w:val="Tabletext"/>
            </w:pPr>
            <w:r w:rsidRPr="00F10C3A">
              <w:t>175/842 (20.8%)</w:t>
            </w:r>
          </w:p>
        </w:tc>
        <w:tc>
          <w:tcPr>
            <w:tcW w:w="613" w:type="pct"/>
          </w:tcPr>
          <w:p w:rsidR="008A2A2C" w:rsidRPr="00F10C3A" w:rsidRDefault="008A2A2C" w:rsidP="00310B78">
            <w:pPr>
              <w:pStyle w:val="Tabletext"/>
            </w:pPr>
            <w:r w:rsidRPr="00F10C3A">
              <w:t>190/865 (22%)</w:t>
            </w:r>
          </w:p>
        </w:tc>
        <w:tc>
          <w:tcPr>
            <w:tcW w:w="844" w:type="pct"/>
          </w:tcPr>
          <w:p w:rsidR="008A2A2C" w:rsidRPr="00F10C3A" w:rsidRDefault="001725DE" w:rsidP="00310B78">
            <w:pPr>
              <w:pStyle w:val="Tabletext"/>
            </w:pPr>
            <w:r w:rsidRPr="00F10C3A">
              <w:rPr>
                <w:lang w:val="en-AU"/>
              </w:rPr>
              <w:t>0.9</w:t>
            </w:r>
            <w:r w:rsidR="00346E92" w:rsidRPr="00F10C3A">
              <w:rPr>
                <w:lang w:val="en-AU"/>
              </w:rPr>
              <w:t>4</w:t>
            </w:r>
            <w:r w:rsidRPr="00F10C3A">
              <w:rPr>
                <w:lang w:val="en-AU"/>
              </w:rPr>
              <w:t xml:space="preserve"> (0.</w:t>
            </w:r>
            <w:r w:rsidR="00346E92" w:rsidRPr="00F10C3A">
              <w:rPr>
                <w:lang w:val="en-AU"/>
              </w:rPr>
              <w:t>74</w:t>
            </w:r>
            <w:r w:rsidRPr="00F10C3A">
              <w:rPr>
                <w:lang w:val="en-AU"/>
              </w:rPr>
              <w:t>, 1.1</w:t>
            </w:r>
            <w:r w:rsidR="00346E92" w:rsidRPr="00F10C3A">
              <w:rPr>
                <w:lang w:val="en-AU"/>
              </w:rPr>
              <w:t>8</w:t>
            </w:r>
            <w:r w:rsidRPr="00F10C3A">
              <w:rPr>
                <w:lang w:val="en-AU"/>
              </w:rPr>
              <w:t>)</w:t>
            </w:r>
          </w:p>
        </w:tc>
        <w:tc>
          <w:tcPr>
            <w:tcW w:w="690" w:type="pct"/>
            <w:shd w:val="clear" w:color="auto" w:fill="auto"/>
            <w:vAlign w:val="center"/>
          </w:tcPr>
          <w:p w:rsidR="008A2A2C" w:rsidRPr="00F10C3A" w:rsidRDefault="008A2A2C" w:rsidP="00310B78">
            <w:pPr>
              <w:pStyle w:val="Tabletext"/>
            </w:pPr>
            <w:r w:rsidRPr="00F10C3A">
              <w:t>21</w:t>
            </w:r>
          </w:p>
        </w:tc>
        <w:tc>
          <w:tcPr>
            <w:tcW w:w="466" w:type="pct"/>
            <w:gridSpan w:val="2"/>
            <w:shd w:val="clear" w:color="auto" w:fill="auto"/>
            <w:vAlign w:val="center"/>
          </w:tcPr>
          <w:p w:rsidR="008A2A2C" w:rsidRPr="00F10C3A" w:rsidRDefault="008A2A2C" w:rsidP="00310B78">
            <w:pPr>
              <w:pStyle w:val="Tabletext"/>
            </w:pPr>
            <w:r w:rsidRPr="00F10C3A">
              <w:t>22</w:t>
            </w:r>
          </w:p>
        </w:tc>
        <w:tc>
          <w:tcPr>
            <w:tcW w:w="844" w:type="pct"/>
          </w:tcPr>
          <w:p w:rsidR="008A2A2C" w:rsidRPr="00F10C3A" w:rsidRDefault="00346E92" w:rsidP="00310B78">
            <w:pPr>
              <w:pStyle w:val="Tabletext"/>
            </w:pPr>
            <w:r w:rsidRPr="00F10C3A">
              <w:t>-0.014 (-0.059, 0.031)</w:t>
            </w:r>
          </w:p>
        </w:tc>
      </w:tr>
      <w:tr w:rsidR="004D62CA" w:rsidRPr="00F10C3A" w:rsidTr="00BE2B41">
        <w:tc>
          <w:tcPr>
            <w:tcW w:w="2156" w:type="pct"/>
            <w:gridSpan w:val="3"/>
            <w:vAlign w:val="center"/>
          </w:tcPr>
          <w:p w:rsidR="004D62CA" w:rsidRPr="00F10C3A" w:rsidRDefault="004D62CA" w:rsidP="00310B78">
            <w:pPr>
              <w:pStyle w:val="Tabletext"/>
            </w:pPr>
            <w:r w:rsidRPr="00F10C3A">
              <w:t>Chi-square for heterogeneity</w:t>
            </w:r>
          </w:p>
        </w:tc>
        <w:tc>
          <w:tcPr>
            <w:tcW w:w="844" w:type="pct"/>
          </w:tcPr>
          <w:p w:rsidR="004D62CA" w:rsidRPr="00F10C3A" w:rsidRDefault="004D62CA" w:rsidP="00310B78">
            <w:pPr>
              <w:pStyle w:val="Tabletext"/>
            </w:pPr>
            <w:r w:rsidRPr="00F10C3A">
              <w:t>0.187</w:t>
            </w:r>
          </w:p>
        </w:tc>
        <w:tc>
          <w:tcPr>
            <w:tcW w:w="690" w:type="pct"/>
            <w:shd w:val="clear" w:color="auto" w:fill="auto"/>
            <w:vAlign w:val="center"/>
          </w:tcPr>
          <w:p w:rsidR="004D62CA" w:rsidRPr="00F10C3A" w:rsidRDefault="004D62CA" w:rsidP="00310B78">
            <w:pPr>
              <w:pStyle w:val="Tabletext"/>
            </w:pPr>
            <w:r w:rsidRPr="00F10C3A">
              <w:t>-</w:t>
            </w:r>
          </w:p>
        </w:tc>
        <w:tc>
          <w:tcPr>
            <w:tcW w:w="466" w:type="pct"/>
            <w:gridSpan w:val="2"/>
            <w:shd w:val="clear" w:color="auto" w:fill="auto"/>
            <w:vAlign w:val="center"/>
          </w:tcPr>
          <w:p w:rsidR="004D62CA" w:rsidRPr="00F10C3A" w:rsidRDefault="004D62CA" w:rsidP="00310B78">
            <w:pPr>
              <w:pStyle w:val="Tabletext"/>
            </w:pPr>
            <w:r w:rsidRPr="00F10C3A">
              <w:t>-</w:t>
            </w:r>
          </w:p>
        </w:tc>
        <w:tc>
          <w:tcPr>
            <w:tcW w:w="844" w:type="pct"/>
            <w:shd w:val="clear" w:color="auto" w:fill="auto"/>
          </w:tcPr>
          <w:p w:rsidR="004D62CA" w:rsidRPr="00F10C3A" w:rsidRDefault="004D62CA" w:rsidP="00310B78">
            <w:pPr>
              <w:pStyle w:val="Tabletext"/>
            </w:pPr>
            <w:r w:rsidRPr="00F10C3A">
              <w:t>0.236</w:t>
            </w:r>
          </w:p>
        </w:tc>
      </w:tr>
      <w:tr w:rsidR="004D62CA" w:rsidRPr="00F10C3A" w:rsidTr="00BE2B41">
        <w:tc>
          <w:tcPr>
            <w:tcW w:w="2156" w:type="pct"/>
            <w:gridSpan w:val="3"/>
            <w:vAlign w:val="center"/>
          </w:tcPr>
          <w:p w:rsidR="004D62CA" w:rsidRPr="00F10C3A" w:rsidRDefault="004D62CA" w:rsidP="00310B78">
            <w:pPr>
              <w:pStyle w:val="Tabletext"/>
            </w:pPr>
            <w:r w:rsidRPr="00F10C3A">
              <w:t>I</w:t>
            </w:r>
            <w:r w:rsidRPr="00F10C3A">
              <w:rPr>
                <w:vertAlign w:val="superscript"/>
              </w:rPr>
              <w:t>2</w:t>
            </w:r>
            <w:r w:rsidRPr="00F10C3A">
              <w:t xml:space="preserve"> statistic </w:t>
            </w:r>
          </w:p>
        </w:tc>
        <w:tc>
          <w:tcPr>
            <w:tcW w:w="844" w:type="pct"/>
          </w:tcPr>
          <w:p w:rsidR="004D62CA" w:rsidRPr="00F10C3A" w:rsidRDefault="00346E92" w:rsidP="00310B78">
            <w:pPr>
              <w:pStyle w:val="Tabletext"/>
            </w:pPr>
            <w:r w:rsidRPr="00F10C3A">
              <w:t>40.35</w:t>
            </w:r>
          </w:p>
        </w:tc>
        <w:tc>
          <w:tcPr>
            <w:tcW w:w="690" w:type="pct"/>
            <w:shd w:val="clear" w:color="auto" w:fill="auto"/>
            <w:vAlign w:val="center"/>
          </w:tcPr>
          <w:p w:rsidR="004D62CA" w:rsidRPr="00F10C3A" w:rsidRDefault="004D62CA" w:rsidP="00310B78">
            <w:pPr>
              <w:pStyle w:val="Tabletext"/>
            </w:pPr>
            <w:r w:rsidRPr="00F10C3A">
              <w:t>-</w:t>
            </w:r>
          </w:p>
        </w:tc>
        <w:tc>
          <w:tcPr>
            <w:tcW w:w="466" w:type="pct"/>
            <w:gridSpan w:val="2"/>
            <w:shd w:val="clear" w:color="auto" w:fill="auto"/>
            <w:vAlign w:val="center"/>
          </w:tcPr>
          <w:p w:rsidR="004D62CA" w:rsidRPr="00F10C3A" w:rsidRDefault="004D62CA" w:rsidP="00310B78">
            <w:pPr>
              <w:pStyle w:val="Tabletext"/>
            </w:pPr>
            <w:r w:rsidRPr="00F10C3A">
              <w:t>-</w:t>
            </w:r>
          </w:p>
        </w:tc>
        <w:tc>
          <w:tcPr>
            <w:tcW w:w="844" w:type="pct"/>
            <w:shd w:val="clear" w:color="auto" w:fill="auto"/>
          </w:tcPr>
          <w:p w:rsidR="004D62CA" w:rsidRPr="00F10C3A" w:rsidRDefault="00346E92" w:rsidP="00310B78">
            <w:pPr>
              <w:pStyle w:val="Tabletext"/>
            </w:pPr>
            <w:r w:rsidRPr="00F10C3A">
              <w:t>30.71</w:t>
            </w:r>
          </w:p>
        </w:tc>
      </w:tr>
      <w:tr w:rsidR="0045698A" w:rsidRPr="00F10C3A" w:rsidTr="00BE2B41">
        <w:tc>
          <w:tcPr>
            <w:tcW w:w="5000" w:type="pct"/>
            <w:gridSpan w:val="8"/>
            <w:tcBorders>
              <w:top w:val="double" w:sz="4" w:space="0" w:color="auto"/>
            </w:tcBorders>
            <w:shd w:val="clear" w:color="auto" w:fill="auto"/>
            <w:vAlign w:val="center"/>
          </w:tcPr>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Harms</w:t>
            </w:r>
          </w:p>
        </w:tc>
      </w:tr>
      <w:tr w:rsidR="0045698A" w:rsidRPr="00F10C3A" w:rsidTr="00BE2B41">
        <w:trPr>
          <w:trHeight w:val="70"/>
        </w:trPr>
        <w:tc>
          <w:tcPr>
            <w:tcW w:w="853" w:type="pct"/>
            <w:vMerge w:val="restart"/>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Trial</w:t>
            </w:r>
          </w:p>
        </w:tc>
        <w:tc>
          <w:tcPr>
            <w:tcW w:w="690" w:type="pct"/>
            <w:vMerge w:val="restart"/>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Nicotine lozenge</w:t>
            </w:r>
          </w:p>
          <w:p w:rsidR="0012016E" w:rsidRPr="00F10C3A" w:rsidRDefault="0012016E" w:rsidP="00310B78">
            <w:pPr>
              <w:keepNext/>
              <w:widowControl/>
              <w:jc w:val="left"/>
              <w:rPr>
                <w:rFonts w:ascii="Arial Narrow" w:hAnsi="Arial Narrow"/>
                <w:b/>
                <w:sz w:val="20"/>
              </w:rPr>
            </w:pPr>
            <w:proofErr w:type="gramStart"/>
            <w:r w:rsidRPr="00F10C3A">
              <w:rPr>
                <w:rFonts w:ascii="Arial Narrow" w:hAnsi="Arial Narrow"/>
                <w:b/>
                <w:sz w:val="20"/>
              </w:rPr>
              <w:t>n/N</w:t>
            </w:r>
            <w:proofErr w:type="gramEnd"/>
            <w:r w:rsidRPr="00F10C3A">
              <w:rPr>
                <w:rFonts w:ascii="Arial Narrow" w:hAnsi="Arial Narrow"/>
                <w:b/>
                <w:sz w:val="20"/>
              </w:rPr>
              <w:t xml:space="preserve"> (%)</w:t>
            </w:r>
          </w:p>
        </w:tc>
        <w:tc>
          <w:tcPr>
            <w:tcW w:w="613" w:type="pct"/>
            <w:vMerge w:val="restart"/>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Nicotine patch</w:t>
            </w:r>
          </w:p>
          <w:p w:rsidR="0012016E" w:rsidRPr="00F10C3A" w:rsidRDefault="0012016E" w:rsidP="00310B78">
            <w:pPr>
              <w:keepNext/>
              <w:widowControl/>
              <w:jc w:val="left"/>
              <w:rPr>
                <w:rFonts w:ascii="Arial Narrow" w:hAnsi="Arial Narrow"/>
                <w:b/>
                <w:sz w:val="20"/>
              </w:rPr>
            </w:pPr>
            <w:r w:rsidRPr="00F10C3A">
              <w:rPr>
                <w:rFonts w:ascii="Arial Narrow" w:hAnsi="Arial Narrow"/>
                <w:b/>
                <w:sz w:val="20"/>
              </w:rPr>
              <w:t>n/</w:t>
            </w:r>
            <w:proofErr w:type="gramStart"/>
            <w:r w:rsidRPr="00F10C3A">
              <w:rPr>
                <w:rFonts w:ascii="Arial Narrow" w:hAnsi="Arial Narrow"/>
                <w:b/>
                <w:sz w:val="20"/>
              </w:rPr>
              <w:t>N(</w:t>
            </w:r>
            <w:proofErr w:type="gramEnd"/>
            <w:r w:rsidRPr="00F10C3A">
              <w:rPr>
                <w:rFonts w:ascii="Arial Narrow" w:hAnsi="Arial Narrow"/>
                <w:b/>
                <w:sz w:val="20"/>
              </w:rPr>
              <w:t>%)</w:t>
            </w:r>
          </w:p>
        </w:tc>
        <w:tc>
          <w:tcPr>
            <w:tcW w:w="844" w:type="pct"/>
            <w:vMerge w:val="restart"/>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O</w:t>
            </w:r>
            <w:r w:rsidR="0045698A" w:rsidRPr="00F10C3A">
              <w:rPr>
                <w:rFonts w:ascii="Arial Narrow" w:hAnsi="Arial Narrow"/>
                <w:b/>
                <w:sz w:val="20"/>
              </w:rPr>
              <w:t>R</w:t>
            </w:r>
          </w:p>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(95% CI)</w:t>
            </w:r>
          </w:p>
        </w:tc>
        <w:tc>
          <w:tcPr>
            <w:tcW w:w="1156" w:type="pct"/>
            <w:gridSpan w:val="3"/>
            <w:shd w:val="clear" w:color="auto" w:fill="auto"/>
            <w:vAlign w:val="center"/>
          </w:tcPr>
          <w:p w:rsidR="0045698A" w:rsidRPr="00F10C3A" w:rsidRDefault="0045698A" w:rsidP="00310B78">
            <w:pPr>
              <w:keepNext/>
              <w:widowControl/>
              <w:jc w:val="left"/>
              <w:rPr>
                <w:rFonts w:ascii="Arial Narrow" w:hAnsi="Arial Narrow"/>
                <w:b/>
                <w:sz w:val="20"/>
                <w:vertAlign w:val="superscript"/>
              </w:rPr>
            </w:pPr>
            <w:r w:rsidRPr="00F10C3A">
              <w:rPr>
                <w:rFonts w:ascii="Arial Narrow" w:hAnsi="Arial Narrow"/>
                <w:b/>
                <w:sz w:val="20"/>
              </w:rPr>
              <w:t>Ev</w:t>
            </w:r>
            <w:r w:rsidR="00D42AB0" w:rsidRPr="00F10C3A">
              <w:rPr>
                <w:rFonts w:ascii="Arial Narrow" w:hAnsi="Arial Narrow"/>
                <w:b/>
                <w:sz w:val="20"/>
              </w:rPr>
              <w:t xml:space="preserve">ents/100 </w:t>
            </w:r>
            <w:proofErr w:type="spellStart"/>
            <w:r w:rsidR="00D42AB0" w:rsidRPr="00F10C3A">
              <w:rPr>
                <w:rFonts w:ascii="Arial Narrow" w:hAnsi="Arial Narrow"/>
                <w:b/>
                <w:sz w:val="20"/>
              </w:rPr>
              <w:t>patients</w:t>
            </w:r>
            <w:r w:rsidR="00D42AB0" w:rsidRPr="00F10C3A">
              <w:rPr>
                <w:rFonts w:ascii="Arial Narrow" w:hAnsi="Arial Narrow"/>
                <w:b/>
                <w:sz w:val="20"/>
                <w:vertAlign w:val="superscript"/>
              </w:rPr>
              <w:t>a</w:t>
            </w:r>
            <w:proofErr w:type="spellEnd"/>
          </w:p>
        </w:tc>
        <w:tc>
          <w:tcPr>
            <w:tcW w:w="844" w:type="pct"/>
            <w:vMerge w:val="restart"/>
            <w:shd w:val="clear" w:color="auto" w:fill="auto"/>
            <w:vAlign w:val="center"/>
          </w:tcPr>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RD</w:t>
            </w:r>
          </w:p>
          <w:p w:rsidR="0045698A" w:rsidRPr="00F10C3A" w:rsidRDefault="0045698A" w:rsidP="00310B78">
            <w:pPr>
              <w:keepNext/>
              <w:widowControl/>
              <w:jc w:val="left"/>
              <w:rPr>
                <w:rFonts w:ascii="Arial Narrow" w:hAnsi="Arial Narrow"/>
                <w:b/>
                <w:sz w:val="20"/>
              </w:rPr>
            </w:pPr>
            <w:r w:rsidRPr="00F10C3A">
              <w:rPr>
                <w:rFonts w:ascii="Arial Narrow" w:hAnsi="Arial Narrow"/>
                <w:b/>
                <w:sz w:val="20"/>
              </w:rPr>
              <w:t>(95% CI)</w:t>
            </w:r>
          </w:p>
        </w:tc>
      </w:tr>
      <w:tr w:rsidR="0045698A" w:rsidRPr="00F10C3A" w:rsidTr="00BE2B41">
        <w:trPr>
          <w:trHeight w:val="390"/>
        </w:trPr>
        <w:tc>
          <w:tcPr>
            <w:tcW w:w="853"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90"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13"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844" w:type="pct"/>
            <w:vMerge/>
            <w:shd w:val="clear" w:color="auto" w:fill="auto"/>
            <w:vAlign w:val="center"/>
          </w:tcPr>
          <w:p w:rsidR="0045698A" w:rsidRPr="00F10C3A" w:rsidRDefault="0045698A" w:rsidP="00310B78">
            <w:pPr>
              <w:keepNext/>
              <w:widowControl/>
              <w:jc w:val="left"/>
              <w:rPr>
                <w:rFonts w:ascii="Arial Narrow" w:hAnsi="Arial Narrow"/>
                <w:sz w:val="20"/>
              </w:rPr>
            </w:pPr>
          </w:p>
        </w:tc>
        <w:tc>
          <w:tcPr>
            <w:tcW w:w="690" w:type="pct"/>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Nicotine lozenge</w:t>
            </w:r>
          </w:p>
        </w:tc>
        <w:tc>
          <w:tcPr>
            <w:tcW w:w="466" w:type="pct"/>
            <w:gridSpan w:val="2"/>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Nicotine patch</w:t>
            </w:r>
          </w:p>
        </w:tc>
        <w:tc>
          <w:tcPr>
            <w:tcW w:w="844" w:type="pct"/>
            <w:vMerge/>
            <w:shd w:val="clear" w:color="auto" w:fill="auto"/>
            <w:vAlign w:val="center"/>
          </w:tcPr>
          <w:p w:rsidR="0045698A" w:rsidRPr="00F10C3A" w:rsidRDefault="0045698A" w:rsidP="00310B78">
            <w:pPr>
              <w:keepNext/>
              <w:widowControl/>
              <w:jc w:val="left"/>
              <w:rPr>
                <w:rFonts w:ascii="Arial Narrow" w:hAnsi="Arial Narrow"/>
                <w:sz w:val="20"/>
              </w:rPr>
            </w:pPr>
          </w:p>
        </w:tc>
      </w:tr>
      <w:tr w:rsidR="0045698A" w:rsidRPr="00F10C3A" w:rsidTr="00BE2B41">
        <w:tc>
          <w:tcPr>
            <w:tcW w:w="5000" w:type="pct"/>
            <w:gridSpan w:val="8"/>
            <w:shd w:val="clear" w:color="auto" w:fill="auto"/>
            <w:vAlign w:val="center"/>
          </w:tcPr>
          <w:p w:rsidR="0045698A" w:rsidRPr="00F10C3A" w:rsidRDefault="008A2A2C" w:rsidP="00310B78">
            <w:pPr>
              <w:keepNext/>
              <w:widowControl/>
              <w:jc w:val="left"/>
              <w:rPr>
                <w:rFonts w:ascii="Arial Narrow" w:hAnsi="Arial Narrow"/>
                <w:b/>
                <w:sz w:val="20"/>
              </w:rPr>
            </w:pPr>
            <w:r w:rsidRPr="00F10C3A">
              <w:rPr>
                <w:rFonts w:ascii="Arial Narrow" w:hAnsi="Arial Narrow"/>
                <w:b/>
                <w:sz w:val="20"/>
              </w:rPr>
              <w:t>Nausea/vomiting</w:t>
            </w:r>
          </w:p>
        </w:tc>
      </w:tr>
      <w:tr w:rsidR="00F6668F" w:rsidRPr="00F10C3A" w:rsidTr="00BE2B41">
        <w:tc>
          <w:tcPr>
            <w:tcW w:w="853" w:type="pct"/>
            <w:shd w:val="clear" w:color="auto" w:fill="auto"/>
            <w:vAlign w:val="center"/>
          </w:tcPr>
          <w:p w:rsidR="00F6668F" w:rsidRPr="00F10C3A" w:rsidRDefault="00F6668F" w:rsidP="00310B78">
            <w:pPr>
              <w:keepNext/>
              <w:widowControl/>
              <w:jc w:val="left"/>
              <w:rPr>
                <w:rFonts w:ascii="Arial Narrow" w:hAnsi="Arial Narrow"/>
                <w:sz w:val="20"/>
                <w:vertAlign w:val="superscript"/>
              </w:rPr>
            </w:pPr>
            <w:r w:rsidRPr="00F10C3A">
              <w:rPr>
                <w:rFonts w:ascii="Arial Narrow" w:hAnsi="Arial Narrow"/>
                <w:sz w:val="20"/>
              </w:rPr>
              <w:t>Piper (2009)</w:t>
            </w:r>
          </w:p>
        </w:tc>
        <w:tc>
          <w:tcPr>
            <w:tcW w:w="690" w:type="pct"/>
            <w:shd w:val="clear" w:color="auto" w:fill="auto"/>
            <w:vAlign w:val="center"/>
          </w:tcPr>
          <w:p w:rsidR="00F6668F" w:rsidRPr="00F10C3A" w:rsidRDefault="00765ADF" w:rsidP="00310B78">
            <w:pPr>
              <w:pStyle w:val="Tabletext"/>
            </w:pPr>
            <w:r w:rsidRPr="00F10C3A">
              <w:t>44/260 (16.9%)</w:t>
            </w:r>
          </w:p>
        </w:tc>
        <w:tc>
          <w:tcPr>
            <w:tcW w:w="613" w:type="pct"/>
            <w:shd w:val="clear" w:color="auto" w:fill="auto"/>
            <w:vAlign w:val="center"/>
          </w:tcPr>
          <w:p w:rsidR="00F6668F" w:rsidRPr="00F10C3A" w:rsidRDefault="00F6668F" w:rsidP="00310B78">
            <w:pPr>
              <w:pStyle w:val="Tabletext"/>
            </w:pPr>
            <w:r w:rsidRPr="00F10C3A">
              <w:t>25</w:t>
            </w:r>
            <w:r w:rsidR="00765ADF" w:rsidRPr="00F10C3A">
              <w:t>/262 (25.2%)</w:t>
            </w:r>
          </w:p>
        </w:tc>
        <w:tc>
          <w:tcPr>
            <w:tcW w:w="844" w:type="pct"/>
            <w:shd w:val="clear" w:color="auto" w:fill="auto"/>
            <w:vAlign w:val="center"/>
          </w:tcPr>
          <w:p w:rsidR="00F6668F" w:rsidRPr="00F10C3A" w:rsidRDefault="00F6668F" w:rsidP="00310B78">
            <w:pPr>
              <w:pStyle w:val="Tabletext"/>
              <w:rPr>
                <w:b/>
              </w:rPr>
            </w:pPr>
            <w:r w:rsidRPr="00F10C3A">
              <w:rPr>
                <w:b/>
              </w:rPr>
              <w:t>1.93 (1.14, 3.26)</w:t>
            </w:r>
          </w:p>
        </w:tc>
        <w:tc>
          <w:tcPr>
            <w:tcW w:w="690" w:type="pct"/>
            <w:shd w:val="clear" w:color="auto" w:fill="auto"/>
            <w:vAlign w:val="center"/>
          </w:tcPr>
          <w:p w:rsidR="00F6668F" w:rsidRPr="00F10C3A" w:rsidRDefault="00F6668F" w:rsidP="00310B78">
            <w:pPr>
              <w:pStyle w:val="Tabletext"/>
            </w:pPr>
            <w:r w:rsidRPr="00F10C3A">
              <w:t>17</w:t>
            </w:r>
          </w:p>
        </w:tc>
        <w:tc>
          <w:tcPr>
            <w:tcW w:w="461" w:type="pct"/>
            <w:shd w:val="clear" w:color="auto" w:fill="auto"/>
            <w:vAlign w:val="center"/>
          </w:tcPr>
          <w:p w:rsidR="00F6668F" w:rsidRPr="00F10C3A" w:rsidRDefault="00F6668F" w:rsidP="00310B78">
            <w:pPr>
              <w:pStyle w:val="Tabletext"/>
            </w:pPr>
            <w:r w:rsidRPr="00F10C3A">
              <w:t>9</w:t>
            </w:r>
          </w:p>
        </w:tc>
        <w:tc>
          <w:tcPr>
            <w:tcW w:w="849" w:type="pct"/>
            <w:gridSpan w:val="2"/>
            <w:shd w:val="clear" w:color="auto" w:fill="auto"/>
            <w:vAlign w:val="center"/>
          </w:tcPr>
          <w:p w:rsidR="00F6668F" w:rsidRPr="00F10C3A" w:rsidRDefault="00F6668F" w:rsidP="00310B78">
            <w:pPr>
              <w:pStyle w:val="Tabletext"/>
              <w:rPr>
                <w:b/>
              </w:rPr>
            </w:pPr>
            <w:r w:rsidRPr="00F10C3A">
              <w:rPr>
                <w:b/>
              </w:rPr>
              <w:t>0.07 (0.02, 0.13)</w:t>
            </w:r>
          </w:p>
        </w:tc>
      </w:tr>
      <w:tr w:rsidR="0045698A" w:rsidRPr="00F10C3A" w:rsidTr="00BE2B41">
        <w:tc>
          <w:tcPr>
            <w:tcW w:w="5000" w:type="pct"/>
            <w:gridSpan w:val="8"/>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Sleep problems</w:t>
            </w:r>
          </w:p>
        </w:tc>
      </w:tr>
      <w:tr w:rsidR="00F6668F" w:rsidRPr="00F10C3A" w:rsidTr="00BE2B41">
        <w:tc>
          <w:tcPr>
            <w:tcW w:w="853" w:type="pct"/>
            <w:shd w:val="clear" w:color="auto" w:fill="auto"/>
            <w:vAlign w:val="center"/>
          </w:tcPr>
          <w:p w:rsidR="00F6668F" w:rsidRPr="00F10C3A" w:rsidRDefault="00F6668F" w:rsidP="00310B78">
            <w:pPr>
              <w:keepNext/>
              <w:widowControl/>
              <w:jc w:val="left"/>
              <w:rPr>
                <w:rFonts w:ascii="Arial Narrow" w:hAnsi="Arial Narrow"/>
                <w:sz w:val="20"/>
              </w:rPr>
            </w:pPr>
            <w:r w:rsidRPr="00F10C3A">
              <w:rPr>
                <w:rFonts w:ascii="Arial Narrow" w:hAnsi="Arial Narrow"/>
                <w:sz w:val="20"/>
              </w:rPr>
              <w:t>Piper (2009)</w:t>
            </w:r>
          </w:p>
        </w:tc>
        <w:tc>
          <w:tcPr>
            <w:tcW w:w="690" w:type="pct"/>
            <w:shd w:val="clear" w:color="auto" w:fill="auto"/>
            <w:vAlign w:val="center"/>
          </w:tcPr>
          <w:p w:rsidR="00F6668F" w:rsidRPr="00F10C3A" w:rsidRDefault="00765ADF" w:rsidP="00310B78">
            <w:pPr>
              <w:pStyle w:val="Tabletext"/>
            </w:pPr>
            <w:r w:rsidRPr="00F10C3A">
              <w:t>18/260 (6.9%)</w:t>
            </w:r>
          </w:p>
        </w:tc>
        <w:tc>
          <w:tcPr>
            <w:tcW w:w="613" w:type="pct"/>
            <w:shd w:val="clear" w:color="auto" w:fill="auto"/>
            <w:vAlign w:val="center"/>
          </w:tcPr>
          <w:p w:rsidR="00F6668F" w:rsidRPr="00F10C3A" w:rsidRDefault="00765ADF" w:rsidP="00310B78">
            <w:pPr>
              <w:pStyle w:val="Tabletext"/>
            </w:pPr>
            <w:r w:rsidRPr="00F10C3A">
              <w:t>66/262 (25.2%)</w:t>
            </w:r>
          </w:p>
        </w:tc>
        <w:tc>
          <w:tcPr>
            <w:tcW w:w="844" w:type="pct"/>
            <w:shd w:val="clear" w:color="auto" w:fill="auto"/>
            <w:vAlign w:val="center"/>
          </w:tcPr>
          <w:p w:rsidR="00F6668F" w:rsidRPr="00F10C3A" w:rsidRDefault="00F6668F" w:rsidP="00310B78">
            <w:pPr>
              <w:pStyle w:val="Tabletext"/>
              <w:rPr>
                <w:b/>
              </w:rPr>
            </w:pPr>
            <w:r w:rsidRPr="00F10C3A">
              <w:rPr>
                <w:b/>
              </w:rPr>
              <w:t>0.22 (0.13, 0.38)</w:t>
            </w:r>
          </w:p>
        </w:tc>
        <w:tc>
          <w:tcPr>
            <w:tcW w:w="690" w:type="pct"/>
            <w:shd w:val="clear" w:color="auto" w:fill="auto"/>
            <w:vAlign w:val="center"/>
          </w:tcPr>
          <w:p w:rsidR="00F6668F" w:rsidRPr="00F10C3A" w:rsidRDefault="00F6668F" w:rsidP="00310B78">
            <w:pPr>
              <w:pStyle w:val="Tabletext"/>
            </w:pPr>
            <w:r w:rsidRPr="00F10C3A">
              <w:t>7</w:t>
            </w:r>
          </w:p>
        </w:tc>
        <w:tc>
          <w:tcPr>
            <w:tcW w:w="461" w:type="pct"/>
            <w:shd w:val="clear" w:color="auto" w:fill="auto"/>
            <w:vAlign w:val="center"/>
          </w:tcPr>
          <w:p w:rsidR="00F6668F" w:rsidRPr="00F10C3A" w:rsidRDefault="00F6668F" w:rsidP="00310B78">
            <w:pPr>
              <w:pStyle w:val="Tabletext"/>
            </w:pPr>
            <w:r w:rsidRPr="00F10C3A">
              <w:t>25</w:t>
            </w:r>
          </w:p>
        </w:tc>
        <w:tc>
          <w:tcPr>
            <w:tcW w:w="849" w:type="pct"/>
            <w:gridSpan w:val="2"/>
            <w:shd w:val="clear" w:color="auto" w:fill="auto"/>
            <w:vAlign w:val="center"/>
          </w:tcPr>
          <w:p w:rsidR="00F6668F" w:rsidRPr="00F10C3A" w:rsidRDefault="006C765B" w:rsidP="00310B78">
            <w:pPr>
              <w:pStyle w:val="Tabletext"/>
              <w:rPr>
                <w:b/>
              </w:rPr>
            </w:pPr>
            <w:r w:rsidRPr="00F10C3A">
              <w:rPr>
                <w:b/>
              </w:rPr>
              <w:t>-</w:t>
            </w:r>
            <w:r w:rsidR="00F6668F" w:rsidRPr="00F10C3A">
              <w:rPr>
                <w:b/>
              </w:rPr>
              <w:t>0.18 (-0.24, -0.12)</w:t>
            </w:r>
          </w:p>
        </w:tc>
      </w:tr>
      <w:tr w:rsidR="0045698A" w:rsidRPr="00F10C3A" w:rsidTr="00BE2B41">
        <w:tc>
          <w:tcPr>
            <w:tcW w:w="5000" w:type="pct"/>
            <w:gridSpan w:val="8"/>
            <w:shd w:val="clear" w:color="auto" w:fill="auto"/>
            <w:vAlign w:val="center"/>
          </w:tcPr>
          <w:p w:rsidR="0045698A" w:rsidRPr="00F10C3A" w:rsidRDefault="00F6668F" w:rsidP="00310B78">
            <w:pPr>
              <w:keepNext/>
              <w:widowControl/>
              <w:jc w:val="left"/>
              <w:rPr>
                <w:rFonts w:ascii="Arial Narrow" w:hAnsi="Arial Narrow"/>
                <w:b/>
                <w:sz w:val="20"/>
              </w:rPr>
            </w:pPr>
            <w:r w:rsidRPr="00F10C3A">
              <w:rPr>
                <w:rFonts w:ascii="Arial Narrow" w:hAnsi="Arial Narrow"/>
                <w:b/>
                <w:sz w:val="20"/>
              </w:rPr>
              <w:t>Skin reaction</w:t>
            </w:r>
          </w:p>
        </w:tc>
      </w:tr>
      <w:tr w:rsidR="0045698A" w:rsidRPr="00F10C3A" w:rsidTr="00BE2B41">
        <w:tc>
          <w:tcPr>
            <w:tcW w:w="853" w:type="pct"/>
            <w:shd w:val="clear" w:color="auto" w:fill="auto"/>
            <w:vAlign w:val="center"/>
          </w:tcPr>
          <w:p w:rsidR="0045698A" w:rsidRPr="00F10C3A" w:rsidRDefault="00F6668F" w:rsidP="00310B78">
            <w:pPr>
              <w:keepNext/>
              <w:widowControl/>
              <w:jc w:val="left"/>
              <w:rPr>
                <w:rFonts w:ascii="Arial Narrow" w:hAnsi="Arial Narrow"/>
                <w:sz w:val="20"/>
              </w:rPr>
            </w:pPr>
            <w:r w:rsidRPr="00F10C3A">
              <w:rPr>
                <w:rFonts w:ascii="Arial Narrow" w:hAnsi="Arial Narrow"/>
                <w:sz w:val="20"/>
              </w:rPr>
              <w:t>Piper (2009)</w:t>
            </w:r>
          </w:p>
        </w:tc>
        <w:tc>
          <w:tcPr>
            <w:tcW w:w="690" w:type="pct"/>
            <w:shd w:val="clear" w:color="auto" w:fill="auto"/>
            <w:vAlign w:val="center"/>
          </w:tcPr>
          <w:p w:rsidR="0045698A" w:rsidRPr="00F10C3A" w:rsidRDefault="00765ADF" w:rsidP="00310B78">
            <w:pPr>
              <w:pStyle w:val="Tabletext"/>
            </w:pPr>
            <w:r w:rsidRPr="00F10C3A">
              <w:t>3/260 (1.1%)</w:t>
            </w:r>
          </w:p>
        </w:tc>
        <w:tc>
          <w:tcPr>
            <w:tcW w:w="613" w:type="pct"/>
            <w:shd w:val="clear" w:color="auto" w:fill="auto"/>
            <w:vAlign w:val="center"/>
          </w:tcPr>
          <w:p w:rsidR="0045698A" w:rsidRPr="00F10C3A" w:rsidRDefault="00765ADF" w:rsidP="00310B78">
            <w:pPr>
              <w:pStyle w:val="Tabletext"/>
            </w:pPr>
            <w:r w:rsidRPr="00F10C3A">
              <w:t>86/262 (32.8%)</w:t>
            </w:r>
          </w:p>
        </w:tc>
        <w:tc>
          <w:tcPr>
            <w:tcW w:w="844" w:type="pct"/>
            <w:shd w:val="clear" w:color="auto" w:fill="auto"/>
            <w:vAlign w:val="center"/>
          </w:tcPr>
          <w:p w:rsidR="0045698A" w:rsidRPr="00F10C3A" w:rsidRDefault="00765ADF" w:rsidP="00310B78">
            <w:pPr>
              <w:pStyle w:val="Tabletext"/>
              <w:rPr>
                <w:b/>
              </w:rPr>
            </w:pPr>
            <w:r w:rsidRPr="00F10C3A">
              <w:rPr>
                <w:b/>
              </w:rPr>
              <w:t>0.02 (0.01, 0.08)</w:t>
            </w:r>
          </w:p>
        </w:tc>
        <w:tc>
          <w:tcPr>
            <w:tcW w:w="690" w:type="pct"/>
            <w:shd w:val="clear" w:color="auto" w:fill="auto"/>
            <w:vAlign w:val="center"/>
          </w:tcPr>
          <w:p w:rsidR="0045698A" w:rsidRPr="00F10C3A" w:rsidRDefault="00765ADF" w:rsidP="00310B78">
            <w:pPr>
              <w:pStyle w:val="Tabletext"/>
            </w:pPr>
            <w:r w:rsidRPr="00F10C3A">
              <w:t>1</w:t>
            </w:r>
          </w:p>
        </w:tc>
        <w:tc>
          <w:tcPr>
            <w:tcW w:w="461" w:type="pct"/>
            <w:shd w:val="clear" w:color="auto" w:fill="auto"/>
            <w:vAlign w:val="center"/>
          </w:tcPr>
          <w:p w:rsidR="0045698A" w:rsidRPr="00F10C3A" w:rsidRDefault="00765ADF" w:rsidP="00310B78">
            <w:pPr>
              <w:pStyle w:val="Tabletext"/>
            </w:pPr>
            <w:r w:rsidRPr="00F10C3A">
              <w:t>33</w:t>
            </w:r>
          </w:p>
        </w:tc>
        <w:tc>
          <w:tcPr>
            <w:tcW w:w="849" w:type="pct"/>
            <w:gridSpan w:val="2"/>
            <w:shd w:val="clear" w:color="auto" w:fill="auto"/>
            <w:vAlign w:val="center"/>
          </w:tcPr>
          <w:p w:rsidR="0045698A" w:rsidRPr="00F10C3A" w:rsidRDefault="00765ADF" w:rsidP="00310B78">
            <w:pPr>
              <w:pStyle w:val="Tabletext"/>
              <w:rPr>
                <w:b/>
              </w:rPr>
            </w:pPr>
            <w:r w:rsidRPr="00F10C3A">
              <w:rPr>
                <w:b/>
              </w:rPr>
              <w:t>-0.32 (-0.38, -0.26)</w:t>
            </w:r>
          </w:p>
        </w:tc>
      </w:tr>
      <w:tr w:rsidR="00F6668F" w:rsidRPr="00F10C3A" w:rsidTr="00BE2B41">
        <w:tc>
          <w:tcPr>
            <w:tcW w:w="5000" w:type="pct"/>
            <w:gridSpan w:val="8"/>
            <w:shd w:val="clear" w:color="auto" w:fill="auto"/>
            <w:vAlign w:val="center"/>
          </w:tcPr>
          <w:p w:rsidR="00F6668F" w:rsidRPr="00F10C3A" w:rsidRDefault="00F6668F" w:rsidP="00310B78">
            <w:pPr>
              <w:keepNext/>
              <w:widowControl/>
              <w:jc w:val="left"/>
              <w:rPr>
                <w:rFonts w:ascii="Arial Narrow" w:hAnsi="Arial Narrow"/>
                <w:b/>
                <w:sz w:val="20"/>
              </w:rPr>
            </w:pPr>
            <w:r w:rsidRPr="00F10C3A">
              <w:rPr>
                <w:rFonts w:ascii="Arial Narrow" w:hAnsi="Arial Narrow"/>
                <w:b/>
                <w:sz w:val="20"/>
              </w:rPr>
              <w:t>Oral reaction</w:t>
            </w:r>
          </w:p>
        </w:tc>
      </w:tr>
      <w:tr w:rsidR="00CB34C2" w:rsidRPr="00F10C3A" w:rsidTr="00BE2B41">
        <w:tc>
          <w:tcPr>
            <w:tcW w:w="853" w:type="pct"/>
            <w:shd w:val="clear" w:color="auto" w:fill="auto"/>
            <w:vAlign w:val="center"/>
          </w:tcPr>
          <w:p w:rsidR="00CB34C2" w:rsidRPr="00F10C3A" w:rsidRDefault="00CB34C2" w:rsidP="00310B78">
            <w:pPr>
              <w:keepNext/>
              <w:widowControl/>
              <w:jc w:val="left"/>
              <w:rPr>
                <w:rFonts w:ascii="Arial Narrow" w:hAnsi="Arial Narrow"/>
                <w:sz w:val="20"/>
              </w:rPr>
            </w:pPr>
            <w:r w:rsidRPr="00F10C3A">
              <w:rPr>
                <w:rFonts w:ascii="Arial Narrow" w:hAnsi="Arial Narrow"/>
                <w:sz w:val="20"/>
              </w:rPr>
              <w:t>Piper (2009)</w:t>
            </w:r>
          </w:p>
        </w:tc>
        <w:tc>
          <w:tcPr>
            <w:tcW w:w="690" w:type="pct"/>
            <w:shd w:val="clear" w:color="auto" w:fill="auto"/>
            <w:vAlign w:val="center"/>
          </w:tcPr>
          <w:p w:rsidR="00CB34C2" w:rsidRPr="00F10C3A" w:rsidRDefault="00765ADF" w:rsidP="00310B78">
            <w:pPr>
              <w:pStyle w:val="Tabletext"/>
            </w:pPr>
            <w:r w:rsidRPr="00F10C3A">
              <w:t>38/260 (</w:t>
            </w:r>
            <w:r w:rsidR="007378C1" w:rsidRPr="00F10C3A">
              <w:t>1</w:t>
            </w:r>
            <w:r w:rsidRPr="00F10C3A">
              <w:t>4.6%)</w:t>
            </w:r>
          </w:p>
        </w:tc>
        <w:tc>
          <w:tcPr>
            <w:tcW w:w="613" w:type="pct"/>
            <w:shd w:val="clear" w:color="auto" w:fill="auto"/>
            <w:vAlign w:val="center"/>
          </w:tcPr>
          <w:p w:rsidR="00CB34C2" w:rsidRPr="00F10C3A" w:rsidRDefault="00765ADF" w:rsidP="00310B78">
            <w:pPr>
              <w:pStyle w:val="Tabletext"/>
            </w:pPr>
            <w:r w:rsidRPr="00F10C3A">
              <w:t>11/262 (4.2%)</w:t>
            </w:r>
          </w:p>
        </w:tc>
        <w:tc>
          <w:tcPr>
            <w:tcW w:w="844" w:type="pct"/>
            <w:shd w:val="clear" w:color="auto" w:fill="auto"/>
            <w:vAlign w:val="center"/>
          </w:tcPr>
          <w:p w:rsidR="00CB34C2" w:rsidRPr="00F10C3A" w:rsidRDefault="00765ADF" w:rsidP="00310B78">
            <w:pPr>
              <w:pStyle w:val="Tabletext"/>
              <w:rPr>
                <w:b/>
              </w:rPr>
            </w:pPr>
            <w:r w:rsidRPr="00F10C3A">
              <w:rPr>
                <w:b/>
              </w:rPr>
              <w:t>3.91 (1.95, 7.83)</w:t>
            </w:r>
          </w:p>
        </w:tc>
        <w:tc>
          <w:tcPr>
            <w:tcW w:w="690" w:type="pct"/>
            <w:shd w:val="clear" w:color="auto" w:fill="auto"/>
            <w:vAlign w:val="center"/>
          </w:tcPr>
          <w:p w:rsidR="00CB34C2" w:rsidRPr="00F10C3A" w:rsidRDefault="006C765B" w:rsidP="00310B78">
            <w:pPr>
              <w:pStyle w:val="Tabletext"/>
            </w:pPr>
            <w:r w:rsidRPr="00F10C3A">
              <w:t>1</w:t>
            </w:r>
            <w:r w:rsidR="00765ADF" w:rsidRPr="00F10C3A">
              <w:t>5</w:t>
            </w:r>
          </w:p>
        </w:tc>
        <w:tc>
          <w:tcPr>
            <w:tcW w:w="461" w:type="pct"/>
            <w:shd w:val="clear" w:color="auto" w:fill="auto"/>
            <w:vAlign w:val="center"/>
          </w:tcPr>
          <w:p w:rsidR="00CB34C2" w:rsidRPr="00F10C3A" w:rsidRDefault="00765ADF" w:rsidP="00310B78">
            <w:pPr>
              <w:pStyle w:val="Tabletext"/>
            </w:pPr>
            <w:r w:rsidRPr="00F10C3A">
              <w:t>4</w:t>
            </w:r>
          </w:p>
        </w:tc>
        <w:tc>
          <w:tcPr>
            <w:tcW w:w="849" w:type="pct"/>
            <w:gridSpan w:val="2"/>
            <w:shd w:val="clear" w:color="auto" w:fill="auto"/>
            <w:vAlign w:val="center"/>
          </w:tcPr>
          <w:p w:rsidR="00CB34C2" w:rsidRPr="00F10C3A" w:rsidRDefault="00765ADF" w:rsidP="00310B78">
            <w:pPr>
              <w:pStyle w:val="Tabletext"/>
              <w:rPr>
                <w:b/>
              </w:rPr>
            </w:pPr>
            <w:r w:rsidRPr="00F10C3A">
              <w:rPr>
                <w:b/>
              </w:rPr>
              <w:t>0.1</w:t>
            </w:r>
            <w:r w:rsidR="0096306C" w:rsidRPr="00F10C3A">
              <w:rPr>
                <w:b/>
              </w:rPr>
              <w:t>0</w:t>
            </w:r>
            <w:r w:rsidRPr="00F10C3A">
              <w:rPr>
                <w:b/>
              </w:rPr>
              <w:t xml:space="preserve"> (0.06, 0.15)</w:t>
            </w:r>
          </w:p>
        </w:tc>
      </w:tr>
      <w:tr w:rsidR="00F6668F" w:rsidRPr="00F10C3A" w:rsidTr="00BE2B41">
        <w:tc>
          <w:tcPr>
            <w:tcW w:w="5000" w:type="pct"/>
            <w:gridSpan w:val="8"/>
            <w:shd w:val="clear" w:color="auto" w:fill="auto"/>
            <w:vAlign w:val="center"/>
          </w:tcPr>
          <w:p w:rsidR="00F6668F" w:rsidRPr="00F10C3A" w:rsidRDefault="00F6668F" w:rsidP="00310B78">
            <w:pPr>
              <w:keepNext/>
              <w:widowControl/>
              <w:jc w:val="left"/>
              <w:rPr>
                <w:rFonts w:ascii="Arial Narrow" w:hAnsi="Arial Narrow"/>
                <w:b/>
                <w:sz w:val="20"/>
              </w:rPr>
            </w:pPr>
            <w:r w:rsidRPr="00F10C3A">
              <w:rPr>
                <w:rFonts w:ascii="Arial Narrow" w:hAnsi="Arial Narrow"/>
                <w:b/>
                <w:sz w:val="20"/>
              </w:rPr>
              <w:t>Hiccups</w:t>
            </w:r>
          </w:p>
        </w:tc>
      </w:tr>
      <w:tr w:rsidR="00CB34C2" w:rsidRPr="00F10C3A" w:rsidTr="00960248">
        <w:tc>
          <w:tcPr>
            <w:tcW w:w="853" w:type="pct"/>
            <w:shd w:val="clear" w:color="auto" w:fill="auto"/>
            <w:vAlign w:val="center"/>
          </w:tcPr>
          <w:p w:rsidR="00CB34C2" w:rsidRPr="00F10C3A" w:rsidRDefault="00CB34C2" w:rsidP="00310B78">
            <w:pPr>
              <w:keepNext/>
              <w:keepLines/>
              <w:widowControl/>
              <w:jc w:val="left"/>
              <w:rPr>
                <w:rFonts w:ascii="Arial Narrow" w:hAnsi="Arial Narrow"/>
                <w:sz w:val="20"/>
              </w:rPr>
            </w:pPr>
            <w:r w:rsidRPr="00F10C3A">
              <w:rPr>
                <w:rFonts w:ascii="Arial Narrow" w:hAnsi="Arial Narrow"/>
                <w:sz w:val="20"/>
              </w:rPr>
              <w:t>Piper (2009)</w:t>
            </w:r>
          </w:p>
        </w:tc>
        <w:tc>
          <w:tcPr>
            <w:tcW w:w="690" w:type="pct"/>
            <w:shd w:val="clear" w:color="auto" w:fill="auto"/>
            <w:vAlign w:val="center"/>
          </w:tcPr>
          <w:p w:rsidR="00CB34C2" w:rsidRPr="00F10C3A" w:rsidRDefault="00CB34C2" w:rsidP="00310B78">
            <w:pPr>
              <w:pStyle w:val="Tabletext"/>
              <w:keepLines/>
            </w:pPr>
            <w:r w:rsidRPr="00F10C3A">
              <w:t>35</w:t>
            </w:r>
            <w:r w:rsidR="00765ADF" w:rsidRPr="00F10C3A">
              <w:t>/260</w:t>
            </w:r>
            <w:r w:rsidR="007378C1" w:rsidRPr="00F10C3A">
              <w:t xml:space="preserve"> (13.5%)</w:t>
            </w:r>
          </w:p>
        </w:tc>
        <w:tc>
          <w:tcPr>
            <w:tcW w:w="613" w:type="pct"/>
            <w:shd w:val="clear" w:color="auto" w:fill="auto"/>
            <w:vAlign w:val="center"/>
          </w:tcPr>
          <w:p w:rsidR="00CB34C2" w:rsidRPr="00F10C3A" w:rsidRDefault="00765ADF" w:rsidP="00310B78">
            <w:pPr>
              <w:pStyle w:val="Tabletext"/>
              <w:keepLines/>
            </w:pPr>
            <w:r w:rsidRPr="00F10C3A">
              <w:t>0/262</w:t>
            </w:r>
            <w:r w:rsidR="007378C1" w:rsidRPr="00F10C3A">
              <w:t xml:space="preserve"> (0.0%)</w:t>
            </w:r>
          </w:p>
        </w:tc>
        <w:tc>
          <w:tcPr>
            <w:tcW w:w="844" w:type="pct"/>
            <w:shd w:val="clear" w:color="auto" w:fill="auto"/>
            <w:vAlign w:val="center"/>
          </w:tcPr>
          <w:p w:rsidR="00CB34C2" w:rsidRPr="00F10C3A" w:rsidRDefault="00CB34C2" w:rsidP="00310B78">
            <w:pPr>
              <w:pStyle w:val="Tabletext"/>
              <w:keepLines/>
              <w:rPr>
                <w:b/>
              </w:rPr>
            </w:pPr>
            <w:r w:rsidRPr="00F10C3A">
              <w:rPr>
                <w:b/>
              </w:rPr>
              <w:t>82.65 (5.04, 1355.04)</w:t>
            </w:r>
            <w:r w:rsidRPr="00F10C3A">
              <w:rPr>
                <w:b/>
                <w:vertAlign w:val="superscript"/>
              </w:rPr>
              <w:t>a</w:t>
            </w:r>
          </w:p>
        </w:tc>
        <w:tc>
          <w:tcPr>
            <w:tcW w:w="690" w:type="pct"/>
            <w:shd w:val="clear" w:color="auto" w:fill="auto"/>
            <w:vAlign w:val="center"/>
          </w:tcPr>
          <w:p w:rsidR="00CB34C2" w:rsidRPr="00F10C3A" w:rsidRDefault="00CB34C2" w:rsidP="00310B78">
            <w:pPr>
              <w:pStyle w:val="Tabletext"/>
              <w:keepLines/>
            </w:pPr>
            <w:r w:rsidRPr="00F10C3A">
              <w:t>13</w:t>
            </w:r>
          </w:p>
        </w:tc>
        <w:tc>
          <w:tcPr>
            <w:tcW w:w="461" w:type="pct"/>
            <w:shd w:val="clear" w:color="auto" w:fill="auto"/>
            <w:vAlign w:val="center"/>
          </w:tcPr>
          <w:p w:rsidR="00CB34C2" w:rsidRPr="00F10C3A" w:rsidRDefault="00CB34C2" w:rsidP="00310B78">
            <w:pPr>
              <w:pStyle w:val="Tabletext"/>
              <w:keepLines/>
            </w:pPr>
            <w:r w:rsidRPr="00F10C3A">
              <w:t>0</w:t>
            </w:r>
          </w:p>
        </w:tc>
        <w:tc>
          <w:tcPr>
            <w:tcW w:w="849" w:type="pct"/>
            <w:gridSpan w:val="2"/>
            <w:shd w:val="clear" w:color="auto" w:fill="auto"/>
            <w:vAlign w:val="center"/>
          </w:tcPr>
          <w:p w:rsidR="00CB34C2" w:rsidRPr="00F10C3A" w:rsidRDefault="00CB34C2" w:rsidP="00310B78">
            <w:pPr>
              <w:pStyle w:val="Tabletext"/>
              <w:keepLines/>
              <w:rPr>
                <w:b/>
              </w:rPr>
            </w:pPr>
            <w:r w:rsidRPr="00F10C3A">
              <w:rPr>
                <w:b/>
                <w:lang w:val="en-AU"/>
              </w:rPr>
              <w:t>0.13 (0.09, 0.18)</w:t>
            </w:r>
          </w:p>
        </w:tc>
      </w:tr>
    </w:tbl>
    <w:p w:rsidR="00D42AB0" w:rsidRPr="00F10C3A" w:rsidRDefault="00F606F7" w:rsidP="00FD5E80">
      <w:pPr>
        <w:pStyle w:val="TableFooter"/>
        <w:keepLines/>
      </w:pPr>
      <w:r w:rsidRPr="00F10C3A">
        <w:t xml:space="preserve">Source: </w:t>
      </w:r>
      <w:r w:rsidR="00F02A2B" w:rsidRPr="00F10C3A">
        <w:t>c</w:t>
      </w:r>
      <w:r w:rsidR="00D42AB0" w:rsidRPr="00F10C3A">
        <w:t xml:space="preserve">ompiled during the evaluation </w:t>
      </w:r>
      <w:r w:rsidR="00F02A2B" w:rsidRPr="00F10C3A">
        <w:t>and calculated during the evaluation</w:t>
      </w:r>
    </w:p>
    <w:p w:rsidR="00F606F7" w:rsidRPr="00F10C3A" w:rsidRDefault="00F02A2B" w:rsidP="00FD5E80">
      <w:pPr>
        <w:pStyle w:val="TableFooter"/>
        <w:keepLines/>
      </w:pPr>
      <w:r w:rsidRPr="00F10C3A">
        <w:t>CI = confidence interval</w:t>
      </w:r>
      <w:r w:rsidR="0010015B">
        <w:t xml:space="preserve"> </w:t>
      </w:r>
      <w:r w:rsidR="00D42AB0" w:rsidRPr="00F10C3A">
        <w:t xml:space="preserve">OR = odds ratio; RD = </w:t>
      </w:r>
      <w:r w:rsidR="001B1788" w:rsidRPr="00F10C3A">
        <w:t>risk difference; RR = relative risk</w:t>
      </w:r>
    </w:p>
    <w:p w:rsidR="0045698A" w:rsidRPr="00F10C3A" w:rsidRDefault="00D42AB0" w:rsidP="00FD5E80">
      <w:pPr>
        <w:pStyle w:val="TableFooter"/>
        <w:keepLines/>
      </w:pPr>
      <w:proofErr w:type="gramStart"/>
      <w:r w:rsidRPr="00F10C3A">
        <w:rPr>
          <w:vertAlign w:val="superscript"/>
        </w:rPr>
        <w:t>a</w:t>
      </w:r>
      <w:proofErr w:type="gramEnd"/>
      <w:r w:rsidRPr="00F10C3A">
        <w:rPr>
          <w:vertAlign w:val="superscript"/>
        </w:rPr>
        <w:t xml:space="preserve"> </w:t>
      </w:r>
      <w:r w:rsidR="00943B72" w:rsidRPr="00F10C3A">
        <w:t>Maximum duration of follow-up: Piper (2009) = 6 months</w:t>
      </w:r>
      <w:r w:rsidR="0045698A" w:rsidRPr="00F10C3A">
        <w:t xml:space="preserve">; </w:t>
      </w:r>
      <w:proofErr w:type="spellStart"/>
      <w:r w:rsidR="00943B72" w:rsidRPr="00F10C3A">
        <w:t>Scnholl</w:t>
      </w:r>
      <w:proofErr w:type="spellEnd"/>
      <w:r w:rsidR="0045698A" w:rsidRPr="00F10C3A">
        <w:t xml:space="preserve"> </w:t>
      </w:r>
      <w:r w:rsidR="00943B72" w:rsidRPr="00F10C3A">
        <w:t>(2010)= 6 months; Smith (2009) = 6 months</w:t>
      </w:r>
    </w:p>
    <w:p w:rsidR="00855F01" w:rsidRPr="00F10C3A" w:rsidRDefault="00855F01" w:rsidP="00FD5E80">
      <w:pPr>
        <w:pStyle w:val="TableFooter"/>
        <w:keepLines/>
      </w:pPr>
      <w:proofErr w:type="gramStart"/>
      <w:r w:rsidRPr="00F10C3A">
        <w:rPr>
          <w:vertAlign w:val="superscript"/>
        </w:rPr>
        <w:t>b</w:t>
      </w:r>
      <w:proofErr w:type="gramEnd"/>
      <w:r w:rsidRPr="00F10C3A">
        <w:t xml:space="preserve"> Number of people with smoking abstinence at 6 months cannot be verified from the publications as only percentages were provided</w:t>
      </w:r>
    </w:p>
    <w:p w:rsidR="00855F01" w:rsidRPr="00F10C3A" w:rsidRDefault="00855F01" w:rsidP="00FD5E80">
      <w:pPr>
        <w:pStyle w:val="TableFooter"/>
        <w:keepLines/>
      </w:pPr>
      <w:proofErr w:type="gramStart"/>
      <w:r w:rsidRPr="00F10C3A">
        <w:rPr>
          <w:vertAlign w:val="superscript"/>
        </w:rPr>
        <w:t>c</w:t>
      </w:r>
      <w:proofErr w:type="gramEnd"/>
      <w:r w:rsidRPr="00F10C3A">
        <w:t xml:space="preserve"> smoking abstinence in Smith (2009) was 19.9%</w:t>
      </w:r>
    </w:p>
    <w:p w:rsidR="00CB34C2" w:rsidRPr="00F10C3A" w:rsidRDefault="00CB34C2" w:rsidP="00CB34C2">
      <w:pPr>
        <w:rPr>
          <w:rFonts w:asciiTheme="minorHAnsi" w:hAnsiTheme="minorHAnsi"/>
          <w:sz w:val="24"/>
          <w:szCs w:val="24"/>
        </w:rPr>
      </w:pPr>
    </w:p>
    <w:p w:rsidR="00366080" w:rsidRPr="00F10C3A" w:rsidRDefault="00366080"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On the basis of the direct evidence presented by the submission, for every 100 patients treated with nicotine lozenges in comparison to nicotine patches over a maximum duration of treatment of 12 weeks:</w:t>
      </w:r>
    </w:p>
    <w:p w:rsidR="00366080" w:rsidRPr="00F10C3A" w:rsidRDefault="00A0181F" w:rsidP="007E3BC0">
      <w:pPr>
        <w:widowControl/>
        <w:numPr>
          <w:ilvl w:val="0"/>
          <w:numId w:val="2"/>
        </w:numPr>
        <w:ind w:left="993" w:hanging="284"/>
        <w:rPr>
          <w:rFonts w:ascii="Calibri" w:eastAsia="Calibri" w:hAnsi="Calibri"/>
          <w:snapToGrid/>
          <w:sz w:val="24"/>
          <w:szCs w:val="22"/>
        </w:rPr>
      </w:pPr>
      <w:r w:rsidRPr="00F10C3A">
        <w:rPr>
          <w:rFonts w:ascii="Calibri" w:eastAsia="Calibri" w:hAnsi="Calibri"/>
          <w:snapToGrid/>
          <w:sz w:val="24"/>
          <w:szCs w:val="22"/>
        </w:rPr>
        <w:t>There was n</w:t>
      </w:r>
      <w:r w:rsidR="00EB3493" w:rsidRPr="00F10C3A">
        <w:rPr>
          <w:rFonts w:ascii="Calibri" w:eastAsia="Calibri" w:hAnsi="Calibri"/>
          <w:snapToGrid/>
          <w:sz w:val="24"/>
          <w:szCs w:val="22"/>
        </w:rPr>
        <w:t>o difference in</w:t>
      </w:r>
      <w:r w:rsidR="00366080" w:rsidRPr="00F10C3A">
        <w:rPr>
          <w:rFonts w:ascii="Calibri" w:eastAsia="Calibri" w:hAnsi="Calibri"/>
          <w:snapToGrid/>
          <w:sz w:val="24"/>
          <w:szCs w:val="22"/>
        </w:rPr>
        <w:t xml:space="preserve"> </w:t>
      </w:r>
      <w:r w:rsidR="00F8734F" w:rsidRPr="00F10C3A">
        <w:rPr>
          <w:rFonts w:ascii="Calibri" w:eastAsia="Calibri" w:hAnsi="Calibri"/>
          <w:snapToGrid/>
          <w:sz w:val="24"/>
          <w:szCs w:val="22"/>
        </w:rPr>
        <w:t xml:space="preserve">the proportion of individuals achieving </w:t>
      </w:r>
      <w:r w:rsidR="00366080" w:rsidRPr="00F10C3A">
        <w:rPr>
          <w:rFonts w:ascii="Calibri" w:eastAsia="Calibri" w:hAnsi="Calibri"/>
          <w:snapToGrid/>
          <w:sz w:val="24"/>
          <w:szCs w:val="22"/>
        </w:rPr>
        <w:t xml:space="preserve">sustained abstinence; </w:t>
      </w:r>
    </w:p>
    <w:p w:rsidR="00366080" w:rsidRPr="00F10C3A" w:rsidRDefault="00366080" w:rsidP="007E3BC0">
      <w:pPr>
        <w:widowControl/>
        <w:numPr>
          <w:ilvl w:val="0"/>
          <w:numId w:val="2"/>
        </w:numPr>
        <w:ind w:left="993" w:hanging="284"/>
        <w:rPr>
          <w:rFonts w:ascii="Calibri" w:eastAsia="Calibri" w:hAnsi="Calibri"/>
          <w:snapToGrid/>
          <w:sz w:val="24"/>
          <w:szCs w:val="22"/>
        </w:rPr>
      </w:pPr>
      <w:r w:rsidRPr="00F10C3A">
        <w:rPr>
          <w:rFonts w:ascii="Calibri" w:eastAsia="Calibri" w:hAnsi="Calibri"/>
          <w:snapToGrid/>
          <w:sz w:val="24"/>
          <w:szCs w:val="22"/>
        </w:rPr>
        <w:t>Approximately eight more patients would experience nausea or vomiting;</w:t>
      </w:r>
    </w:p>
    <w:p w:rsidR="00366080" w:rsidRPr="00F10C3A" w:rsidRDefault="00366080" w:rsidP="007E3BC0">
      <w:pPr>
        <w:widowControl/>
        <w:numPr>
          <w:ilvl w:val="0"/>
          <w:numId w:val="2"/>
        </w:numPr>
        <w:ind w:left="993" w:hanging="284"/>
        <w:rPr>
          <w:rFonts w:ascii="Calibri" w:eastAsia="Calibri" w:hAnsi="Calibri"/>
          <w:snapToGrid/>
          <w:sz w:val="24"/>
          <w:szCs w:val="22"/>
        </w:rPr>
      </w:pPr>
      <w:r w:rsidRPr="00F10C3A">
        <w:rPr>
          <w:rFonts w:ascii="Calibri" w:eastAsia="Calibri" w:hAnsi="Calibri"/>
          <w:snapToGrid/>
          <w:sz w:val="24"/>
          <w:szCs w:val="22"/>
        </w:rPr>
        <w:t xml:space="preserve">Approximately </w:t>
      </w:r>
      <w:r w:rsidR="0096306C" w:rsidRPr="00F10C3A">
        <w:rPr>
          <w:rFonts w:ascii="Calibri" w:eastAsia="Calibri" w:hAnsi="Calibri"/>
          <w:snapToGrid/>
          <w:sz w:val="24"/>
          <w:szCs w:val="22"/>
        </w:rPr>
        <w:t xml:space="preserve">ten </w:t>
      </w:r>
      <w:r w:rsidRPr="00F10C3A">
        <w:rPr>
          <w:rFonts w:ascii="Calibri" w:eastAsia="Calibri" w:hAnsi="Calibri"/>
          <w:snapToGrid/>
          <w:sz w:val="24"/>
          <w:szCs w:val="22"/>
        </w:rPr>
        <w:t>more patient</w:t>
      </w:r>
      <w:r w:rsidR="0096306C" w:rsidRPr="00F10C3A">
        <w:rPr>
          <w:rFonts w:ascii="Calibri" w:eastAsia="Calibri" w:hAnsi="Calibri"/>
          <w:snapToGrid/>
          <w:sz w:val="24"/>
          <w:szCs w:val="22"/>
        </w:rPr>
        <w:t>s</w:t>
      </w:r>
      <w:r w:rsidRPr="00F10C3A">
        <w:rPr>
          <w:rFonts w:ascii="Calibri" w:eastAsia="Calibri" w:hAnsi="Calibri"/>
          <w:snapToGrid/>
          <w:sz w:val="24"/>
          <w:szCs w:val="22"/>
        </w:rPr>
        <w:t xml:space="preserve"> would experience an oral reaction; and</w:t>
      </w:r>
    </w:p>
    <w:p w:rsidR="00366080" w:rsidRDefault="00366080" w:rsidP="007E3BC0">
      <w:pPr>
        <w:widowControl/>
        <w:numPr>
          <w:ilvl w:val="0"/>
          <w:numId w:val="2"/>
        </w:numPr>
        <w:ind w:left="993" w:hanging="284"/>
        <w:rPr>
          <w:rFonts w:ascii="Calibri" w:eastAsia="Calibri" w:hAnsi="Calibri"/>
          <w:snapToGrid/>
          <w:sz w:val="24"/>
          <w:szCs w:val="22"/>
        </w:rPr>
      </w:pPr>
      <w:r w:rsidRPr="00F10C3A">
        <w:rPr>
          <w:rFonts w:ascii="Calibri" w:eastAsia="Calibri" w:hAnsi="Calibri"/>
          <w:snapToGrid/>
          <w:sz w:val="24"/>
          <w:szCs w:val="22"/>
        </w:rPr>
        <w:t>Approximately 13 more patients would experience hiccups.</w:t>
      </w:r>
    </w:p>
    <w:p w:rsidR="00DA5721" w:rsidRDefault="007A3467" w:rsidP="007E3BC0">
      <w:pPr>
        <w:widowControl/>
        <w:numPr>
          <w:ilvl w:val="0"/>
          <w:numId w:val="2"/>
        </w:numPr>
        <w:ind w:left="993" w:hanging="284"/>
        <w:rPr>
          <w:rFonts w:ascii="Calibri" w:eastAsia="Calibri" w:hAnsi="Calibri"/>
          <w:snapToGrid/>
          <w:sz w:val="24"/>
          <w:szCs w:val="22"/>
        </w:rPr>
      </w:pPr>
      <w:r>
        <w:rPr>
          <w:rFonts w:ascii="Calibri" w:eastAsia="Calibri" w:hAnsi="Calibri"/>
          <w:snapToGrid/>
          <w:sz w:val="24"/>
          <w:szCs w:val="22"/>
        </w:rPr>
        <w:t>Approximately 32</w:t>
      </w:r>
      <w:r w:rsidR="00DA5721">
        <w:rPr>
          <w:rFonts w:ascii="Calibri" w:eastAsia="Calibri" w:hAnsi="Calibri"/>
          <w:snapToGrid/>
          <w:sz w:val="24"/>
          <w:szCs w:val="22"/>
        </w:rPr>
        <w:t xml:space="preserve"> fewer</w:t>
      </w:r>
      <w:r>
        <w:rPr>
          <w:rFonts w:ascii="Calibri" w:eastAsia="Calibri" w:hAnsi="Calibri"/>
          <w:snapToGrid/>
          <w:sz w:val="24"/>
          <w:szCs w:val="22"/>
        </w:rPr>
        <w:t xml:space="preserve"> </w:t>
      </w:r>
      <w:r w:rsidR="00A466FC">
        <w:rPr>
          <w:rFonts w:ascii="Calibri" w:eastAsia="Calibri" w:hAnsi="Calibri"/>
          <w:snapToGrid/>
          <w:sz w:val="24"/>
          <w:szCs w:val="22"/>
        </w:rPr>
        <w:t>patients would experience a skin reaction.</w:t>
      </w:r>
    </w:p>
    <w:p w:rsidR="00291B4A" w:rsidRPr="00F10C3A" w:rsidRDefault="00291B4A" w:rsidP="007E3BC0">
      <w:pPr>
        <w:widowControl/>
        <w:numPr>
          <w:ilvl w:val="0"/>
          <w:numId w:val="2"/>
        </w:numPr>
        <w:ind w:left="993" w:hanging="284"/>
        <w:rPr>
          <w:rFonts w:ascii="Calibri" w:eastAsia="Calibri" w:hAnsi="Calibri"/>
          <w:snapToGrid/>
          <w:sz w:val="24"/>
          <w:szCs w:val="22"/>
        </w:rPr>
      </w:pPr>
      <w:r>
        <w:rPr>
          <w:rFonts w:ascii="Calibri" w:eastAsia="Calibri" w:hAnsi="Calibri"/>
          <w:snapToGrid/>
          <w:sz w:val="24"/>
          <w:szCs w:val="22"/>
        </w:rPr>
        <w:t>Approximately 18 fewer patients would experience sleep problems.</w:t>
      </w:r>
    </w:p>
    <w:p w:rsidR="00A15212" w:rsidRPr="00F10C3A" w:rsidRDefault="00B519BC" w:rsidP="00504102">
      <w:pPr>
        <w:widowControl/>
        <w:rPr>
          <w:rFonts w:ascii="Calibri" w:eastAsia="Calibri" w:hAnsi="Calibri"/>
          <w:snapToGrid/>
          <w:sz w:val="24"/>
          <w:szCs w:val="22"/>
        </w:rPr>
      </w:pPr>
      <w:r w:rsidRPr="00F10C3A">
        <w:rPr>
          <w:rFonts w:ascii="Calibri" w:eastAsia="Calibri" w:hAnsi="Calibri"/>
          <w:snapToGrid/>
          <w:sz w:val="24"/>
          <w:szCs w:val="22"/>
        </w:rPr>
        <w:br/>
      </w:r>
      <w:bookmarkStart w:id="33" w:name="_Toc482710296"/>
      <w:r w:rsidR="00544BC7" w:rsidRPr="00504102">
        <w:rPr>
          <w:rFonts w:asciiTheme="minorHAnsi" w:eastAsia="Calibri" w:hAnsiTheme="minorHAnsi"/>
          <w:snapToGrid/>
          <w:sz w:val="24"/>
          <w:szCs w:val="24"/>
          <w:u w:val="single"/>
        </w:rPr>
        <w:t>Nicotine gum versus patches</w:t>
      </w:r>
      <w:bookmarkEnd w:id="33"/>
    </w:p>
    <w:p w:rsidR="00672E12" w:rsidRPr="00F10C3A" w:rsidRDefault="00672E12" w:rsidP="00672E12"/>
    <w:p w:rsidR="00544BC7" w:rsidRPr="00F10C3A" w:rsidRDefault="00544BC7"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A summary of the comparative benefits and harms between nicotine gum and nicotine patches is presented below. </w:t>
      </w:r>
    </w:p>
    <w:p w:rsidR="00960248" w:rsidRDefault="00960248" w:rsidP="00960248">
      <w:pPr>
        <w:pStyle w:val="Caption"/>
      </w:pPr>
      <w:r>
        <w:t xml:space="preserve">Table </w:t>
      </w:r>
      <w:r w:rsidR="00910E30">
        <w:rPr>
          <w:noProof/>
        </w:rPr>
        <w:t>9</w:t>
      </w:r>
      <w:r w:rsidRPr="00CE6D72">
        <w:t>: Summary of comparative benefits and harms for nicotine gum and nicotine patches (indirect comparison)</w:t>
      </w:r>
    </w:p>
    <w:tbl>
      <w:tblPr>
        <w:tblStyle w:val="TableGridbeth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benefits and harms for nicotine gum and nicotine patches (indirect comparison)"/>
      </w:tblPr>
      <w:tblGrid>
        <w:gridCol w:w="1195"/>
        <w:gridCol w:w="1250"/>
        <w:gridCol w:w="1061"/>
        <w:gridCol w:w="1878"/>
        <w:gridCol w:w="708"/>
        <w:gridCol w:w="1095"/>
        <w:gridCol w:w="1895"/>
      </w:tblGrid>
      <w:tr w:rsidR="00544BC7" w:rsidRPr="00F10C3A" w:rsidTr="00604D19">
        <w:trPr>
          <w:cnfStyle w:val="100000000000" w:firstRow="1" w:lastRow="0" w:firstColumn="0" w:lastColumn="0" w:oddVBand="0" w:evenVBand="0" w:oddHBand="0" w:evenHBand="0" w:firstRowFirstColumn="0" w:firstRowLastColumn="0" w:lastRowFirstColumn="0" w:lastRowLastColumn="0"/>
          <w:trHeight w:val="64"/>
          <w:tblHeader/>
        </w:trPr>
        <w:tc>
          <w:tcPr>
            <w:tcW w:w="5000" w:type="pct"/>
            <w:gridSpan w:val="7"/>
            <w:shd w:val="clear" w:color="auto" w:fill="auto"/>
            <w:vAlign w:val="center"/>
          </w:tcPr>
          <w:p w:rsidR="00544BC7" w:rsidRPr="00F10C3A" w:rsidRDefault="00544BC7" w:rsidP="00C5279A">
            <w:pPr>
              <w:keepNext/>
              <w:widowControl/>
              <w:jc w:val="left"/>
              <w:rPr>
                <w:rFonts w:ascii="Arial Narrow" w:hAnsi="Arial Narrow"/>
                <w:sz w:val="20"/>
              </w:rPr>
            </w:pPr>
            <w:r w:rsidRPr="00F10C3A">
              <w:rPr>
                <w:rFonts w:ascii="Arial Narrow" w:hAnsi="Arial Narrow"/>
                <w:sz w:val="20"/>
              </w:rPr>
              <w:t>Benefits</w:t>
            </w:r>
          </w:p>
        </w:tc>
      </w:tr>
      <w:tr w:rsidR="00544BC7" w:rsidRPr="00F10C3A" w:rsidTr="00C5279A">
        <w:tc>
          <w:tcPr>
            <w:tcW w:w="5000" w:type="pct"/>
            <w:gridSpan w:val="7"/>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 xml:space="preserve">Stead 2012 (Nicotine gum versus control trials (N=56)) Random effects </w:t>
            </w:r>
            <w:r w:rsidR="00D81436" w:rsidRPr="00F10C3A">
              <w:rPr>
                <w:rFonts w:ascii="Arial Narrow" w:hAnsi="Arial Narrow"/>
                <w:b/>
                <w:sz w:val="20"/>
              </w:rPr>
              <w:t>meta-analysis</w:t>
            </w:r>
          </w:p>
        </w:tc>
      </w:tr>
      <w:tr w:rsidR="00544BC7" w:rsidRPr="00F10C3A" w:rsidTr="00960248">
        <w:trPr>
          <w:trHeight w:val="105"/>
        </w:trPr>
        <w:tc>
          <w:tcPr>
            <w:tcW w:w="658" w:type="pct"/>
            <w:vMerge w:val="restart"/>
            <w:shd w:val="clear" w:color="auto" w:fill="auto"/>
            <w:vAlign w:val="center"/>
          </w:tcPr>
          <w:p w:rsidR="00544BC7" w:rsidRPr="00F10C3A" w:rsidRDefault="00544BC7" w:rsidP="00C5279A">
            <w:pPr>
              <w:keepNext/>
              <w:widowControl/>
              <w:jc w:val="left"/>
              <w:rPr>
                <w:rFonts w:ascii="Arial Narrow" w:hAnsi="Arial Narrow"/>
                <w:sz w:val="20"/>
              </w:rPr>
            </w:pPr>
            <w:r w:rsidRPr="00F10C3A">
              <w:rPr>
                <w:rFonts w:ascii="Arial Narrow" w:hAnsi="Arial Narrow"/>
                <w:b/>
                <w:sz w:val="20"/>
              </w:rPr>
              <w:t>Sustained abstinence</w:t>
            </w:r>
          </w:p>
          <w:p w:rsidR="00544BC7" w:rsidRPr="00F10C3A" w:rsidRDefault="00544BC7" w:rsidP="00C5279A">
            <w:pPr>
              <w:keepNext/>
              <w:jc w:val="left"/>
              <w:rPr>
                <w:rFonts w:ascii="Arial Narrow" w:hAnsi="Arial Narrow"/>
                <w:sz w:val="20"/>
              </w:rPr>
            </w:pPr>
          </w:p>
        </w:tc>
        <w:tc>
          <w:tcPr>
            <w:tcW w:w="688"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Nicotine gum</w:t>
            </w:r>
          </w:p>
          <w:p w:rsidR="00544BC7" w:rsidRPr="00F10C3A" w:rsidRDefault="00544BC7" w:rsidP="00C5279A">
            <w:pPr>
              <w:keepNext/>
              <w:widowControl/>
              <w:jc w:val="left"/>
              <w:rPr>
                <w:rFonts w:ascii="Arial Narrow" w:hAnsi="Arial Narrow"/>
                <w:b/>
                <w:sz w:val="20"/>
              </w:rPr>
            </w:pPr>
            <w:proofErr w:type="gramStart"/>
            <w:r w:rsidRPr="00F10C3A">
              <w:rPr>
                <w:rFonts w:ascii="Arial Narrow" w:hAnsi="Arial Narrow"/>
                <w:b/>
                <w:sz w:val="20"/>
              </w:rPr>
              <w:t>n/N</w:t>
            </w:r>
            <w:proofErr w:type="gramEnd"/>
            <w:r w:rsidRPr="00F10C3A">
              <w:rPr>
                <w:rFonts w:ascii="Arial Narrow" w:hAnsi="Arial Narrow"/>
                <w:b/>
                <w:sz w:val="20"/>
              </w:rPr>
              <w:t xml:space="preserve"> (%)</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 xml:space="preserve"> (N = 10,596)</w:t>
            </w:r>
          </w:p>
        </w:tc>
        <w:tc>
          <w:tcPr>
            <w:tcW w:w="584"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Placebo</w:t>
            </w:r>
          </w:p>
          <w:p w:rsidR="00544BC7" w:rsidRPr="00F10C3A" w:rsidRDefault="00544BC7" w:rsidP="00C5279A">
            <w:pPr>
              <w:keepNext/>
              <w:widowControl/>
              <w:jc w:val="left"/>
              <w:rPr>
                <w:rFonts w:ascii="Arial Narrow" w:hAnsi="Arial Narrow"/>
                <w:b/>
                <w:sz w:val="20"/>
              </w:rPr>
            </w:pPr>
            <w:proofErr w:type="gramStart"/>
            <w:r w:rsidRPr="00F10C3A">
              <w:rPr>
                <w:rFonts w:ascii="Arial Narrow" w:hAnsi="Arial Narrow"/>
                <w:b/>
                <w:sz w:val="20"/>
              </w:rPr>
              <w:t>n/N</w:t>
            </w:r>
            <w:proofErr w:type="gramEnd"/>
            <w:r w:rsidRPr="00F10C3A">
              <w:rPr>
                <w:rFonts w:ascii="Arial Narrow" w:hAnsi="Arial Narrow"/>
                <w:b/>
                <w:sz w:val="20"/>
              </w:rPr>
              <w:t xml:space="preserve"> (%)</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 xml:space="preserve"> (N = 11,986)</w:t>
            </w:r>
          </w:p>
        </w:tc>
        <w:tc>
          <w:tcPr>
            <w:tcW w:w="1034"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RR</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(95% CI)</w:t>
            </w:r>
          </w:p>
        </w:tc>
        <w:tc>
          <w:tcPr>
            <w:tcW w:w="993" w:type="pct"/>
            <w:gridSpan w:val="2"/>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 xml:space="preserve">Event rate/100 </w:t>
            </w:r>
            <w:proofErr w:type="spellStart"/>
            <w:r w:rsidRPr="00F10C3A">
              <w:rPr>
                <w:rFonts w:ascii="Arial Narrow" w:hAnsi="Arial Narrow"/>
                <w:b/>
                <w:sz w:val="20"/>
              </w:rPr>
              <w:t>patients</w:t>
            </w:r>
            <w:r w:rsidRPr="00F10C3A">
              <w:rPr>
                <w:rFonts w:ascii="Arial Narrow" w:hAnsi="Arial Narrow"/>
                <w:b/>
                <w:sz w:val="20"/>
                <w:vertAlign w:val="superscript"/>
              </w:rPr>
              <w:t>a</w:t>
            </w:r>
            <w:proofErr w:type="spellEnd"/>
          </w:p>
        </w:tc>
        <w:tc>
          <w:tcPr>
            <w:tcW w:w="1043"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RD</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(95% CI)</w:t>
            </w:r>
          </w:p>
        </w:tc>
      </w:tr>
      <w:tr w:rsidR="00544BC7" w:rsidRPr="00F10C3A" w:rsidTr="00960248">
        <w:trPr>
          <w:trHeight w:val="70"/>
        </w:trPr>
        <w:tc>
          <w:tcPr>
            <w:tcW w:w="658" w:type="pct"/>
            <w:vMerge/>
            <w:shd w:val="clear" w:color="auto" w:fill="auto"/>
            <w:vAlign w:val="center"/>
          </w:tcPr>
          <w:p w:rsidR="00544BC7" w:rsidRPr="00F10C3A" w:rsidRDefault="00544BC7" w:rsidP="00C5279A">
            <w:pPr>
              <w:keepNext/>
              <w:jc w:val="left"/>
              <w:rPr>
                <w:rFonts w:ascii="Arial Narrow" w:hAnsi="Arial Narrow"/>
                <w:sz w:val="20"/>
              </w:rPr>
            </w:pPr>
          </w:p>
        </w:tc>
        <w:tc>
          <w:tcPr>
            <w:tcW w:w="688" w:type="pct"/>
            <w:vMerge/>
            <w:shd w:val="clear" w:color="auto" w:fill="auto"/>
            <w:vAlign w:val="center"/>
          </w:tcPr>
          <w:p w:rsidR="00544BC7" w:rsidRPr="00F10C3A" w:rsidRDefault="00544BC7" w:rsidP="00C5279A">
            <w:pPr>
              <w:keepNext/>
              <w:widowControl/>
              <w:jc w:val="left"/>
              <w:rPr>
                <w:rFonts w:ascii="Arial Narrow" w:hAnsi="Arial Narrow"/>
                <w:sz w:val="20"/>
              </w:rPr>
            </w:pPr>
          </w:p>
        </w:tc>
        <w:tc>
          <w:tcPr>
            <w:tcW w:w="584" w:type="pct"/>
            <w:vMerge/>
            <w:shd w:val="clear" w:color="auto" w:fill="auto"/>
            <w:vAlign w:val="center"/>
          </w:tcPr>
          <w:p w:rsidR="00544BC7" w:rsidRPr="00F10C3A" w:rsidRDefault="00544BC7" w:rsidP="00C5279A">
            <w:pPr>
              <w:keepNext/>
              <w:widowControl/>
              <w:jc w:val="left"/>
              <w:rPr>
                <w:rFonts w:ascii="Arial Narrow" w:hAnsi="Arial Narrow"/>
                <w:sz w:val="20"/>
              </w:rPr>
            </w:pPr>
          </w:p>
        </w:tc>
        <w:tc>
          <w:tcPr>
            <w:tcW w:w="1034" w:type="pct"/>
            <w:vMerge/>
            <w:shd w:val="clear" w:color="auto" w:fill="auto"/>
            <w:vAlign w:val="center"/>
          </w:tcPr>
          <w:p w:rsidR="00544BC7" w:rsidRPr="00F10C3A" w:rsidRDefault="00544BC7" w:rsidP="00C5279A">
            <w:pPr>
              <w:keepNext/>
              <w:widowControl/>
              <w:jc w:val="left"/>
              <w:rPr>
                <w:rFonts w:ascii="Arial Narrow" w:hAnsi="Arial Narrow"/>
                <w:sz w:val="20"/>
              </w:rPr>
            </w:pPr>
          </w:p>
        </w:tc>
        <w:tc>
          <w:tcPr>
            <w:tcW w:w="390" w:type="pc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Nicotine gum</w:t>
            </w:r>
          </w:p>
        </w:tc>
        <w:tc>
          <w:tcPr>
            <w:tcW w:w="603" w:type="pc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Placebo</w:t>
            </w:r>
          </w:p>
        </w:tc>
        <w:tc>
          <w:tcPr>
            <w:tcW w:w="1043" w:type="pct"/>
            <w:vMerge/>
            <w:shd w:val="clear" w:color="auto" w:fill="auto"/>
            <w:vAlign w:val="center"/>
          </w:tcPr>
          <w:p w:rsidR="00544BC7" w:rsidRPr="00F10C3A" w:rsidRDefault="00544BC7" w:rsidP="00C5279A">
            <w:pPr>
              <w:keepNext/>
              <w:widowControl/>
              <w:jc w:val="left"/>
              <w:rPr>
                <w:rFonts w:ascii="Arial Narrow" w:hAnsi="Arial Narrow"/>
                <w:sz w:val="20"/>
              </w:rPr>
            </w:pPr>
          </w:p>
        </w:tc>
      </w:tr>
      <w:tr w:rsidR="00544BC7" w:rsidRPr="00F10C3A" w:rsidTr="00960248">
        <w:trPr>
          <w:trHeight w:val="64"/>
        </w:trPr>
        <w:tc>
          <w:tcPr>
            <w:tcW w:w="658" w:type="pct"/>
            <w:vMerge/>
            <w:shd w:val="clear" w:color="auto" w:fill="auto"/>
            <w:vAlign w:val="center"/>
          </w:tcPr>
          <w:p w:rsidR="00544BC7" w:rsidRPr="00F10C3A" w:rsidRDefault="00544BC7" w:rsidP="00C5279A">
            <w:pPr>
              <w:keepNext/>
              <w:widowControl/>
              <w:jc w:val="left"/>
              <w:rPr>
                <w:rFonts w:ascii="Arial Narrow" w:hAnsi="Arial Narrow"/>
                <w:sz w:val="20"/>
              </w:rPr>
            </w:pPr>
          </w:p>
        </w:tc>
        <w:tc>
          <w:tcPr>
            <w:tcW w:w="688" w:type="pct"/>
            <w:tcBorders>
              <w:top w:val="single" w:sz="4" w:space="0" w:color="auto"/>
              <w:left w:val="single" w:sz="4" w:space="0" w:color="auto"/>
              <w:bottom w:val="single" w:sz="4" w:space="0" w:color="auto"/>
              <w:right w:val="single" w:sz="4" w:space="0" w:color="auto"/>
            </w:tcBorders>
            <w:vAlign w:val="center"/>
          </w:tcPr>
          <w:p w:rsidR="00544BC7" w:rsidRPr="00F10C3A" w:rsidRDefault="00544BC7" w:rsidP="00C5279A">
            <w:pPr>
              <w:pStyle w:val="TableText1"/>
            </w:pPr>
            <w:r w:rsidRPr="00F10C3A">
              <w:t>1732 (16.3%)</w:t>
            </w:r>
          </w:p>
        </w:tc>
        <w:tc>
          <w:tcPr>
            <w:tcW w:w="584" w:type="pct"/>
            <w:tcBorders>
              <w:top w:val="single" w:sz="4" w:space="0" w:color="auto"/>
              <w:left w:val="single" w:sz="4" w:space="0" w:color="auto"/>
              <w:bottom w:val="single" w:sz="4" w:space="0" w:color="auto"/>
              <w:right w:val="double" w:sz="4" w:space="0" w:color="auto"/>
            </w:tcBorders>
            <w:vAlign w:val="center"/>
          </w:tcPr>
          <w:p w:rsidR="00544BC7" w:rsidRPr="00F10C3A" w:rsidRDefault="00544BC7" w:rsidP="00C5279A">
            <w:pPr>
              <w:pStyle w:val="TableText1"/>
            </w:pPr>
            <w:r w:rsidRPr="00F10C3A">
              <w:t>1196 (10.0%)</w:t>
            </w:r>
          </w:p>
        </w:tc>
        <w:tc>
          <w:tcPr>
            <w:tcW w:w="1034" w:type="pct"/>
            <w:shd w:val="clear" w:color="auto" w:fill="auto"/>
            <w:vAlign w:val="center"/>
          </w:tcPr>
          <w:p w:rsidR="00544BC7" w:rsidRPr="00F10C3A" w:rsidRDefault="00544BC7" w:rsidP="00C5279A">
            <w:pPr>
              <w:pStyle w:val="TableText1"/>
            </w:pPr>
            <w:r w:rsidRPr="00F10C3A">
              <w:t>1.49 (1.36, 1.64)</w:t>
            </w:r>
          </w:p>
        </w:tc>
        <w:tc>
          <w:tcPr>
            <w:tcW w:w="390" w:type="pct"/>
            <w:shd w:val="clear" w:color="auto" w:fill="auto"/>
            <w:vAlign w:val="center"/>
          </w:tcPr>
          <w:p w:rsidR="00544BC7" w:rsidRPr="00F10C3A" w:rsidRDefault="00544BC7" w:rsidP="00C5279A">
            <w:pPr>
              <w:pStyle w:val="TableText1"/>
            </w:pPr>
            <w:r w:rsidRPr="00F10C3A">
              <w:t>16</w:t>
            </w:r>
          </w:p>
        </w:tc>
        <w:tc>
          <w:tcPr>
            <w:tcW w:w="603" w:type="pct"/>
            <w:shd w:val="clear" w:color="auto" w:fill="auto"/>
            <w:vAlign w:val="center"/>
          </w:tcPr>
          <w:p w:rsidR="00544BC7" w:rsidRPr="00F10C3A" w:rsidRDefault="00544BC7" w:rsidP="00C5279A">
            <w:pPr>
              <w:pStyle w:val="TableText1"/>
            </w:pPr>
            <w:r w:rsidRPr="00F10C3A">
              <w:t>10</w:t>
            </w:r>
          </w:p>
        </w:tc>
        <w:tc>
          <w:tcPr>
            <w:tcW w:w="1043" w:type="pct"/>
            <w:shd w:val="clear" w:color="auto" w:fill="auto"/>
            <w:vAlign w:val="center"/>
          </w:tcPr>
          <w:p w:rsidR="00544BC7" w:rsidRPr="00F10C3A" w:rsidRDefault="00544BC7" w:rsidP="00C5279A">
            <w:pPr>
              <w:pStyle w:val="TableText1"/>
            </w:pPr>
            <w:r w:rsidRPr="00F10C3A">
              <w:t>0.05 (0.04, 0.07)</w:t>
            </w:r>
          </w:p>
        </w:tc>
      </w:tr>
      <w:tr w:rsidR="00544BC7" w:rsidRPr="00F10C3A" w:rsidTr="00960248">
        <w:tc>
          <w:tcPr>
            <w:tcW w:w="1930" w:type="pct"/>
            <w:gridSpan w:val="3"/>
            <w:vAlign w:val="center"/>
          </w:tcPr>
          <w:p w:rsidR="00544BC7" w:rsidRPr="00F10C3A" w:rsidRDefault="00544BC7" w:rsidP="00C5279A">
            <w:pPr>
              <w:pStyle w:val="TableText1"/>
            </w:pPr>
            <w:r w:rsidRPr="00F10C3A">
              <w:t>Chi-square for heterogeneity</w:t>
            </w:r>
          </w:p>
        </w:tc>
        <w:tc>
          <w:tcPr>
            <w:tcW w:w="1034" w:type="pct"/>
            <w:shd w:val="clear" w:color="auto" w:fill="auto"/>
            <w:vAlign w:val="center"/>
          </w:tcPr>
          <w:p w:rsidR="00544BC7" w:rsidRPr="00F10C3A" w:rsidRDefault="00544BC7" w:rsidP="00C5279A">
            <w:pPr>
              <w:pStyle w:val="TableText1"/>
            </w:pPr>
            <w:r w:rsidRPr="00F10C3A">
              <w:t>0.002</w:t>
            </w:r>
          </w:p>
        </w:tc>
        <w:tc>
          <w:tcPr>
            <w:tcW w:w="390" w:type="pct"/>
            <w:shd w:val="clear" w:color="auto" w:fill="auto"/>
            <w:vAlign w:val="center"/>
          </w:tcPr>
          <w:p w:rsidR="00544BC7" w:rsidRPr="00F10C3A" w:rsidRDefault="00544BC7" w:rsidP="00C5279A">
            <w:pPr>
              <w:pStyle w:val="TableText1"/>
            </w:pPr>
            <w:r w:rsidRPr="00F10C3A">
              <w:t>-</w:t>
            </w:r>
          </w:p>
        </w:tc>
        <w:tc>
          <w:tcPr>
            <w:tcW w:w="603" w:type="pct"/>
            <w:shd w:val="clear" w:color="auto" w:fill="auto"/>
            <w:vAlign w:val="center"/>
          </w:tcPr>
          <w:p w:rsidR="00544BC7" w:rsidRPr="00F10C3A" w:rsidRDefault="00544BC7" w:rsidP="00C5279A">
            <w:pPr>
              <w:pStyle w:val="TableText1"/>
            </w:pPr>
            <w:r w:rsidRPr="00F10C3A">
              <w:t>-</w:t>
            </w:r>
          </w:p>
        </w:tc>
        <w:tc>
          <w:tcPr>
            <w:tcW w:w="1043" w:type="pct"/>
            <w:shd w:val="clear" w:color="auto" w:fill="auto"/>
            <w:vAlign w:val="center"/>
          </w:tcPr>
          <w:p w:rsidR="00544BC7" w:rsidRPr="00F10C3A" w:rsidRDefault="00544BC7" w:rsidP="00C5279A">
            <w:pPr>
              <w:pStyle w:val="TableText1"/>
            </w:pPr>
            <w:r w:rsidRPr="00F10C3A">
              <w:t>&lt;0.001</w:t>
            </w:r>
          </w:p>
        </w:tc>
      </w:tr>
      <w:tr w:rsidR="00544BC7" w:rsidRPr="00F10C3A" w:rsidTr="00960248">
        <w:tc>
          <w:tcPr>
            <w:tcW w:w="1930" w:type="pct"/>
            <w:gridSpan w:val="3"/>
            <w:vAlign w:val="center"/>
          </w:tcPr>
          <w:p w:rsidR="00544BC7" w:rsidRPr="00F10C3A" w:rsidRDefault="00544BC7" w:rsidP="00C5279A">
            <w:pPr>
              <w:pStyle w:val="TableText1"/>
            </w:pPr>
            <w:r w:rsidRPr="00F10C3A">
              <w:t>I</w:t>
            </w:r>
            <w:r w:rsidRPr="00F10C3A">
              <w:rPr>
                <w:vertAlign w:val="superscript"/>
              </w:rPr>
              <w:t>2</w:t>
            </w:r>
            <w:r w:rsidRPr="00F10C3A">
              <w:t xml:space="preserve"> statistic with 95% uncertainty interval</w:t>
            </w:r>
          </w:p>
        </w:tc>
        <w:tc>
          <w:tcPr>
            <w:tcW w:w="1034" w:type="pct"/>
            <w:shd w:val="clear" w:color="auto" w:fill="auto"/>
            <w:vAlign w:val="center"/>
          </w:tcPr>
          <w:p w:rsidR="00544BC7" w:rsidRPr="00F10C3A" w:rsidRDefault="00544BC7" w:rsidP="00C5279A">
            <w:pPr>
              <w:pStyle w:val="TableText1"/>
            </w:pPr>
            <w:r w:rsidRPr="00F10C3A">
              <w:t>39.2</w:t>
            </w:r>
          </w:p>
        </w:tc>
        <w:tc>
          <w:tcPr>
            <w:tcW w:w="390" w:type="pct"/>
            <w:shd w:val="clear" w:color="auto" w:fill="auto"/>
            <w:vAlign w:val="center"/>
          </w:tcPr>
          <w:p w:rsidR="00544BC7" w:rsidRPr="00F10C3A" w:rsidRDefault="00544BC7" w:rsidP="00C5279A">
            <w:pPr>
              <w:pStyle w:val="TableText1"/>
            </w:pPr>
            <w:r w:rsidRPr="00F10C3A">
              <w:t>-</w:t>
            </w:r>
          </w:p>
        </w:tc>
        <w:tc>
          <w:tcPr>
            <w:tcW w:w="603" w:type="pct"/>
            <w:shd w:val="clear" w:color="auto" w:fill="auto"/>
            <w:vAlign w:val="center"/>
          </w:tcPr>
          <w:p w:rsidR="00544BC7" w:rsidRPr="00F10C3A" w:rsidRDefault="00544BC7" w:rsidP="00C5279A">
            <w:pPr>
              <w:pStyle w:val="TableText1"/>
            </w:pPr>
            <w:r w:rsidRPr="00F10C3A">
              <w:t>-</w:t>
            </w:r>
          </w:p>
        </w:tc>
        <w:tc>
          <w:tcPr>
            <w:tcW w:w="1043" w:type="pct"/>
            <w:shd w:val="clear" w:color="auto" w:fill="auto"/>
            <w:vAlign w:val="center"/>
          </w:tcPr>
          <w:p w:rsidR="00544BC7" w:rsidRPr="00F10C3A" w:rsidRDefault="00544BC7" w:rsidP="00C5279A">
            <w:pPr>
              <w:pStyle w:val="TableText1"/>
            </w:pPr>
            <w:r w:rsidRPr="00F10C3A">
              <w:t>60.4</w:t>
            </w:r>
          </w:p>
        </w:tc>
      </w:tr>
      <w:tr w:rsidR="00544BC7" w:rsidRPr="00F10C3A" w:rsidTr="00C5279A">
        <w:tc>
          <w:tcPr>
            <w:tcW w:w="5000" w:type="pct"/>
            <w:gridSpan w:val="7"/>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Stead 2012</w:t>
            </w:r>
            <w:r w:rsidRPr="00F10C3A">
              <w:rPr>
                <w:rFonts w:ascii="Arial Narrow" w:hAnsi="Arial Narrow"/>
                <w:b/>
                <w:sz w:val="20"/>
                <w:vertAlign w:val="superscript"/>
              </w:rPr>
              <w:t>b</w:t>
            </w:r>
            <w:r w:rsidRPr="00F10C3A">
              <w:rPr>
                <w:rFonts w:ascii="Arial Narrow" w:hAnsi="Arial Narrow"/>
                <w:b/>
                <w:sz w:val="20"/>
              </w:rPr>
              <w:t xml:space="preserve"> (Nicotine patch versus control trials (N=54)) Random effects meta-analysis</w:t>
            </w:r>
          </w:p>
        </w:tc>
      </w:tr>
      <w:tr w:rsidR="00544BC7" w:rsidRPr="00F10C3A" w:rsidTr="00960248">
        <w:tc>
          <w:tcPr>
            <w:tcW w:w="658" w:type="pct"/>
            <w:vMerge w:val="restart"/>
            <w:shd w:val="clear" w:color="auto" w:fill="auto"/>
            <w:vAlign w:val="center"/>
          </w:tcPr>
          <w:p w:rsidR="00544BC7" w:rsidRPr="00F10C3A" w:rsidRDefault="00544BC7" w:rsidP="00C5279A">
            <w:pPr>
              <w:pStyle w:val="TableText1"/>
              <w:rPr>
                <w:b/>
              </w:rPr>
            </w:pPr>
            <w:r w:rsidRPr="00F10C3A">
              <w:rPr>
                <w:b/>
              </w:rPr>
              <w:t>Sustained abstinence</w:t>
            </w:r>
          </w:p>
        </w:tc>
        <w:tc>
          <w:tcPr>
            <w:tcW w:w="688" w:type="pct"/>
            <w:vMerge w:val="restart"/>
            <w:tcBorders>
              <w:top w:val="single" w:sz="4" w:space="0" w:color="auto"/>
              <w:left w:val="single" w:sz="4" w:space="0" w:color="auto"/>
              <w:right w:val="single" w:sz="4" w:space="0" w:color="auto"/>
            </w:tcBorders>
            <w:vAlign w:val="center"/>
          </w:tcPr>
          <w:p w:rsidR="00544BC7" w:rsidRPr="00F10C3A" w:rsidRDefault="00544BC7" w:rsidP="00C5279A">
            <w:pPr>
              <w:pStyle w:val="TableText1"/>
              <w:rPr>
                <w:b/>
              </w:rPr>
            </w:pPr>
            <w:r w:rsidRPr="00F10C3A">
              <w:rPr>
                <w:b/>
              </w:rPr>
              <w:t>Nicotine patch</w:t>
            </w:r>
          </w:p>
          <w:p w:rsidR="00544BC7" w:rsidRPr="00F10C3A" w:rsidRDefault="00544BC7" w:rsidP="00C5279A">
            <w:pPr>
              <w:pStyle w:val="TableText1"/>
              <w:rPr>
                <w:b/>
              </w:rPr>
            </w:pPr>
            <w:proofErr w:type="gramStart"/>
            <w:r w:rsidRPr="00F10C3A">
              <w:rPr>
                <w:b/>
              </w:rPr>
              <w:t>n/N</w:t>
            </w:r>
            <w:proofErr w:type="gramEnd"/>
            <w:r w:rsidRPr="00F10C3A">
              <w:rPr>
                <w:b/>
              </w:rPr>
              <w:t xml:space="preserve"> (%) </w:t>
            </w:r>
          </w:p>
          <w:p w:rsidR="00544BC7" w:rsidRPr="00F10C3A" w:rsidRDefault="00544BC7" w:rsidP="00C5279A">
            <w:pPr>
              <w:pStyle w:val="TableText1"/>
              <w:rPr>
                <w:b/>
              </w:rPr>
            </w:pPr>
            <w:r w:rsidRPr="00F10C3A">
              <w:rPr>
                <w:b/>
              </w:rPr>
              <w:t>(N = 16,073)</w:t>
            </w:r>
          </w:p>
        </w:tc>
        <w:tc>
          <w:tcPr>
            <w:tcW w:w="584" w:type="pct"/>
            <w:vMerge w:val="restart"/>
            <w:tcBorders>
              <w:top w:val="single" w:sz="4" w:space="0" w:color="auto"/>
              <w:left w:val="single" w:sz="4" w:space="0" w:color="auto"/>
              <w:right w:val="double" w:sz="4" w:space="0" w:color="auto"/>
            </w:tcBorders>
            <w:vAlign w:val="center"/>
          </w:tcPr>
          <w:p w:rsidR="00544BC7" w:rsidRPr="00F10C3A" w:rsidRDefault="00544BC7" w:rsidP="00C5279A">
            <w:pPr>
              <w:pStyle w:val="TableText1"/>
              <w:rPr>
                <w:b/>
              </w:rPr>
            </w:pPr>
            <w:r w:rsidRPr="00F10C3A">
              <w:rPr>
                <w:b/>
              </w:rPr>
              <w:t>Placebo</w:t>
            </w:r>
          </w:p>
          <w:p w:rsidR="00544BC7" w:rsidRPr="00F10C3A" w:rsidRDefault="00544BC7" w:rsidP="00C5279A">
            <w:pPr>
              <w:pStyle w:val="TableText1"/>
              <w:rPr>
                <w:b/>
              </w:rPr>
            </w:pPr>
            <w:proofErr w:type="gramStart"/>
            <w:r w:rsidRPr="00F10C3A">
              <w:rPr>
                <w:b/>
              </w:rPr>
              <w:t>n/N</w:t>
            </w:r>
            <w:proofErr w:type="gramEnd"/>
            <w:r w:rsidRPr="00F10C3A">
              <w:rPr>
                <w:b/>
              </w:rPr>
              <w:t xml:space="preserve"> (%)</w:t>
            </w:r>
          </w:p>
          <w:p w:rsidR="00544BC7" w:rsidRPr="00F10C3A" w:rsidRDefault="00544BC7" w:rsidP="00C5279A">
            <w:pPr>
              <w:pStyle w:val="TableText1"/>
              <w:rPr>
                <w:b/>
              </w:rPr>
            </w:pPr>
            <w:r w:rsidRPr="00F10C3A">
              <w:rPr>
                <w:b/>
              </w:rPr>
              <w:t xml:space="preserve"> (N = 11,912)</w:t>
            </w:r>
          </w:p>
        </w:tc>
        <w:tc>
          <w:tcPr>
            <w:tcW w:w="1034"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RR</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(95% CI)</w:t>
            </w:r>
          </w:p>
        </w:tc>
        <w:tc>
          <w:tcPr>
            <w:tcW w:w="993" w:type="pct"/>
            <w:gridSpan w:val="2"/>
            <w:shd w:val="clear" w:color="auto" w:fill="auto"/>
            <w:vAlign w:val="center"/>
          </w:tcPr>
          <w:p w:rsidR="00544BC7" w:rsidRPr="00F10C3A" w:rsidRDefault="00544BC7" w:rsidP="00C5279A">
            <w:pPr>
              <w:pStyle w:val="TableText1"/>
              <w:rPr>
                <w:b/>
                <w:vertAlign w:val="superscript"/>
              </w:rPr>
            </w:pPr>
            <w:r w:rsidRPr="00F10C3A">
              <w:rPr>
                <w:b/>
              </w:rPr>
              <w:t xml:space="preserve">Event rate/100 </w:t>
            </w:r>
            <w:proofErr w:type="spellStart"/>
            <w:r w:rsidRPr="00F10C3A">
              <w:rPr>
                <w:b/>
              </w:rPr>
              <w:t>patients</w:t>
            </w:r>
            <w:r w:rsidRPr="00F10C3A">
              <w:rPr>
                <w:b/>
                <w:vertAlign w:val="superscript"/>
              </w:rPr>
              <w:t>a</w:t>
            </w:r>
            <w:proofErr w:type="spellEnd"/>
          </w:p>
        </w:tc>
        <w:tc>
          <w:tcPr>
            <w:tcW w:w="1043"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RD</w:t>
            </w:r>
          </w:p>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(95% CI)</w:t>
            </w:r>
          </w:p>
        </w:tc>
      </w:tr>
      <w:tr w:rsidR="00544BC7" w:rsidRPr="00F10C3A" w:rsidTr="00960248">
        <w:tc>
          <w:tcPr>
            <w:tcW w:w="658" w:type="pct"/>
            <w:vMerge/>
            <w:shd w:val="clear" w:color="auto" w:fill="auto"/>
            <w:vAlign w:val="center"/>
          </w:tcPr>
          <w:p w:rsidR="00544BC7" w:rsidRPr="00F10C3A" w:rsidRDefault="00544BC7" w:rsidP="00C5279A">
            <w:pPr>
              <w:pStyle w:val="TableText1"/>
            </w:pPr>
          </w:p>
        </w:tc>
        <w:tc>
          <w:tcPr>
            <w:tcW w:w="688" w:type="pct"/>
            <w:vMerge/>
            <w:tcBorders>
              <w:left w:val="single" w:sz="4" w:space="0" w:color="auto"/>
              <w:bottom w:val="single" w:sz="4" w:space="0" w:color="auto"/>
              <w:right w:val="single" w:sz="4" w:space="0" w:color="auto"/>
            </w:tcBorders>
            <w:vAlign w:val="center"/>
          </w:tcPr>
          <w:p w:rsidR="00544BC7" w:rsidRPr="00F10C3A" w:rsidRDefault="00544BC7" w:rsidP="00C5279A">
            <w:pPr>
              <w:pStyle w:val="TableText1"/>
              <w:rPr>
                <w:b/>
              </w:rPr>
            </w:pPr>
          </w:p>
        </w:tc>
        <w:tc>
          <w:tcPr>
            <w:tcW w:w="584" w:type="pct"/>
            <w:vMerge/>
            <w:tcBorders>
              <w:left w:val="single" w:sz="4" w:space="0" w:color="auto"/>
              <w:bottom w:val="single" w:sz="4" w:space="0" w:color="auto"/>
              <w:right w:val="double" w:sz="4" w:space="0" w:color="auto"/>
            </w:tcBorders>
            <w:vAlign w:val="center"/>
          </w:tcPr>
          <w:p w:rsidR="00544BC7" w:rsidRPr="00F10C3A" w:rsidRDefault="00544BC7" w:rsidP="00C5279A">
            <w:pPr>
              <w:pStyle w:val="TableText1"/>
              <w:rPr>
                <w:b/>
              </w:rPr>
            </w:pPr>
          </w:p>
        </w:tc>
        <w:tc>
          <w:tcPr>
            <w:tcW w:w="1034" w:type="pct"/>
            <w:vMerge/>
            <w:shd w:val="clear" w:color="auto" w:fill="auto"/>
            <w:vAlign w:val="center"/>
          </w:tcPr>
          <w:p w:rsidR="00544BC7" w:rsidRPr="00F10C3A" w:rsidRDefault="00544BC7" w:rsidP="00C5279A">
            <w:pPr>
              <w:pStyle w:val="TableText1"/>
              <w:rPr>
                <w:b/>
              </w:rPr>
            </w:pPr>
          </w:p>
        </w:tc>
        <w:tc>
          <w:tcPr>
            <w:tcW w:w="390" w:type="pct"/>
            <w:shd w:val="clear" w:color="auto" w:fill="auto"/>
            <w:vAlign w:val="center"/>
          </w:tcPr>
          <w:p w:rsidR="00544BC7" w:rsidRPr="00F10C3A" w:rsidRDefault="00544BC7" w:rsidP="00C5279A">
            <w:pPr>
              <w:pStyle w:val="TableText1"/>
              <w:rPr>
                <w:b/>
              </w:rPr>
            </w:pPr>
            <w:r w:rsidRPr="00F10C3A">
              <w:rPr>
                <w:b/>
              </w:rPr>
              <w:t>Nicotine patch</w:t>
            </w:r>
          </w:p>
        </w:tc>
        <w:tc>
          <w:tcPr>
            <w:tcW w:w="603" w:type="pct"/>
            <w:shd w:val="clear" w:color="auto" w:fill="auto"/>
            <w:vAlign w:val="center"/>
          </w:tcPr>
          <w:p w:rsidR="00544BC7" w:rsidRPr="00F10C3A" w:rsidRDefault="00544BC7" w:rsidP="00C5279A">
            <w:pPr>
              <w:pStyle w:val="TableText1"/>
              <w:rPr>
                <w:b/>
              </w:rPr>
            </w:pPr>
            <w:r w:rsidRPr="00F10C3A">
              <w:rPr>
                <w:b/>
              </w:rPr>
              <w:t>Placebo</w:t>
            </w:r>
          </w:p>
        </w:tc>
        <w:tc>
          <w:tcPr>
            <w:tcW w:w="1043" w:type="pct"/>
            <w:vMerge/>
            <w:shd w:val="clear" w:color="auto" w:fill="auto"/>
            <w:vAlign w:val="center"/>
          </w:tcPr>
          <w:p w:rsidR="00544BC7" w:rsidRPr="00F10C3A" w:rsidRDefault="00544BC7" w:rsidP="00C5279A">
            <w:pPr>
              <w:pStyle w:val="TableText1"/>
              <w:rPr>
                <w:b/>
              </w:rPr>
            </w:pPr>
          </w:p>
        </w:tc>
      </w:tr>
      <w:tr w:rsidR="00544BC7" w:rsidRPr="00F10C3A" w:rsidTr="00960248">
        <w:tc>
          <w:tcPr>
            <w:tcW w:w="658" w:type="pct"/>
            <w:vMerge/>
            <w:shd w:val="clear" w:color="auto" w:fill="auto"/>
            <w:vAlign w:val="center"/>
          </w:tcPr>
          <w:p w:rsidR="00544BC7" w:rsidRPr="00F10C3A" w:rsidRDefault="00544BC7" w:rsidP="00C5279A">
            <w:pPr>
              <w:pStyle w:val="TableText1"/>
            </w:pPr>
          </w:p>
        </w:tc>
        <w:tc>
          <w:tcPr>
            <w:tcW w:w="688" w:type="pct"/>
            <w:tcBorders>
              <w:top w:val="single" w:sz="4" w:space="0" w:color="auto"/>
              <w:left w:val="single" w:sz="4" w:space="0" w:color="auto"/>
              <w:bottom w:val="single" w:sz="4" w:space="0" w:color="auto"/>
              <w:right w:val="single" w:sz="4" w:space="0" w:color="auto"/>
            </w:tcBorders>
            <w:vAlign w:val="center"/>
          </w:tcPr>
          <w:p w:rsidR="00544BC7" w:rsidRPr="00F10C3A" w:rsidRDefault="00544BC7" w:rsidP="00C5279A">
            <w:pPr>
              <w:pStyle w:val="TableText1"/>
            </w:pPr>
            <w:r w:rsidRPr="00F10C3A">
              <w:t>2,391 (14.9%)</w:t>
            </w:r>
          </w:p>
        </w:tc>
        <w:tc>
          <w:tcPr>
            <w:tcW w:w="584" w:type="pct"/>
            <w:tcBorders>
              <w:top w:val="single" w:sz="4" w:space="0" w:color="auto"/>
              <w:left w:val="single" w:sz="4" w:space="0" w:color="auto"/>
              <w:bottom w:val="single" w:sz="4" w:space="0" w:color="auto"/>
              <w:right w:val="double" w:sz="4" w:space="0" w:color="auto"/>
            </w:tcBorders>
            <w:vAlign w:val="center"/>
          </w:tcPr>
          <w:p w:rsidR="00544BC7" w:rsidRPr="00F10C3A" w:rsidRDefault="00544BC7" w:rsidP="00C5279A">
            <w:pPr>
              <w:pStyle w:val="TableText1"/>
            </w:pPr>
            <w:r w:rsidRPr="00F10C3A">
              <w:t>1,072 (9.0%)</w:t>
            </w:r>
          </w:p>
        </w:tc>
        <w:tc>
          <w:tcPr>
            <w:tcW w:w="1034" w:type="pct"/>
            <w:shd w:val="clear" w:color="auto" w:fill="auto"/>
            <w:vAlign w:val="center"/>
          </w:tcPr>
          <w:p w:rsidR="00544BC7" w:rsidRPr="00F10C3A" w:rsidRDefault="00544BC7" w:rsidP="00C5279A">
            <w:pPr>
              <w:pStyle w:val="TableText1"/>
            </w:pPr>
            <w:r w:rsidRPr="00F10C3A">
              <w:t>1.63 (1.49, 1.79)</w:t>
            </w:r>
          </w:p>
        </w:tc>
        <w:tc>
          <w:tcPr>
            <w:tcW w:w="390" w:type="pct"/>
            <w:shd w:val="clear" w:color="auto" w:fill="auto"/>
            <w:vAlign w:val="center"/>
          </w:tcPr>
          <w:p w:rsidR="00544BC7" w:rsidRPr="00F10C3A" w:rsidRDefault="00544BC7" w:rsidP="00C5279A">
            <w:pPr>
              <w:pStyle w:val="TableText1"/>
            </w:pPr>
            <w:r w:rsidRPr="00F10C3A">
              <w:t>15</w:t>
            </w:r>
          </w:p>
        </w:tc>
        <w:tc>
          <w:tcPr>
            <w:tcW w:w="603" w:type="pct"/>
            <w:shd w:val="clear" w:color="auto" w:fill="auto"/>
            <w:vAlign w:val="center"/>
          </w:tcPr>
          <w:p w:rsidR="00544BC7" w:rsidRPr="00F10C3A" w:rsidRDefault="00544BC7" w:rsidP="00C5279A">
            <w:pPr>
              <w:pStyle w:val="TableText1"/>
            </w:pPr>
            <w:r w:rsidRPr="00F10C3A">
              <w:t>9</w:t>
            </w:r>
          </w:p>
        </w:tc>
        <w:tc>
          <w:tcPr>
            <w:tcW w:w="1043" w:type="pct"/>
            <w:shd w:val="clear" w:color="auto" w:fill="auto"/>
            <w:vAlign w:val="center"/>
          </w:tcPr>
          <w:p w:rsidR="00544BC7" w:rsidRPr="00F10C3A" w:rsidRDefault="00544BC7" w:rsidP="00C5279A">
            <w:pPr>
              <w:pStyle w:val="TableText1"/>
            </w:pPr>
            <w:r w:rsidRPr="00F10C3A">
              <w:t>0.061 (0.048, 0.074)</w:t>
            </w:r>
          </w:p>
        </w:tc>
      </w:tr>
      <w:tr w:rsidR="00544BC7" w:rsidRPr="00F10C3A" w:rsidTr="00960248">
        <w:tc>
          <w:tcPr>
            <w:tcW w:w="1930" w:type="pct"/>
            <w:gridSpan w:val="3"/>
            <w:vAlign w:val="center"/>
          </w:tcPr>
          <w:p w:rsidR="00544BC7" w:rsidRPr="00F10C3A" w:rsidRDefault="00544BC7" w:rsidP="00C5279A">
            <w:pPr>
              <w:pStyle w:val="TableText1"/>
            </w:pPr>
            <w:r w:rsidRPr="00F10C3A">
              <w:t>Chi-square for heterogeneity</w:t>
            </w:r>
          </w:p>
        </w:tc>
        <w:tc>
          <w:tcPr>
            <w:tcW w:w="1034" w:type="pct"/>
            <w:shd w:val="clear" w:color="auto" w:fill="auto"/>
            <w:vAlign w:val="center"/>
          </w:tcPr>
          <w:p w:rsidR="00544BC7" w:rsidRPr="00F10C3A" w:rsidRDefault="00544BC7" w:rsidP="00C5279A">
            <w:pPr>
              <w:pStyle w:val="TableText1"/>
            </w:pPr>
            <w:r w:rsidRPr="00F10C3A">
              <w:t>0.068</w:t>
            </w:r>
          </w:p>
        </w:tc>
        <w:tc>
          <w:tcPr>
            <w:tcW w:w="390" w:type="pct"/>
            <w:shd w:val="clear" w:color="auto" w:fill="auto"/>
            <w:vAlign w:val="center"/>
          </w:tcPr>
          <w:p w:rsidR="00544BC7" w:rsidRPr="00F10C3A" w:rsidRDefault="00544BC7" w:rsidP="00C5279A">
            <w:pPr>
              <w:pStyle w:val="TableText1"/>
            </w:pPr>
            <w:r w:rsidRPr="00F10C3A">
              <w:t>-</w:t>
            </w:r>
          </w:p>
        </w:tc>
        <w:tc>
          <w:tcPr>
            <w:tcW w:w="603" w:type="pct"/>
            <w:shd w:val="clear" w:color="auto" w:fill="auto"/>
            <w:vAlign w:val="center"/>
          </w:tcPr>
          <w:p w:rsidR="00544BC7" w:rsidRPr="00F10C3A" w:rsidRDefault="00544BC7" w:rsidP="00C5279A">
            <w:pPr>
              <w:pStyle w:val="TableText1"/>
            </w:pPr>
            <w:r w:rsidRPr="00F10C3A">
              <w:t>-</w:t>
            </w:r>
          </w:p>
        </w:tc>
        <w:tc>
          <w:tcPr>
            <w:tcW w:w="1043" w:type="pct"/>
            <w:shd w:val="clear" w:color="auto" w:fill="auto"/>
            <w:vAlign w:val="center"/>
          </w:tcPr>
          <w:p w:rsidR="00544BC7" w:rsidRPr="00F10C3A" w:rsidRDefault="00544BC7" w:rsidP="00C5279A">
            <w:pPr>
              <w:pStyle w:val="TableText1"/>
            </w:pPr>
            <w:r w:rsidRPr="00F10C3A">
              <w:t>&lt;0.001</w:t>
            </w:r>
          </w:p>
        </w:tc>
      </w:tr>
      <w:tr w:rsidR="00544BC7" w:rsidRPr="00F10C3A" w:rsidTr="00960248">
        <w:tc>
          <w:tcPr>
            <w:tcW w:w="1930" w:type="pct"/>
            <w:gridSpan w:val="3"/>
            <w:vAlign w:val="center"/>
          </w:tcPr>
          <w:p w:rsidR="00544BC7" w:rsidRPr="00F10C3A" w:rsidRDefault="00544BC7" w:rsidP="00C5279A">
            <w:pPr>
              <w:pStyle w:val="TableText1"/>
            </w:pPr>
            <w:r w:rsidRPr="00F10C3A">
              <w:t>I</w:t>
            </w:r>
            <w:r w:rsidRPr="00F10C3A">
              <w:rPr>
                <w:vertAlign w:val="superscript"/>
              </w:rPr>
              <w:t>2</w:t>
            </w:r>
            <w:r w:rsidRPr="00F10C3A">
              <w:t xml:space="preserve"> statistic with 95% uncertainty interval</w:t>
            </w:r>
          </w:p>
        </w:tc>
        <w:tc>
          <w:tcPr>
            <w:tcW w:w="1034" w:type="pct"/>
            <w:shd w:val="clear" w:color="auto" w:fill="auto"/>
            <w:vAlign w:val="center"/>
          </w:tcPr>
          <w:p w:rsidR="00544BC7" w:rsidRPr="00F10C3A" w:rsidRDefault="00544BC7" w:rsidP="00C5279A">
            <w:pPr>
              <w:pStyle w:val="TableText1"/>
            </w:pPr>
            <w:r w:rsidRPr="00F10C3A">
              <w:t>23.28</w:t>
            </w:r>
          </w:p>
        </w:tc>
        <w:tc>
          <w:tcPr>
            <w:tcW w:w="390" w:type="pct"/>
            <w:shd w:val="clear" w:color="auto" w:fill="auto"/>
            <w:vAlign w:val="center"/>
          </w:tcPr>
          <w:p w:rsidR="00544BC7" w:rsidRPr="00F10C3A" w:rsidRDefault="00544BC7" w:rsidP="00C5279A">
            <w:pPr>
              <w:pStyle w:val="TableText1"/>
            </w:pPr>
            <w:r w:rsidRPr="00F10C3A">
              <w:t>-</w:t>
            </w:r>
          </w:p>
        </w:tc>
        <w:tc>
          <w:tcPr>
            <w:tcW w:w="603" w:type="pct"/>
            <w:shd w:val="clear" w:color="auto" w:fill="auto"/>
            <w:vAlign w:val="center"/>
          </w:tcPr>
          <w:p w:rsidR="00544BC7" w:rsidRPr="00F10C3A" w:rsidRDefault="00544BC7" w:rsidP="00C5279A">
            <w:pPr>
              <w:pStyle w:val="TableText1"/>
            </w:pPr>
            <w:r w:rsidRPr="00F10C3A">
              <w:t>-</w:t>
            </w:r>
          </w:p>
        </w:tc>
        <w:tc>
          <w:tcPr>
            <w:tcW w:w="1043" w:type="pct"/>
            <w:shd w:val="clear" w:color="auto" w:fill="auto"/>
            <w:vAlign w:val="center"/>
          </w:tcPr>
          <w:p w:rsidR="00544BC7" w:rsidRPr="00F10C3A" w:rsidRDefault="00544BC7" w:rsidP="00C5279A">
            <w:pPr>
              <w:pStyle w:val="TableText1"/>
            </w:pPr>
            <w:r w:rsidRPr="00F10C3A">
              <w:t>60.73</w:t>
            </w:r>
          </w:p>
        </w:tc>
      </w:tr>
      <w:tr w:rsidR="00544BC7" w:rsidRPr="00F10C3A" w:rsidTr="00960248">
        <w:tc>
          <w:tcPr>
            <w:tcW w:w="1930" w:type="pct"/>
            <w:gridSpan w:val="3"/>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Indirect comparison: Stead (2012) Gum versus Patch trials</w:t>
            </w:r>
          </w:p>
        </w:tc>
        <w:tc>
          <w:tcPr>
            <w:tcW w:w="1034" w:type="pct"/>
            <w:shd w:val="clear" w:color="auto" w:fill="auto"/>
            <w:vAlign w:val="center"/>
          </w:tcPr>
          <w:p w:rsidR="00544BC7" w:rsidRPr="00F10C3A" w:rsidRDefault="00544BC7" w:rsidP="00C5279A">
            <w:pPr>
              <w:keepNext/>
              <w:widowControl/>
              <w:jc w:val="left"/>
              <w:rPr>
                <w:rFonts w:ascii="Arial Narrow" w:hAnsi="Arial Narrow"/>
                <w:sz w:val="20"/>
              </w:rPr>
            </w:pPr>
            <w:r w:rsidRPr="00F10C3A">
              <w:rPr>
                <w:rFonts w:ascii="Arial Narrow" w:hAnsi="Arial Narrow"/>
                <w:sz w:val="20"/>
              </w:rPr>
              <w:t>0.91 (0.80, 1.04)</w:t>
            </w:r>
          </w:p>
        </w:tc>
        <w:tc>
          <w:tcPr>
            <w:tcW w:w="993" w:type="pct"/>
            <w:gridSpan w:val="2"/>
            <w:shd w:val="clear" w:color="auto" w:fill="auto"/>
            <w:vAlign w:val="center"/>
          </w:tcPr>
          <w:p w:rsidR="00544BC7" w:rsidRPr="00F10C3A" w:rsidRDefault="00544BC7" w:rsidP="00C5279A">
            <w:pPr>
              <w:keepNext/>
              <w:widowControl/>
              <w:jc w:val="left"/>
              <w:rPr>
                <w:rFonts w:ascii="Arial Narrow" w:hAnsi="Arial Narrow"/>
                <w:sz w:val="20"/>
              </w:rPr>
            </w:pPr>
            <w:r w:rsidRPr="00F10C3A">
              <w:rPr>
                <w:rFonts w:ascii="Arial Narrow" w:hAnsi="Arial Narrow"/>
                <w:sz w:val="20"/>
              </w:rPr>
              <w:t>-</w:t>
            </w:r>
          </w:p>
        </w:tc>
        <w:tc>
          <w:tcPr>
            <w:tcW w:w="1043" w:type="pct"/>
            <w:shd w:val="clear" w:color="auto" w:fill="auto"/>
            <w:vAlign w:val="center"/>
          </w:tcPr>
          <w:p w:rsidR="00544BC7" w:rsidRPr="00F10C3A" w:rsidRDefault="00544BC7" w:rsidP="00C5279A">
            <w:pPr>
              <w:keepNext/>
              <w:widowControl/>
              <w:jc w:val="left"/>
              <w:rPr>
                <w:rFonts w:ascii="Arial Narrow" w:hAnsi="Arial Narrow"/>
                <w:sz w:val="20"/>
              </w:rPr>
            </w:pPr>
            <w:r w:rsidRPr="00F10C3A">
              <w:rPr>
                <w:rFonts w:ascii="Arial Narrow" w:hAnsi="Arial Narrow"/>
                <w:sz w:val="20"/>
              </w:rPr>
              <w:t>-0.01 (-0.</w:t>
            </w:r>
            <w:r w:rsidR="00F53B2C" w:rsidRPr="00F10C3A">
              <w:rPr>
                <w:rFonts w:ascii="Arial Narrow" w:hAnsi="Arial Narrow"/>
                <w:sz w:val="20"/>
              </w:rPr>
              <w:t>0</w:t>
            </w:r>
            <w:r w:rsidRPr="00F10C3A">
              <w:rPr>
                <w:rFonts w:ascii="Arial Narrow" w:hAnsi="Arial Narrow"/>
                <w:sz w:val="20"/>
              </w:rPr>
              <w:t>28, 0.01)</w:t>
            </w:r>
          </w:p>
        </w:tc>
      </w:tr>
      <w:tr w:rsidR="00544BC7" w:rsidRPr="00F10C3A" w:rsidTr="00C5279A">
        <w:tc>
          <w:tcPr>
            <w:tcW w:w="5000" w:type="pct"/>
            <w:gridSpan w:val="7"/>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Harms: Random-effects meta-analysis</w:t>
            </w:r>
          </w:p>
        </w:tc>
      </w:tr>
      <w:tr w:rsidR="00544BC7" w:rsidRPr="00F10C3A" w:rsidTr="00960248">
        <w:trPr>
          <w:trHeight w:val="159"/>
        </w:trPr>
        <w:tc>
          <w:tcPr>
            <w:tcW w:w="658" w:type="pct"/>
            <w:vMerge w:val="restart"/>
            <w:shd w:val="clear" w:color="auto" w:fill="auto"/>
            <w:vAlign w:val="center"/>
          </w:tcPr>
          <w:p w:rsidR="00544BC7" w:rsidRPr="00F10C3A" w:rsidRDefault="00544BC7" w:rsidP="00C5279A">
            <w:pPr>
              <w:keepNext/>
              <w:widowControl/>
              <w:jc w:val="left"/>
              <w:rPr>
                <w:rFonts w:ascii="Arial Narrow" w:hAnsi="Arial Narrow"/>
                <w:sz w:val="20"/>
              </w:rPr>
            </w:pPr>
          </w:p>
        </w:tc>
        <w:tc>
          <w:tcPr>
            <w:tcW w:w="688" w:type="pct"/>
            <w:vMerge w:val="restart"/>
            <w:shd w:val="clear" w:color="auto" w:fill="auto"/>
            <w:vAlign w:val="center"/>
          </w:tcPr>
          <w:p w:rsidR="00544BC7" w:rsidRPr="00F10C3A" w:rsidRDefault="00544BC7" w:rsidP="00C5279A">
            <w:pPr>
              <w:keepNext/>
              <w:jc w:val="left"/>
              <w:rPr>
                <w:rFonts w:ascii="Arial Narrow" w:hAnsi="Arial Narrow"/>
                <w:b/>
                <w:sz w:val="20"/>
              </w:rPr>
            </w:pPr>
            <w:r w:rsidRPr="00F10C3A">
              <w:rPr>
                <w:rFonts w:ascii="Arial Narrow" w:hAnsi="Arial Narrow"/>
                <w:b/>
                <w:sz w:val="20"/>
              </w:rPr>
              <w:t>Nicotine Gum</w:t>
            </w:r>
          </w:p>
        </w:tc>
        <w:tc>
          <w:tcPr>
            <w:tcW w:w="584" w:type="pct"/>
            <w:vMerge w:val="restart"/>
            <w:shd w:val="clear" w:color="auto" w:fill="auto"/>
            <w:vAlign w:val="center"/>
          </w:tcPr>
          <w:p w:rsidR="00544BC7" w:rsidRPr="00F10C3A" w:rsidRDefault="00544BC7" w:rsidP="00C5279A">
            <w:pPr>
              <w:keepNext/>
              <w:jc w:val="left"/>
              <w:rPr>
                <w:rFonts w:ascii="Arial Narrow" w:hAnsi="Arial Narrow"/>
                <w:b/>
                <w:sz w:val="20"/>
              </w:rPr>
            </w:pPr>
            <w:r w:rsidRPr="00F10C3A">
              <w:rPr>
                <w:rFonts w:ascii="Arial Narrow" w:hAnsi="Arial Narrow"/>
                <w:b/>
                <w:sz w:val="20"/>
              </w:rPr>
              <w:t>Nicotine Patch</w:t>
            </w:r>
          </w:p>
        </w:tc>
        <w:tc>
          <w:tcPr>
            <w:tcW w:w="1034"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OR</w:t>
            </w:r>
          </w:p>
          <w:p w:rsidR="00544BC7" w:rsidRPr="00F10C3A" w:rsidRDefault="00544BC7" w:rsidP="00C5279A">
            <w:pPr>
              <w:keepNext/>
              <w:jc w:val="left"/>
              <w:rPr>
                <w:rFonts w:ascii="Arial Narrow" w:hAnsi="Arial Narrow"/>
                <w:b/>
                <w:sz w:val="20"/>
              </w:rPr>
            </w:pPr>
            <w:r w:rsidRPr="00F10C3A">
              <w:rPr>
                <w:rFonts w:ascii="Arial Narrow" w:hAnsi="Arial Narrow"/>
                <w:b/>
                <w:sz w:val="20"/>
              </w:rPr>
              <w:t>(95% CI)</w:t>
            </w:r>
          </w:p>
        </w:tc>
        <w:tc>
          <w:tcPr>
            <w:tcW w:w="993" w:type="pct"/>
            <w:gridSpan w:val="2"/>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Events /100 patients</w:t>
            </w:r>
          </w:p>
        </w:tc>
        <w:tc>
          <w:tcPr>
            <w:tcW w:w="1043" w:type="pct"/>
            <w:vMerge w:val="restart"/>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RD</w:t>
            </w:r>
          </w:p>
          <w:p w:rsidR="00544BC7" w:rsidRPr="00F10C3A" w:rsidRDefault="00544BC7" w:rsidP="00C5279A">
            <w:pPr>
              <w:keepNext/>
              <w:jc w:val="left"/>
              <w:rPr>
                <w:rFonts w:ascii="Arial Narrow" w:hAnsi="Arial Narrow"/>
                <w:b/>
                <w:sz w:val="20"/>
              </w:rPr>
            </w:pPr>
            <w:r w:rsidRPr="00F10C3A">
              <w:rPr>
                <w:rFonts w:ascii="Arial Narrow" w:hAnsi="Arial Narrow"/>
                <w:b/>
                <w:sz w:val="20"/>
              </w:rPr>
              <w:t>(95% CI)</w:t>
            </w:r>
          </w:p>
        </w:tc>
      </w:tr>
      <w:tr w:rsidR="00544BC7" w:rsidRPr="00F10C3A" w:rsidTr="00960248">
        <w:trPr>
          <w:trHeight w:val="64"/>
        </w:trPr>
        <w:tc>
          <w:tcPr>
            <w:tcW w:w="658" w:type="pct"/>
            <w:vMerge/>
            <w:shd w:val="clear" w:color="auto" w:fill="auto"/>
          </w:tcPr>
          <w:p w:rsidR="00544BC7" w:rsidRPr="00F10C3A" w:rsidRDefault="00544BC7" w:rsidP="00C5279A">
            <w:pPr>
              <w:keepNext/>
              <w:widowControl/>
              <w:jc w:val="left"/>
              <w:rPr>
                <w:rFonts w:ascii="Arial Narrow" w:hAnsi="Arial Narrow"/>
                <w:sz w:val="20"/>
              </w:rPr>
            </w:pPr>
          </w:p>
        </w:tc>
        <w:tc>
          <w:tcPr>
            <w:tcW w:w="688" w:type="pct"/>
            <w:vMerge/>
            <w:shd w:val="clear" w:color="auto" w:fill="auto"/>
          </w:tcPr>
          <w:p w:rsidR="00544BC7" w:rsidRPr="00F10C3A" w:rsidRDefault="00544BC7" w:rsidP="00C5279A">
            <w:pPr>
              <w:keepNext/>
              <w:widowControl/>
              <w:jc w:val="left"/>
              <w:rPr>
                <w:rFonts w:ascii="Arial Narrow" w:hAnsi="Arial Narrow"/>
                <w:b/>
                <w:sz w:val="20"/>
              </w:rPr>
            </w:pPr>
          </w:p>
        </w:tc>
        <w:tc>
          <w:tcPr>
            <w:tcW w:w="584" w:type="pct"/>
            <w:vMerge/>
            <w:shd w:val="clear" w:color="auto" w:fill="auto"/>
          </w:tcPr>
          <w:p w:rsidR="00544BC7" w:rsidRPr="00F10C3A" w:rsidRDefault="00544BC7" w:rsidP="00C5279A">
            <w:pPr>
              <w:keepNext/>
              <w:widowControl/>
              <w:jc w:val="left"/>
              <w:rPr>
                <w:rFonts w:ascii="Arial Narrow" w:hAnsi="Arial Narrow"/>
                <w:b/>
                <w:sz w:val="20"/>
              </w:rPr>
            </w:pPr>
          </w:p>
        </w:tc>
        <w:tc>
          <w:tcPr>
            <w:tcW w:w="1034" w:type="pct"/>
            <w:vMerge/>
            <w:shd w:val="clear" w:color="auto" w:fill="auto"/>
          </w:tcPr>
          <w:p w:rsidR="00544BC7" w:rsidRPr="00F10C3A" w:rsidRDefault="00544BC7" w:rsidP="00C5279A">
            <w:pPr>
              <w:keepNext/>
              <w:widowControl/>
              <w:jc w:val="left"/>
              <w:rPr>
                <w:rFonts w:ascii="Arial Narrow" w:hAnsi="Arial Narrow"/>
                <w:b/>
                <w:sz w:val="20"/>
              </w:rPr>
            </w:pPr>
          </w:p>
        </w:tc>
        <w:tc>
          <w:tcPr>
            <w:tcW w:w="390" w:type="pct"/>
            <w:shd w:val="clear" w:color="auto" w:fill="auto"/>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Nicotine Gum</w:t>
            </w:r>
          </w:p>
        </w:tc>
        <w:tc>
          <w:tcPr>
            <w:tcW w:w="603" w:type="pct"/>
            <w:shd w:val="clear" w:color="auto" w:fill="auto"/>
          </w:tcPr>
          <w:p w:rsidR="00544BC7" w:rsidRPr="00F10C3A" w:rsidRDefault="00544BC7" w:rsidP="00C5279A">
            <w:pPr>
              <w:keepNext/>
              <w:jc w:val="left"/>
              <w:rPr>
                <w:rFonts w:ascii="Arial Narrow" w:hAnsi="Arial Narrow"/>
                <w:b/>
                <w:sz w:val="20"/>
              </w:rPr>
            </w:pPr>
            <w:r w:rsidRPr="00F10C3A">
              <w:rPr>
                <w:rFonts w:ascii="Arial Narrow" w:hAnsi="Arial Narrow"/>
                <w:b/>
                <w:sz w:val="20"/>
              </w:rPr>
              <w:t>Nicotine Patch</w:t>
            </w:r>
          </w:p>
        </w:tc>
        <w:tc>
          <w:tcPr>
            <w:tcW w:w="1043" w:type="pct"/>
            <w:vMerge/>
            <w:shd w:val="clear" w:color="auto" w:fill="auto"/>
            <w:vAlign w:val="center"/>
          </w:tcPr>
          <w:p w:rsidR="00544BC7" w:rsidRPr="00F10C3A" w:rsidRDefault="00544BC7" w:rsidP="00C5279A">
            <w:pPr>
              <w:keepNext/>
              <w:widowControl/>
              <w:jc w:val="left"/>
              <w:rPr>
                <w:rFonts w:ascii="Arial Narrow" w:hAnsi="Arial Narrow"/>
                <w:sz w:val="20"/>
              </w:rPr>
            </w:pPr>
          </w:p>
        </w:tc>
      </w:tr>
      <w:tr w:rsidR="00544BC7" w:rsidRPr="00F10C3A" w:rsidTr="00C5279A">
        <w:tc>
          <w:tcPr>
            <w:tcW w:w="5000" w:type="pct"/>
            <w:gridSpan w:val="7"/>
            <w:shd w:val="clear" w:color="auto" w:fill="auto"/>
            <w:vAlign w:val="center"/>
          </w:tcPr>
          <w:p w:rsidR="00544BC7" w:rsidRPr="00F10C3A" w:rsidRDefault="00544BC7" w:rsidP="00C5279A">
            <w:pPr>
              <w:keepNext/>
              <w:widowControl/>
              <w:jc w:val="left"/>
              <w:rPr>
                <w:rFonts w:ascii="Arial Narrow" w:hAnsi="Arial Narrow"/>
                <w:b/>
                <w:sz w:val="20"/>
              </w:rPr>
            </w:pPr>
            <w:r w:rsidRPr="00F10C3A">
              <w:rPr>
                <w:rFonts w:ascii="Arial Narrow" w:hAnsi="Arial Narrow"/>
                <w:b/>
                <w:sz w:val="20"/>
              </w:rPr>
              <w:t>Indirect comparison of Gum versus Patch trials</w:t>
            </w:r>
          </w:p>
        </w:tc>
      </w:tr>
      <w:tr w:rsidR="00573C8C" w:rsidRPr="00F10C3A" w:rsidTr="00960248">
        <w:tc>
          <w:tcPr>
            <w:tcW w:w="1930" w:type="pct"/>
            <w:gridSpan w:val="3"/>
            <w:shd w:val="clear" w:color="auto" w:fill="auto"/>
            <w:vAlign w:val="center"/>
          </w:tcPr>
          <w:p w:rsidR="00573C8C" w:rsidRPr="00F10C3A" w:rsidRDefault="00573C8C" w:rsidP="00C5279A">
            <w:pPr>
              <w:keepNext/>
              <w:widowControl/>
              <w:jc w:val="left"/>
              <w:rPr>
                <w:rFonts w:ascii="Arial Narrow" w:hAnsi="Arial Narrow"/>
                <w:b/>
                <w:sz w:val="20"/>
              </w:rPr>
            </w:pPr>
            <w:r w:rsidRPr="00F10C3A">
              <w:rPr>
                <w:rFonts w:ascii="Arial Narrow" w:hAnsi="Arial Narrow"/>
                <w:b/>
                <w:sz w:val="20"/>
              </w:rPr>
              <w:t>Hiccups</w:t>
            </w:r>
          </w:p>
        </w:tc>
        <w:tc>
          <w:tcPr>
            <w:tcW w:w="1034" w:type="pct"/>
            <w:shd w:val="clear" w:color="auto" w:fill="auto"/>
            <w:vAlign w:val="center"/>
          </w:tcPr>
          <w:p w:rsidR="00573C8C" w:rsidRPr="00F10C3A" w:rsidRDefault="00573C8C" w:rsidP="00C5279A">
            <w:pPr>
              <w:pStyle w:val="TableText1"/>
            </w:pPr>
            <w:r w:rsidRPr="00F10C3A">
              <w:rPr>
                <w:b/>
              </w:rPr>
              <w:t>10.54 (2.70, 41.09)</w:t>
            </w:r>
          </w:p>
          <w:p w:rsidR="00573C8C" w:rsidRPr="00F10C3A" w:rsidRDefault="00573C8C" w:rsidP="00C5279A">
            <w:pPr>
              <w:pStyle w:val="TableText1"/>
              <w:rPr>
                <w:b/>
                <w:vertAlign w:val="superscript"/>
              </w:rPr>
            </w:pPr>
            <w:r w:rsidRPr="00F10C3A">
              <w:t>18.16 (0.70, 467.66)</w:t>
            </w:r>
            <w:r w:rsidRPr="00F10C3A">
              <w:rPr>
                <w:vertAlign w:val="superscript"/>
              </w:rPr>
              <w:t>c</w:t>
            </w:r>
          </w:p>
        </w:tc>
        <w:tc>
          <w:tcPr>
            <w:tcW w:w="993" w:type="pct"/>
            <w:gridSpan w:val="2"/>
            <w:shd w:val="clear" w:color="auto" w:fill="auto"/>
            <w:vAlign w:val="center"/>
          </w:tcPr>
          <w:p w:rsidR="00573C8C" w:rsidRPr="00F10C3A" w:rsidRDefault="00573C8C" w:rsidP="00C5279A">
            <w:pPr>
              <w:keepNext/>
              <w:widowControl/>
              <w:jc w:val="left"/>
              <w:rPr>
                <w:rFonts w:ascii="Arial Narrow" w:hAnsi="Arial Narrow"/>
                <w:sz w:val="20"/>
              </w:rPr>
            </w:pPr>
            <w:r w:rsidRPr="00F10C3A">
              <w:rPr>
                <w:rFonts w:ascii="Arial Narrow" w:hAnsi="Arial Narrow"/>
                <w:sz w:val="20"/>
              </w:rPr>
              <w:t>NA</w:t>
            </w:r>
          </w:p>
        </w:tc>
        <w:tc>
          <w:tcPr>
            <w:tcW w:w="1043" w:type="pct"/>
            <w:shd w:val="clear" w:color="auto" w:fill="auto"/>
            <w:vAlign w:val="center"/>
          </w:tcPr>
          <w:p w:rsidR="00573C8C" w:rsidRPr="00F10C3A" w:rsidRDefault="00573C8C" w:rsidP="00C5279A">
            <w:pPr>
              <w:keepNext/>
              <w:widowControl/>
              <w:jc w:val="left"/>
              <w:rPr>
                <w:rFonts w:ascii="Arial Narrow" w:hAnsi="Arial Narrow"/>
                <w:sz w:val="20"/>
                <w:vertAlign w:val="superscript"/>
              </w:rPr>
            </w:pPr>
            <w:r w:rsidRPr="00F10C3A">
              <w:rPr>
                <w:rFonts w:ascii="Arial Narrow" w:hAnsi="Arial Narrow"/>
                <w:sz w:val="20"/>
              </w:rPr>
              <w:t>NA</w:t>
            </w:r>
          </w:p>
        </w:tc>
      </w:tr>
      <w:tr w:rsidR="00573C8C" w:rsidRPr="00F10C3A" w:rsidTr="00960248">
        <w:tc>
          <w:tcPr>
            <w:tcW w:w="1930" w:type="pct"/>
            <w:gridSpan w:val="3"/>
            <w:shd w:val="clear" w:color="auto" w:fill="auto"/>
            <w:vAlign w:val="center"/>
          </w:tcPr>
          <w:p w:rsidR="00573C8C" w:rsidRPr="00F10C3A" w:rsidRDefault="00573C8C" w:rsidP="00C5279A">
            <w:pPr>
              <w:keepNext/>
              <w:keepLines/>
              <w:widowControl/>
              <w:jc w:val="left"/>
              <w:rPr>
                <w:rFonts w:ascii="Arial Narrow" w:hAnsi="Arial Narrow"/>
                <w:b/>
                <w:sz w:val="20"/>
              </w:rPr>
            </w:pPr>
            <w:r w:rsidRPr="00F10C3A">
              <w:rPr>
                <w:rFonts w:ascii="Arial Narrow" w:hAnsi="Arial Narrow"/>
                <w:b/>
                <w:sz w:val="20"/>
              </w:rPr>
              <w:t>Oral reactions</w:t>
            </w:r>
          </w:p>
        </w:tc>
        <w:tc>
          <w:tcPr>
            <w:tcW w:w="1034" w:type="pct"/>
            <w:shd w:val="clear" w:color="auto" w:fill="auto"/>
            <w:vAlign w:val="center"/>
          </w:tcPr>
          <w:p w:rsidR="00573C8C" w:rsidRPr="00F10C3A" w:rsidRDefault="00573C8C" w:rsidP="00C5279A">
            <w:pPr>
              <w:keepNext/>
              <w:keepLines/>
              <w:widowControl/>
              <w:jc w:val="left"/>
              <w:rPr>
                <w:rFonts w:ascii="Arial Narrow" w:hAnsi="Arial Narrow"/>
                <w:b/>
                <w:sz w:val="20"/>
              </w:rPr>
            </w:pPr>
            <w:r w:rsidRPr="00F10C3A">
              <w:rPr>
                <w:rFonts w:ascii="Arial Narrow" w:hAnsi="Arial Narrow"/>
                <w:b/>
                <w:sz w:val="20"/>
              </w:rPr>
              <w:t>3.19 (1.28, 7.93)</w:t>
            </w:r>
          </w:p>
          <w:p w:rsidR="00573C8C" w:rsidRPr="00F10C3A" w:rsidRDefault="00573C8C" w:rsidP="00C5279A">
            <w:pPr>
              <w:keepNext/>
              <w:keepLines/>
              <w:widowControl/>
              <w:jc w:val="left"/>
              <w:rPr>
                <w:rFonts w:ascii="Arial Narrow" w:hAnsi="Arial Narrow"/>
                <w:b/>
                <w:sz w:val="20"/>
                <w:vertAlign w:val="superscript"/>
              </w:rPr>
            </w:pPr>
            <w:r w:rsidRPr="00F10C3A">
              <w:rPr>
                <w:rFonts w:ascii="Arial Narrow" w:hAnsi="Arial Narrow"/>
                <w:b/>
                <w:sz w:val="20"/>
              </w:rPr>
              <w:t>3.15 (1.19, 8.35)</w:t>
            </w:r>
            <w:r w:rsidRPr="00F10C3A">
              <w:rPr>
                <w:rFonts w:ascii="Arial Narrow" w:hAnsi="Arial Narrow"/>
                <w:b/>
                <w:sz w:val="20"/>
                <w:vertAlign w:val="superscript"/>
              </w:rPr>
              <w:t>c</w:t>
            </w:r>
          </w:p>
        </w:tc>
        <w:tc>
          <w:tcPr>
            <w:tcW w:w="993" w:type="pct"/>
            <w:gridSpan w:val="2"/>
            <w:shd w:val="clear" w:color="auto" w:fill="auto"/>
            <w:vAlign w:val="center"/>
          </w:tcPr>
          <w:p w:rsidR="00573C8C" w:rsidRPr="00F10C3A" w:rsidRDefault="00573C8C" w:rsidP="00C5279A">
            <w:pPr>
              <w:keepNext/>
              <w:keepLines/>
              <w:widowControl/>
              <w:jc w:val="left"/>
              <w:rPr>
                <w:rFonts w:ascii="Arial Narrow" w:hAnsi="Arial Narrow"/>
                <w:sz w:val="20"/>
              </w:rPr>
            </w:pPr>
            <w:r w:rsidRPr="00F10C3A">
              <w:rPr>
                <w:rFonts w:ascii="Arial Narrow" w:hAnsi="Arial Narrow"/>
                <w:sz w:val="20"/>
              </w:rPr>
              <w:t>NA</w:t>
            </w:r>
          </w:p>
        </w:tc>
        <w:tc>
          <w:tcPr>
            <w:tcW w:w="1043" w:type="pct"/>
            <w:shd w:val="clear" w:color="auto" w:fill="auto"/>
            <w:vAlign w:val="center"/>
          </w:tcPr>
          <w:p w:rsidR="00573C8C" w:rsidRPr="00F10C3A" w:rsidRDefault="00573C8C" w:rsidP="00C5279A">
            <w:pPr>
              <w:keepNext/>
              <w:keepLines/>
              <w:widowControl/>
              <w:jc w:val="left"/>
              <w:rPr>
                <w:rFonts w:ascii="Arial Narrow" w:hAnsi="Arial Narrow"/>
                <w:sz w:val="20"/>
                <w:vertAlign w:val="superscript"/>
              </w:rPr>
            </w:pPr>
            <w:r w:rsidRPr="00F10C3A">
              <w:rPr>
                <w:rFonts w:ascii="Arial Narrow" w:hAnsi="Arial Narrow"/>
                <w:sz w:val="20"/>
              </w:rPr>
              <w:t>NA</w:t>
            </w:r>
          </w:p>
        </w:tc>
      </w:tr>
    </w:tbl>
    <w:p w:rsidR="00544BC7" w:rsidRPr="00F10C3A" w:rsidRDefault="00544BC7" w:rsidP="00544BC7">
      <w:pPr>
        <w:keepLines/>
        <w:spacing w:after="120"/>
        <w:contextualSpacing/>
        <w:rPr>
          <w:rFonts w:ascii="Arial Narrow" w:hAnsi="Arial Narrow"/>
          <w:sz w:val="18"/>
        </w:rPr>
      </w:pPr>
      <w:r w:rsidRPr="00F10C3A">
        <w:rPr>
          <w:rFonts w:ascii="Arial Narrow" w:hAnsi="Arial Narrow"/>
          <w:sz w:val="18"/>
        </w:rPr>
        <w:t>Source: Compiled and calculated during the evaluation</w:t>
      </w:r>
    </w:p>
    <w:p w:rsidR="00544BC7" w:rsidRPr="00F10C3A" w:rsidRDefault="00544BC7" w:rsidP="00544BC7">
      <w:pPr>
        <w:keepLines/>
        <w:spacing w:after="120"/>
        <w:contextualSpacing/>
        <w:rPr>
          <w:rFonts w:ascii="Arial Narrow" w:hAnsi="Arial Narrow"/>
          <w:sz w:val="18"/>
        </w:rPr>
      </w:pPr>
      <w:r w:rsidRPr="00F10C3A">
        <w:rPr>
          <w:rFonts w:ascii="Arial Narrow" w:hAnsi="Arial Narrow"/>
          <w:sz w:val="18"/>
        </w:rPr>
        <w:t>CI = confidence interval; NA = not assessed; OR = odds ratio; RD = risk difference; RR = relative risk</w:t>
      </w:r>
    </w:p>
    <w:p w:rsidR="00544BC7" w:rsidRPr="00F10C3A" w:rsidRDefault="00544BC7" w:rsidP="00544BC7">
      <w:pPr>
        <w:keepLines/>
        <w:spacing w:after="120"/>
        <w:contextualSpacing/>
        <w:rPr>
          <w:rFonts w:ascii="Arial Narrow" w:hAnsi="Arial Narrow"/>
          <w:sz w:val="18"/>
        </w:rPr>
      </w:pPr>
      <w:r w:rsidRPr="00F10C3A">
        <w:rPr>
          <w:rFonts w:ascii="Arial Narrow" w:hAnsi="Arial Narrow"/>
          <w:b/>
          <w:sz w:val="18"/>
        </w:rPr>
        <w:t xml:space="preserve">Bold </w:t>
      </w:r>
      <w:r w:rsidRPr="00F10C3A">
        <w:rPr>
          <w:rFonts w:ascii="Arial Narrow" w:hAnsi="Arial Narrow"/>
          <w:sz w:val="18"/>
        </w:rPr>
        <w:t>= significant</w:t>
      </w:r>
    </w:p>
    <w:p w:rsidR="00544BC7" w:rsidRPr="00F10C3A" w:rsidRDefault="00544BC7" w:rsidP="00544BC7">
      <w:pPr>
        <w:keepLines/>
        <w:spacing w:after="120"/>
        <w:contextualSpacing/>
        <w:rPr>
          <w:rFonts w:ascii="Arial Narrow" w:hAnsi="Arial Narrow"/>
          <w:sz w:val="18"/>
        </w:rPr>
      </w:pPr>
      <w:proofErr w:type="spellStart"/>
      <w:r w:rsidRPr="00F10C3A">
        <w:rPr>
          <w:rFonts w:ascii="Arial Narrow" w:hAnsi="Arial Narrow"/>
          <w:sz w:val="18"/>
          <w:vertAlign w:val="superscript"/>
        </w:rPr>
        <w:t>a</w:t>
      </w:r>
      <w:proofErr w:type="spellEnd"/>
      <w:r w:rsidRPr="00F10C3A">
        <w:rPr>
          <w:rFonts w:ascii="Arial Narrow" w:hAnsi="Arial Narrow"/>
          <w:sz w:val="18"/>
        </w:rPr>
        <w:t xml:space="preserve"> The duration of follow-up was at least 12 months for 64% of gum versus control trials, and 54% of patch versus control trials.</w:t>
      </w:r>
    </w:p>
    <w:p w:rsidR="00544BC7" w:rsidRPr="00F10C3A" w:rsidRDefault="00544BC7" w:rsidP="00544BC7">
      <w:pPr>
        <w:keepLines/>
        <w:spacing w:after="120"/>
        <w:contextualSpacing/>
        <w:rPr>
          <w:rFonts w:ascii="Arial Narrow" w:hAnsi="Arial Narrow"/>
          <w:sz w:val="18"/>
        </w:rPr>
      </w:pPr>
      <w:proofErr w:type="gramStart"/>
      <w:r w:rsidRPr="00F10C3A">
        <w:rPr>
          <w:rFonts w:ascii="Arial Narrow" w:hAnsi="Arial Narrow"/>
          <w:sz w:val="18"/>
          <w:vertAlign w:val="superscript"/>
        </w:rPr>
        <w:t>b</w:t>
      </w:r>
      <w:proofErr w:type="gramEnd"/>
      <w:r w:rsidRPr="00F10C3A">
        <w:rPr>
          <w:rFonts w:ascii="Arial Narrow" w:hAnsi="Arial Narrow"/>
          <w:sz w:val="18"/>
        </w:rPr>
        <w:t xml:space="preserve"> Based on 43 patch versus control trials in Stead (2012) and an additional 11 patch versus control trials identified by the submission</w:t>
      </w:r>
    </w:p>
    <w:p w:rsidR="00544BC7" w:rsidRPr="00F10C3A" w:rsidRDefault="00544BC7" w:rsidP="00544BC7">
      <w:pPr>
        <w:keepLines/>
        <w:spacing w:after="120"/>
        <w:contextualSpacing/>
        <w:rPr>
          <w:rFonts w:ascii="Arial Narrow" w:hAnsi="Arial Narrow"/>
          <w:sz w:val="18"/>
        </w:rPr>
      </w:pPr>
      <w:proofErr w:type="gramStart"/>
      <w:r w:rsidRPr="00F10C3A">
        <w:rPr>
          <w:rFonts w:ascii="Arial Narrow" w:hAnsi="Arial Narrow"/>
          <w:sz w:val="18"/>
          <w:vertAlign w:val="superscript"/>
        </w:rPr>
        <w:t>c</w:t>
      </w:r>
      <w:proofErr w:type="gramEnd"/>
      <w:r w:rsidRPr="00F10C3A">
        <w:rPr>
          <w:rFonts w:ascii="Arial Narrow" w:hAnsi="Arial Narrow"/>
          <w:sz w:val="18"/>
          <w:vertAlign w:val="superscript"/>
        </w:rPr>
        <w:t xml:space="preserve"> </w:t>
      </w:r>
      <w:r w:rsidRPr="00F10C3A">
        <w:rPr>
          <w:rFonts w:ascii="Arial Narrow" w:hAnsi="Arial Narrow"/>
          <w:sz w:val="18"/>
        </w:rPr>
        <w:t xml:space="preserve">Results are based on a sensitivity analysis with </w:t>
      </w:r>
      <w:proofErr w:type="spellStart"/>
      <w:r w:rsidRPr="00F10C3A">
        <w:rPr>
          <w:rFonts w:ascii="Arial Narrow" w:hAnsi="Arial Narrow"/>
          <w:sz w:val="18"/>
        </w:rPr>
        <w:t>Moolchan</w:t>
      </w:r>
      <w:proofErr w:type="spellEnd"/>
      <w:r w:rsidRPr="00F10C3A">
        <w:rPr>
          <w:rFonts w:ascii="Arial Narrow" w:hAnsi="Arial Narrow"/>
          <w:sz w:val="18"/>
        </w:rPr>
        <w:t xml:space="preserve"> (2005) removed.</w:t>
      </w:r>
    </w:p>
    <w:p w:rsidR="00544BC7" w:rsidRPr="00F10C3A" w:rsidRDefault="00544BC7" w:rsidP="00544BC7">
      <w:pPr>
        <w:pStyle w:val="PBACHeading1"/>
        <w:numPr>
          <w:ilvl w:val="0"/>
          <w:numId w:val="0"/>
        </w:numPr>
        <w:ind w:left="720" w:hanging="720"/>
        <w:rPr>
          <w:rFonts w:eastAsia="Calibri"/>
          <w:snapToGrid/>
        </w:rPr>
      </w:pPr>
    </w:p>
    <w:p w:rsidR="0045698A" w:rsidRPr="00F10C3A" w:rsidRDefault="0045698A"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lang w:val="en-US"/>
        </w:rPr>
        <w:t>On the basis of</w:t>
      </w:r>
      <w:r w:rsidR="00FD7801" w:rsidRPr="00F10C3A">
        <w:rPr>
          <w:rFonts w:ascii="Calibri" w:eastAsia="Calibri" w:hAnsi="Calibri"/>
          <w:snapToGrid/>
          <w:sz w:val="24"/>
          <w:szCs w:val="22"/>
          <w:lang w:val="en-US"/>
        </w:rPr>
        <w:t xml:space="preserve"> the indirect </w:t>
      </w:r>
      <w:r w:rsidRPr="00F10C3A">
        <w:rPr>
          <w:rFonts w:ascii="Calibri" w:eastAsia="Calibri" w:hAnsi="Calibri"/>
          <w:snapToGrid/>
          <w:sz w:val="24"/>
          <w:szCs w:val="22"/>
          <w:lang w:val="en-US"/>
        </w:rPr>
        <w:t xml:space="preserve">evidence presented by the submission, </w:t>
      </w:r>
      <w:r w:rsidR="00FD7801" w:rsidRPr="00F10C3A">
        <w:rPr>
          <w:rFonts w:ascii="Calibri" w:eastAsia="Calibri" w:hAnsi="Calibri"/>
          <w:snapToGrid/>
          <w:sz w:val="24"/>
          <w:szCs w:val="22"/>
          <w:lang w:val="en-US"/>
        </w:rPr>
        <w:t xml:space="preserve">the comparison between nicotine gum and nicotine patches </w:t>
      </w:r>
      <w:r w:rsidR="001B1788" w:rsidRPr="00F10C3A">
        <w:rPr>
          <w:rFonts w:ascii="Calibri" w:eastAsia="Calibri" w:hAnsi="Calibri"/>
          <w:snapToGrid/>
          <w:sz w:val="24"/>
          <w:szCs w:val="22"/>
          <w:lang w:val="en-US"/>
        </w:rPr>
        <w:t>demonstrated that nicotine gum resulted in</w:t>
      </w:r>
      <w:r w:rsidRPr="00F10C3A">
        <w:rPr>
          <w:rFonts w:ascii="Calibri" w:eastAsia="Calibri" w:hAnsi="Calibri"/>
          <w:snapToGrid/>
          <w:sz w:val="24"/>
          <w:szCs w:val="22"/>
          <w:lang w:val="en-US"/>
        </w:rPr>
        <w:t>:</w:t>
      </w:r>
    </w:p>
    <w:p w:rsidR="0045698A" w:rsidRPr="00F10C3A" w:rsidRDefault="00EB3493" w:rsidP="007E3BC0">
      <w:pPr>
        <w:widowControl/>
        <w:numPr>
          <w:ilvl w:val="0"/>
          <w:numId w:val="2"/>
        </w:numPr>
        <w:autoSpaceDE w:val="0"/>
        <w:autoSpaceDN w:val="0"/>
        <w:adjustRightInd w:val="0"/>
        <w:ind w:left="993" w:hanging="284"/>
        <w:rPr>
          <w:rFonts w:ascii="Calibri" w:eastAsia="Calibri" w:hAnsi="Calibri"/>
          <w:snapToGrid/>
          <w:sz w:val="24"/>
          <w:szCs w:val="22"/>
          <w:lang w:val="en-US"/>
        </w:rPr>
      </w:pPr>
      <w:r w:rsidRPr="00F10C3A">
        <w:rPr>
          <w:rFonts w:ascii="Calibri" w:eastAsia="Calibri" w:hAnsi="Calibri"/>
          <w:snapToGrid/>
          <w:sz w:val="24"/>
          <w:szCs w:val="22"/>
          <w:lang w:val="en-US"/>
        </w:rPr>
        <w:t>No</w:t>
      </w:r>
      <w:r w:rsidR="00C20B33" w:rsidRPr="00F10C3A">
        <w:rPr>
          <w:rFonts w:ascii="Calibri" w:eastAsia="Calibri" w:hAnsi="Calibri"/>
          <w:snapToGrid/>
          <w:sz w:val="24"/>
          <w:szCs w:val="22"/>
          <w:lang w:val="en-US"/>
        </w:rPr>
        <w:t xml:space="preserve"> significant</w:t>
      </w:r>
      <w:r w:rsidRPr="00F10C3A">
        <w:rPr>
          <w:rFonts w:ascii="Calibri" w:eastAsia="Calibri" w:hAnsi="Calibri"/>
          <w:snapToGrid/>
          <w:sz w:val="24"/>
          <w:szCs w:val="22"/>
          <w:lang w:val="en-US"/>
        </w:rPr>
        <w:t xml:space="preserve"> difference</w:t>
      </w:r>
      <w:r w:rsidR="00C20B33" w:rsidRPr="00F10C3A">
        <w:rPr>
          <w:rFonts w:ascii="Calibri" w:eastAsia="Calibri" w:hAnsi="Calibri"/>
          <w:snapToGrid/>
          <w:sz w:val="24"/>
          <w:szCs w:val="22"/>
          <w:lang w:val="en-US"/>
        </w:rPr>
        <w:t>s</w:t>
      </w:r>
      <w:r w:rsidR="0045698A" w:rsidRPr="00F10C3A">
        <w:rPr>
          <w:rFonts w:ascii="Calibri" w:eastAsia="Calibri" w:hAnsi="Calibri"/>
          <w:snapToGrid/>
          <w:sz w:val="24"/>
          <w:szCs w:val="22"/>
          <w:lang w:val="en-US"/>
        </w:rPr>
        <w:t xml:space="preserve"> </w:t>
      </w:r>
      <w:r w:rsidR="00FD7801" w:rsidRPr="00F10C3A">
        <w:rPr>
          <w:rFonts w:ascii="Calibri" w:eastAsia="Calibri" w:hAnsi="Calibri"/>
          <w:snapToGrid/>
          <w:sz w:val="24"/>
          <w:szCs w:val="22"/>
          <w:lang w:val="en-US"/>
        </w:rPr>
        <w:t xml:space="preserve">in the likelihood </w:t>
      </w:r>
      <w:r w:rsidR="000D72AE" w:rsidRPr="00F10C3A">
        <w:rPr>
          <w:rFonts w:ascii="Calibri" w:eastAsia="Calibri" w:hAnsi="Calibri"/>
          <w:snapToGrid/>
          <w:sz w:val="24"/>
          <w:szCs w:val="22"/>
          <w:lang w:val="en-US"/>
        </w:rPr>
        <w:t>of achieving 6-month abstinence</w:t>
      </w:r>
    </w:p>
    <w:p w:rsidR="00C20B33" w:rsidRPr="00F10C3A" w:rsidRDefault="001B1788" w:rsidP="007E3BC0">
      <w:pPr>
        <w:widowControl/>
        <w:numPr>
          <w:ilvl w:val="0"/>
          <w:numId w:val="2"/>
        </w:numPr>
        <w:autoSpaceDE w:val="0"/>
        <w:autoSpaceDN w:val="0"/>
        <w:adjustRightInd w:val="0"/>
        <w:ind w:left="993" w:hanging="284"/>
        <w:rPr>
          <w:rFonts w:ascii="Calibri" w:eastAsia="Calibri" w:hAnsi="Calibri"/>
          <w:snapToGrid/>
          <w:sz w:val="24"/>
          <w:szCs w:val="22"/>
          <w:lang w:val="en-US"/>
        </w:rPr>
      </w:pPr>
      <w:r w:rsidRPr="00F10C3A">
        <w:rPr>
          <w:rFonts w:ascii="Calibri" w:eastAsia="Calibri" w:hAnsi="Calibri"/>
          <w:snapToGrid/>
          <w:sz w:val="24"/>
          <w:szCs w:val="22"/>
          <w:lang w:val="en-US"/>
        </w:rPr>
        <w:t xml:space="preserve">A 10-fold increase in the </w:t>
      </w:r>
      <w:r w:rsidR="000D72AE" w:rsidRPr="00F10C3A">
        <w:rPr>
          <w:rFonts w:ascii="Calibri" w:eastAsia="Calibri" w:hAnsi="Calibri"/>
          <w:snapToGrid/>
          <w:sz w:val="24"/>
          <w:szCs w:val="22"/>
          <w:lang w:val="en-US"/>
        </w:rPr>
        <w:t>odds of experiencing hiccups</w:t>
      </w:r>
      <w:r w:rsidR="00C20B33" w:rsidRPr="00F10C3A">
        <w:rPr>
          <w:rFonts w:ascii="Calibri" w:eastAsia="Calibri" w:hAnsi="Calibri"/>
          <w:snapToGrid/>
          <w:sz w:val="24"/>
          <w:szCs w:val="22"/>
          <w:lang w:val="en-US"/>
        </w:rPr>
        <w:t>.</w:t>
      </w:r>
    </w:p>
    <w:p w:rsidR="00C20B33" w:rsidRPr="00F10C3A" w:rsidRDefault="00C20B33" w:rsidP="007E3BC0">
      <w:pPr>
        <w:widowControl/>
        <w:numPr>
          <w:ilvl w:val="0"/>
          <w:numId w:val="2"/>
        </w:numPr>
        <w:autoSpaceDE w:val="0"/>
        <w:autoSpaceDN w:val="0"/>
        <w:adjustRightInd w:val="0"/>
        <w:ind w:left="993" w:hanging="284"/>
        <w:rPr>
          <w:rFonts w:ascii="Calibri" w:eastAsia="Calibri" w:hAnsi="Calibri"/>
          <w:snapToGrid/>
          <w:sz w:val="24"/>
          <w:szCs w:val="22"/>
          <w:lang w:val="en-US"/>
        </w:rPr>
      </w:pPr>
      <w:r w:rsidRPr="00F10C3A">
        <w:rPr>
          <w:rFonts w:ascii="Calibri" w:eastAsia="Calibri" w:hAnsi="Calibri"/>
          <w:snapToGrid/>
          <w:sz w:val="24"/>
          <w:szCs w:val="22"/>
          <w:lang w:val="en-US"/>
        </w:rPr>
        <w:t>A three-fold increase in the</w:t>
      </w:r>
      <w:r w:rsidR="000D72AE" w:rsidRPr="00F10C3A">
        <w:rPr>
          <w:rFonts w:ascii="Calibri" w:eastAsia="Calibri" w:hAnsi="Calibri"/>
          <w:snapToGrid/>
          <w:sz w:val="24"/>
          <w:szCs w:val="22"/>
          <w:lang w:val="en-US"/>
        </w:rPr>
        <w:t xml:space="preserve"> odds of experiencing an oral </w:t>
      </w:r>
      <w:r w:rsidR="00566C16" w:rsidRPr="00F10C3A">
        <w:rPr>
          <w:rFonts w:ascii="Calibri" w:eastAsia="Calibri" w:hAnsi="Calibri"/>
          <w:snapToGrid/>
          <w:sz w:val="24"/>
          <w:szCs w:val="22"/>
          <w:lang w:val="en-US"/>
        </w:rPr>
        <w:t>reaction</w:t>
      </w:r>
      <w:r w:rsidRPr="00F10C3A">
        <w:rPr>
          <w:rFonts w:ascii="Calibri" w:eastAsia="Calibri" w:hAnsi="Calibri"/>
          <w:snapToGrid/>
          <w:sz w:val="24"/>
          <w:szCs w:val="22"/>
          <w:lang w:val="en-US"/>
        </w:rPr>
        <w:t>.</w:t>
      </w:r>
    </w:p>
    <w:p w:rsidR="0045698A" w:rsidRPr="00155F06" w:rsidRDefault="0045698A" w:rsidP="003F1965">
      <w:pPr>
        <w:pStyle w:val="V50Heading2nonumbers"/>
      </w:pPr>
      <w:bookmarkStart w:id="34" w:name="_Toc476306891"/>
      <w:bookmarkStart w:id="35" w:name="_Toc482710297"/>
      <w:r w:rsidRPr="00155F06">
        <w:t>Clinical claim</w:t>
      </w:r>
      <w:bookmarkEnd w:id="31"/>
      <w:bookmarkEnd w:id="34"/>
      <w:bookmarkEnd w:id="35"/>
    </w:p>
    <w:p w:rsidR="00C174FD" w:rsidRPr="00F10C3A" w:rsidRDefault="00C174FD" w:rsidP="007E3BC0">
      <w:pPr>
        <w:widowControl/>
        <w:numPr>
          <w:ilvl w:val="1"/>
          <w:numId w:val="3"/>
        </w:numPr>
        <w:rPr>
          <w:rFonts w:asciiTheme="minorHAnsi" w:eastAsia="Calibri" w:hAnsiTheme="minorHAnsi"/>
          <w:snapToGrid/>
          <w:sz w:val="24"/>
          <w:szCs w:val="24"/>
        </w:rPr>
      </w:pPr>
      <w:r w:rsidRPr="00F10C3A">
        <w:rPr>
          <w:rFonts w:ascii="Calibri" w:eastAsia="Calibri" w:hAnsi="Calibri"/>
          <w:snapToGrid/>
          <w:color w:val="000000" w:themeColor="text1"/>
          <w:sz w:val="24"/>
          <w:szCs w:val="22"/>
        </w:rPr>
        <w:t>The</w:t>
      </w:r>
      <w:r w:rsidRPr="00F10C3A">
        <w:t xml:space="preserve"> </w:t>
      </w:r>
      <w:r w:rsidRPr="00F10C3A">
        <w:rPr>
          <w:rFonts w:ascii="Calibri" w:eastAsia="Calibri" w:hAnsi="Calibri"/>
          <w:snapToGrid/>
          <w:color w:val="000000" w:themeColor="text1"/>
          <w:sz w:val="24"/>
          <w:szCs w:val="22"/>
        </w:rPr>
        <w:t xml:space="preserve">submission described nicotine gum and nicotine lozenges as non-inferior in terms of comparative efficacy and safety compared with nicotine patches. This was adequately supported for statistical non-inferior efficacy and safety, as: </w:t>
      </w:r>
    </w:p>
    <w:p w:rsidR="00C174FD" w:rsidRPr="00F10C3A" w:rsidRDefault="00C174FD" w:rsidP="007E3BC0">
      <w:pPr>
        <w:pStyle w:val="ListParagraph"/>
        <w:widowControl/>
        <w:numPr>
          <w:ilvl w:val="0"/>
          <w:numId w:val="7"/>
        </w:numPr>
        <w:ind w:left="1134"/>
        <w:rPr>
          <w:rFonts w:asciiTheme="minorHAnsi" w:eastAsia="Calibri" w:hAnsiTheme="minorHAnsi"/>
          <w:snapToGrid/>
          <w:sz w:val="24"/>
          <w:szCs w:val="24"/>
        </w:rPr>
      </w:pPr>
      <w:r w:rsidRPr="00F10C3A">
        <w:rPr>
          <w:rFonts w:ascii="Calibri" w:eastAsia="Calibri" w:hAnsi="Calibri"/>
          <w:snapToGrid/>
          <w:color w:val="000000" w:themeColor="text1"/>
          <w:sz w:val="24"/>
          <w:szCs w:val="22"/>
        </w:rPr>
        <w:t>A similar level of efficacy in achieving s</w:t>
      </w:r>
      <w:r w:rsidRPr="00F10C3A">
        <w:rPr>
          <w:rFonts w:asciiTheme="minorHAnsi" w:eastAsia="Calibri" w:hAnsiTheme="minorHAnsi"/>
          <w:snapToGrid/>
          <w:sz w:val="24"/>
          <w:szCs w:val="24"/>
        </w:rPr>
        <w:t>ustained abstinence was observed in the three trials comparing nicotine lozenges with nicotine patches and in the indirect comparison between nicotine gum and nicotine patches despite moderate heterogeneity between trials.</w:t>
      </w:r>
    </w:p>
    <w:p w:rsidR="00C174FD" w:rsidRPr="00F10C3A" w:rsidRDefault="00C174FD" w:rsidP="007E3BC0">
      <w:pPr>
        <w:pStyle w:val="ListParagraph"/>
        <w:widowControl/>
        <w:numPr>
          <w:ilvl w:val="1"/>
          <w:numId w:val="7"/>
        </w:numPr>
        <w:rPr>
          <w:rFonts w:asciiTheme="minorHAnsi" w:eastAsia="Calibri" w:hAnsiTheme="minorHAnsi"/>
          <w:snapToGrid/>
          <w:sz w:val="24"/>
          <w:szCs w:val="24"/>
        </w:rPr>
      </w:pPr>
      <w:r w:rsidRPr="00F10C3A">
        <w:rPr>
          <w:rFonts w:ascii="Calibri" w:eastAsia="Calibri" w:hAnsi="Calibri"/>
          <w:snapToGrid/>
          <w:color w:val="000000" w:themeColor="text1"/>
          <w:sz w:val="24"/>
          <w:szCs w:val="22"/>
        </w:rPr>
        <w:t xml:space="preserve">This was </w:t>
      </w:r>
      <w:r w:rsidR="001D7E06">
        <w:rPr>
          <w:rFonts w:ascii="Calibri" w:eastAsia="Calibri" w:hAnsi="Calibri"/>
          <w:snapToGrid/>
          <w:color w:val="000000" w:themeColor="text1"/>
          <w:sz w:val="24"/>
          <w:szCs w:val="22"/>
        </w:rPr>
        <w:t>consistent with the conclusions of</w:t>
      </w:r>
      <w:r w:rsidRPr="00F10C3A">
        <w:rPr>
          <w:rFonts w:ascii="Calibri" w:eastAsia="Calibri" w:hAnsi="Calibri"/>
          <w:snapToGrid/>
          <w:color w:val="000000" w:themeColor="text1"/>
          <w:sz w:val="24"/>
          <w:szCs w:val="22"/>
        </w:rPr>
        <w:t xml:space="preserve"> similar analyses conducted in a Cochrane review of </w:t>
      </w:r>
      <w:r w:rsidR="00264F37" w:rsidRPr="00F10C3A">
        <w:rPr>
          <w:rFonts w:ascii="Calibri" w:eastAsia="Calibri" w:hAnsi="Calibri"/>
          <w:snapToGrid/>
          <w:color w:val="000000" w:themeColor="text1"/>
          <w:sz w:val="24"/>
          <w:szCs w:val="22"/>
        </w:rPr>
        <w:t>NRT</w:t>
      </w:r>
      <w:r w:rsidRPr="00F10C3A">
        <w:rPr>
          <w:rFonts w:ascii="Calibri" w:eastAsia="Calibri" w:hAnsi="Calibri"/>
          <w:snapToGrid/>
          <w:color w:val="000000" w:themeColor="text1"/>
          <w:sz w:val="24"/>
          <w:szCs w:val="22"/>
        </w:rPr>
        <w:t xml:space="preserve"> (Stead, 2012).</w:t>
      </w:r>
      <w:r w:rsidRPr="00F10C3A">
        <w:t xml:space="preserve"> </w:t>
      </w:r>
    </w:p>
    <w:p w:rsidR="00C174FD" w:rsidRPr="00F10C3A" w:rsidRDefault="00C64D15" w:rsidP="007E3BC0">
      <w:pPr>
        <w:pStyle w:val="ListParagraph"/>
        <w:widowControl/>
        <w:numPr>
          <w:ilvl w:val="1"/>
          <w:numId w:val="7"/>
        </w:numPr>
        <w:rPr>
          <w:rFonts w:asciiTheme="minorHAnsi" w:eastAsia="Calibri" w:hAnsiTheme="minorHAnsi"/>
          <w:snapToGrid/>
          <w:sz w:val="24"/>
          <w:szCs w:val="24"/>
        </w:rPr>
      </w:pPr>
      <w:r w:rsidRPr="00F10C3A">
        <w:rPr>
          <w:rFonts w:ascii="Calibri" w:eastAsia="Calibri" w:hAnsi="Calibri"/>
          <w:snapToGrid/>
          <w:color w:val="000000" w:themeColor="text1"/>
          <w:sz w:val="24"/>
          <w:szCs w:val="22"/>
        </w:rPr>
        <w:t xml:space="preserve">Although the difference in abstinence rates was not statistically significant between nicotine gum </w:t>
      </w:r>
      <w:proofErr w:type="gramStart"/>
      <w:r w:rsidRPr="00F10C3A">
        <w:rPr>
          <w:rFonts w:ascii="Calibri" w:eastAsia="Calibri" w:hAnsi="Calibri"/>
          <w:snapToGrid/>
          <w:color w:val="000000" w:themeColor="text1"/>
          <w:sz w:val="24"/>
          <w:szCs w:val="22"/>
        </w:rPr>
        <w:t>or</w:t>
      </w:r>
      <w:proofErr w:type="gramEnd"/>
      <w:r w:rsidRPr="00F10C3A">
        <w:rPr>
          <w:rFonts w:ascii="Calibri" w:eastAsia="Calibri" w:hAnsi="Calibri"/>
          <w:snapToGrid/>
          <w:color w:val="000000" w:themeColor="text1"/>
          <w:sz w:val="24"/>
          <w:szCs w:val="22"/>
        </w:rPr>
        <w:t xml:space="preserve"> lozenges when compared with patches, </w:t>
      </w:r>
      <w:r w:rsidR="00606B13" w:rsidRPr="00F10C3A">
        <w:rPr>
          <w:rFonts w:ascii="Calibri" w:eastAsia="Calibri" w:hAnsi="Calibri"/>
          <w:snapToGrid/>
          <w:color w:val="000000" w:themeColor="text1"/>
          <w:sz w:val="24"/>
          <w:szCs w:val="22"/>
        </w:rPr>
        <w:t xml:space="preserve">it </w:t>
      </w:r>
      <w:r w:rsidR="001D7E06">
        <w:rPr>
          <w:rFonts w:ascii="Calibri" w:eastAsia="Calibri" w:hAnsi="Calibri"/>
          <w:snapToGrid/>
          <w:color w:val="000000" w:themeColor="text1"/>
          <w:sz w:val="24"/>
          <w:szCs w:val="22"/>
        </w:rPr>
        <w:t>wa</w:t>
      </w:r>
      <w:r w:rsidR="00C174FD" w:rsidRPr="00F10C3A">
        <w:rPr>
          <w:rFonts w:ascii="Calibri" w:eastAsia="Calibri" w:hAnsi="Calibri"/>
          <w:snapToGrid/>
          <w:color w:val="000000" w:themeColor="text1"/>
          <w:sz w:val="24"/>
          <w:szCs w:val="22"/>
        </w:rPr>
        <w:t xml:space="preserve">s </w:t>
      </w:r>
      <w:r w:rsidR="001D7E06">
        <w:rPr>
          <w:rFonts w:ascii="Calibri" w:eastAsia="Calibri" w:hAnsi="Calibri"/>
          <w:snapToGrid/>
          <w:color w:val="000000" w:themeColor="text1"/>
          <w:sz w:val="24"/>
          <w:szCs w:val="22"/>
        </w:rPr>
        <w:t>noted during the evaluation that there was</w:t>
      </w:r>
      <w:r w:rsidR="00C174FD" w:rsidRPr="00F10C3A">
        <w:rPr>
          <w:rFonts w:ascii="Calibri" w:eastAsia="Calibri" w:hAnsi="Calibri"/>
          <w:snapToGrid/>
          <w:color w:val="000000" w:themeColor="text1"/>
          <w:sz w:val="24"/>
          <w:szCs w:val="22"/>
        </w:rPr>
        <w:t xml:space="preserve"> the potential for a lower level of efficacy</w:t>
      </w:r>
      <w:r w:rsidR="001D7E06">
        <w:rPr>
          <w:rFonts w:ascii="Calibri" w:eastAsia="Calibri" w:hAnsi="Calibri"/>
          <w:snapToGrid/>
          <w:color w:val="000000" w:themeColor="text1"/>
          <w:sz w:val="24"/>
          <w:szCs w:val="22"/>
        </w:rPr>
        <w:t xml:space="preserve"> with the gum and lozenges compared with the patches</w:t>
      </w:r>
      <w:r w:rsidR="00C174FD" w:rsidRPr="00F10C3A">
        <w:rPr>
          <w:rFonts w:ascii="Calibri" w:eastAsia="Calibri" w:hAnsi="Calibri"/>
          <w:snapToGrid/>
          <w:color w:val="000000" w:themeColor="text1"/>
          <w:sz w:val="24"/>
          <w:szCs w:val="22"/>
        </w:rPr>
        <w:t xml:space="preserve"> </w:t>
      </w:r>
      <w:r w:rsidR="00016DD4" w:rsidRPr="00F10C3A">
        <w:rPr>
          <w:rFonts w:ascii="Calibri" w:eastAsia="Calibri" w:hAnsi="Calibri"/>
          <w:snapToGrid/>
          <w:color w:val="000000" w:themeColor="text1"/>
          <w:sz w:val="24"/>
          <w:szCs w:val="22"/>
        </w:rPr>
        <w:t>(</w:t>
      </w:r>
      <w:r w:rsidR="00C174FD" w:rsidRPr="00F10C3A">
        <w:rPr>
          <w:rFonts w:ascii="Calibri" w:eastAsia="Calibri" w:hAnsi="Calibri"/>
          <w:snapToGrid/>
          <w:color w:val="000000" w:themeColor="text1"/>
          <w:sz w:val="24"/>
          <w:szCs w:val="22"/>
        </w:rPr>
        <w:t xml:space="preserve">20% for nicotine gum and 26% for nicotine </w:t>
      </w:r>
      <w:r w:rsidR="00F15847" w:rsidRPr="00F10C3A">
        <w:rPr>
          <w:rFonts w:ascii="Calibri" w:eastAsia="Calibri" w:hAnsi="Calibri"/>
          <w:snapToGrid/>
          <w:color w:val="000000" w:themeColor="text1"/>
          <w:sz w:val="24"/>
          <w:szCs w:val="22"/>
        </w:rPr>
        <w:t>lozenges</w:t>
      </w:r>
      <w:r w:rsidR="00016DD4" w:rsidRPr="00F10C3A">
        <w:rPr>
          <w:rFonts w:ascii="Calibri" w:eastAsia="Calibri" w:hAnsi="Calibri"/>
          <w:snapToGrid/>
          <w:color w:val="000000" w:themeColor="text1"/>
          <w:sz w:val="24"/>
          <w:szCs w:val="22"/>
        </w:rPr>
        <w:t>)</w:t>
      </w:r>
      <w:r w:rsidR="00C174FD" w:rsidRPr="00F10C3A">
        <w:rPr>
          <w:rFonts w:ascii="Calibri" w:eastAsia="Calibri" w:hAnsi="Calibri"/>
          <w:snapToGrid/>
          <w:color w:val="000000" w:themeColor="text1"/>
          <w:sz w:val="24"/>
          <w:szCs w:val="22"/>
        </w:rPr>
        <w:t>.</w:t>
      </w:r>
    </w:p>
    <w:p w:rsidR="00C174FD" w:rsidRPr="00F10C3A" w:rsidRDefault="00C174FD" w:rsidP="007E3BC0">
      <w:pPr>
        <w:pStyle w:val="ListParagraph"/>
        <w:widowControl/>
        <w:numPr>
          <w:ilvl w:val="0"/>
          <w:numId w:val="7"/>
        </w:numPr>
        <w:ind w:left="1134"/>
        <w:rPr>
          <w:rFonts w:asciiTheme="minorHAnsi" w:eastAsia="Calibri" w:hAnsiTheme="minorHAnsi"/>
          <w:snapToGrid/>
          <w:sz w:val="24"/>
          <w:szCs w:val="24"/>
        </w:rPr>
      </w:pPr>
      <w:r w:rsidRPr="00F10C3A">
        <w:rPr>
          <w:rFonts w:ascii="Calibri" w:eastAsia="Calibri" w:hAnsi="Calibri"/>
          <w:snapToGrid/>
          <w:color w:val="000000" w:themeColor="text1"/>
          <w:sz w:val="24"/>
          <w:szCs w:val="22"/>
        </w:rPr>
        <w:t>Adverse events experienced by participants receiving nicotine gum or lozenges were similar to those experienced by participants receiving nicotine patches, with hiccups and oral reactions occurring more frequently amongst participants using nicotine gum or lozenges.</w:t>
      </w:r>
      <w:r w:rsidR="00CA0012" w:rsidRPr="00F10C3A">
        <w:rPr>
          <w:rFonts w:ascii="Calibri" w:eastAsia="Calibri" w:hAnsi="Calibri"/>
          <w:snapToGrid/>
          <w:color w:val="000000" w:themeColor="text1"/>
          <w:sz w:val="24"/>
          <w:szCs w:val="22"/>
        </w:rPr>
        <w:t xml:space="preserve"> T</w:t>
      </w:r>
      <w:r w:rsidRPr="00F10C3A">
        <w:rPr>
          <w:rFonts w:ascii="Calibri" w:eastAsia="Calibri" w:hAnsi="Calibri"/>
          <w:snapToGrid/>
          <w:color w:val="000000" w:themeColor="text1"/>
          <w:sz w:val="24"/>
          <w:szCs w:val="22"/>
        </w:rPr>
        <w:t xml:space="preserve">his was </w:t>
      </w:r>
      <w:r w:rsidR="001D7E06">
        <w:rPr>
          <w:rFonts w:ascii="Calibri" w:eastAsia="Calibri" w:hAnsi="Calibri"/>
          <w:snapToGrid/>
          <w:color w:val="000000" w:themeColor="text1"/>
          <w:sz w:val="24"/>
          <w:szCs w:val="22"/>
        </w:rPr>
        <w:t>consistent</w:t>
      </w:r>
      <w:r w:rsidR="001D7E06" w:rsidRPr="00F10C3A">
        <w:rPr>
          <w:rFonts w:ascii="Calibri" w:eastAsia="Calibri" w:hAnsi="Calibri"/>
          <w:snapToGrid/>
          <w:color w:val="000000" w:themeColor="text1"/>
          <w:sz w:val="24"/>
          <w:szCs w:val="22"/>
        </w:rPr>
        <w:t xml:space="preserve"> </w:t>
      </w:r>
      <w:r w:rsidRPr="00F10C3A">
        <w:rPr>
          <w:rFonts w:ascii="Calibri" w:eastAsia="Calibri" w:hAnsi="Calibri"/>
          <w:snapToGrid/>
          <w:color w:val="000000" w:themeColor="text1"/>
          <w:sz w:val="24"/>
          <w:szCs w:val="22"/>
        </w:rPr>
        <w:t>with the PI for both nicotine gum and lozenges.</w:t>
      </w:r>
    </w:p>
    <w:p w:rsidR="00125AD4" w:rsidRPr="00F10C3A" w:rsidRDefault="00125AD4" w:rsidP="00125AD4">
      <w:pPr>
        <w:pStyle w:val="ListParagraph"/>
        <w:widowControl/>
        <w:numPr>
          <w:ilvl w:val="0"/>
          <w:numId w:val="7"/>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The PSCR (p1) claimed that all three forms of NRT would have similar efficacy in a real life setting given the evidence from clinical trials and meta-analysis, but did not provide any evidence to justify this claim. </w:t>
      </w:r>
    </w:p>
    <w:p w:rsidR="00FA2F8F" w:rsidRDefault="00125AD4" w:rsidP="00CE7ED8">
      <w:pPr>
        <w:pStyle w:val="ListParagraph"/>
        <w:widowControl/>
        <w:numPr>
          <w:ilvl w:val="0"/>
          <w:numId w:val="7"/>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The ESC considered that </w:t>
      </w:r>
      <w:r w:rsidR="00F971C3" w:rsidRPr="00F10C3A">
        <w:rPr>
          <w:rFonts w:asciiTheme="minorHAnsi" w:eastAsia="Calibri" w:hAnsiTheme="minorHAnsi"/>
          <w:snapToGrid/>
          <w:sz w:val="24"/>
          <w:szCs w:val="24"/>
        </w:rPr>
        <w:t xml:space="preserve">while </w:t>
      </w:r>
      <w:r w:rsidRPr="00F10C3A">
        <w:rPr>
          <w:rFonts w:asciiTheme="minorHAnsi" w:eastAsia="Calibri" w:hAnsiTheme="minorHAnsi"/>
          <w:snapToGrid/>
          <w:sz w:val="24"/>
          <w:szCs w:val="24"/>
        </w:rPr>
        <w:t xml:space="preserve">the submission’s claim of non-inferiority </w:t>
      </w:r>
      <w:r w:rsidR="00CE7ED8" w:rsidRPr="00F10C3A">
        <w:rPr>
          <w:rFonts w:asciiTheme="minorHAnsi" w:eastAsia="Calibri" w:hAnsiTheme="minorHAnsi"/>
          <w:snapToGrid/>
          <w:sz w:val="24"/>
          <w:szCs w:val="24"/>
        </w:rPr>
        <w:t>to nicotine</w:t>
      </w:r>
      <w:r w:rsidRPr="00F10C3A">
        <w:rPr>
          <w:rFonts w:asciiTheme="minorHAnsi" w:eastAsia="Calibri" w:hAnsiTheme="minorHAnsi"/>
          <w:snapToGrid/>
          <w:sz w:val="24"/>
          <w:szCs w:val="24"/>
        </w:rPr>
        <w:t xml:space="preserve"> patches was likely to be reasonable for the nicotine lozenges (RR = 0.94, 95% CI: 0.74 to 1.18)</w:t>
      </w:r>
      <w:r w:rsidR="00F971C3" w:rsidRPr="00F10C3A">
        <w:rPr>
          <w:rFonts w:asciiTheme="minorHAnsi" w:eastAsia="Calibri" w:hAnsiTheme="minorHAnsi"/>
          <w:snapToGrid/>
          <w:sz w:val="24"/>
          <w:szCs w:val="24"/>
        </w:rPr>
        <w:t xml:space="preserve">, </w:t>
      </w:r>
      <w:r w:rsidR="00CE7ED8" w:rsidRPr="00F10C3A">
        <w:rPr>
          <w:rFonts w:asciiTheme="minorHAnsi" w:eastAsia="Calibri" w:hAnsiTheme="minorHAnsi"/>
          <w:snapToGrid/>
          <w:sz w:val="24"/>
          <w:szCs w:val="24"/>
        </w:rPr>
        <w:t xml:space="preserve">the evidence presented for the nicotine gum (RR: 0.91; 95% CI: 0.80 to 1.04) was unlikely to be </w:t>
      </w:r>
      <w:r w:rsidRPr="00F10C3A">
        <w:rPr>
          <w:rFonts w:asciiTheme="minorHAnsi" w:eastAsia="Calibri" w:hAnsiTheme="minorHAnsi"/>
          <w:snapToGrid/>
          <w:sz w:val="24"/>
          <w:szCs w:val="24"/>
        </w:rPr>
        <w:t>sufficient for a non-inferiority claim, particularly given that the upper limit of the 95% CI only just crosses unity.</w:t>
      </w:r>
    </w:p>
    <w:p w:rsidR="004F1A5F" w:rsidRDefault="004F1A5F" w:rsidP="004F1A5F">
      <w:pPr>
        <w:pStyle w:val="ListParagraph"/>
        <w:widowControl/>
        <w:ind w:left="1134"/>
        <w:rPr>
          <w:rFonts w:asciiTheme="minorHAnsi" w:eastAsia="Calibri" w:hAnsiTheme="minorHAnsi"/>
          <w:snapToGrid/>
          <w:sz w:val="24"/>
          <w:szCs w:val="24"/>
        </w:rPr>
      </w:pPr>
    </w:p>
    <w:p w:rsidR="00970A9B" w:rsidRPr="00970A9B" w:rsidRDefault="00970A9B" w:rsidP="00970A9B">
      <w:pPr>
        <w:pStyle w:val="ListParagraph"/>
        <w:numPr>
          <w:ilvl w:val="1"/>
          <w:numId w:val="3"/>
        </w:numPr>
        <w:rPr>
          <w:rFonts w:ascii="Calibri" w:eastAsia="Calibri" w:hAnsi="Calibri"/>
          <w:snapToGrid/>
          <w:sz w:val="24"/>
          <w:szCs w:val="22"/>
        </w:rPr>
      </w:pPr>
      <w:r w:rsidRPr="00970A9B">
        <w:rPr>
          <w:rFonts w:ascii="Calibri" w:eastAsia="Calibri" w:hAnsi="Calibri"/>
          <w:snapToGrid/>
          <w:sz w:val="24"/>
          <w:szCs w:val="22"/>
        </w:rPr>
        <w:t>The</w:t>
      </w:r>
      <w:r>
        <w:rPr>
          <w:rFonts w:ascii="Calibri" w:eastAsia="Calibri" w:hAnsi="Calibri"/>
          <w:snapToGrid/>
          <w:sz w:val="24"/>
          <w:szCs w:val="22"/>
        </w:rPr>
        <w:t xml:space="preserve"> pre-PBAC response re-iterated the submission’s claim of non-inferiority, citing the</w:t>
      </w:r>
      <w:r w:rsidRPr="00970A9B">
        <w:rPr>
          <w:rFonts w:ascii="Calibri" w:eastAsia="Calibri" w:hAnsi="Calibri"/>
          <w:snapToGrid/>
          <w:sz w:val="24"/>
          <w:szCs w:val="22"/>
        </w:rPr>
        <w:t xml:space="preserve"> Cochrane overview of smoking cessation (Cahill et al. 2013)</w:t>
      </w:r>
      <w:r>
        <w:rPr>
          <w:rFonts w:ascii="Calibri" w:eastAsia="Calibri" w:hAnsi="Calibri"/>
          <w:snapToGrid/>
          <w:sz w:val="24"/>
          <w:szCs w:val="22"/>
        </w:rPr>
        <w:t>, which</w:t>
      </w:r>
      <w:r w:rsidRPr="00970A9B">
        <w:rPr>
          <w:rFonts w:ascii="Calibri" w:eastAsia="Calibri" w:hAnsi="Calibri"/>
          <w:snapToGrid/>
          <w:sz w:val="24"/>
          <w:szCs w:val="22"/>
        </w:rPr>
        <w:t xml:space="preserve"> concluded </w:t>
      </w:r>
      <w:r>
        <w:rPr>
          <w:rFonts w:ascii="Calibri" w:eastAsia="Calibri" w:hAnsi="Calibri"/>
          <w:snapToGrid/>
          <w:sz w:val="24"/>
          <w:szCs w:val="22"/>
        </w:rPr>
        <w:t xml:space="preserve">that </w:t>
      </w:r>
      <w:r w:rsidRPr="00970A9B">
        <w:rPr>
          <w:rFonts w:ascii="Calibri" w:eastAsia="Calibri" w:hAnsi="Calibri"/>
          <w:snapToGrid/>
          <w:sz w:val="24"/>
          <w:szCs w:val="22"/>
        </w:rPr>
        <w:t xml:space="preserve">there was little difference between the gum, patch, or lozenge forms of NRT. </w:t>
      </w:r>
    </w:p>
    <w:p w:rsidR="00970A9B" w:rsidRDefault="00970A9B" w:rsidP="00970A9B">
      <w:pPr>
        <w:widowControl/>
        <w:ind w:left="720"/>
        <w:rPr>
          <w:rFonts w:ascii="Calibri" w:eastAsia="Calibri" w:hAnsi="Calibri"/>
          <w:snapToGrid/>
          <w:sz w:val="24"/>
          <w:szCs w:val="22"/>
        </w:rPr>
      </w:pPr>
    </w:p>
    <w:p w:rsidR="004F1A5F" w:rsidRPr="004F1A5F" w:rsidRDefault="00B672F5" w:rsidP="004F1A5F">
      <w:pPr>
        <w:widowControl/>
        <w:numPr>
          <w:ilvl w:val="1"/>
          <w:numId w:val="3"/>
        </w:numPr>
        <w:rPr>
          <w:rFonts w:ascii="Calibri" w:eastAsia="Calibri" w:hAnsi="Calibri"/>
          <w:snapToGrid/>
          <w:sz w:val="24"/>
          <w:szCs w:val="22"/>
        </w:rPr>
      </w:pPr>
      <w:r>
        <w:rPr>
          <w:rFonts w:ascii="Calibri" w:eastAsia="Calibri" w:hAnsi="Calibri"/>
          <w:snapToGrid/>
          <w:sz w:val="24"/>
          <w:szCs w:val="22"/>
        </w:rPr>
        <w:t>The PBAC noted ESC’s uncertainty regarding the non-inferior efficacy claim for</w:t>
      </w:r>
      <w:r w:rsidR="004F1A5F" w:rsidRPr="004F1A5F">
        <w:rPr>
          <w:rFonts w:ascii="Calibri" w:eastAsia="Calibri" w:hAnsi="Calibri"/>
          <w:snapToGrid/>
          <w:sz w:val="24"/>
          <w:szCs w:val="22"/>
        </w:rPr>
        <w:t xml:space="preserve"> nicotine gum versus nicotine lozenges, </w:t>
      </w:r>
      <w:r>
        <w:rPr>
          <w:rFonts w:ascii="Calibri" w:eastAsia="Calibri" w:hAnsi="Calibri"/>
          <w:snapToGrid/>
          <w:sz w:val="24"/>
          <w:szCs w:val="22"/>
        </w:rPr>
        <w:t xml:space="preserve">however </w:t>
      </w:r>
      <w:r w:rsidR="004F1A5F" w:rsidRPr="004F1A5F">
        <w:rPr>
          <w:rFonts w:ascii="Calibri" w:eastAsia="Calibri" w:hAnsi="Calibri"/>
          <w:snapToGrid/>
          <w:sz w:val="24"/>
          <w:szCs w:val="22"/>
        </w:rPr>
        <w:t xml:space="preserve">considered that on balance, the </w:t>
      </w:r>
      <w:r>
        <w:rPr>
          <w:rFonts w:ascii="Calibri" w:eastAsia="Calibri" w:hAnsi="Calibri"/>
          <w:snapToGrid/>
          <w:sz w:val="24"/>
          <w:szCs w:val="22"/>
        </w:rPr>
        <w:t xml:space="preserve">submission’s </w:t>
      </w:r>
      <w:r w:rsidR="004F1A5F" w:rsidRPr="004F1A5F">
        <w:rPr>
          <w:rFonts w:ascii="Calibri" w:eastAsia="Calibri" w:hAnsi="Calibri"/>
          <w:snapToGrid/>
          <w:sz w:val="24"/>
          <w:szCs w:val="22"/>
        </w:rPr>
        <w:t>overall claim of non-inferior</w:t>
      </w:r>
      <w:r>
        <w:rPr>
          <w:rFonts w:ascii="Calibri" w:eastAsia="Calibri" w:hAnsi="Calibri"/>
          <w:snapToGrid/>
          <w:sz w:val="24"/>
          <w:szCs w:val="22"/>
        </w:rPr>
        <w:t>ity in terms of comparative</w:t>
      </w:r>
      <w:r w:rsidR="004F1A5F" w:rsidRPr="004F1A5F">
        <w:rPr>
          <w:rFonts w:ascii="Calibri" w:eastAsia="Calibri" w:hAnsi="Calibri"/>
          <w:snapToGrid/>
          <w:sz w:val="24"/>
          <w:szCs w:val="22"/>
        </w:rPr>
        <w:t xml:space="preserve"> efficacy and safety</w:t>
      </w:r>
      <w:r w:rsidR="004F1A5F">
        <w:rPr>
          <w:rFonts w:ascii="Calibri" w:eastAsia="Calibri" w:hAnsi="Calibri"/>
          <w:snapToGrid/>
          <w:sz w:val="24"/>
          <w:szCs w:val="22"/>
        </w:rPr>
        <w:t xml:space="preserve"> </w:t>
      </w:r>
      <w:r>
        <w:rPr>
          <w:rFonts w:ascii="Calibri" w:eastAsia="Calibri" w:hAnsi="Calibri"/>
          <w:snapToGrid/>
          <w:sz w:val="24"/>
          <w:szCs w:val="22"/>
        </w:rPr>
        <w:t>for</w:t>
      </w:r>
      <w:r w:rsidR="004F1A5F">
        <w:rPr>
          <w:rFonts w:ascii="Calibri" w:eastAsia="Calibri" w:hAnsi="Calibri"/>
          <w:snapToGrid/>
          <w:sz w:val="24"/>
          <w:szCs w:val="22"/>
        </w:rPr>
        <w:t xml:space="preserve"> </w:t>
      </w:r>
      <w:r w:rsidR="004F1A5F" w:rsidRPr="004F1A5F">
        <w:rPr>
          <w:rFonts w:ascii="Calibri" w:eastAsia="Calibri" w:hAnsi="Calibri"/>
          <w:snapToGrid/>
          <w:sz w:val="24"/>
          <w:szCs w:val="22"/>
        </w:rPr>
        <w:t>nicotine gum and lozenges compared with nicotine patches</w:t>
      </w:r>
      <w:r w:rsidR="004F1A5F">
        <w:rPr>
          <w:rFonts w:ascii="Calibri" w:eastAsia="Calibri" w:hAnsi="Calibri"/>
          <w:snapToGrid/>
          <w:sz w:val="24"/>
          <w:szCs w:val="22"/>
        </w:rPr>
        <w:t>,</w:t>
      </w:r>
      <w:r w:rsidR="004F1A5F" w:rsidRPr="004F1A5F">
        <w:rPr>
          <w:rFonts w:ascii="Calibri" w:eastAsia="Calibri" w:hAnsi="Calibri"/>
          <w:snapToGrid/>
          <w:sz w:val="24"/>
          <w:szCs w:val="22"/>
        </w:rPr>
        <w:t xml:space="preserve"> </w:t>
      </w:r>
      <w:r w:rsidR="004F1A5F">
        <w:rPr>
          <w:rFonts w:ascii="Calibri" w:eastAsia="Calibri" w:hAnsi="Calibri"/>
          <w:snapToGrid/>
          <w:sz w:val="24"/>
          <w:szCs w:val="22"/>
        </w:rPr>
        <w:t xml:space="preserve">was reasonable. </w:t>
      </w:r>
    </w:p>
    <w:p w:rsidR="004F1A5F" w:rsidRDefault="004F1A5F" w:rsidP="00155F06">
      <w:pPr>
        <w:pStyle w:val="ListParagraph"/>
        <w:widowControl/>
        <w:ind w:left="1134"/>
        <w:rPr>
          <w:rFonts w:asciiTheme="minorHAnsi" w:eastAsia="Calibri" w:hAnsiTheme="minorHAnsi"/>
          <w:snapToGrid/>
          <w:sz w:val="24"/>
          <w:szCs w:val="24"/>
        </w:rPr>
      </w:pPr>
    </w:p>
    <w:p w:rsidR="00B9204B" w:rsidRPr="00155F06" w:rsidRDefault="0045698A" w:rsidP="00155F06">
      <w:pPr>
        <w:pStyle w:val="V50Heading2nonumbers"/>
        <w:ind w:left="0" w:firstLine="0"/>
      </w:pPr>
      <w:bookmarkStart w:id="36" w:name="_Toc413139282"/>
      <w:bookmarkStart w:id="37" w:name="_Toc476306892"/>
      <w:bookmarkStart w:id="38" w:name="_Toc482710298"/>
      <w:r w:rsidRPr="00155F06">
        <w:t>Economic analysis</w:t>
      </w:r>
      <w:bookmarkEnd w:id="36"/>
      <w:bookmarkEnd w:id="37"/>
      <w:bookmarkEnd w:id="38"/>
      <w:r w:rsidR="00086F3B" w:rsidRPr="00155F06">
        <w:t xml:space="preserve"> </w:t>
      </w:r>
    </w:p>
    <w:p w:rsidR="0045698A" w:rsidRPr="00504102" w:rsidRDefault="00086F3B" w:rsidP="00504102">
      <w:pPr>
        <w:widowControl/>
        <w:rPr>
          <w:rFonts w:asciiTheme="minorHAnsi" w:eastAsia="Calibri" w:hAnsiTheme="minorHAnsi"/>
          <w:snapToGrid/>
          <w:sz w:val="24"/>
          <w:szCs w:val="24"/>
          <w:u w:val="single"/>
        </w:rPr>
      </w:pPr>
      <w:bookmarkStart w:id="39" w:name="_Toc482710299"/>
      <w:r w:rsidRPr="00504102">
        <w:rPr>
          <w:rFonts w:asciiTheme="minorHAnsi" w:eastAsia="Calibri" w:hAnsiTheme="minorHAnsi"/>
          <w:snapToGrid/>
          <w:sz w:val="24"/>
          <w:szCs w:val="24"/>
          <w:u w:val="single"/>
        </w:rPr>
        <w:t>Nicotine lozenges</w:t>
      </w:r>
      <w:bookmarkEnd w:id="39"/>
    </w:p>
    <w:p w:rsidR="004F1A5F" w:rsidRDefault="004F1A5F" w:rsidP="001D7E06">
      <w:pPr>
        <w:widowControl/>
        <w:ind w:left="720"/>
        <w:rPr>
          <w:rFonts w:ascii="Calibri" w:eastAsia="Calibri" w:hAnsi="Calibri"/>
          <w:snapToGrid/>
          <w:sz w:val="24"/>
          <w:szCs w:val="22"/>
        </w:rPr>
      </w:pPr>
    </w:p>
    <w:p w:rsidR="007646C4" w:rsidRPr="00F10C3A" w:rsidRDefault="004062A3"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The submission presented a cost-minimisation analysis of nicotine lozenges versus nicotine patches.</w:t>
      </w:r>
      <w:r w:rsidR="00370E23" w:rsidRPr="00F10C3A">
        <w:rPr>
          <w:rFonts w:ascii="Calibri" w:eastAsia="Calibri" w:hAnsi="Calibri"/>
          <w:snapToGrid/>
          <w:sz w:val="24"/>
          <w:szCs w:val="22"/>
        </w:rPr>
        <w:t xml:space="preserve"> This was in line with the clinical evidence of non-inferior efficacy and safety of nicotine lozenges compared with patches. </w:t>
      </w:r>
    </w:p>
    <w:p w:rsidR="00086F3B" w:rsidRPr="00F10C3A" w:rsidRDefault="00086F3B" w:rsidP="00086F3B">
      <w:pPr>
        <w:pStyle w:val="PBACHeading1"/>
        <w:numPr>
          <w:ilvl w:val="0"/>
          <w:numId w:val="0"/>
        </w:numPr>
        <w:ind w:left="720" w:hanging="720"/>
        <w:rPr>
          <w:rFonts w:eastAsia="Calibri"/>
          <w:snapToGrid/>
        </w:rPr>
      </w:pPr>
    </w:p>
    <w:p w:rsidR="007646C4" w:rsidRPr="00F10C3A" w:rsidRDefault="00086F3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Table</w:t>
      </w:r>
      <w:r w:rsidR="007646C4" w:rsidRPr="00F10C3A">
        <w:rPr>
          <w:rFonts w:ascii="Calibri" w:eastAsia="Calibri" w:hAnsi="Calibri"/>
          <w:snapToGrid/>
          <w:sz w:val="24"/>
          <w:szCs w:val="22"/>
        </w:rPr>
        <w:t xml:space="preserve"> 1</w:t>
      </w:r>
      <w:r w:rsidR="00E9245B" w:rsidRPr="00F10C3A">
        <w:rPr>
          <w:rFonts w:ascii="Calibri" w:eastAsia="Calibri" w:hAnsi="Calibri"/>
          <w:snapToGrid/>
          <w:sz w:val="24"/>
          <w:szCs w:val="22"/>
        </w:rPr>
        <w:t>0</w:t>
      </w:r>
      <w:r w:rsidR="007646C4" w:rsidRPr="00F10C3A">
        <w:rPr>
          <w:rFonts w:ascii="Calibri" w:eastAsia="Calibri" w:hAnsi="Calibri"/>
          <w:snapToGrid/>
          <w:sz w:val="24"/>
          <w:szCs w:val="22"/>
        </w:rPr>
        <w:t xml:space="preserve"> summarise</w:t>
      </w:r>
      <w:r w:rsidRPr="00F10C3A">
        <w:rPr>
          <w:rFonts w:ascii="Calibri" w:eastAsia="Calibri" w:hAnsi="Calibri"/>
          <w:snapToGrid/>
          <w:sz w:val="24"/>
          <w:szCs w:val="22"/>
        </w:rPr>
        <w:t>s</w:t>
      </w:r>
      <w:r w:rsidR="007646C4" w:rsidRPr="00F10C3A">
        <w:rPr>
          <w:rFonts w:ascii="Calibri" w:eastAsia="Calibri" w:hAnsi="Calibri"/>
          <w:snapToGrid/>
          <w:sz w:val="24"/>
          <w:szCs w:val="22"/>
        </w:rPr>
        <w:t xml:space="preserve"> the estimated mean number of nicotine lozenges </w:t>
      </w:r>
      <w:r w:rsidRPr="00F10C3A">
        <w:rPr>
          <w:rFonts w:ascii="Calibri" w:eastAsia="Calibri" w:hAnsi="Calibri"/>
          <w:snapToGrid/>
          <w:sz w:val="24"/>
          <w:szCs w:val="22"/>
        </w:rPr>
        <w:t xml:space="preserve">consumed </w:t>
      </w:r>
      <w:r w:rsidR="007646C4" w:rsidRPr="00F10C3A">
        <w:rPr>
          <w:rFonts w:ascii="Calibri" w:eastAsia="Calibri" w:hAnsi="Calibri"/>
          <w:snapToGrid/>
          <w:sz w:val="24"/>
          <w:szCs w:val="22"/>
        </w:rPr>
        <w:t xml:space="preserve">over a 12-week treatment period, and the estimated </w:t>
      </w:r>
      <w:proofErr w:type="spellStart"/>
      <w:r w:rsidR="007646C4" w:rsidRPr="00F10C3A">
        <w:rPr>
          <w:rFonts w:ascii="Calibri" w:eastAsia="Calibri" w:hAnsi="Calibri"/>
          <w:snapToGrid/>
          <w:sz w:val="24"/>
          <w:szCs w:val="22"/>
        </w:rPr>
        <w:t>equi</w:t>
      </w:r>
      <w:proofErr w:type="spellEnd"/>
      <w:r w:rsidR="007646C4" w:rsidRPr="00F10C3A">
        <w:rPr>
          <w:rFonts w:ascii="Calibri" w:eastAsia="Calibri" w:hAnsi="Calibri"/>
          <w:snapToGrid/>
          <w:sz w:val="24"/>
          <w:szCs w:val="22"/>
        </w:rPr>
        <w:t>-equivalent dose.</w:t>
      </w:r>
    </w:p>
    <w:p w:rsidR="007646C4" w:rsidRPr="00F10C3A" w:rsidRDefault="007646C4" w:rsidP="007646C4">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10</w:t>
      </w:r>
      <w:r w:rsidRPr="008B0D4C">
        <w:t>: Estimated number of nicotine lozenges required for a 12-week course of treatment</w:t>
      </w:r>
    </w:p>
    <w:tbl>
      <w:tblPr>
        <w:tblStyle w:val="TableGrid6"/>
        <w:tblW w:w="5000" w:type="pct"/>
        <w:tblLook w:val="04A0" w:firstRow="1" w:lastRow="0" w:firstColumn="1" w:lastColumn="0" w:noHBand="0" w:noVBand="1"/>
        <w:tblCaption w:val="Estimated number of nicotine lozenges required for a 12-week course of treatment"/>
      </w:tblPr>
      <w:tblGrid>
        <w:gridCol w:w="1184"/>
        <w:gridCol w:w="2037"/>
        <w:gridCol w:w="2004"/>
        <w:gridCol w:w="2200"/>
        <w:gridCol w:w="1817"/>
      </w:tblGrid>
      <w:tr w:rsidR="007646C4" w:rsidRPr="00F10C3A" w:rsidTr="00604D19">
        <w:trPr>
          <w:tblHeader/>
        </w:trPr>
        <w:tc>
          <w:tcPr>
            <w:tcW w:w="641" w:type="pct"/>
            <w:vAlign w:val="center"/>
          </w:tcPr>
          <w:p w:rsidR="007646C4" w:rsidRPr="00F10C3A" w:rsidRDefault="007646C4" w:rsidP="002C6684">
            <w:pPr>
              <w:pStyle w:val="TableText1"/>
              <w:spacing w:line="240" w:lineRule="auto"/>
              <w:rPr>
                <w:b/>
              </w:rPr>
            </w:pPr>
            <w:r w:rsidRPr="00F10C3A">
              <w:rPr>
                <w:b/>
              </w:rPr>
              <w:t>Time Period</w:t>
            </w:r>
          </w:p>
        </w:tc>
        <w:tc>
          <w:tcPr>
            <w:tcW w:w="1102" w:type="pct"/>
            <w:vAlign w:val="center"/>
          </w:tcPr>
          <w:p w:rsidR="007646C4" w:rsidRPr="00F10C3A" w:rsidRDefault="007646C4" w:rsidP="002C6684">
            <w:pPr>
              <w:pStyle w:val="TableText1"/>
              <w:spacing w:line="240" w:lineRule="auto"/>
              <w:rPr>
                <w:b/>
              </w:rPr>
            </w:pPr>
            <w:r w:rsidRPr="00F10C3A">
              <w:rPr>
                <w:b/>
              </w:rPr>
              <w:t>Mean Number of lozenges per Day</w:t>
            </w:r>
          </w:p>
        </w:tc>
        <w:tc>
          <w:tcPr>
            <w:tcW w:w="1084" w:type="pct"/>
            <w:vAlign w:val="center"/>
          </w:tcPr>
          <w:p w:rsidR="007646C4" w:rsidRPr="00F10C3A" w:rsidRDefault="007646C4" w:rsidP="002C6684">
            <w:pPr>
              <w:pStyle w:val="TableText1"/>
              <w:spacing w:line="240" w:lineRule="auto"/>
              <w:rPr>
                <w:b/>
              </w:rPr>
            </w:pPr>
            <w:r w:rsidRPr="00F10C3A">
              <w:rPr>
                <w:b/>
              </w:rPr>
              <w:t>Number of Days in Period</w:t>
            </w:r>
          </w:p>
        </w:tc>
        <w:tc>
          <w:tcPr>
            <w:tcW w:w="1190" w:type="pct"/>
            <w:vAlign w:val="center"/>
          </w:tcPr>
          <w:p w:rsidR="007646C4" w:rsidRPr="00F10C3A" w:rsidRDefault="007646C4" w:rsidP="002C6684">
            <w:pPr>
              <w:pStyle w:val="TableText1"/>
              <w:spacing w:line="240" w:lineRule="auto"/>
              <w:rPr>
                <w:b/>
              </w:rPr>
            </w:pPr>
            <w:r w:rsidRPr="00F10C3A">
              <w:rPr>
                <w:b/>
              </w:rPr>
              <w:t xml:space="preserve">Mean Number of lozenges per </w:t>
            </w:r>
            <w:proofErr w:type="spellStart"/>
            <w:r w:rsidRPr="00F10C3A">
              <w:rPr>
                <w:b/>
              </w:rPr>
              <w:t>period</w:t>
            </w:r>
            <w:r w:rsidRPr="00F10C3A">
              <w:rPr>
                <w:b/>
                <w:vertAlign w:val="superscript"/>
              </w:rPr>
              <w:t>a</w:t>
            </w:r>
            <w:proofErr w:type="spellEnd"/>
          </w:p>
        </w:tc>
        <w:tc>
          <w:tcPr>
            <w:tcW w:w="983" w:type="pct"/>
          </w:tcPr>
          <w:p w:rsidR="007646C4" w:rsidRPr="00F10C3A" w:rsidRDefault="007646C4" w:rsidP="002C6684">
            <w:pPr>
              <w:pStyle w:val="TableText1"/>
              <w:spacing w:line="240" w:lineRule="auto"/>
              <w:rPr>
                <w:b/>
                <w:vertAlign w:val="superscript"/>
              </w:rPr>
            </w:pPr>
            <w:r w:rsidRPr="00F10C3A">
              <w:rPr>
                <w:b/>
              </w:rPr>
              <w:t xml:space="preserve">Mean Number of patches per </w:t>
            </w:r>
            <w:proofErr w:type="spellStart"/>
            <w:r w:rsidRPr="00F10C3A">
              <w:rPr>
                <w:b/>
              </w:rPr>
              <w:t>period</w:t>
            </w:r>
            <w:r w:rsidRPr="00F10C3A">
              <w:rPr>
                <w:b/>
                <w:vertAlign w:val="superscript"/>
              </w:rPr>
              <w:t>b</w:t>
            </w:r>
            <w:proofErr w:type="spellEnd"/>
          </w:p>
        </w:tc>
      </w:tr>
      <w:tr w:rsidR="007646C4" w:rsidRPr="00F10C3A" w:rsidTr="002C6684">
        <w:tc>
          <w:tcPr>
            <w:tcW w:w="641" w:type="pct"/>
          </w:tcPr>
          <w:p w:rsidR="007646C4" w:rsidRPr="00F10C3A" w:rsidRDefault="007646C4" w:rsidP="002C6684">
            <w:pPr>
              <w:pStyle w:val="TableText1"/>
              <w:spacing w:line="240" w:lineRule="auto"/>
            </w:pPr>
            <w:r w:rsidRPr="00F10C3A">
              <w:t>Weeks 1-6</w:t>
            </w:r>
          </w:p>
        </w:tc>
        <w:tc>
          <w:tcPr>
            <w:tcW w:w="1102" w:type="pct"/>
          </w:tcPr>
          <w:p w:rsidR="007646C4" w:rsidRPr="00F10C3A" w:rsidRDefault="007646C4" w:rsidP="002C6684">
            <w:pPr>
              <w:pStyle w:val="TableText1"/>
              <w:spacing w:line="240" w:lineRule="auto"/>
            </w:pPr>
            <w:r w:rsidRPr="00F10C3A">
              <w:t>10</w:t>
            </w:r>
          </w:p>
        </w:tc>
        <w:tc>
          <w:tcPr>
            <w:tcW w:w="1084" w:type="pct"/>
          </w:tcPr>
          <w:p w:rsidR="007646C4" w:rsidRPr="00F10C3A" w:rsidRDefault="007646C4" w:rsidP="002C6684">
            <w:pPr>
              <w:pStyle w:val="TableText1"/>
              <w:spacing w:line="240" w:lineRule="auto"/>
            </w:pPr>
            <w:r w:rsidRPr="00F10C3A">
              <w:t>42</w:t>
            </w:r>
          </w:p>
        </w:tc>
        <w:tc>
          <w:tcPr>
            <w:tcW w:w="1190" w:type="pct"/>
          </w:tcPr>
          <w:p w:rsidR="007646C4" w:rsidRPr="00F10C3A" w:rsidRDefault="007646C4" w:rsidP="002C6684">
            <w:pPr>
              <w:pStyle w:val="TableText1"/>
              <w:spacing w:line="240" w:lineRule="auto"/>
            </w:pPr>
            <w:r w:rsidRPr="00F10C3A">
              <w:t>420</w:t>
            </w:r>
          </w:p>
        </w:tc>
        <w:tc>
          <w:tcPr>
            <w:tcW w:w="983" w:type="pct"/>
          </w:tcPr>
          <w:p w:rsidR="007646C4" w:rsidRPr="00F10C3A" w:rsidRDefault="007646C4" w:rsidP="002C6684">
            <w:pPr>
              <w:pStyle w:val="TableText1"/>
              <w:spacing w:line="240" w:lineRule="auto"/>
            </w:pPr>
            <w:r w:rsidRPr="00F10C3A">
              <w:t>36.12</w:t>
            </w:r>
          </w:p>
        </w:tc>
      </w:tr>
      <w:tr w:rsidR="007646C4" w:rsidRPr="00F10C3A" w:rsidTr="002C6684">
        <w:tc>
          <w:tcPr>
            <w:tcW w:w="641" w:type="pct"/>
          </w:tcPr>
          <w:p w:rsidR="007646C4" w:rsidRPr="00F10C3A" w:rsidRDefault="007646C4" w:rsidP="002C6684">
            <w:pPr>
              <w:pStyle w:val="TableText1"/>
              <w:spacing w:line="240" w:lineRule="auto"/>
            </w:pPr>
            <w:r w:rsidRPr="00F10C3A">
              <w:t>Weeks 7-9</w:t>
            </w:r>
          </w:p>
        </w:tc>
        <w:tc>
          <w:tcPr>
            <w:tcW w:w="1102" w:type="pct"/>
          </w:tcPr>
          <w:p w:rsidR="007646C4" w:rsidRPr="00F10C3A" w:rsidRDefault="007646C4" w:rsidP="002C6684">
            <w:pPr>
              <w:pStyle w:val="TableText1"/>
              <w:spacing w:line="240" w:lineRule="auto"/>
            </w:pPr>
            <w:r w:rsidRPr="00F10C3A">
              <w:t>7</w:t>
            </w:r>
          </w:p>
        </w:tc>
        <w:tc>
          <w:tcPr>
            <w:tcW w:w="1084" w:type="pct"/>
          </w:tcPr>
          <w:p w:rsidR="007646C4" w:rsidRPr="00F10C3A" w:rsidRDefault="007646C4" w:rsidP="002C6684">
            <w:pPr>
              <w:pStyle w:val="TableText1"/>
              <w:spacing w:line="240" w:lineRule="auto"/>
            </w:pPr>
            <w:r w:rsidRPr="00F10C3A">
              <w:t>21</w:t>
            </w:r>
          </w:p>
        </w:tc>
        <w:tc>
          <w:tcPr>
            <w:tcW w:w="1190" w:type="pct"/>
          </w:tcPr>
          <w:p w:rsidR="007646C4" w:rsidRPr="00F10C3A" w:rsidRDefault="007646C4" w:rsidP="002C6684">
            <w:pPr>
              <w:pStyle w:val="TableText1"/>
              <w:spacing w:line="240" w:lineRule="auto"/>
            </w:pPr>
            <w:r w:rsidRPr="00F10C3A">
              <w:t>147</w:t>
            </w:r>
          </w:p>
        </w:tc>
        <w:tc>
          <w:tcPr>
            <w:tcW w:w="983" w:type="pct"/>
          </w:tcPr>
          <w:p w:rsidR="007646C4" w:rsidRPr="00F10C3A" w:rsidRDefault="007646C4" w:rsidP="002C6684">
            <w:pPr>
              <w:pStyle w:val="TableText1"/>
              <w:spacing w:line="240" w:lineRule="auto"/>
            </w:pPr>
            <w:r w:rsidRPr="00F10C3A">
              <w:t>18.06</w:t>
            </w:r>
          </w:p>
        </w:tc>
      </w:tr>
      <w:tr w:rsidR="007646C4" w:rsidRPr="00F10C3A" w:rsidTr="002C6684">
        <w:tc>
          <w:tcPr>
            <w:tcW w:w="641" w:type="pct"/>
          </w:tcPr>
          <w:p w:rsidR="007646C4" w:rsidRPr="00F10C3A" w:rsidRDefault="007646C4" w:rsidP="002C6684">
            <w:pPr>
              <w:pStyle w:val="TableText1"/>
              <w:spacing w:line="240" w:lineRule="auto"/>
            </w:pPr>
            <w:r w:rsidRPr="00F10C3A">
              <w:t>Weeks 9-12</w:t>
            </w:r>
          </w:p>
        </w:tc>
        <w:tc>
          <w:tcPr>
            <w:tcW w:w="1102" w:type="pct"/>
          </w:tcPr>
          <w:p w:rsidR="007646C4" w:rsidRPr="00F10C3A" w:rsidRDefault="007646C4" w:rsidP="002C6684">
            <w:pPr>
              <w:pStyle w:val="TableText1"/>
              <w:spacing w:line="240" w:lineRule="auto"/>
            </w:pPr>
            <w:r w:rsidRPr="00F10C3A">
              <w:t>3</w:t>
            </w:r>
          </w:p>
        </w:tc>
        <w:tc>
          <w:tcPr>
            <w:tcW w:w="1084" w:type="pct"/>
          </w:tcPr>
          <w:p w:rsidR="007646C4" w:rsidRPr="00F10C3A" w:rsidRDefault="007646C4" w:rsidP="002C6684">
            <w:pPr>
              <w:pStyle w:val="TableText1"/>
              <w:spacing w:line="240" w:lineRule="auto"/>
            </w:pPr>
            <w:r w:rsidRPr="00F10C3A">
              <w:t>21</w:t>
            </w:r>
          </w:p>
        </w:tc>
        <w:tc>
          <w:tcPr>
            <w:tcW w:w="1190" w:type="pct"/>
          </w:tcPr>
          <w:p w:rsidR="007646C4" w:rsidRPr="00F10C3A" w:rsidRDefault="007646C4" w:rsidP="002C6684">
            <w:pPr>
              <w:pStyle w:val="TableText1"/>
              <w:spacing w:line="240" w:lineRule="auto"/>
            </w:pPr>
            <w:r w:rsidRPr="00F10C3A">
              <w:t>63</w:t>
            </w:r>
          </w:p>
        </w:tc>
        <w:tc>
          <w:tcPr>
            <w:tcW w:w="983" w:type="pct"/>
          </w:tcPr>
          <w:p w:rsidR="007646C4" w:rsidRPr="00F10C3A" w:rsidRDefault="007646C4" w:rsidP="002C6684">
            <w:pPr>
              <w:pStyle w:val="TableText1"/>
              <w:spacing w:line="240" w:lineRule="auto"/>
            </w:pPr>
            <w:r w:rsidRPr="00F10C3A">
              <w:t>18.06</w:t>
            </w:r>
          </w:p>
        </w:tc>
      </w:tr>
      <w:tr w:rsidR="007646C4" w:rsidRPr="00F10C3A" w:rsidTr="002C6684">
        <w:trPr>
          <w:trHeight w:val="56"/>
        </w:trPr>
        <w:tc>
          <w:tcPr>
            <w:tcW w:w="641" w:type="pct"/>
            <w:vAlign w:val="center"/>
          </w:tcPr>
          <w:p w:rsidR="007646C4" w:rsidRPr="00F10C3A" w:rsidRDefault="007646C4" w:rsidP="002C6684">
            <w:pPr>
              <w:pStyle w:val="TableText1"/>
              <w:keepNext w:val="0"/>
              <w:keepLines/>
              <w:spacing w:line="240" w:lineRule="auto"/>
              <w:rPr>
                <w:b/>
              </w:rPr>
            </w:pPr>
            <w:r w:rsidRPr="00F10C3A">
              <w:rPr>
                <w:b/>
              </w:rPr>
              <w:t>Total</w:t>
            </w:r>
          </w:p>
        </w:tc>
        <w:tc>
          <w:tcPr>
            <w:tcW w:w="1102" w:type="pct"/>
            <w:vAlign w:val="center"/>
          </w:tcPr>
          <w:p w:rsidR="007646C4" w:rsidRPr="00F10C3A" w:rsidRDefault="007646C4" w:rsidP="002C6684">
            <w:pPr>
              <w:pStyle w:val="TableText1"/>
              <w:keepNext w:val="0"/>
              <w:keepLines/>
              <w:spacing w:line="240" w:lineRule="auto"/>
              <w:rPr>
                <w:b/>
              </w:rPr>
            </w:pPr>
            <w:r w:rsidRPr="00F10C3A">
              <w:rPr>
                <w:b/>
              </w:rPr>
              <w:t>-</w:t>
            </w:r>
          </w:p>
        </w:tc>
        <w:tc>
          <w:tcPr>
            <w:tcW w:w="1084" w:type="pct"/>
            <w:vAlign w:val="center"/>
          </w:tcPr>
          <w:p w:rsidR="007646C4" w:rsidRPr="00F10C3A" w:rsidRDefault="007646C4" w:rsidP="002C6684">
            <w:pPr>
              <w:pStyle w:val="TableText1"/>
              <w:keepNext w:val="0"/>
              <w:keepLines/>
              <w:spacing w:line="240" w:lineRule="auto"/>
              <w:rPr>
                <w:b/>
              </w:rPr>
            </w:pPr>
            <w:r w:rsidRPr="00F10C3A">
              <w:rPr>
                <w:b/>
              </w:rPr>
              <w:t>84</w:t>
            </w:r>
          </w:p>
        </w:tc>
        <w:tc>
          <w:tcPr>
            <w:tcW w:w="1190" w:type="pct"/>
            <w:vAlign w:val="center"/>
          </w:tcPr>
          <w:p w:rsidR="007646C4" w:rsidRPr="00F10C3A" w:rsidRDefault="007646C4" w:rsidP="002C6684">
            <w:pPr>
              <w:pStyle w:val="TableText1"/>
              <w:keepNext w:val="0"/>
              <w:keepLines/>
              <w:spacing w:line="240" w:lineRule="auto"/>
              <w:rPr>
                <w:b/>
              </w:rPr>
            </w:pPr>
            <w:r w:rsidRPr="00F10C3A">
              <w:rPr>
                <w:b/>
              </w:rPr>
              <w:t>630</w:t>
            </w:r>
          </w:p>
        </w:tc>
        <w:tc>
          <w:tcPr>
            <w:tcW w:w="983" w:type="pct"/>
          </w:tcPr>
          <w:p w:rsidR="007646C4" w:rsidRPr="00F10C3A" w:rsidRDefault="007646C4" w:rsidP="002C6684">
            <w:pPr>
              <w:pStyle w:val="TableText1"/>
              <w:keepNext w:val="0"/>
              <w:keepLines/>
              <w:spacing w:line="240" w:lineRule="auto"/>
              <w:rPr>
                <w:b/>
              </w:rPr>
            </w:pPr>
            <w:r w:rsidRPr="00F10C3A">
              <w:rPr>
                <w:b/>
              </w:rPr>
              <w:t>72.24</w:t>
            </w:r>
          </w:p>
        </w:tc>
      </w:tr>
    </w:tbl>
    <w:p w:rsidR="007646C4" w:rsidRPr="00F10C3A" w:rsidRDefault="007646C4" w:rsidP="007646C4">
      <w:pPr>
        <w:pStyle w:val="TableFooter"/>
        <w:keepLines/>
      </w:pPr>
      <w:r w:rsidRPr="00F10C3A">
        <w:t>Source: Table D-2, p112 of the submission and calculated during the evaluation</w:t>
      </w:r>
    </w:p>
    <w:p w:rsidR="007646C4" w:rsidRPr="00F10C3A" w:rsidRDefault="007646C4" w:rsidP="007646C4">
      <w:pPr>
        <w:pStyle w:val="TableFooter"/>
        <w:keepLines/>
      </w:pPr>
      <w:proofErr w:type="gramStart"/>
      <w:r w:rsidRPr="00F10C3A">
        <w:rPr>
          <w:vertAlign w:val="superscript"/>
        </w:rPr>
        <w:t>a</w:t>
      </w:r>
      <w:proofErr w:type="gramEnd"/>
      <w:r w:rsidRPr="00F10C3A">
        <w:t xml:space="preserve"> Based on an adherence of 67% from the Piper (2009) trial</w:t>
      </w:r>
    </w:p>
    <w:p w:rsidR="007646C4" w:rsidRPr="00F10C3A" w:rsidRDefault="007646C4" w:rsidP="007646C4">
      <w:pPr>
        <w:keepLines/>
        <w:widowControl/>
        <w:jc w:val="left"/>
        <w:rPr>
          <w:rFonts w:ascii="Arial Narrow" w:hAnsi="Arial Narrow"/>
          <w:sz w:val="18"/>
        </w:rPr>
      </w:pPr>
      <w:proofErr w:type="gramStart"/>
      <w:r w:rsidRPr="00F10C3A">
        <w:rPr>
          <w:rFonts w:ascii="Arial Narrow" w:hAnsi="Arial Narrow"/>
          <w:sz w:val="18"/>
          <w:vertAlign w:val="superscript"/>
        </w:rPr>
        <w:t>b</w:t>
      </w:r>
      <w:proofErr w:type="gramEnd"/>
      <w:r w:rsidRPr="00F10C3A">
        <w:rPr>
          <w:rFonts w:ascii="Arial Narrow" w:hAnsi="Arial Narrow"/>
          <w:sz w:val="18"/>
          <w:vertAlign w:val="superscript"/>
        </w:rPr>
        <w:t xml:space="preserve"> </w:t>
      </w:r>
      <w:r w:rsidRPr="00F10C3A">
        <w:rPr>
          <w:rFonts w:ascii="Arial Narrow" w:hAnsi="Arial Narrow"/>
          <w:sz w:val="18"/>
        </w:rPr>
        <w:t>Based on an adherence of 86% from the Piper (2009) trial</w:t>
      </w:r>
    </w:p>
    <w:p w:rsidR="00B64D50" w:rsidRPr="00F10C3A" w:rsidRDefault="00B64D50" w:rsidP="007646C4">
      <w:pPr>
        <w:pStyle w:val="PBACHeading1"/>
        <w:numPr>
          <w:ilvl w:val="0"/>
          <w:numId w:val="0"/>
        </w:numPr>
        <w:jc w:val="both"/>
        <w:rPr>
          <w:rFonts w:eastAsia="Calibri"/>
          <w:snapToGrid/>
        </w:rPr>
      </w:pPr>
    </w:p>
    <w:p w:rsidR="00370E23" w:rsidRPr="00F10C3A" w:rsidRDefault="0045698A"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w:t>
      </w:r>
      <w:r w:rsidR="00695DFC" w:rsidRPr="00F10C3A">
        <w:rPr>
          <w:rFonts w:ascii="Calibri" w:eastAsia="Calibri" w:hAnsi="Calibri"/>
          <w:snapToGrid/>
          <w:sz w:val="24"/>
          <w:szCs w:val="22"/>
        </w:rPr>
        <w:t>submission</w:t>
      </w:r>
      <w:r w:rsidRPr="00F10C3A">
        <w:rPr>
          <w:rFonts w:ascii="Calibri" w:eastAsia="Calibri" w:hAnsi="Calibri"/>
          <w:snapToGrid/>
          <w:sz w:val="24"/>
          <w:szCs w:val="22"/>
        </w:rPr>
        <w:t xml:space="preserve"> </w:t>
      </w:r>
      <w:r w:rsidR="00370E23" w:rsidRPr="00F10C3A">
        <w:rPr>
          <w:rFonts w:ascii="Calibri" w:eastAsia="Calibri" w:hAnsi="Calibri"/>
          <w:snapToGrid/>
          <w:sz w:val="24"/>
          <w:szCs w:val="22"/>
        </w:rPr>
        <w:t xml:space="preserve">estimated the </w:t>
      </w:r>
      <w:proofErr w:type="spellStart"/>
      <w:r w:rsidR="00370E23" w:rsidRPr="00F10C3A">
        <w:rPr>
          <w:rFonts w:ascii="Calibri" w:eastAsia="Calibri" w:hAnsi="Calibri"/>
          <w:snapToGrid/>
          <w:sz w:val="24"/>
          <w:szCs w:val="22"/>
        </w:rPr>
        <w:t>equi</w:t>
      </w:r>
      <w:proofErr w:type="spellEnd"/>
      <w:r w:rsidR="00370E23" w:rsidRPr="00F10C3A">
        <w:rPr>
          <w:rFonts w:ascii="Calibri" w:eastAsia="Calibri" w:hAnsi="Calibri"/>
          <w:snapToGrid/>
          <w:sz w:val="24"/>
          <w:szCs w:val="22"/>
        </w:rPr>
        <w:t xml:space="preserve">-effective doses as: </w:t>
      </w:r>
    </w:p>
    <w:p w:rsidR="00086F3B" w:rsidRPr="00F10C3A" w:rsidRDefault="00695DFC" w:rsidP="007E3BC0">
      <w:pPr>
        <w:pStyle w:val="ListParagraph"/>
        <w:numPr>
          <w:ilvl w:val="0"/>
          <w:numId w:val="8"/>
        </w:numPr>
        <w:ind w:left="1134"/>
        <w:rPr>
          <w:rFonts w:ascii="Calibri" w:eastAsia="Calibri" w:hAnsi="Calibri"/>
          <w:snapToGrid/>
          <w:sz w:val="24"/>
          <w:szCs w:val="24"/>
        </w:rPr>
      </w:pPr>
      <w:r w:rsidRPr="00F10C3A">
        <w:rPr>
          <w:rFonts w:ascii="Calibri" w:eastAsia="Calibri" w:hAnsi="Calibri"/>
          <w:snapToGrid/>
          <w:sz w:val="24"/>
          <w:szCs w:val="24"/>
        </w:rPr>
        <w:t>630 nicotine lozenges,</w:t>
      </w:r>
      <w:r w:rsidR="00D67EFE" w:rsidRPr="00F10C3A">
        <w:rPr>
          <w:rFonts w:ascii="Calibri" w:eastAsia="Calibri" w:hAnsi="Calibri"/>
          <w:snapToGrid/>
          <w:sz w:val="24"/>
          <w:szCs w:val="24"/>
        </w:rPr>
        <w:t xml:space="preserve"> was equivalent to 84 nicotine patches in a 12-week treatment period</w:t>
      </w:r>
      <w:r w:rsidR="00B3243F" w:rsidRPr="00F10C3A">
        <w:rPr>
          <w:rFonts w:ascii="Calibri" w:eastAsia="Calibri" w:hAnsi="Calibri"/>
          <w:snapToGrid/>
          <w:sz w:val="24"/>
          <w:szCs w:val="24"/>
        </w:rPr>
        <w:t xml:space="preserve"> </w:t>
      </w:r>
      <w:r w:rsidR="004D1986" w:rsidRPr="00F10C3A">
        <w:rPr>
          <w:rFonts w:ascii="Calibri" w:eastAsia="Calibri" w:hAnsi="Calibri"/>
          <w:snapToGrid/>
          <w:sz w:val="24"/>
          <w:szCs w:val="22"/>
        </w:rPr>
        <w:t>(1 patch = 7.5</w:t>
      </w:r>
      <w:r w:rsidR="00B3243F" w:rsidRPr="00F10C3A">
        <w:rPr>
          <w:rFonts w:ascii="Calibri" w:eastAsia="Calibri" w:hAnsi="Calibri"/>
          <w:snapToGrid/>
          <w:sz w:val="24"/>
          <w:szCs w:val="22"/>
        </w:rPr>
        <w:t xml:space="preserve"> lozenges)</w:t>
      </w:r>
      <w:r w:rsidR="00D67EFE" w:rsidRPr="00F10C3A">
        <w:rPr>
          <w:rFonts w:ascii="Calibri" w:eastAsia="Calibri" w:hAnsi="Calibri"/>
          <w:snapToGrid/>
          <w:sz w:val="24"/>
          <w:szCs w:val="24"/>
        </w:rPr>
        <w:t>.</w:t>
      </w:r>
    </w:p>
    <w:p w:rsidR="00B3243F" w:rsidRPr="00F10C3A" w:rsidRDefault="00B3243F" w:rsidP="00086F3B">
      <w:pPr>
        <w:pStyle w:val="ListParagraph"/>
        <w:ind w:left="1134"/>
        <w:rPr>
          <w:rFonts w:eastAsia="Calibri"/>
          <w:snapToGrid/>
        </w:rPr>
      </w:pPr>
    </w:p>
    <w:p w:rsidR="003C414F" w:rsidRPr="00F10C3A" w:rsidRDefault="003C414F"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estimated the mean number of lozenges consumed per day, and the number of patches used over a 12-week period, based on: </w:t>
      </w:r>
    </w:p>
    <w:p w:rsidR="003C414F" w:rsidRPr="00F10C3A" w:rsidRDefault="003C414F" w:rsidP="007E3BC0">
      <w:pPr>
        <w:pStyle w:val="ListParagraph"/>
        <w:numPr>
          <w:ilvl w:val="0"/>
          <w:numId w:val="9"/>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An adherence rate of 67% to nicotine lozenges based on Piper (2009) applied to the recommended dosage for nicotine lozenges described in the PI;</w:t>
      </w:r>
      <w:r w:rsidR="001D7E06">
        <w:rPr>
          <w:rFonts w:asciiTheme="minorHAnsi" w:eastAsia="Calibri" w:hAnsiTheme="minorHAnsi"/>
          <w:snapToGrid/>
          <w:sz w:val="24"/>
          <w:szCs w:val="24"/>
        </w:rPr>
        <w:t xml:space="preserve"> and</w:t>
      </w:r>
    </w:p>
    <w:p w:rsidR="003C414F" w:rsidRPr="00F10C3A" w:rsidRDefault="003C414F" w:rsidP="007E3BC0">
      <w:pPr>
        <w:pStyle w:val="ListParagraph"/>
        <w:numPr>
          <w:ilvl w:val="0"/>
          <w:numId w:val="9"/>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The assumption that all patients would use one nicotine patch per day over 12 weeks</w:t>
      </w:r>
      <w:r w:rsidR="001D7E06">
        <w:rPr>
          <w:rFonts w:asciiTheme="minorHAnsi" w:eastAsia="Calibri" w:hAnsiTheme="minorHAnsi"/>
          <w:snapToGrid/>
          <w:sz w:val="24"/>
          <w:szCs w:val="24"/>
        </w:rPr>
        <w:t>.</w:t>
      </w:r>
    </w:p>
    <w:p w:rsidR="003C414F" w:rsidRPr="00F10C3A" w:rsidRDefault="003C414F" w:rsidP="0008047A">
      <w:pPr>
        <w:rPr>
          <w:rFonts w:asciiTheme="minorHAnsi" w:eastAsia="Calibri" w:hAnsiTheme="minorHAnsi"/>
          <w:snapToGrid/>
          <w:sz w:val="24"/>
          <w:szCs w:val="24"/>
        </w:rPr>
      </w:pPr>
    </w:p>
    <w:p w:rsidR="00662424" w:rsidRPr="00F10C3A" w:rsidRDefault="00BF729B" w:rsidP="007E3BC0">
      <w:pPr>
        <w:widowControl/>
        <w:numPr>
          <w:ilvl w:val="1"/>
          <w:numId w:val="3"/>
        </w:numPr>
        <w:rPr>
          <w:rFonts w:ascii="Calibri" w:eastAsia="Calibri" w:hAnsi="Calibri"/>
          <w:snapToGrid/>
          <w:sz w:val="24"/>
          <w:szCs w:val="22"/>
        </w:rPr>
      </w:pPr>
      <w:r w:rsidRPr="00F10C3A">
        <w:rPr>
          <w:rFonts w:asciiTheme="minorHAnsi" w:eastAsia="Calibri" w:hAnsiTheme="minorHAnsi"/>
          <w:snapToGrid/>
          <w:sz w:val="24"/>
          <w:szCs w:val="24"/>
        </w:rPr>
        <w:t>The</w:t>
      </w:r>
      <w:r w:rsidR="00662424" w:rsidRPr="00F10C3A">
        <w:rPr>
          <w:rFonts w:asciiTheme="minorHAnsi" w:eastAsia="Calibri" w:hAnsiTheme="minorHAnsi"/>
          <w:snapToGrid/>
          <w:sz w:val="24"/>
          <w:szCs w:val="24"/>
        </w:rPr>
        <w:t xml:space="preserve">re was considerable uncertainty in the estimation of the </w:t>
      </w:r>
      <w:proofErr w:type="spellStart"/>
      <w:r w:rsidR="00662424" w:rsidRPr="00F10C3A">
        <w:rPr>
          <w:rFonts w:asciiTheme="minorHAnsi" w:eastAsia="Calibri" w:hAnsiTheme="minorHAnsi"/>
          <w:snapToGrid/>
          <w:sz w:val="24"/>
          <w:szCs w:val="24"/>
        </w:rPr>
        <w:t>equi</w:t>
      </w:r>
      <w:proofErr w:type="spellEnd"/>
      <w:r w:rsidR="00662424" w:rsidRPr="00F10C3A">
        <w:rPr>
          <w:rFonts w:asciiTheme="minorHAnsi" w:eastAsia="Calibri" w:hAnsiTheme="minorHAnsi"/>
          <w:snapToGrid/>
          <w:sz w:val="24"/>
          <w:szCs w:val="24"/>
        </w:rPr>
        <w:t>-effective doses for lozenges</w:t>
      </w:r>
      <w:r w:rsidR="00550E09" w:rsidRPr="00F10C3A">
        <w:rPr>
          <w:rFonts w:asciiTheme="minorHAnsi" w:eastAsia="Calibri" w:hAnsiTheme="minorHAnsi"/>
          <w:snapToGrid/>
          <w:sz w:val="24"/>
          <w:szCs w:val="24"/>
        </w:rPr>
        <w:t>, as:</w:t>
      </w:r>
    </w:p>
    <w:p w:rsidR="00E50B96" w:rsidRPr="00F10C3A" w:rsidRDefault="00DC21AB" w:rsidP="007E3BC0">
      <w:pPr>
        <w:pStyle w:val="ListParagraph"/>
        <w:numPr>
          <w:ilvl w:val="0"/>
          <w:numId w:val="10"/>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The submission did not assess</w:t>
      </w:r>
      <w:r w:rsidR="00D94BB0" w:rsidRPr="00F10C3A">
        <w:rPr>
          <w:rFonts w:asciiTheme="minorHAnsi" w:eastAsia="Calibri" w:hAnsiTheme="minorHAnsi"/>
          <w:snapToGrid/>
          <w:sz w:val="24"/>
          <w:szCs w:val="24"/>
        </w:rPr>
        <w:t xml:space="preserve"> the </w:t>
      </w:r>
      <w:r w:rsidR="00003BBF" w:rsidRPr="00F10C3A">
        <w:rPr>
          <w:rFonts w:asciiTheme="minorHAnsi" w:eastAsia="Calibri" w:hAnsiTheme="minorHAnsi"/>
          <w:snapToGrid/>
          <w:sz w:val="24"/>
          <w:szCs w:val="24"/>
        </w:rPr>
        <w:t>impact of differences between the maximum dos</w:t>
      </w:r>
      <w:r w:rsidR="00086F3B" w:rsidRPr="00F10C3A">
        <w:rPr>
          <w:rFonts w:asciiTheme="minorHAnsi" w:eastAsia="Calibri" w:hAnsiTheme="minorHAnsi"/>
          <w:snapToGrid/>
          <w:sz w:val="24"/>
          <w:szCs w:val="24"/>
        </w:rPr>
        <w:t>e allowed for the 2 mg and 4 mg nicotine lozenge</w:t>
      </w:r>
      <w:r w:rsidR="00003BBF" w:rsidRPr="00F10C3A">
        <w:rPr>
          <w:rFonts w:asciiTheme="minorHAnsi" w:eastAsia="Calibri" w:hAnsiTheme="minorHAnsi"/>
          <w:snapToGrid/>
          <w:sz w:val="24"/>
          <w:szCs w:val="24"/>
        </w:rPr>
        <w:t xml:space="preserve"> on the </w:t>
      </w:r>
      <w:proofErr w:type="spellStart"/>
      <w:r w:rsidR="00003BBF" w:rsidRPr="00F10C3A">
        <w:rPr>
          <w:rFonts w:asciiTheme="minorHAnsi" w:eastAsia="Calibri" w:hAnsiTheme="minorHAnsi"/>
          <w:snapToGrid/>
          <w:sz w:val="24"/>
          <w:szCs w:val="24"/>
        </w:rPr>
        <w:t>equi</w:t>
      </w:r>
      <w:proofErr w:type="spellEnd"/>
      <w:r w:rsidR="00003BBF" w:rsidRPr="00F10C3A">
        <w:rPr>
          <w:rFonts w:asciiTheme="minorHAnsi" w:eastAsia="Calibri" w:hAnsiTheme="minorHAnsi"/>
          <w:snapToGrid/>
          <w:sz w:val="24"/>
          <w:szCs w:val="24"/>
        </w:rPr>
        <w:t>-effective dose</w:t>
      </w:r>
      <w:r w:rsidR="00D94BB0" w:rsidRPr="00F10C3A">
        <w:rPr>
          <w:rFonts w:asciiTheme="minorHAnsi" w:eastAsia="Calibri" w:hAnsiTheme="minorHAnsi"/>
          <w:snapToGrid/>
          <w:sz w:val="24"/>
          <w:szCs w:val="24"/>
        </w:rPr>
        <w:t>, as patients were assigned to either 2 mg or 4 mg arms</w:t>
      </w:r>
      <w:r w:rsidRPr="00F10C3A">
        <w:rPr>
          <w:rFonts w:asciiTheme="minorHAnsi" w:eastAsia="Calibri" w:hAnsiTheme="minorHAnsi"/>
          <w:snapToGrid/>
          <w:sz w:val="24"/>
          <w:szCs w:val="24"/>
        </w:rPr>
        <w:t xml:space="preserve"> in the</w:t>
      </w:r>
      <w:r w:rsidR="00086F3B" w:rsidRPr="00F10C3A">
        <w:rPr>
          <w:rFonts w:asciiTheme="minorHAnsi" w:eastAsia="Calibri" w:hAnsiTheme="minorHAnsi"/>
          <w:snapToGrid/>
          <w:sz w:val="24"/>
          <w:szCs w:val="24"/>
        </w:rPr>
        <w:t xml:space="preserve"> Piper (2009) trial</w:t>
      </w:r>
      <w:r w:rsidRPr="00F10C3A">
        <w:rPr>
          <w:rFonts w:asciiTheme="minorHAnsi" w:eastAsia="Calibri" w:hAnsiTheme="minorHAnsi"/>
          <w:snapToGrid/>
          <w:sz w:val="24"/>
          <w:szCs w:val="24"/>
        </w:rPr>
        <w:t xml:space="preserve">, and no </w:t>
      </w:r>
      <w:r w:rsidR="00EE31ED" w:rsidRPr="00F10C3A">
        <w:rPr>
          <w:rFonts w:asciiTheme="minorHAnsi" w:eastAsia="Calibri" w:hAnsiTheme="minorHAnsi"/>
          <w:snapToGrid/>
          <w:sz w:val="24"/>
          <w:szCs w:val="24"/>
        </w:rPr>
        <w:t xml:space="preserve">changes between </w:t>
      </w:r>
      <w:r w:rsidR="001B58E1" w:rsidRPr="00F10C3A">
        <w:rPr>
          <w:rFonts w:asciiTheme="minorHAnsi" w:eastAsia="Calibri" w:hAnsiTheme="minorHAnsi"/>
          <w:snapToGrid/>
          <w:sz w:val="24"/>
          <w:szCs w:val="24"/>
        </w:rPr>
        <w:t xml:space="preserve">strengths </w:t>
      </w:r>
      <w:r w:rsidRPr="00F10C3A">
        <w:rPr>
          <w:rFonts w:asciiTheme="minorHAnsi" w:eastAsia="Calibri" w:hAnsiTheme="minorHAnsi"/>
          <w:snapToGrid/>
          <w:sz w:val="24"/>
          <w:szCs w:val="24"/>
        </w:rPr>
        <w:t>occurred.</w:t>
      </w:r>
    </w:p>
    <w:p w:rsidR="00550E09" w:rsidRPr="00F10C3A" w:rsidRDefault="00550E09" w:rsidP="007E3BC0">
      <w:pPr>
        <w:pStyle w:val="ListParagraph"/>
        <w:numPr>
          <w:ilvl w:val="0"/>
          <w:numId w:val="10"/>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Applying a 67% adherence rate from Piper (2009) to the recommended dose of </w:t>
      </w:r>
      <w:r w:rsidR="00617FEA" w:rsidRPr="00F10C3A">
        <w:rPr>
          <w:rFonts w:asciiTheme="minorHAnsi" w:eastAsia="Calibri" w:hAnsiTheme="minorHAnsi"/>
          <w:snapToGrid/>
          <w:sz w:val="24"/>
          <w:szCs w:val="24"/>
        </w:rPr>
        <w:t>nicotine lozenges in the PI was uncertain</w:t>
      </w:r>
      <w:r w:rsidR="002C6684" w:rsidRPr="00F10C3A">
        <w:rPr>
          <w:rFonts w:asciiTheme="minorHAnsi" w:eastAsia="Calibri" w:hAnsiTheme="minorHAnsi"/>
          <w:snapToGrid/>
          <w:sz w:val="24"/>
          <w:szCs w:val="24"/>
        </w:rPr>
        <w:t>.</w:t>
      </w:r>
    </w:p>
    <w:p w:rsidR="00EE31ED" w:rsidRPr="00F10C3A" w:rsidRDefault="00EE31ED" w:rsidP="007E3BC0">
      <w:pPr>
        <w:pStyle w:val="ListParagraph"/>
        <w:numPr>
          <w:ilvl w:val="1"/>
          <w:numId w:val="10"/>
        </w:numPr>
        <w:ind w:left="1560"/>
        <w:rPr>
          <w:rFonts w:asciiTheme="minorHAnsi" w:eastAsia="Calibri" w:hAnsiTheme="minorHAnsi"/>
          <w:snapToGrid/>
          <w:sz w:val="24"/>
          <w:szCs w:val="24"/>
        </w:rPr>
      </w:pPr>
      <w:r w:rsidRPr="00F10C3A">
        <w:rPr>
          <w:rFonts w:ascii="Calibri" w:hAnsi="Calibri"/>
          <w:sz w:val="24"/>
          <w:szCs w:val="24"/>
        </w:rPr>
        <w:t xml:space="preserve">It was not stated in the </w:t>
      </w:r>
      <w:r w:rsidR="0038008A" w:rsidRPr="00F10C3A">
        <w:rPr>
          <w:rFonts w:ascii="Calibri" w:hAnsi="Calibri"/>
          <w:sz w:val="24"/>
          <w:szCs w:val="24"/>
        </w:rPr>
        <w:t xml:space="preserve">PI </w:t>
      </w:r>
      <w:r w:rsidRPr="00F10C3A">
        <w:rPr>
          <w:rFonts w:ascii="Calibri" w:hAnsi="Calibri"/>
          <w:sz w:val="24"/>
          <w:szCs w:val="24"/>
        </w:rPr>
        <w:t xml:space="preserve">what </w:t>
      </w:r>
      <w:r w:rsidR="0038008A" w:rsidRPr="00F10C3A">
        <w:rPr>
          <w:rFonts w:ascii="Calibri" w:hAnsi="Calibri"/>
          <w:sz w:val="24"/>
          <w:szCs w:val="24"/>
        </w:rPr>
        <w:t xml:space="preserve">trial </w:t>
      </w:r>
      <w:r w:rsidRPr="00F10C3A">
        <w:rPr>
          <w:rFonts w:ascii="Calibri" w:hAnsi="Calibri"/>
          <w:sz w:val="24"/>
          <w:szCs w:val="24"/>
        </w:rPr>
        <w:t xml:space="preserve">was used and there may be variation on what was considered 100% adherence in the trial and what the submission considered </w:t>
      </w:r>
      <w:r w:rsidR="00851D45" w:rsidRPr="00F10C3A">
        <w:rPr>
          <w:rFonts w:ascii="Calibri" w:hAnsi="Calibri"/>
          <w:sz w:val="24"/>
          <w:szCs w:val="24"/>
        </w:rPr>
        <w:t>w</w:t>
      </w:r>
      <w:r w:rsidRPr="00F10C3A">
        <w:rPr>
          <w:rFonts w:ascii="Calibri" w:hAnsi="Calibri"/>
          <w:sz w:val="24"/>
          <w:szCs w:val="24"/>
        </w:rPr>
        <w:t>as 100% adherence.</w:t>
      </w:r>
    </w:p>
    <w:p w:rsidR="00EE31ED" w:rsidRPr="00F10C3A" w:rsidRDefault="00EE31ED" w:rsidP="007E3BC0">
      <w:pPr>
        <w:pStyle w:val="ListParagraph"/>
        <w:numPr>
          <w:ilvl w:val="1"/>
          <w:numId w:val="10"/>
        </w:numPr>
        <w:ind w:left="1560"/>
        <w:rPr>
          <w:rFonts w:asciiTheme="minorHAnsi" w:eastAsia="Calibri" w:hAnsiTheme="minorHAnsi"/>
          <w:snapToGrid/>
          <w:sz w:val="24"/>
          <w:szCs w:val="24"/>
        </w:rPr>
      </w:pPr>
      <w:r w:rsidRPr="00F10C3A">
        <w:rPr>
          <w:rFonts w:ascii="Calibri" w:hAnsi="Calibri"/>
          <w:sz w:val="24"/>
          <w:szCs w:val="24"/>
        </w:rPr>
        <w:t xml:space="preserve">The submission assumed that </w:t>
      </w:r>
      <w:r w:rsidR="00851D45" w:rsidRPr="00F10C3A">
        <w:rPr>
          <w:rFonts w:ascii="Calibri" w:hAnsi="Calibri"/>
          <w:sz w:val="24"/>
          <w:szCs w:val="24"/>
        </w:rPr>
        <w:t>67</w:t>
      </w:r>
      <w:r w:rsidRPr="00F10C3A">
        <w:rPr>
          <w:rFonts w:ascii="Calibri" w:hAnsi="Calibri"/>
          <w:sz w:val="24"/>
          <w:szCs w:val="24"/>
        </w:rPr>
        <w:t xml:space="preserve">% adherence was </w:t>
      </w:r>
      <w:r w:rsidR="00851D45" w:rsidRPr="00F10C3A">
        <w:rPr>
          <w:rFonts w:ascii="Calibri" w:hAnsi="Calibri"/>
          <w:sz w:val="24"/>
          <w:szCs w:val="24"/>
        </w:rPr>
        <w:t xml:space="preserve">630 lozenges over </w:t>
      </w:r>
      <w:r w:rsidRPr="00F10C3A">
        <w:rPr>
          <w:rFonts w:ascii="Calibri" w:hAnsi="Calibri"/>
          <w:sz w:val="24"/>
          <w:szCs w:val="24"/>
        </w:rPr>
        <w:t>12</w:t>
      </w:r>
      <w:r w:rsidR="00851D45" w:rsidRPr="00F10C3A">
        <w:rPr>
          <w:rFonts w:ascii="Calibri" w:hAnsi="Calibri"/>
          <w:sz w:val="24"/>
          <w:szCs w:val="24"/>
        </w:rPr>
        <w:t xml:space="preserve"> weeks</w:t>
      </w:r>
      <w:r w:rsidRPr="00F10C3A">
        <w:rPr>
          <w:rFonts w:ascii="Calibri" w:hAnsi="Calibri"/>
          <w:sz w:val="24"/>
          <w:szCs w:val="24"/>
        </w:rPr>
        <w:t xml:space="preserve">, based on the </w:t>
      </w:r>
      <w:proofErr w:type="spellStart"/>
      <w:r w:rsidRPr="00F10C3A">
        <w:rPr>
          <w:rFonts w:ascii="Calibri" w:hAnsi="Calibri"/>
          <w:sz w:val="24"/>
          <w:szCs w:val="24"/>
        </w:rPr>
        <w:t>Nicotinell</w:t>
      </w:r>
      <w:proofErr w:type="spellEnd"/>
      <w:r w:rsidRPr="00F10C3A">
        <w:rPr>
          <w:rFonts w:ascii="Calibri" w:hAnsi="Calibri"/>
          <w:sz w:val="24"/>
          <w:szCs w:val="24"/>
        </w:rPr>
        <w:t xml:space="preserve"> Lozenge® PI</w:t>
      </w:r>
      <w:r w:rsidR="00851D45" w:rsidRPr="00F10C3A">
        <w:rPr>
          <w:rFonts w:ascii="Calibri" w:hAnsi="Calibri"/>
          <w:sz w:val="24"/>
          <w:szCs w:val="24"/>
        </w:rPr>
        <w:t>. This would imply that 100% compliance was 940 lozenges</w:t>
      </w:r>
      <w:r w:rsidR="0038008A" w:rsidRPr="00F10C3A">
        <w:rPr>
          <w:rFonts w:ascii="Calibri" w:hAnsi="Calibri"/>
          <w:sz w:val="24"/>
          <w:szCs w:val="24"/>
        </w:rPr>
        <w:t>.</w:t>
      </w:r>
      <w:r w:rsidR="00361F58" w:rsidRPr="00F10C3A">
        <w:rPr>
          <w:rFonts w:ascii="Calibri" w:hAnsi="Calibri"/>
          <w:sz w:val="24"/>
          <w:szCs w:val="24"/>
        </w:rPr>
        <w:t xml:space="preserve"> </w:t>
      </w:r>
      <w:r w:rsidR="0038008A" w:rsidRPr="00F10C3A">
        <w:rPr>
          <w:rFonts w:ascii="Calibri" w:hAnsi="Calibri"/>
          <w:sz w:val="24"/>
          <w:szCs w:val="24"/>
        </w:rPr>
        <w:t>T</w:t>
      </w:r>
      <w:r w:rsidR="00361F58" w:rsidRPr="00F10C3A">
        <w:rPr>
          <w:rFonts w:ascii="Calibri" w:hAnsi="Calibri"/>
          <w:sz w:val="24"/>
          <w:szCs w:val="24"/>
        </w:rPr>
        <w:t>his may have been an underestimate</w:t>
      </w:r>
      <w:r w:rsidR="00851D45" w:rsidRPr="00F10C3A">
        <w:rPr>
          <w:rFonts w:ascii="Calibri" w:hAnsi="Calibri"/>
          <w:sz w:val="24"/>
          <w:szCs w:val="24"/>
        </w:rPr>
        <w:t xml:space="preserve"> as</w:t>
      </w:r>
      <w:r w:rsidR="00361F58" w:rsidRPr="00F10C3A">
        <w:rPr>
          <w:rFonts w:ascii="Calibri" w:hAnsi="Calibri"/>
          <w:sz w:val="24"/>
          <w:szCs w:val="24"/>
        </w:rPr>
        <w:t xml:space="preserve"> the</w:t>
      </w:r>
      <w:r w:rsidR="00851D45" w:rsidRPr="00F10C3A">
        <w:rPr>
          <w:rFonts w:ascii="Calibri" w:hAnsi="Calibri"/>
          <w:sz w:val="24"/>
          <w:szCs w:val="24"/>
        </w:rPr>
        <w:t xml:space="preserve"> maximum</w:t>
      </w:r>
      <w:r w:rsidR="00361F58" w:rsidRPr="00F10C3A">
        <w:rPr>
          <w:rFonts w:ascii="Calibri" w:hAnsi="Calibri"/>
          <w:sz w:val="24"/>
          <w:szCs w:val="24"/>
        </w:rPr>
        <w:t xml:space="preserve"> number of lozenges </w:t>
      </w:r>
      <w:r w:rsidR="00851D45" w:rsidRPr="00F10C3A">
        <w:rPr>
          <w:rFonts w:ascii="Calibri" w:hAnsi="Calibri"/>
          <w:sz w:val="24"/>
          <w:szCs w:val="24"/>
        </w:rPr>
        <w:t>a patient can receive was</w:t>
      </w:r>
      <w:r w:rsidR="00361F58" w:rsidRPr="00F10C3A">
        <w:rPr>
          <w:rFonts w:ascii="Calibri" w:hAnsi="Calibri"/>
          <w:sz w:val="24"/>
          <w:szCs w:val="24"/>
        </w:rPr>
        <w:t xml:space="preserve"> </w:t>
      </w:r>
      <w:r w:rsidR="00DF4637" w:rsidRPr="00F10C3A">
        <w:rPr>
          <w:rFonts w:ascii="Calibri" w:hAnsi="Calibri"/>
          <w:sz w:val="24"/>
          <w:szCs w:val="24"/>
        </w:rPr>
        <w:t>1,260</w:t>
      </w:r>
      <w:r w:rsidR="00361F58" w:rsidRPr="00F10C3A">
        <w:rPr>
          <w:rFonts w:ascii="Calibri" w:hAnsi="Calibri"/>
          <w:sz w:val="24"/>
          <w:szCs w:val="24"/>
        </w:rPr>
        <w:t xml:space="preserve"> </w:t>
      </w:r>
      <w:r w:rsidR="00672E12" w:rsidRPr="00F10C3A">
        <w:rPr>
          <w:rFonts w:ascii="Calibri" w:hAnsi="Calibri"/>
          <w:sz w:val="24"/>
          <w:szCs w:val="24"/>
        </w:rPr>
        <w:t>lozenges</w:t>
      </w:r>
      <w:r w:rsidR="00361F58" w:rsidRPr="00F10C3A">
        <w:rPr>
          <w:rFonts w:ascii="Calibri" w:hAnsi="Calibri"/>
          <w:sz w:val="24"/>
          <w:szCs w:val="24"/>
        </w:rPr>
        <w:t xml:space="preserve"> over the 12 week period</w:t>
      </w:r>
      <w:r w:rsidR="00851D45" w:rsidRPr="00F10C3A">
        <w:rPr>
          <w:rFonts w:ascii="Calibri" w:hAnsi="Calibri"/>
          <w:sz w:val="24"/>
          <w:szCs w:val="24"/>
        </w:rPr>
        <w:t xml:space="preserve"> based on the </w:t>
      </w:r>
      <w:proofErr w:type="spellStart"/>
      <w:r w:rsidR="00851D45" w:rsidRPr="00F10C3A">
        <w:rPr>
          <w:rFonts w:ascii="Calibri" w:hAnsi="Calibri"/>
          <w:sz w:val="24"/>
          <w:szCs w:val="24"/>
        </w:rPr>
        <w:t>Nicotinell</w:t>
      </w:r>
      <w:proofErr w:type="spellEnd"/>
      <w:r w:rsidR="00851D45" w:rsidRPr="00F10C3A">
        <w:rPr>
          <w:rFonts w:ascii="Calibri" w:hAnsi="Calibri"/>
          <w:sz w:val="24"/>
          <w:szCs w:val="24"/>
        </w:rPr>
        <w:t xml:space="preserve"> Lozenge® PI (15 per day)</w:t>
      </w:r>
      <w:r w:rsidR="00361F58" w:rsidRPr="00F10C3A">
        <w:rPr>
          <w:rFonts w:ascii="Calibri" w:hAnsi="Calibri"/>
          <w:sz w:val="24"/>
          <w:szCs w:val="24"/>
        </w:rPr>
        <w:t>.</w:t>
      </w:r>
      <w:r w:rsidR="00F53B2C" w:rsidRPr="00F10C3A">
        <w:rPr>
          <w:rFonts w:ascii="Calibri" w:hAnsi="Calibri"/>
          <w:sz w:val="24"/>
          <w:szCs w:val="24"/>
        </w:rPr>
        <w:t xml:space="preserve"> </w:t>
      </w:r>
    </w:p>
    <w:p w:rsidR="002C6684" w:rsidRPr="00F10C3A" w:rsidRDefault="00851D45" w:rsidP="007E3BC0">
      <w:pPr>
        <w:pStyle w:val="ListParagraph"/>
        <w:numPr>
          <w:ilvl w:val="1"/>
          <w:numId w:val="10"/>
        </w:numPr>
        <w:ind w:left="1560"/>
        <w:rPr>
          <w:rFonts w:asciiTheme="minorHAnsi" w:eastAsia="Calibri" w:hAnsiTheme="minorHAnsi"/>
          <w:snapToGrid/>
          <w:sz w:val="24"/>
          <w:szCs w:val="24"/>
        </w:rPr>
      </w:pPr>
      <w:r w:rsidRPr="00F10C3A">
        <w:rPr>
          <w:rFonts w:asciiTheme="minorHAnsi" w:eastAsia="Calibri" w:hAnsiTheme="minorHAnsi"/>
          <w:snapToGrid/>
          <w:sz w:val="24"/>
          <w:szCs w:val="24"/>
        </w:rPr>
        <w:t>A</w:t>
      </w:r>
      <w:r w:rsidR="002C6684" w:rsidRPr="00F10C3A">
        <w:rPr>
          <w:rFonts w:asciiTheme="minorHAnsi" w:eastAsia="Calibri" w:hAnsiTheme="minorHAnsi"/>
          <w:snapToGrid/>
          <w:sz w:val="24"/>
          <w:szCs w:val="24"/>
        </w:rPr>
        <w:t xml:space="preserve">dherence rate of nicotine lozenges in a clinical setting </w:t>
      </w:r>
      <w:r w:rsidRPr="00F10C3A">
        <w:rPr>
          <w:rFonts w:asciiTheme="minorHAnsi" w:eastAsia="Calibri" w:hAnsiTheme="minorHAnsi"/>
          <w:snapToGrid/>
          <w:sz w:val="24"/>
          <w:szCs w:val="24"/>
        </w:rPr>
        <w:t xml:space="preserve">could be different than that </w:t>
      </w:r>
      <w:r w:rsidR="002C6684" w:rsidRPr="00F10C3A">
        <w:rPr>
          <w:rFonts w:asciiTheme="minorHAnsi" w:eastAsia="Calibri" w:hAnsiTheme="minorHAnsi"/>
          <w:snapToGrid/>
          <w:sz w:val="24"/>
          <w:szCs w:val="24"/>
        </w:rPr>
        <w:t>reported in the Piper (2009) tria</w:t>
      </w:r>
      <w:r w:rsidR="00003BBF" w:rsidRPr="00F10C3A">
        <w:rPr>
          <w:rFonts w:asciiTheme="minorHAnsi" w:eastAsia="Calibri" w:hAnsiTheme="minorHAnsi"/>
          <w:snapToGrid/>
          <w:sz w:val="24"/>
          <w:szCs w:val="24"/>
        </w:rPr>
        <w:t>l, as trial participants underwent intensive screening and would have had to be highly motivated to quit to be included. Furthermore, participants in Piper (2009) had five visits during the first 12 week period, which might be greater than required in the Australian setting.</w:t>
      </w:r>
    </w:p>
    <w:p w:rsidR="002C6684" w:rsidRPr="00F10C3A" w:rsidRDefault="00623DFD" w:rsidP="007E3BC0">
      <w:pPr>
        <w:pStyle w:val="ListParagraph"/>
        <w:numPr>
          <w:ilvl w:val="1"/>
          <w:numId w:val="10"/>
        </w:numPr>
        <w:ind w:left="1560"/>
        <w:rPr>
          <w:rFonts w:asciiTheme="minorHAnsi" w:eastAsia="Calibri" w:hAnsiTheme="minorHAnsi"/>
          <w:snapToGrid/>
          <w:sz w:val="24"/>
          <w:szCs w:val="24"/>
        </w:rPr>
      </w:pPr>
      <w:r w:rsidRPr="00F10C3A">
        <w:rPr>
          <w:rFonts w:asciiTheme="minorHAnsi" w:eastAsia="Calibri" w:hAnsiTheme="minorHAnsi"/>
          <w:snapToGrid/>
          <w:sz w:val="24"/>
          <w:szCs w:val="24"/>
        </w:rPr>
        <w:t>T</w:t>
      </w:r>
      <w:r w:rsidR="00662424" w:rsidRPr="00F10C3A">
        <w:rPr>
          <w:rFonts w:asciiTheme="minorHAnsi" w:eastAsia="Calibri" w:hAnsiTheme="minorHAnsi"/>
          <w:snapToGrid/>
          <w:sz w:val="24"/>
          <w:szCs w:val="24"/>
        </w:rPr>
        <w:t>he submission provided supplementary data from other trials in support of data from Piper (2009)</w:t>
      </w:r>
      <w:r w:rsidRPr="00F10C3A">
        <w:rPr>
          <w:rFonts w:asciiTheme="minorHAnsi" w:eastAsia="Calibri" w:hAnsiTheme="minorHAnsi"/>
          <w:snapToGrid/>
          <w:sz w:val="24"/>
          <w:szCs w:val="24"/>
        </w:rPr>
        <w:t>. However,</w:t>
      </w:r>
      <w:r w:rsidR="00662424" w:rsidRPr="00F10C3A">
        <w:rPr>
          <w:rFonts w:asciiTheme="minorHAnsi" w:eastAsia="Calibri" w:hAnsiTheme="minorHAnsi"/>
          <w:snapToGrid/>
          <w:sz w:val="24"/>
          <w:szCs w:val="24"/>
        </w:rPr>
        <w:t xml:space="preserve"> it was not possible to use these trials to determine an </w:t>
      </w:r>
      <w:proofErr w:type="spellStart"/>
      <w:r w:rsidR="00662424" w:rsidRPr="00F10C3A">
        <w:rPr>
          <w:rFonts w:asciiTheme="minorHAnsi" w:eastAsia="Calibri" w:hAnsiTheme="minorHAnsi"/>
          <w:snapToGrid/>
          <w:sz w:val="24"/>
          <w:szCs w:val="24"/>
        </w:rPr>
        <w:t>equi</w:t>
      </w:r>
      <w:proofErr w:type="spellEnd"/>
      <w:r w:rsidR="00662424" w:rsidRPr="00F10C3A">
        <w:rPr>
          <w:rFonts w:asciiTheme="minorHAnsi" w:eastAsia="Calibri" w:hAnsiTheme="minorHAnsi"/>
          <w:snapToGrid/>
          <w:sz w:val="24"/>
          <w:szCs w:val="24"/>
        </w:rPr>
        <w:t>-effective dose of lozenge versus patch</w:t>
      </w:r>
      <w:r w:rsidRPr="00F10C3A">
        <w:rPr>
          <w:rFonts w:asciiTheme="minorHAnsi" w:eastAsia="Calibri" w:hAnsiTheme="minorHAnsi"/>
          <w:snapToGrid/>
          <w:sz w:val="24"/>
          <w:szCs w:val="24"/>
        </w:rPr>
        <w:t>,</w:t>
      </w:r>
      <w:r w:rsidR="00662424" w:rsidRPr="00F10C3A">
        <w:rPr>
          <w:rFonts w:asciiTheme="minorHAnsi" w:eastAsia="Calibri" w:hAnsiTheme="minorHAnsi"/>
          <w:snapToGrid/>
          <w:sz w:val="24"/>
          <w:szCs w:val="24"/>
        </w:rPr>
        <w:t xml:space="preserve"> as none of the </w:t>
      </w:r>
      <w:r w:rsidR="00743B4B" w:rsidRPr="00F10C3A">
        <w:rPr>
          <w:rFonts w:asciiTheme="minorHAnsi" w:eastAsia="Calibri" w:hAnsiTheme="minorHAnsi"/>
          <w:snapToGrid/>
          <w:sz w:val="24"/>
          <w:szCs w:val="24"/>
        </w:rPr>
        <w:t xml:space="preserve">supportive </w:t>
      </w:r>
      <w:r w:rsidR="00662424" w:rsidRPr="00F10C3A">
        <w:rPr>
          <w:rFonts w:asciiTheme="minorHAnsi" w:eastAsia="Calibri" w:hAnsiTheme="minorHAnsi"/>
          <w:snapToGrid/>
          <w:sz w:val="24"/>
          <w:szCs w:val="24"/>
        </w:rPr>
        <w:t>trials included a nicotine patch treatment arm</w:t>
      </w:r>
      <w:r w:rsidR="00743B4B" w:rsidRPr="00F10C3A">
        <w:rPr>
          <w:rFonts w:asciiTheme="minorHAnsi" w:eastAsia="Calibri" w:hAnsiTheme="minorHAnsi"/>
          <w:snapToGrid/>
          <w:sz w:val="24"/>
          <w:szCs w:val="24"/>
        </w:rPr>
        <w:t>; rather, nicotine lozenges were compared with either a placebo arm or a behavioural support program</w:t>
      </w:r>
      <w:r w:rsidR="00662424" w:rsidRPr="00F10C3A">
        <w:rPr>
          <w:rFonts w:asciiTheme="minorHAnsi" w:eastAsia="Calibri" w:hAnsiTheme="minorHAnsi"/>
          <w:snapToGrid/>
          <w:sz w:val="24"/>
          <w:szCs w:val="24"/>
        </w:rPr>
        <w:t>.</w:t>
      </w:r>
    </w:p>
    <w:p w:rsidR="00E50B96" w:rsidRPr="00F10C3A" w:rsidRDefault="00E50B96" w:rsidP="0008047A">
      <w:pPr>
        <w:ind w:left="709"/>
        <w:rPr>
          <w:rFonts w:asciiTheme="minorHAnsi" w:eastAsia="Calibri" w:hAnsiTheme="minorHAnsi"/>
          <w:snapToGrid/>
          <w:sz w:val="24"/>
          <w:szCs w:val="24"/>
        </w:rPr>
      </w:pPr>
    </w:p>
    <w:p w:rsidR="00B703F6" w:rsidRPr="00F10C3A" w:rsidRDefault="00E50B96" w:rsidP="00B703F6">
      <w:pPr>
        <w:widowControl/>
        <w:numPr>
          <w:ilvl w:val="1"/>
          <w:numId w:val="3"/>
        </w:numPr>
        <w:rPr>
          <w:rFonts w:asciiTheme="minorHAnsi" w:eastAsia="Calibri" w:hAnsiTheme="minorHAnsi"/>
          <w:snapToGrid/>
          <w:sz w:val="24"/>
          <w:szCs w:val="24"/>
        </w:rPr>
      </w:pPr>
      <w:r w:rsidRPr="00F10C3A">
        <w:rPr>
          <w:rFonts w:asciiTheme="minorHAnsi" w:eastAsia="Calibri" w:hAnsiTheme="minorHAnsi"/>
          <w:snapToGrid/>
          <w:sz w:val="24"/>
          <w:szCs w:val="24"/>
        </w:rPr>
        <w:t xml:space="preserve">Furthermore, the assumption that patients would use 84 nicotine patches over 12 weeks of treatment in the determination of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-effective dose lozenges was inappropriate</w:t>
      </w:r>
      <w:r w:rsidR="00B703F6" w:rsidRPr="00F10C3A">
        <w:rPr>
          <w:rFonts w:asciiTheme="minorHAnsi" w:eastAsia="Calibri" w:hAnsiTheme="minorHAnsi"/>
          <w:snapToGrid/>
          <w:sz w:val="24"/>
          <w:szCs w:val="24"/>
        </w:rPr>
        <w:t>, as:</w:t>
      </w:r>
    </w:p>
    <w:p w:rsidR="00B703F6" w:rsidRPr="00F10C3A" w:rsidRDefault="00E50B96" w:rsidP="007B14BF">
      <w:pPr>
        <w:widowControl/>
        <w:numPr>
          <w:ilvl w:val="2"/>
          <w:numId w:val="3"/>
        </w:numPr>
        <w:ind w:left="1134" w:hanging="425"/>
        <w:rPr>
          <w:rFonts w:asciiTheme="minorHAnsi" w:eastAsia="Calibri" w:hAnsiTheme="minorHAnsi"/>
          <w:snapToGrid/>
          <w:sz w:val="24"/>
          <w:szCs w:val="24"/>
        </w:rPr>
      </w:pPr>
      <w:r w:rsidRPr="00F10C3A">
        <w:rPr>
          <w:rFonts w:asciiTheme="minorHAnsi" w:eastAsia="Calibri" w:hAnsiTheme="minorHAnsi"/>
          <w:snapToGrid/>
          <w:sz w:val="24"/>
          <w:szCs w:val="24"/>
        </w:rPr>
        <w:t>The submission did not present clinical adherence data for nicotine patches from the Piper (2009) trial</w:t>
      </w:r>
      <w:r w:rsidR="0096306C" w:rsidRPr="00F10C3A">
        <w:rPr>
          <w:rFonts w:asciiTheme="minorHAnsi" w:eastAsia="Calibri" w:hAnsiTheme="minorHAnsi"/>
          <w:snapToGrid/>
          <w:sz w:val="24"/>
          <w:szCs w:val="24"/>
        </w:rPr>
        <w:t>.</w:t>
      </w:r>
      <w:r w:rsidR="002C6684" w:rsidRPr="00F10C3A">
        <w:rPr>
          <w:rFonts w:asciiTheme="minorHAnsi" w:eastAsia="Calibri" w:hAnsiTheme="minorHAnsi"/>
          <w:snapToGrid/>
          <w:sz w:val="24"/>
          <w:szCs w:val="24"/>
        </w:rPr>
        <w:t xml:space="preserve"> </w:t>
      </w:r>
      <w:r w:rsidR="0096306C" w:rsidRPr="00F10C3A">
        <w:rPr>
          <w:rFonts w:asciiTheme="minorHAnsi" w:eastAsia="Calibri" w:hAnsiTheme="minorHAnsi"/>
          <w:snapToGrid/>
          <w:sz w:val="24"/>
          <w:szCs w:val="24"/>
        </w:rPr>
        <w:t>D</w:t>
      </w:r>
      <w:r w:rsidR="002C6684" w:rsidRPr="00F10C3A">
        <w:rPr>
          <w:rFonts w:asciiTheme="minorHAnsi" w:eastAsia="Calibri" w:hAnsiTheme="minorHAnsi"/>
          <w:snapToGrid/>
          <w:sz w:val="24"/>
          <w:szCs w:val="24"/>
        </w:rPr>
        <w:t xml:space="preserve">uring the evaluation, it was noted that </w:t>
      </w:r>
      <w:r w:rsidRPr="00F10C3A">
        <w:rPr>
          <w:rFonts w:asciiTheme="minorHAnsi" w:eastAsia="Calibri" w:hAnsiTheme="minorHAnsi"/>
          <w:snapToGrid/>
          <w:sz w:val="24"/>
          <w:szCs w:val="24"/>
        </w:rPr>
        <w:t>86% of patients were adherent to patches</w:t>
      </w:r>
      <w:r w:rsidR="002C6684" w:rsidRPr="00F10C3A">
        <w:rPr>
          <w:rFonts w:asciiTheme="minorHAnsi" w:eastAsia="Calibri" w:hAnsiTheme="minorHAnsi"/>
          <w:snapToGrid/>
          <w:sz w:val="24"/>
          <w:szCs w:val="24"/>
        </w:rPr>
        <w:t xml:space="preserve"> in the trial</w:t>
      </w:r>
      <w:r w:rsidRPr="00F10C3A">
        <w:rPr>
          <w:rFonts w:asciiTheme="minorHAnsi" w:eastAsia="Calibri" w:hAnsiTheme="minorHAnsi"/>
          <w:snapToGrid/>
          <w:sz w:val="24"/>
          <w:szCs w:val="24"/>
        </w:rPr>
        <w:t xml:space="preserve">. Based on </w:t>
      </w:r>
      <w:r w:rsidR="00662424" w:rsidRPr="00F10C3A">
        <w:rPr>
          <w:rFonts w:asciiTheme="minorHAnsi" w:eastAsia="Calibri" w:hAnsiTheme="minorHAnsi"/>
          <w:snapToGrid/>
          <w:sz w:val="24"/>
          <w:szCs w:val="24"/>
        </w:rPr>
        <w:t xml:space="preserve">this, it was estimated that patients would require 72 patches over 12 weeks. </w:t>
      </w:r>
      <w:r w:rsidR="002C6684" w:rsidRPr="00F10C3A">
        <w:rPr>
          <w:rFonts w:asciiTheme="minorHAnsi" w:eastAsia="Calibri" w:hAnsiTheme="minorHAnsi"/>
          <w:snapToGrid/>
          <w:sz w:val="24"/>
          <w:szCs w:val="24"/>
        </w:rPr>
        <w:t>However,</w:t>
      </w:r>
      <w:r w:rsidR="00003BBF" w:rsidRPr="00F10C3A">
        <w:rPr>
          <w:rFonts w:asciiTheme="minorHAnsi" w:eastAsia="Calibri" w:hAnsiTheme="minorHAnsi"/>
          <w:snapToGrid/>
          <w:sz w:val="24"/>
          <w:szCs w:val="24"/>
        </w:rPr>
        <w:t xml:space="preserve"> the assumption of an 86% adherence rate to patches based on the Piper (2009) trial is also associated with uncertainty due to the differences between the trial and proposed PBS populations.</w:t>
      </w:r>
      <w:r w:rsidR="00B703F6" w:rsidRPr="00F10C3A">
        <w:t xml:space="preserve"> </w:t>
      </w:r>
    </w:p>
    <w:p w:rsidR="00B703F6" w:rsidRPr="00F10C3A" w:rsidRDefault="00B703F6" w:rsidP="007B14BF">
      <w:pPr>
        <w:widowControl/>
        <w:numPr>
          <w:ilvl w:val="2"/>
          <w:numId w:val="3"/>
        </w:numPr>
        <w:ind w:left="1134" w:hanging="425"/>
        <w:rPr>
          <w:rFonts w:asciiTheme="minorHAnsi" w:eastAsia="Calibri" w:hAnsiTheme="minorHAnsi"/>
          <w:snapToGrid/>
          <w:sz w:val="24"/>
          <w:szCs w:val="24"/>
        </w:rPr>
      </w:pPr>
      <w:r w:rsidRPr="00F10C3A">
        <w:rPr>
          <w:rFonts w:asciiTheme="minorHAnsi" w:eastAsia="Calibri" w:hAnsiTheme="minorHAnsi"/>
          <w:snapToGrid/>
          <w:sz w:val="24"/>
          <w:szCs w:val="24"/>
        </w:rPr>
        <w:t>The PSCR (p3) claimed that it was unlikely that the dose relativity</w:t>
      </w:r>
      <w:r w:rsidR="007B14BF" w:rsidRPr="00F10C3A">
        <w:rPr>
          <w:rFonts w:asciiTheme="minorHAnsi" w:eastAsia="Calibri" w:hAnsiTheme="minorHAnsi"/>
          <w:snapToGrid/>
          <w:sz w:val="24"/>
          <w:szCs w:val="24"/>
        </w:rPr>
        <w:t xml:space="preserve"> proposed in the evaluation</w:t>
      </w:r>
      <w:r w:rsidRPr="00F10C3A">
        <w:rPr>
          <w:rFonts w:asciiTheme="minorHAnsi" w:eastAsia="Calibri" w:hAnsiTheme="minorHAnsi"/>
          <w:snapToGrid/>
          <w:sz w:val="24"/>
          <w:szCs w:val="24"/>
        </w:rPr>
        <w:t xml:space="preserve"> would be reflected in real world usage of the nicotine gum and lozenges, noting that the Piper </w:t>
      </w:r>
      <w:r w:rsidR="005D2580" w:rsidRPr="00F10C3A">
        <w:rPr>
          <w:rFonts w:asciiTheme="minorHAnsi" w:eastAsia="Calibri" w:hAnsiTheme="minorHAnsi"/>
          <w:snapToGrid/>
          <w:sz w:val="24"/>
          <w:szCs w:val="24"/>
        </w:rPr>
        <w:t>(</w:t>
      </w:r>
      <w:r w:rsidRPr="00F10C3A">
        <w:rPr>
          <w:rFonts w:asciiTheme="minorHAnsi" w:eastAsia="Calibri" w:hAnsiTheme="minorHAnsi"/>
          <w:snapToGrid/>
          <w:sz w:val="24"/>
          <w:szCs w:val="24"/>
        </w:rPr>
        <w:t>2009</w:t>
      </w:r>
      <w:r w:rsidR="005D2580" w:rsidRPr="00F10C3A">
        <w:rPr>
          <w:rFonts w:asciiTheme="minorHAnsi" w:eastAsia="Calibri" w:hAnsiTheme="minorHAnsi"/>
          <w:snapToGrid/>
          <w:sz w:val="24"/>
          <w:szCs w:val="24"/>
        </w:rPr>
        <w:t>)</w:t>
      </w:r>
      <w:r w:rsidRPr="00F10C3A">
        <w:rPr>
          <w:rFonts w:asciiTheme="minorHAnsi" w:eastAsia="Calibri" w:hAnsiTheme="minorHAnsi"/>
          <w:snapToGrid/>
          <w:sz w:val="24"/>
          <w:szCs w:val="24"/>
        </w:rPr>
        <w:t xml:space="preserve"> study was conducted in a highly enriched population with intensive psychological support before and after randomization, and therefore this study had very low discontinuation rates (&lt;10%). The PSCR (p3) further </w:t>
      </w:r>
      <w:r w:rsidR="00257C97" w:rsidRPr="00F10C3A">
        <w:rPr>
          <w:rFonts w:asciiTheme="minorHAnsi" w:eastAsia="Calibri" w:hAnsiTheme="minorHAnsi"/>
          <w:snapToGrid/>
          <w:sz w:val="24"/>
          <w:szCs w:val="24"/>
        </w:rPr>
        <w:t>stated</w:t>
      </w:r>
      <w:r w:rsidRPr="00F10C3A">
        <w:rPr>
          <w:rFonts w:asciiTheme="minorHAnsi" w:eastAsia="Calibri" w:hAnsiTheme="minorHAnsi"/>
          <w:snapToGrid/>
          <w:sz w:val="24"/>
          <w:szCs w:val="24"/>
        </w:rPr>
        <w:t xml:space="preserve"> that the ability to self-titrate the dose of gum and lozenges was separate to non-compliance</w:t>
      </w:r>
      <w:r w:rsidR="00257C97" w:rsidRPr="00F10C3A">
        <w:rPr>
          <w:rFonts w:asciiTheme="minorHAnsi" w:eastAsia="Calibri" w:hAnsiTheme="minorHAnsi"/>
          <w:snapToGrid/>
          <w:sz w:val="24"/>
          <w:szCs w:val="24"/>
        </w:rPr>
        <w:t>/discontinuation</w:t>
      </w:r>
      <w:r w:rsidRPr="00F10C3A">
        <w:rPr>
          <w:rFonts w:asciiTheme="minorHAnsi" w:eastAsia="Calibri" w:hAnsiTheme="minorHAnsi"/>
          <w:snapToGrid/>
          <w:sz w:val="24"/>
          <w:szCs w:val="24"/>
        </w:rPr>
        <w:t xml:space="preserve">, </w:t>
      </w:r>
      <w:r w:rsidR="00257C97" w:rsidRPr="00F10C3A">
        <w:rPr>
          <w:rFonts w:asciiTheme="minorHAnsi" w:eastAsia="Calibri" w:hAnsiTheme="minorHAnsi"/>
          <w:snapToGrid/>
          <w:sz w:val="24"/>
          <w:szCs w:val="24"/>
        </w:rPr>
        <w:t>and that t</w:t>
      </w:r>
      <w:r w:rsidRPr="00F10C3A">
        <w:rPr>
          <w:rFonts w:asciiTheme="minorHAnsi" w:eastAsia="Calibri" w:hAnsiTheme="minorHAnsi"/>
          <w:snapToGrid/>
          <w:sz w:val="24"/>
          <w:szCs w:val="24"/>
        </w:rPr>
        <w:t xml:space="preserve">he patches deliver a fixed daily dose and must be used daily to be effective. </w:t>
      </w:r>
    </w:p>
    <w:p w:rsidR="00A45611" w:rsidRDefault="00B703F6" w:rsidP="00A45611">
      <w:pPr>
        <w:widowControl/>
        <w:numPr>
          <w:ilvl w:val="2"/>
          <w:numId w:val="3"/>
        </w:numPr>
        <w:ind w:left="1134" w:hanging="425"/>
        <w:rPr>
          <w:rFonts w:asciiTheme="minorHAnsi" w:eastAsia="Calibri" w:hAnsiTheme="minorHAnsi"/>
          <w:snapToGrid/>
          <w:sz w:val="24"/>
          <w:szCs w:val="24"/>
        </w:rPr>
      </w:pPr>
      <w:r w:rsidRPr="00F10C3A">
        <w:rPr>
          <w:rFonts w:asciiTheme="minorHAnsi" w:eastAsia="Calibri" w:hAnsiTheme="minorHAnsi"/>
          <w:snapToGrid/>
          <w:sz w:val="24"/>
          <w:szCs w:val="24"/>
        </w:rPr>
        <w:t xml:space="preserve">The ESC noted that the Piper (2009) was used by the submission to estimate lozenge usage (lozenge compliance) in the determination of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 xml:space="preserve">-effective dose, but </w:t>
      </w:r>
      <w:r w:rsidR="00F1760C" w:rsidRPr="00F10C3A">
        <w:rPr>
          <w:rFonts w:asciiTheme="minorHAnsi" w:eastAsia="Calibri" w:hAnsiTheme="minorHAnsi"/>
          <w:snapToGrid/>
          <w:sz w:val="24"/>
          <w:szCs w:val="24"/>
        </w:rPr>
        <w:t xml:space="preserve">considered that the submission’s assumption of </w:t>
      </w:r>
      <w:r w:rsidRPr="00F10C3A">
        <w:rPr>
          <w:rFonts w:asciiTheme="minorHAnsi" w:eastAsia="Calibri" w:hAnsiTheme="minorHAnsi"/>
          <w:snapToGrid/>
          <w:sz w:val="24"/>
          <w:szCs w:val="24"/>
        </w:rPr>
        <w:t xml:space="preserve">100% usage of nicotine patches rather than the </w:t>
      </w:r>
      <w:r w:rsidR="00F1760C" w:rsidRPr="00F10C3A">
        <w:rPr>
          <w:rFonts w:asciiTheme="minorHAnsi" w:eastAsia="Calibri" w:hAnsiTheme="minorHAnsi"/>
          <w:snapToGrid/>
          <w:sz w:val="24"/>
          <w:szCs w:val="24"/>
        </w:rPr>
        <w:t xml:space="preserve">actual </w:t>
      </w:r>
      <w:r w:rsidRPr="00F10C3A">
        <w:rPr>
          <w:rFonts w:asciiTheme="minorHAnsi" w:eastAsia="Calibri" w:hAnsiTheme="minorHAnsi"/>
          <w:snapToGrid/>
          <w:sz w:val="24"/>
          <w:szCs w:val="24"/>
        </w:rPr>
        <w:t>compliance</w:t>
      </w:r>
      <w:r w:rsidR="00F1760C" w:rsidRPr="00F10C3A">
        <w:rPr>
          <w:rFonts w:asciiTheme="minorHAnsi" w:eastAsia="Calibri" w:hAnsiTheme="minorHAnsi"/>
          <w:snapToGrid/>
          <w:sz w:val="24"/>
          <w:szCs w:val="24"/>
        </w:rPr>
        <w:t xml:space="preserve"> to patches reported in the trial</w:t>
      </w:r>
      <w:r w:rsidRPr="00F10C3A">
        <w:rPr>
          <w:rFonts w:asciiTheme="minorHAnsi" w:eastAsia="Calibri" w:hAnsiTheme="minorHAnsi"/>
          <w:snapToGrid/>
          <w:sz w:val="24"/>
          <w:szCs w:val="24"/>
        </w:rPr>
        <w:t xml:space="preserve">, </w:t>
      </w:r>
      <w:r w:rsidR="00F1760C" w:rsidRPr="00F10C3A">
        <w:rPr>
          <w:rFonts w:asciiTheme="minorHAnsi" w:eastAsia="Calibri" w:hAnsiTheme="minorHAnsi"/>
          <w:snapToGrid/>
          <w:sz w:val="24"/>
          <w:szCs w:val="24"/>
        </w:rPr>
        <w:t>was</w:t>
      </w:r>
      <w:r w:rsidRPr="00F10C3A">
        <w:rPr>
          <w:rFonts w:asciiTheme="minorHAnsi" w:eastAsia="Calibri" w:hAnsiTheme="minorHAnsi"/>
          <w:snapToGrid/>
          <w:sz w:val="24"/>
          <w:szCs w:val="24"/>
        </w:rPr>
        <w:t xml:space="preserve"> </w:t>
      </w:r>
      <w:r w:rsidR="00F1760C" w:rsidRPr="00F10C3A">
        <w:rPr>
          <w:rFonts w:asciiTheme="minorHAnsi" w:eastAsia="Calibri" w:hAnsiTheme="minorHAnsi"/>
          <w:snapToGrid/>
          <w:sz w:val="24"/>
          <w:szCs w:val="24"/>
        </w:rPr>
        <w:t>in</w:t>
      </w:r>
      <w:r w:rsidRPr="00F10C3A">
        <w:rPr>
          <w:rFonts w:asciiTheme="minorHAnsi" w:eastAsia="Calibri" w:hAnsiTheme="minorHAnsi"/>
          <w:snapToGrid/>
          <w:sz w:val="24"/>
          <w:szCs w:val="24"/>
        </w:rPr>
        <w:t>appropriate. The ESC considered that while the Piper (2009) study has its limitations, it provided the best direct comparison evidence on compliance.</w:t>
      </w:r>
    </w:p>
    <w:p w:rsidR="007654C8" w:rsidRPr="00F10C3A" w:rsidRDefault="00A45611" w:rsidP="00A45611">
      <w:pPr>
        <w:widowControl/>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 </w:t>
      </w:r>
    </w:p>
    <w:p w:rsidR="00EC0C72" w:rsidRPr="00F10C3A" w:rsidRDefault="00662424" w:rsidP="00B703F6">
      <w:pPr>
        <w:widowControl/>
        <w:numPr>
          <w:ilvl w:val="1"/>
          <w:numId w:val="3"/>
        </w:numPr>
        <w:rPr>
          <w:rFonts w:asciiTheme="minorHAnsi" w:eastAsia="Calibri" w:hAnsiTheme="minorHAnsi"/>
          <w:snapToGrid/>
          <w:sz w:val="24"/>
          <w:szCs w:val="24"/>
        </w:rPr>
      </w:pPr>
      <w:r w:rsidRPr="00F10C3A">
        <w:rPr>
          <w:rFonts w:asciiTheme="minorHAnsi" w:eastAsia="Calibri" w:hAnsiTheme="minorHAnsi"/>
          <w:snapToGrid/>
          <w:sz w:val="24"/>
          <w:szCs w:val="24"/>
        </w:rPr>
        <w:t xml:space="preserve">Ultimately, </w:t>
      </w:r>
      <w:r w:rsidR="00B703F6" w:rsidRPr="00F10C3A">
        <w:rPr>
          <w:rFonts w:asciiTheme="minorHAnsi" w:eastAsia="Calibri" w:hAnsiTheme="minorHAnsi"/>
          <w:snapToGrid/>
          <w:sz w:val="24"/>
          <w:szCs w:val="24"/>
        </w:rPr>
        <w:t xml:space="preserve">the ESC agreed that </w:t>
      </w:r>
      <w:r w:rsidR="00EC0C72" w:rsidRPr="00F10C3A">
        <w:rPr>
          <w:rFonts w:asciiTheme="minorHAnsi" w:eastAsia="Calibri" w:hAnsiTheme="minorHAnsi"/>
          <w:snapToGrid/>
          <w:sz w:val="24"/>
          <w:szCs w:val="24"/>
        </w:rPr>
        <w:t xml:space="preserve">the </w:t>
      </w:r>
      <w:proofErr w:type="spellStart"/>
      <w:r w:rsidR="00EC0C72" w:rsidRPr="00F10C3A">
        <w:rPr>
          <w:rFonts w:asciiTheme="minorHAnsi" w:eastAsia="Calibri" w:hAnsiTheme="minorHAnsi"/>
          <w:snapToGrid/>
          <w:sz w:val="24"/>
          <w:szCs w:val="24"/>
        </w:rPr>
        <w:t>equi</w:t>
      </w:r>
      <w:proofErr w:type="spellEnd"/>
      <w:r w:rsidR="00EC0C72" w:rsidRPr="00F10C3A">
        <w:rPr>
          <w:rFonts w:asciiTheme="minorHAnsi" w:eastAsia="Calibri" w:hAnsiTheme="minorHAnsi"/>
          <w:snapToGrid/>
          <w:sz w:val="24"/>
          <w:szCs w:val="24"/>
        </w:rPr>
        <w:t xml:space="preserve">-effective dose for lozenges was uncertain given </w:t>
      </w:r>
      <w:r w:rsidR="007654C8" w:rsidRPr="00F10C3A">
        <w:rPr>
          <w:rFonts w:asciiTheme="minorHAnsi" w:eastAsia="Calibri" w:hAnsiTheme="minorHAnsi"/>
          <w:snapToGrid/>
          <w:sz w:val="24"/>
          <w:szCs w:val="24"/>
        </w:rPr>
        <w:t>uncertainty around patient adherence to nicotine lozenges and patches, and variability in the maximum allowed daily dosage of nicotine lozenges between different lozenge strengths.</w:t>
      </w:r>
    </w:p>
    <w:p w:rsidR="00487E4E" w:rsidRPr="00F10C3A" w:rsidRDefault="00487E4E" w:rsidP="00487E4E">
      <w:pPr>
        <w:widowControl/>
        <w:rPr>
          <w:rFonts w:ascii="Calibri" w:eastAsia="Calibri" w:hAnsi="Calibri"/>
          <w:snapToGrid/>
          <w:sz w:val="24"/>
          <w:szCs w:val="22"/>
        </w:rPr>
      </w:pPr>
    </w:p>
    <w:p w:rsidR="00487E4E" w:rsidRPr="00F10C3A" w:rsidRDefault="00487E4E"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Table 1</w:t>
      </w:r>
      <w:r w:rsidR="00E9245B" w:rsidRPr="00F10C3A">
        <w:rPr>
          <w:rFonts w:ascii="Calibri" w:eastAsia="Calibri" w:hAnsi="Calibri"/>
          <w:snapToGrid/>
          <w:sz w:val="24"/>
          <w:szCs w:val="22"/>
        </w:rPr>
        <w:t>1</w:t>
      </w:r>
      <w:r w:rsidRPr="00F10C3A">
        <w:rPr>
          <w:rFonts w:ascii="Calibri" w:eastAsia="Calibri" w:hAnsi="Calibri"/>
          <w:snapToGrid/>
          <w:sz w:val="24"/>
          <w:szCs w:val="22"/>
        </w:rPr>
        <w:t xml:space="preserve"> presents the proposed ex-manufacturer prices of the nicotine patch and lozenge.</w:t>
      </w:r>
    </w:p>
    <w:p w:rsidR="00151DDF" w:rsidRDefault="00151DDF">
      <w:pPr>
        <w:widowControl/>
        <w:jc w:val="left"/>
        <w:rPr>
          <w:rStyle w:val="CommentReference"/>
        </w:rPr>
      </w:pPr>
      <w:bookmarkStart w:id="40" w:name="_GoBack"/>
      <w:bookmarkEnd w:id="40"/>
    </w:p>
    <w:p w:rsidR="00960248" w:rsidRDefault="00960248" w:rsidP="00960248">
      <w:pPr>
        <w:pStyle w:val="Caption"/>
      </w:pPr>
      <w:r>
        <w:t xml:space="preserve">Table </w:t>
      </w:r>
      <w:r w:rsidR="00910E30">
        <w:rPr>
          <w:noProof/>
        </w:rPr>
        <w:t>11</w:t>
      </w:r>
      <w:r w:rsidRPr="00732686">
        <w:t>: Ex-manufacturer prices of the nicotine patch and lozenge</w:t>
      </w:r>
    </w:p>
    <w:tbl>
      <w:tblPr>
        <w:tblStyle w:val="TableGrid"/>
        <w:tblW w:w="5000" w:type="pct"/>
        <w:tblLook w:val="04A0" w:firstRow="1" w:lastRow="0" w:firstColumn="1" w:lastColumn="0" w:noHBand="0" w:noVBand="1"/>
        <w:tblCaption w:val="Ex-manufacturer prices of the nicotine patch and lozenge"/>
      </w:tblPr>
      <w:tblGrid>
        <w:gridCol w:w="5282"/>
        <w:gridCol w:w="1834"/>
        <w:gridCol w:w="2126"/>
      </w:tblGrid>
      <w:tr w:rsidR="00086F3B" w:rsidRPr="00F10C3A" w:rsidTr="00604D19">
        <w:trPr>
          <w:trHeight w:val="229"/>
          <w:tblHeader/>
        </w:trPr>
        <w:tc>
          <w:tcPr>
            <w:tcW w:w="2858" w:type="pct"/>
          </w:tcPr>
          <w:p w:rsidR="00086F3B" w:rsidRPr="00F10C3A" w:rsidRDefault="00086F3B" w:rsidP="00310B78">
            <w:pPr>
              <w:pStyle w:val="TableText1"/>
            </w:pPr>
          </w:p>
        </w:tc>
        <w:tc>
          <w:tcPr>
            <w:tcW w:w="992" w:type="pct"/>
          </w:tcPr>
          <w:p w:rsidR="00086F3B" w:rsidRPr="00F10C3A" w:rsidRDefault="00086F3B" w:rsidP="00310B78">
            <w:pPr>
              <w:pStyle w:val="TableText1"/>
              <w:rPr>
                <w:b/>
              </w:rPr>
            </w:pPr>
            <w:r w:rsidRPr="00F10C3A">
              <w:rPr>
                <w:b/>
              </w:rPr>
              <w:t>Nicotine Patch</w:t>
            </w:r>
          </w:p>
        </w:tc>
        <w:tc>
          <w:tcPr>
            <w:tcW w:w="1150" w:type="pct"/>
          </w:tcPr>
          <w:p w:rsidR="00086F3B" w:rsidRPr="00F10C3A" w:rsidRDefault="00086F3B" w:rsidP="00310B78">
            <w:pPr>
              <w:pStyle w:val="TableText1"/>
              <w:rPr>
                <w:b/>
              </w:rPr>
            </w:pPr>
            <w:r w:rsidRPr="00F10C3A">
              <w:rPr>
                <w:b/>
              </w:rPr>
              <w:t>Nicotine Lozenge</w:t>
            </w:r>
          </w:p>
        </w:tc>
      </w:tr>
      <w:tr w:rsidR="00086F3B" w:rsidRPr="00F10C3A" w:rsidTr="00086F3B">
        <w:trPr>
          <w:trHeight w:val="229"/>
        </w:trPr>
        <w:tc>
          <w:tcPr>
            <w:tcW w:w="2858" w:type="pct"/>
          </w:tcPr>
          <w:p w:rsidR="00086F3B" w:rsidRPr="00F10C3A" w:rsidRDefault="00086F3B" w:rsidP="00310B78">
            <w:pPr>
              <w:pStyle w:val="TableText1"/>
            </w:pPr>
            <w:proofErr w:type="spellStart"/>
            <w:r w:rsidRPr="00F10C3A">
              <w:t>Equi</w:t>
            </w:r>
            <w:proofErr w:type="spellEnd"/>
            <w:r w:rsidRPr="00F10C3A">
              <w:t>-effective dose</w:t>
            </w:r>
          </w:p>
        </w:tc>
        <w:tc>
          <w:tcPr>
            <w:tcW w:w="992" w:type="pct"/>
            <w:vAlign w:val="bottom"/>
          </w:tcPr>
          <w:p w:rsidR="00086F3B" w:rsidRPr="00F10C3A" w:rsidRDefault="00086F3B" w:rsidP="00310B78">
            <w:pPr>
              <w:pStyle w:val="TableText1"/>
            </w:pPr>
            <w:r w:rsidRPr="00717560">
              <w:t>28</w:t>
            </w:r>
            <w:r w:rsidRPr="00F10C3A">
              <w:t xml:space="preserve"> patches</w:t>
            </w:r>
          </w:p>
        </w:tc>
        <w:tc>
          <w:tcPr>
            <w:tcW w:w="1150" w:type="pct"/>
            <w:vAlign w:val="bottom"/>
          </w:tcPr>
          <w:p w:rsidR="00086F3B" w:rsidRPr="00F10C3A" w:rsidRDefault="00086F3B" w:rsidP="00310B78">
            <w:pPr>
              <w:pStyle w:val="TableText1"/>
            </w:pPr>
            <w:r w:rsidRPr="00717560">
              <w:t>216</w:t>
            </w:r>
            <w:r w:rsidRPr="00F10C3A">
              <w:t xml:space="preserve"> lozenges</w:t>
            </w:r>
          </w:p>
        </w:tc>
      </w:tr>
      <w:tr w:rsidR="00086F3B" w:rsidRPr="00F10C3A" w:rsidTr="00086F3B">
        <w:trPr>
          <w:trHeight w:val="229"/>
        </w:trPr>
        <w:tc>
          <w:tcPr>
            <w:tcW w:w="2858" w:type="pct"/>
            <w:tcBorders>
              <w:bottom w:val="single" w:sz="4" w:space="0" w:color="auto"/>
            </w:tcBorders>
          </w:tcPr>
          <w:p w:rsidR="00086F3B" w:rsidRPr="00F10C3A" w:rsidRDefault="00086F3B" w:rsidP="00310B78">
            <w:pPr>
              <w:pStyle w:val="TableText1"/>
            </w:pPr>
            <w:r w:rsidRPr="00F10C3A">
              <w:t>Ex-manufacturer for 3 packs (12 weeks)</w:t>
            </w:r>
          </w:p>
        </w:tc>
        <w:tc>
          <w:tcPr>
            <w:tcW w:w="992" w:type="pct"/>
            <w:tcBorders>
              <w:bottom w:val="single" w:sz="4" w:space="0" w:color="auto"/>
            </w:tcBorders>
            <w:vAlign w:val="bottom"/>
          </w:tcPr>
          <w:p w:rsidR="00086F3B" w:rsidRPr="00F10C3A" w:rsidRDefault="00086F3B" w:rsidP="00310B78">
            <w:pPr>
              <w:pStyle w:val="TableText1"/>
            </w:pPr>
            <w:r w:rsidRPr="00F10C3A">
              <w:t>$</w:t>
            </w:r>
            <w:r w:rsidRPr="00717560">
              <w:t>117.42</w:t>
            </w:r>
          </w:p>
        </w:tc>
        <w:tc>
          <w:tcPr>
            <w:tcW w:w="1150" w:type="pct"/>
            <w:tcBorders>
              <w:bottom w:val="single" w:sz="4" w:space="0" w:color="auto"/>
            </w:tcBorders>
            <w:vAlign w:val="bottom"/>
          </w:tcPr>
          <w:p w:rsidR="00086F3B" w:rsidRPr="00F10C3A" w:rsidRDefault="00086F3B" w:rsidP="00310B78">
            <w:pPr>
              <w:pStyle w:val="TableText1"/>
            </w:pPr>
            <w:r w:rsidRPr="00F10C3A">
              <w:t>$</w:t>
            </w:r>
            <w:r w:rsidRPr="00717560">
              <w:t>117.42</w:t>
            </w:r>
          </w:p>
        </w:tc>
      </w:tr>
      <w:tr w:rsidR="00086F3B" w:rsidRPr="00F10C3A" w:rsidTr="00086F3B">
        <w:trPr>
          <w:trHeight w:val="230"/>
        </w:trPr>
        <w:tc>
          <w:tcPr>
            <w:tcW w:w="2858" w:type="pct"/>
            <w:tcBorders>
              <w:bottom w:val="nil"/>
            </w:tcBorders>
          </w:tcPr>
          <w:p w:rsidR="00086F3B" w:rsidRPr="00F10C3A" w:rsidRDefault="00086F3B" w:rsidP="00310B78">
            <w:pPr>
              <w:pStyle w:val="TableText1"/>
            </w:pPr>
            <w:r w:rsidRPr="00F10C3A">
              <w:t>Ex-manufacturer/pack</w:t>
            </w:r>
          </w:p>
        </w:tc>
        <w:tc>
          <w:tcPr>
            <w:tcW w:w="992" w:type="pct"/>
            <w:tcBorders>
              <w:bottom w:val="nil"/>
            </w:tcBorders>
            <w:vAlign w:val="bottom"/>
          </w:tcPr>
          <w:p w:rsidR="00086F3B" w:rsidRPr="00F10C3A" w:rsidRDefault="00086F3B" w:rsidP="00310B78">
            <w:pPr>
              <w:pStyle w:val="TableText1"/>
            </w:pPr>
            <w:r w:rsidRPr="00F10C3A">
              <w:t>$</w:t>
            </w:r>
            <w:r w:rsidRPr="00717560">
              <w:t>39.14</w:t>
            </w:r>
          </w:p>
        </w:tc>
        <w:tc>
          <w:tcPr>
            <w:tcW w:w="1150" w:type="pct"/>
            <w:tcBorders>
              <w:bottom w:val="nil"/>
            </w:tcBorders>
            <w:vAlign w:val="bottom"/>
          </w:tcPr>
          <w:p w:rsidR="00086F3B" w:rsidRPr="00F10C3A" w:rsidRDefault="00086F3B" w:rsidP="00310B78">
            <w:pPr>
              <w:pStyle w:val="TableText1"/>
            </w:pPr>
            <w:r w:rsidRPr="00F10C3A">
              <w:t>$</w:t>
            </w:r>
            <w:r w:rsidRPr="00717560">
              <w:t>39.14</w:t>
            </w:r>
          </w:p>
        </w:tc>
      </w:tr>
      <w:tr w:rsidR="00086F3B" w:rsidRPr="00F10C3A" w:rsidTr="00086F3B">
        <w:trPr>
          <w:trHeight w:val="230"/>
        </w:trPr>
        <w:tc>
          <w:tcPr>
            <w:tcW w:w="2858" w:type="pct"/>
            <w:tcBorders>
              <w:top w:val="nil"/>
              <w:bottom w:val="single" w:sz="4" w:space="0" w:color="auto"/>
            </w:tcBorders>
          </w:tcPr>
          <w:p w:rsidR="00086F3B" w:rsidRPr="00F10C3A" w:rsidRDefault="00086F3B" w:rsidP="00310B78">
            <w:pPr>
              <w:pStyle w:val="TableText1"/>
            </w:pPr>
          </w:p>
        </w:tc>
        <w:tc>
          <w:tcPr>
            <w:tcW w:w="992" w:type="pct"/>
            <w:tcBorders>
              <w:top w:val="nil"/>
              <w:bottom w:val="single" w:sz="4" w:space="0" w:color="auto"/>
            </w:tcBorders>
            <w:vAlign w:val="bottom"/>
          </w:tcPr>
          <w:p w:rsidR="00086F3B" w:rsidRPr="00F10C3A" w:rsidRDefault="00086F3B" w:rsidP="00310B78">
            <w:pPr>
              <w:pStyle w:val="TableText1"/>
            </w:pPr>
            <w:r w:rsidRPr="00F10C3A">
              <w:t>-</w:t>
            </w:r>
          </w:p>
        </w:tc>
        <w:tc>
          <w:tcPr>
            <w:tcW w:w="1150" w:type="pct"/>
            <w:tcBorders>
              <w:top w:val="nil"/>
              <w:bottom w:val="single" w:sz="4" w:space="0" w:color="auto"/>
            </w:tcBorders>
            <w:vAlign w:val="bottom"/>
          </w:tcPr>
          <w:p w:rsidR="00086F3B" w:rsidRPr="00F10C3A" w:rsidRDefault="00086F3B" w:rsidP="00310B78">
            <w:pPr>
              <w:pStyle w:val="TableText1"/>
            </w:pPr>
            <w:r w:rsidRPr="00F10C3A">
              <w:t>$</w:t>
            </w:r>
            <w:r w:rsidRPr="00717560">
              <w:t>34.62</w:t>
            </w:r>
          </w:p>
        </w:tc>
      </w:tr>
      <w:tr w:rsidR="00086F3B" w:rsidRPr="00F10C3A" w:rsidTr="00086F3B">
        <w:trPr>
          <w:trHeight w:val="230"/>
        </w:trPr>
        <w:tc>
          <w:tcPr>
            <w:tcW w:w="2858" w:type="pct"/>
            <w:tcBorders>
              <w:bottom w:val="nil"/>
            </w:tcBorders>
          </w:tcPr>
          <w:p w:rsidR="00086F3B" w:rsidRPr="00F10C3A" w:rsidRDefault="00086F3B" w:rsidP="00310B78">
            <w:pPr>
              <w:pStyle w:val="TableText1"/>
            </w:pPr>
            <w:r w:rsidRPr="00F10C3A">
              <w:t>DPMQ/pack</w:t>
            </w:r>
          </w:p>
        </w:tc>
        <w:tc>
          <w:tcPr>
            <w:tcW w:w="992" w:type="pct"/>
            <w:tcBorders>
              <w:bottom w:val="nil"/>
            </w:tcBorders>
            <w:vAlign w:val="bottom"/>
          </w:tcPr>
          <w:p w:rsidR="00086F3B" w:rsidRPr="00F10C3A" w:rsidRDefault="00086F3B" w:rsidP="00310B78">
            <w:pPr>
              <w:pStyle w:val="TableText1"/>
            </w:pPr>
            <w:r w:rsidRPr="00F10C3A">
              <w:t>$</w:t>
            </w:r>
            <w:r w:rsidRPr="00717560">
              <w:t>52.64</w:t>
            </w:r>
          </w:p>
        </w:tc>
        <w:tc>
          <w:tcPr>
            <w:tcW w:w="1150" w:type="pct"/>
            <w:tcBorders>
              <w:bottom w:val="nil"/>
            </w:tcBorders>
            <w:vAlign w:val="bottom"/>
          </w:tcPr>
          <w:p w:rsidR="00086F3B" w:rsidRPr="00F10C3A" w:rsidRDefault="00086F3B" w:rsidP="00310B78">
            <w:pPr>
              <w:pStyle w:val="TableText1"/>
            </w:pPr>
            <w:r w:rsidRPr="00F10C3A">
              <w:t>$</w:t>
            </w:r>
            <w:r w:rsidRPr="00717560">
              <w:t>52.64</w:t>
            </w:r>
          </w:p>
        </w:tc>
      </w:tr>
      <w:tr w:rsidR="00086F3B" w:rsidRPr="00F10C3A" w:rsidTr="00086F3B">
        <w:trPr>
          <w:trHeight w:val="230"/>
        </w:trPr>
        <w:tc>
          <w:tcPr>
            <w:tcW w:w="2858" w:type="pct"/>
            <w:tcBorders>
              <w:top w:val="nil"/>
            </w:tcBorders>
          </w:tcPr>
          <w:p w:rsidR="00086F3B" w:rsidRPr="00F10C3A" w:rsidRDefault="00086F3B" w:rsidP="00310B78">
            <w:pPr>
              <w:pStyle w:val="TableText1"/>
              <w:keepNext w:val="0"/>
              <w:keepLines/>
            </w:pPr>
          </w:p>
        </w:tc>
        <w:tc>
          <w:tcPr>
            <w:tcW w:w="992" w:type="pct"/>
            <w:tcBorders>
              <w:top w:val="nil"/>
            </w:tcBorders>
            <w:vAlign w:val="bottom"/>
          </w:tcPr>
          <w:p w:rsidR="00086F3B" w:rsidRPr="00F10C3A" w:rsidRDefault="00086F3B" w:rsidP="00310B78">
            <w:pPr>
              <w:pStyle w:val="TableText1"/>
              <w:keepNext w:val="0"/>
              <w:keepLines/>
            </w:pPr>
            <w:r w:rsidRPr="00F10C3A">
              <w:t>-</w:t>
            </w:r>
          </w:p>
        </w:tc>
        <w:tc>
          <w:tcPr>
            <w:tcW w:w="1150" w:type="pct"/>
            <w:tcBorders>
              <w:top w:val="nil"/>
            </w:tcBorders>
            <w:vAlign w:val="bottom"/>
          </w:tcPr>
          <w:p w:rsidR="00086F3B" w:rsidRPr="00F10C3A" w:rsidRDefault="00086F3B" w:rsidP="00310B78">
            <w:pPr>
              <w:pStyle w:val="TableText1"/>
              <w:keepNext w:val="0"/>
              <w:keepLines/>
            </w:pPr>
            <w:r w:rsidRPr="00F10C3A">
              <w:t>$</w:t>
            </w:r>
            <w:r w:rsidRPr="00717560">
              <w:t>46.60</w:t>
            </w:r>
          </w:p>
        </w:tc>
      </w:tr>
    </w:tbl>
    <w:p w:rsidR="00EC0C72" w:rsidRPr="00F10C3A" w:rsidRDefault="00EC0C72" w:rsidP="0008047A">
      <w:pPr>
        <w:pStyle w:val="TableFooter"/>
        <w:keepLines/>
        <w:rPr>
          <w:rFonts w:eastAsia="Calibri"/>
          <w:snapToGrid/>
        </w:rPr>
      </w:pPr>
      <w:r w:rsidRPr="00F10C3A">
        <w:rPr>
          <w:rFonts w:eastAsia="Calibri"/>
          <w:snapToGrid/>
        </w:rPr>
        <w:t>Source: Table D-8, p118 of the submission and calculated during the evaluation</w:t>
      </w:r>
      <w:r w:rsidR="004D1986" w:rsidRPr="00F10C3A">
        <w:rPr>
          <w:rFonts w:eastAsia="Calibri"/>
          <w:snapToGrid/>
        </w:rPr>
        <w:t xml:space="preserve"> based on adjusted </w:t>
      </w:r>
      <w:proofErr w:type="spellStart"/>
      <w:r w:rsidR="004D1986" w:rsidRPr="00F10C3A">
        <w:rPr>
          <w:rFonts w:eastAsia="Calibri"/>
          <w:snapToGrid/>
        </w:rPr>
        <w:t>equi</w:t>
      </w:r>
      <w:proofErr w:type="spellEnd"/>
      <w:r w:rsidR="004D1986" w:rsidRPr="00F10C3A">
        <w:rPr>
          <w:rFonts w:eastAsia="Calibri"/>
          <w:snapToGrid/>
        </w:rPr>
        <w:t>-effective dose</w:t>
      </w:r>
    </w:p>
    <w:p w:rsidR="00EC0C72" w:rsidRPr="00F10C3A" w:rsidRDefault="00EC0C72" w:rsidP="0008047A">
      <w:pPr>
        <w:pStyle w:val="TableFooter"/>
        <w:keepLines/>
        <w:rPr>
          <w:rFonts w:eastAsia="Calibri"/>
          <w:snapToGrid/>
        </w:rPr>
      </w:pPr>
      <w:r w:rsidRPr="00F10C3A">
        <w:rPr>
          <w:rFonts w:eastAsia="Calibri"/>
          <w:snapToGrid/>
        </w:rPr>
        <w:t>DPMQ = dispe</w:t>
      </w:r>
      <w:r w:rsidR="005F1889" w:rsidRPr="00F10C3A">
        <w:rPr>
          <w:rFonts w:eastAsia="Calibri"/>
          <w:snapToGrid/>
        </w:rPr>
        <w:t>nsed price for maximum quantity</w:t>
      </w:r>
    </w:p>
    <w:p w:rsidR="00EC0C72" w:rsidRPr="00F10C3A" w:rsidRDefault="00EC0C72" w:rsidP="00EC0C72">
      <w:pPr>
        <w:rPr>
          <w:rFonts w:eastAsia="Calibri"/>
          <w:snapToGrid/>
        </w:rPr>
      </w:pPr>
    </w:p>
    <w:p w:rsidR="00BE2962" w:rsidRPr="00F10C3A" w:rsidRDefault="00EC24E0" w:rsidP="0077058A">
      <w:pPr>
        <w:widowControl/>
        <w:numPr>
          <w:ilvl w:val="1"/>
          <w:numId w:val="3"/>
        </w:numPr>
        <w:rPr>
          <w:rFonts w:ascii="Calibri" w:eastAsia="Calibri" w:hAnsi="Calibri"/>
          <w:snapToGrid/>
          <w:sz w:val="24"/>
          <w:szCs w:val="24"/>
        </w:rPr>
      </w:pPr>
      <w:r w:rsidRPr="00F10C3A">
        <w:rPr>
          <w:rFonts w:ascii="Calibri" w:eastAsia="Calibri" w:hAnsi="Calibri"/>
          <w:snapToGrid/>
          <w:sz w:val="24"/>
          <w:szCs w:val="24"/>
        </w:rPr>
        <w:t>The</w:t>
      </w:r>
      <w:r w:rsidR="00BE2962" w:rsidRPr="00F10C3A">
        <w:rPr>
          <w:rFonts w:ascii="Calibri" w:eastAsia="Calibri" w:hAnsi="Calibri"/>
          <w:snapToGrid/>
          <w:sz w:val="24"/>
          <w:szCs w:val="24"/>
        </w:rPr>
        <w:t xml:space="preserve"> submission requested that 2 mg and 4 mg nicotine</w:t>
      </w:r>
      <w:r w:rsidRPr="00F10C3A">
        <w:rPr>
          <w:rFonts w:ascii="Calibri" w:eastAsia="Calibri" w:hAnsi="Calibri"/>
          <w:snapToGrid/>
          <w:sz w:val="24"/>
          <w:szCs w:val="24"/>
        </w:rPr>
        <w:t xml:space="preserve"> lozenges</w:t>
      </w:r>
      <w:r w:rsidR="00BE2962" w:rsidRPr="00F10C3A">
        <w:rPr>
          <w:rFonts w:ascii="Calibri" w:eastAsia="Calibri" w:hAnsi="Calibri"/>
          <w:snapToGrid/>
          <w:sz w:val="24"/>
          <w:szCs w:val="24"/>
        </w:rPr>
        <w:t xml:space="preserve"> have</w:t>
      </w:r>
      <w:r w:rsidRPr="00F10C3A">
        <w:rPr>
          <w:rFonts w:ascii="Calibri" w:eastAsia="Calibri" w:hAnsi="Calibri"/>
          <w:snapToGrid/>
          <w:sz w:val="24"/>
          <w:szCs w:val="24"/>
        </w:rPr>
        <w:t xml:space="preserve"> the same ex-manufacturer price, contending that</w:t>
      </w:r>
      <w:r w:rsidR="00BE2962" w:rsidRPr="00F10C3A">
        <w:rPr>
          <w:rFonts w:ascii="Calibri" w:eastAsia="Calibri" w:hAnsi="Calibri"/>
          <w:snapToGrid/>
          <w:sz w:val="24"/>
          <w:szCs w:val="24"/>
        </w:rPr>
        <w:t xml:space="preserve"> this would ensure adequate treatment for patients. </w:t>
      </w:r>
      <w:r w:rsidR="00706279" w:rsidRPr="00F10C3A">
        <w:rPr>
          <w:rFonts w:ascii="Calibri" w:eastAsia="Calibri" w:hAnsi="Calibri"/>
          <w:snapToGrid/>
          <w:sz w:val="24"/>
          <w:szCs w:val="24"/>
        </w:rPr>
        <w:t xml:space="preserve">The ESC noted the PSCR’s </w:t>
      </w:r>
      <w:r w:rsidR="00D12CC4" w:rsidRPr="00F10C3A">
        <w:rPr>
          <w:rFonts w:ascii="Calibri" w:eastAsia="Calibri" w:hAnsi="Calibri"/>
          <w:snapToGrid/>
          <w:sz w:val="24"/>
          <w:szCs w:val="24"/>
        </w:rPr>
        <w:t xml:space="preserve">(p4) </w:t>
      </w:r>
      <w:r w:rsidR="00706279" w:rsidRPr="00F10C3A">
        <w:rPr>
          <w:rFonts w:ascii="Calibri" w:eastAsia="Calibri" w:hAnsi="Calibri"/>
          <w:snapToGrid/>
          <w:sz w:val="24"/>
          <w:szCs w:val="24"/>
        </w:rPr>
        <w:t xml:space="preserve">comments arguing that the approach taken in the submission was appropriate as both the </w:t>
      </w:r>
      <w:r w:rsidR="00345A7B" w:rsidRPr="00F10C3A">
        <w:rPr>
          <w:rFonts w:ascii="Calibri" w:eastAsia="Calibri" w:hAnsi="Calibri"/>
          <w:snapToGrid/>
          <w:sz w:val="24"/>
          <w:szCs w:val="24"/>
        </w:rPr>
        <w:t>nicotine patches</w:t>
      </w:r>
      <w:r w:rsidR="00706279" w:rsidRPr="00F10C3A">
        <w:rPr>
          <w:rFonts w:ascii="Calibri" w:eastAsia="Calibri" w:hAnsi="Calibri"/>
          <w:snapToGrid/>
          <w:sz w:val="24"/>
          <w:szCs w:val="24"/>
        </w:rPr>
        <w:t xml:space="preserve"> (on the PBS) and lozenges (in the OTC market) have a flat pricing structure</w:t>
      </w:r>
      <w:r w:rsidR="0077058A" w:rsidRPr="00F10C3A">
        <w:rPr>
          <w:rFonts w:ascii="Calibri" w:eastAsia="Calibri" w:hAnsi="Calibri"/>
          <w:snapToGrid/>
          <w:sz w:val="24"/>
          <w:szCs w:val="24"/>
        </w:rPr>
        <w:t>, but considered that the prices calculated for nicotine lozenges should take into account the likely use of each of the strengths.</w:t>
      </w:r>
    </w:p>
    <w:p w:rsidR="00BE2962" w:rsidRPr="00F10C3A" w:rsidRDefault="00BE2962" w:rsidP="00BE2962">
      <w:pPr>
        <w:pStyle w:val="PBACHeading1"/>
        <w:numPr>
          <w:ilvl w:val="0"/>
          <w:numId w:val="0"/>
        </w:numPr>
        <w:ind w:left="720" w:hanging="720"/>
        <w:rPr>
          <w:rFonts w:eastAsia="Calibri"/>
          <w:snapToGrid/>
        </w:rPr>
      </w:pPr>
    </w:p>
    <w:p w:rsidR="00086F3B" w:rsidRPr="00F10C3A" w:rsidRDefault="004A2FAA" w:rsidP="00A1720B">
      <w:pPr>
        <w:widowControl/>
        <w:numPr>
          <w:ilvl w:val="1"/>
          <w:numId w:val="3"/>
        </w:numPr>
        <w:rPr>
          <w:rFonts w:ascii="Calibri" w:eastAsia="Calibri" w:hAnsi="Calibri"/>
          <w:snapToGrid/>
          <w:sz w:val="24"/>
          <w:szCs w:val="24"/>
        </w:rPr>
      </w:pPr>
      <w:r w:rsidRPr="00F10C3A">
        <w:rPr>
          <w:rFonts w:ascii="Calibri" w:eastAsia="Calibri" w:hAnsi="Calibri"/>
          <w:snapToGrid/>
          <w:sz w:val="24"/>
          <w:szCs w:val="24"/>
        </w:rPr>
        <w:t xml:space="preserve">The adjusted price is also presented in Table </w:t>
      </w:r>
      <w:r w:rsidR="00F70BAD" w:rsidRPr="00F10C3A">
        <w:rPr>
          <w:rFonts w:ascii="Calibri" w:eastAsia="Calibri" w:hAnsi="Calibri"/>
          <w:snapToGrid/>
          <w:sz w:val="24"/>
          <w:szCs w:val="24"/>
        </w:rPr>
        <w:t>1</w:t>
      </w:r>
      <w:r w:rsidR="00B01B45" w:rsidRPr="00F10C3A">
        <w:rPr>
          <w:rFonts w:ascii="Calibri" w:eastAsia="Calibri" w:hAnsi="Calibri"/>
          <w:snapToGrid/>
          <w:sz w:val="24"/>
          <w:szCs w:val="24"/>
        </w:rPr>
        <w:t>1</w:t>
      </w:r>
      <w:r w:rsidR="00F70BAD" w:rsidRPr="00F10C3A">
        <w:rPr>
          <w:rFonts w:ascii="Calibri" w:eastAsia="Calibri" w:hAnsi="Calibri"/>
          <w:snapToGrid/>
          <w:sz w:val="24"/>
          <w:szCs w:val="24"/>
        </w:rPr>
        <w:t xml:space="preserve"> </w:t>
      </w:r>
      <w:r w:rsidRPr="00F10C3A">
        <w:rPr>
          <w:rFonts w:ascii="Calibri" w:eastAsia="Calibri" w:hAnsi="Calibri"/>
          <w:snapToGrid/>
          <w:sz w:val="24"/>
          <w:szCs w:val="24"/>
        </w:rPr>
        <w:t xml:space="preserve">above; this was based on the assumption that patient adherence to nicotine patches was 86%, as estimated by the Piper (2009) trial. </w:t>
      </w:r>
      <w:r w:rsidR="00EC0C72" w:rsidRPr="00F10C3A">
        <w:rPr>
          <w:rFonts w:ascii="Calibri" w:eastAsia="Calibri" w:hAnsi="Calibri"/>
          <w:snapToGrid/>
          <w:sz w:val="24"/>
          <w:szCs w:val="24"/>
        </w:rPr>
        <w:t xml:space="preserve">During the evaluation, it was found that the </w:t>
      </w:r>
      <w:r w:rsidRPr="00F10C3A">
        <w:rPr>
          <w:rFonts w:ascii="Calibri" w:eastAsia="Calibri" w:hAnsi="Calibri"/>
          <w:snapToGrid/>
          <w:sz w:val="24"/>
          <w:szCs w:val="24"/>
        </w:rPr>
        <w:t xml:space="preserve">assumptions used by the submission in the estimation of the </w:t>
      </w:r>
      <w:proofErr w:type="spellStart"/>
      <w:r w:rsidR="00EC0C72" w:rsidRPr="00F10C3A">
        <w:rPr>
          <w:rFonts w:ascii="Calibri" w:eastAsia="Calibri" w:hAnsi="Calibri"/>
          <w:snapToGrid/>
          <w:sz w:val="24"/>
          <w:szCs w:val="24"/>
        </w:rPr>
        <w:t>equi</w:t>
      </w:r>
      <w:proofErr w:type="spellEnd"/>
      <w:r w:rsidR="00EC0C72" w:rsidRPr="00F10C3A">
        <w:rPr>
          <w:rFonts w:ascii="Calibri" w:eastAsia="Calibri" w:hAnsi="Calibri"/>
          <w:snapToGrid/>
          <w:sz w:val="24"/>
          <w:szCs w:val="24"/>
        </w:rPr>
        <w:t xml:space="preserve">-effective dose of </w:t>
      </w:r>
      <w:r w:rsidR="00086F3B" w:rsidRPr="00F10C3A">
        <w:rPr>
          <w:rFonts w:ascii="Calibri" w:eastAsia="Calibri" w:hAnsi="Calibri"/>
          <w:snapToGrid/>
          <w:sz w:val="24"/>
          <w:szCs w:val="24"/>
        </w:rPr>
        <w:t xml:space="preserve">nicotine </w:t>
      </w:r>
      <w:r w:rsidR="00EC0C72" w:rsidRPr="00F10C3A">
        <w:rPr>
          <w:rFonts w:ascii="Calibri" w:eastAsia="Calibri" w:hAnsi="Calibri"/>
          <w:snapToGrid/>
          <w:sz w:val="24"/>
          <w:szCs w:val="24"/>
        </w:rPr>
        <w:t xml:space="preserve">lozenges </w:t>
      </w:r>
      <w:r w:rsidR="0077058A" w:rsidRPr="00F10C3A">
        <w:rPr>
          <w:rFonts w:ascii="Calibri" w:eastAsia="Calibri" w:hAnsi="Calibri"/>
          <w:snapToGrid/>
          <w:sz w:val="24"/>
          <w:szCs w:val="24"/>
        </w:rPr>
        <w:t>are likely to have</w:t>
      </w:r>
      <w:r w:rsidRPr="00F10C3A">
        <w:rPr>
          <w:rFonts w:ascii="Calibri" w:eastAsia="Calibri" w:hAnsi="Calibri"/>
          <w:snapToGrid/>
          <w:sz w:val="24"/>
          <w:szCs w:val="24"/>
        </w:rPr>
        <w:t xml:space="preserve"> resulted in the overestimation of </w:t>
      </w:r>
      <w:r w:rsidR="00EC0C72" w:rsidRPr="00F10C3A">
        <w:rPr>
          <w:rFonts w:ascii="Calibri" w:eastAsia="Calibri" w:hAnsi="Calibri"/>
          <w:snapToGrid/>
          <w:sz w:val="24"/>
          <w:szCs w:val="24"/>
        </w:rPr>
        <w:t>the ex-manuf</w:t>
      </w:r>
      <w:r w:rsidRPr="00F10C3A">
        <w:rPr>
          <w:rFonts w:ascii="Calibri" w:eastAsia="Calibri" w:hAnsi="Calibri"/>
          <w:snapToGrid/>
          <w:sz w:val="24"/>
          <w:szCs w:val="24"/>
        </w:rPr>
        <w:t>acturer price per pack and DPMQ.</w:t>
      </w:r>
      <w:r w:rsidR="00746E0A" w:rsidRPr="00F10C3A">
        <w:rPr>
          <w:rFonts w:ascii="Calibri" w:eastAsia="Calibri" w:hAnsi="Calibri"/>
          <w:snapToGrid/>
          <w:sz w:val="24"/>
          <w:szCs w:val="24"/>
        </w:rPr>
        <w:t xml:space="preserve"> </w:t>
      </w:r>
    </w:p>
    <w:p w:rsidR="0038008A" w:rsidRPr="00F10C3A" w:rsidRDefault="0038008A" w:rsidP="0038008A">
      <w:pPr>
        <w:rPr>
          <w:rFonts w:asciiTheme="minorHAnsi" w:eastAsia="Calibri" w:hAnsiTheme="minorHAnsi"/>
          <w:snapToGrid/>
          <w:sz w:val="24"/>
          <w:szCs w:val="24"/>
        </w:rPr>
      </w:pPr>
    </w:p>
    <w:p w:rsidR="00086F3B" w:rsidRPr="00F10C3A" w:rsidRDefault="00086F3B" w:rsidP="00504102">
      <w:pPr>
        <w:widowControl/>
        <w:rPr>
          <w:rFonts w:asciiTheme="minorHAnsi" w:eastAsia="Calibri" w:hAnsiTheme="minorHAnsi"/>
          <w:snapToGrid/>
          <w:sz w:val="24"/>
          <w:szCs w:val="24"/>
        </w:rPr>
      </w:pPr>
      <w:bookmarkStart w:id="41" w:name="_Toc482710300"/>
      <w:r w:rsidRPr="00504102">
        <w:rPr>
          <w:rFonts w:asciiTheme="minorHAnsi" w:eastAsia="Calibri" w:hAnsiTheme="minorHAnsi"/>
          <w:snapToGrid/>
          <w:sz w:val="24"/>
          <w:szCs w:val="24"/>
          <w:u w:val="single"/>
        </w:rPr>
        <w:t>Nicotine gum</w:t>
      </w:r>
      <w:bookmarkEnd w:id="41"/>
    </w:p>
    <w:p w:rsidR="0038008A" w:rsidRPr="00F10C3A" w:rsidRDefault="0038008A" w:rsidP="0069549F">
      <w:pPr>
        <w:keepNext/>
        <w:keepLines/>
      </w:pPr>
    </w:p>
    <w:p w:rsidR="00086F3B" w:rsidRPr="00F10C3A" w:rsidRDefault="00086F3B" w:rsidP="0069549F">
      <w:pPr>
        <w:keepNext/>
        <w:keepLines/>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presented a cost-minimisation analysis of nicotine gum versus nicotine patches. This was in line with the clinical evidence of non-inferior </w:t>
      </w:r>
      <w:r w:rsidR="000D373E" w:rsidRPr="00F10C3A">
        <w:rPr>
          <w:rFonts w:ascii="Calibri" w:eastAsia="Calibri" w:hAnsi="Calibri"/>
          <w:snapToGrid/>
          <w:sz w:val="24"/>
          <w:szCs w:val="22"/>
        </w:rPr>
        <w:t>efficacy and safety of nicotine</w:t>
      </w:r>
      <w:r w:rsidRPr="00F10C3A">
        <w:rPr>
          <w:rFonts w:ascii="Calibri" w:eastAsia="Calibri" w:hAnsi="Calibri"/>
          <w:snapToGrid/>
          <w:sz w:val="24"/>
          <w:szCs w:val="22"/>
        </w:rPr>
        <w:t xml:space="preserve"> gum compared with patches. </w:t>
      </w:r>
    </w:p>
    <w:p w:rsidR="00086F3B" w:rsidRPr="00F10C3A" w:rsidRDefault="00086F3B" w:rsidP="00086F3B">
      <w:pPr>
        <w:widowControl/>
        <w:rPr>
          <w:rFonts w:ascii="Calibri" w:eastAsia="Calibri" w:hAnsi="Calibri"/>
          <w:snapToGrid/>
          <w:sz w:val="24"/>
          <w:szCs w:val="22"/>
        </w:rPr>
      </w:pPr>
    </w:p>
    <w:p w:rsidR="00DD5F7D" w:rsidRPr="00F10C3A" w:rsidRDefault="000D373E" w:rsidP="00DD5F7D">
      <w:pPr>
        <w:widowControl/>
        <w:numPr>
          <w:ilvl w:val="1"/>
          <w:numId w:val="3"/>
        </w:numPr>
        <w:rPr>
          <w:rFonts w:eastAsia="Calibri"/>
          <w:snapToGrid/>
        </w:rPr>
      </w:pPr>
      <w:r w:rsidRPr="00F10C3A">
        <w:rPr>
          <w:rFonts w:ascii="Calibri" w:eastAsia="Calibri" w:hAnsi="Calibri"/>
          <w:snapToGrid/>
          <w:sz w:val="24"/>
          <w:szCs w:val="22"/>
        </w:rPr>
        <w:t>Table 1</w:t>
      </w:r>
      <w:r w:rsidR="00E9245B" w:rsidRPr="00F10C3A">
        <w:rPr>
          <w:rFonts w:ascii="Calibri" w:eastAsia="Calibri" w:hAnsi="Calibri"/>
          <w:snapToGrid/>
          <w:sz w:val="24"/>
          <w:szCs w:val="22"/>
        </w:rPr>
        <w:t>2</w:t>
      </w:r>
      <w:r w:rsidR="00086F3B" w:rsidRPr="00F10C3A">
        <w:rPr>
          <w:rFonts w:ascii="Calibri" w:eastAsia="Calibri" w:hAnsi="Calibri"/>
          <w:snapToGrid/>
          <w:sz w:val="24"/>
          <w:szCs w:val="22"/>
        </w:rPr>
        <w:t xml:space="preserve"> summarise</w:t>
      </w:r>
      <w:r w:rsidRPr="00F10C3A">
        <w:rPr>
          <w:rFonts w:ascii="Calibri" w:eastAsia="Calibri" w:hAnsi="Calibri"/>
          <w:snapToGrid/>
          <w:sz w:val="24"/>
          <w:szCs w:val="22"/>
        </w:rPr>
        <w:t>s</w:t>
      </w:r>
      <w:r w:rsidR="00086F3B" w:rsidRPr="00F10C3A">
        <w:rPr>
          <w:rFonts w:ascii="Calibri" w:eastAsia="Calibri" w:hAnsi="Calibri"/>
          <w:snapToGrid/>
          <w:sz w:val="24"/>
          <w:szCs w:val="22"/>
        </w:rPr>
        <w:t xml:space="preserve"> the estimated mean number of pieces of gum over a 12-week treatment period, and the estimated </w:t>
      </w:r>
      <w:proofErr w:type="spellStart"/>
      <w:r w:rsidR="00086F3B" w:rsidRPr="00F10C3A">
        <w:rPr>
          <w:rFonts w:ascii="Calibri" w:eastAsia="Calibri" w:hAnsi="Calibri"/>
          <w:snapToGrid/>
          <w:sz w:val="24"/>
          <w:szCs w:val="22"/>
        </w:rPr>
        <w:t>equi</w:t>
      </w:r>
      <w:proofErr w:type="spellEnd"/>
      <w:r w:rsidR="00086F3B" w:rsidRPr="00F10C3A">
        <w:rPr>
          <w:rFonts w:ascii="Calibri" w:eastAsia="Calibri" w:hAnsi="Calibri"/>
          <w:snapToGrid/>
          <w:sz w:val="24"/>
          <w:szCs w:val="22"/>
        </w:rPr>
        <w:t>-</w:t>
      </w:r>
      <w:r w:rsidR="00B30FF7">
        <w:rPr>
          <w:rFonts w:ascii="Calibri" w:eastAsia="Calibri" w:hAnsi="Calibri"/>
          <w:snapToGrid/>
          <w:sz w:val="24"/>
          <w:szCs w:val="22"/>
        </w:rPr>
        <w:t>effective</w:t>
      </w:r>
      <w:r w:rsidR="00B30FF7" w:rsidRPr="00F10C3A">
        <w:rPr>
          <w:rFonts w:ascii="Calibri" w:eastAsia="Calibri" w:hAnsi="Calibri"/>
          <w:snapToGrid/>
          <w:sz w:val="24"/>
          <w:szCs w:val="22"/>
        </w:rPr>
        <w:t xml:space="preserve"> </w:t>
      </w:r>
      <w:r w:rsidR="00086F3B" w:rsidRPr="00F10C3A">
        <w:rPr>
          <w:rFonts w:ascii="Calibri" w:eastAsia="Calibri" w:hAnsi="Calibri"/>
          <w:snapToGrid/>
          <w:sz w:val="24"/>
          <w:szCs w:val="22"/>
        </w:rPr>
        <w:t xml:space="preserve">dose. </w:t>
      </w:r>
    </w:p>
    <w:p w:rsidR="00086F3B" w:rsidRPr="00F10C3A" w:rsidRDefault="000D373E" w:rsidP="00DD5F7D">
      <w:pPr>
        <w:widowControl/>
        <w:ind w:left="720"/>
        <w:rPr>
          <w:rFonts w:eastAsia="Calibri"/>
          <w:snapToGrid/>
        </w:rPr>
      </w:pPr>
      <w:r w:rsidRPr="00F10C3A">
        <w:rPr>
          <w:rFonts w:eastAsia="Calibri"/>
          <w:snapToGrid/>
        </w:rPr>
        <w:t xml:space="preserve"> </w:t>
      </w:r>
    </w:p>
    <w:p w:rsidR="00960248" w:rsidRDefault="00960248" w:rsidP="00960248">
      <w:pPr>
        <w:pStyle w:val="Caption"/>
      </w:pPr>
      <w:r>
        <w:t xml:space="preserve">Table </w:t>
      </w:r>
      <w:r w:rsidR="00910E30">
        <w:rPr>
          <w:noProof/>
        </w:rPr>
        <w:t>12</w:t>
      </w:r>
      <w:r w:rsidRPr="00E12161">
        <w:t>: Estimated number of pieces of nicotine gum required for a 12-week course of treatment</w:t>
      </w:r>
    </w:p>
    <w:tbl>
      <w:tblPr>
        <w:tblStyle w:val="TableGrid6"/>
        <w:tblW w:w="5000" w:type="pct"/>
        <w:tblLook w:val="04A0" w:firstRow="1" w:lastRow="0" w:firstColumn="1" w:lastColumn="0" w:noHBand="0" w:noVBand="1"/>
        <w:tblCaption w:val="Estimated number of pieces of nicotine gum required for a 12-week course of treatment"/>
      </w:tblPr>
      <w:tblGrid>
        <w:gridCol w:w="1154"/>
        <w:gridCol w:w="2022"/>
        <w:gridCol w:w="2022"/>
        <w:gridCol w:w="2022"/>
        <w:gridCol w:w="2022"/>
      </w:tblGrid>
      <w:tr w:rsidR="00086F3B" w:rsidRPr="00F10C3A" w:rsidTr="00604D19">
        <w:trPr>
          <w:tblHeader/>
        </w:trPr>
        <w:tc>
          <w:tcPr>
            <w:tcW w:w="624" w:type="pct"/>
            <w:vAlign w:val="center"/>
          </w:tcPr>
          <w:p w:rsidR="00086F3B" w:rsidRPr="00F10C3A" w:rsidRDefault="00086F3B" w:rsidP="00C5279A">
            <w:pPr>
              <w:pStyle w:val="TableText1"/>
              <w:spacing w:line="240" w:lineRule="auto"/>
              <w:rPr>
                <w:b/>
              </w:rPr>
            </w:pPr>
            <w:r w:rsidRPr="00F10C3A">
              <w:rPr>
                <w:b/>
              </w:rPr>
              <w:t>Time Period</w:t>
            </w:r>
          </w:p>
        </w:tc>
        <w:tc>
          <w:tcPr>
            <w:tcW w:w="1094" w:type="pct"/>
            <w:vAlign w:val="center"/>
          </w:tcPr>
          <w:p w:rsidR="00086F3B" w:rsidRPr="00F10C3A" w:rsidRDefault="00086F3B" w:rsidP="00C5279A">
            <w:pPr>
              <w:pStyle w:val="TableText1"/>
              <w:spacing w:line="240" w:lineRule="auto"/>
              <w:rPr>
                <w:b/>
              </w:rPr>
            </w:pPr>
            <w:r w:rsidRPr="00F10C3A">
              <w:rPr>
                <w:b/>
              </w:rPr>
              <w:t>Mean Number of pieces per Day</w:t>
            </w:r>
          </w:p>
        </w:tc>
        <w:tc>
          <w:tcPr>
            <w:tcW w:w="1094" w:type="pct"/>
            <w:vAlign w:val="center"/>
          </w:tcPr>
          <w:p w:rsidR="00086F3B" w:rsidRPr="00F10C3A" w:rsidRDefault="00086F3B" w:rsidP="00C5279A">
            <w:pPr>
              <w:pStyle w:val="TableText1"/>
              <w:spacing w:line="240" w:lineRule="auto"/>
              <w:rPr>
                <w:b/>
              </w:rPr>
            </w:pPr>
            <w:r w:rsidRPr="00F10C3A">
              <w:rPr>
                <w:b/>
              </w:rPr>
              <w:t>Number of Days in Period</w:t>
            </w:r>
          </w:p>
        </w:tc>
        <w:tc>
          <w:tcPr>
            <w:tcW w:w="1094" w:type="pct"/>
            <w:vAlign w:val="center"/>
          </w:tcPr>
          <w:p w:rsidR="00086F3B" w:rsidRPr="00F10C3A" w:rsidRDefault="00086F3B" w:rsidP="00C5279A">
            <w:pPr>
              <w:pStyle w:val="TableText1"/>
              <w:spacing w:line="240" w:lineRule="auto"/>
              <w:rPr>
                <w:b/>
              </w:rPr>
            </w:pPr>
            <w:r w:rsidRPr="00F10C3A">
              <w:rPr>
                <w:b/>
              </w:rPr>
              <w:t xml:space="preserve">Mean Number of pieces per </w:t>
            </w:r>
            <w:proofErr w:type="spellStart"/>
            <w:r w:rsidRPr="00F10C3A">
              <w:rPr>
                <w:b/>
              </w:rPr>
              <w:t>period</w:t>
            </w:r>
            <w:r w:rsidRPr="00F10C3A">
              <w:rPr>
                <w:b/>
                <w:vertAlign w:val="superscript"/>
              </w:rPr>
              <w:t>a</w:t>
            </w:r>
            <w:proofErr w:type="spellEnd"/>
          </w:p>
        </w:tc>
        <w:tc>
          <w:tcPr>
            <w:tcW w:w="1094" w:type="pct"/>
          </w:tcPr>
          <w:p w:rsidR="00086F3B" w:rsidRPr="00F10C3A" w:rsidRDefault="00086F3B" w:rsidP="00C5279A">
            <w:pPr>
              <w:pStyle w:val="TableText1"/>
              <w:spacing w:line="240" w:lineRule="auto"/>
              <w:rPr>
                <w:b/>
                <w:vertAlign w:val="superscript"/>
              </w:rPr>
            </w:pPr>
            <w:r w:rsidRPr="00F10C3A">
              <w:rPr>
                <w:b/>
              </w:rPr>
              <w:t xml:space="preserve">Mean Number of patches per </w:t>
            </w:r>
            <w:proofErr w:type="spellStart"/>
            <w:r w:rsidRPr="00F10C3A">
              <w:rPr>
                <w:b/>
              </w:rPr>
              <w:t>period</w:t>
            </w:r>
            <w:r w:rsidRPr="00F10C3A">
              <w:rPr>
                <w:b/>
                <w:vertAlign w:val="superscript"/>
              </w:rPr>
              <w:t>b</w:t>
            </w:r>
            <w:proofErr w:type="spellEnd"/>
          </w:p>
        </w:tc>
      </w:tr>
      <w:tr w:rsidR="00086F3B" w:rsidRPr="00F10C3A" w:rsidTr="00960248">
        <w:tc>
          <w:tcPr>
            <w:tcW w:w="624" w:type="pct"/>
          </w:tcPr>
          <w:p w:rsidR="00086F3B" w:rsidRPr="00F10C3A" w:rsidRDefault="00086F3B" w:rsidP="00C5279A">
            <w:pPr>
              <w:pStyle w:val="TableText1"/>
              <w:spacing w:line="240" w:lineRule="auto"/>
            </w:pPr>
            <w:r w:rsidRPr="00F10C3A">
              <w:t>Weeks 1-4</w:t>
            </w:r>
          </w:p>
        </w:tc>
        <w:tc>
          <w:tcPr>
            <w:tcW w:w="1094" w:type="pct"/>
          </w:tcPr>
          <w:p w:rsidR="00086F3B" w:rsidRPr="00717560" w:rsidRDefault="00086F3B" w:rsidP="00C5279A">
            <w:pPr>
              <w:pStyle w:val="TableText1"/>
              <w:spacing w:line="240" w:lineRule="auto"/>
            </w:pPr>
            <w:r w:rsidRPr="00717560">
              <w:t>9</w:t>
            </w:r>
          </w:p>
        </w:tc>
        <w:tc>
          <w:tcPr>
            <w:tcW w:w="1094" w:type="pct"/>
          </w:tcPr>
          <w:p w:rsidR="00086F3B" w:rsidRPr="00717560" w:rsidRDefault="00086F3B" w:rsidP="00C5279A">
            <w:pPr>
              <w:pStyle w:val="TableText1"/>
              <w:spacing w:line="240" w:lineRule="auto"/>
            </w:pPr>
            <w:r w:rsidRPr="00717560">
              <w:t>28</w:t>
            </w:r>
          </w:p>
        </w:tc>
        <w:tc>
          <w:tcPr>
            <w:tcW w:w="1094" w:type="pct"/>
          </w:tcPr>
          <w:p w:rsidR="00086F3B" w:rsidRPr="00717560" w:rsidRDefault="00086F3B" w:rsidP="00C5279A">
            <w:pPr>
              <w:pStyle w:val="TableText1"/>
              <w:spacing w:line="240" w:lineRule="auto"/>
            </w:pPr>
            <w:r w:rsidRPr="00717560">
              <w:t>252</w:t>
            </w:r>
          </w:p>
        </w:tc>
        <w:tc>
          <w:tcPr>
            <w:tcW w:w="1094" w:type="pct"/>
            <w:vMerge w:val="restart"/>
            <w:vAlign w:val="center"/>
          </w:tcPr>
          <w:p w:rsidR="00086F3B" w:rsidRPr="00717560" w:rsidRDefault="00086F3B" w:rsidP="00C5279A">
            <w:pPr>
              <w:pStyle w:val="TableText1"/>
              <w:spacing w:line="240" w:lineRule="auto"/>
            </w:pPr>
            <w:r w:rsidRPr="00717560">
              <w:t>24.08</w:t>
            </w:r>
          </w:p>
        </w:tc>
      </w:tr>
      <w:tr w:rsidR="00086F3B" w:rsidRPr="00F10C3A" w:rsidTr="00960248">
        <w:tc>
          <w:tcPr>
            <w:tcW w:w="624" w:type="pct"/>
          </w:tcPr>
          <w:p w:rsidR="00086F3B" w:rsidRPr="00F10C3A" w:rsidRDefault="00086F3B" w:rsidP="00C5279A">
            <w:pPr>
              <w:pStyle w:val="TableText1"/>
              <w:spacing w:line="240" w:lineRule="auto"/>
            </w:pPr>
            <w:r w:rsidRPr="00F10C3A">
              <w:t>Weeks 5-8</w:t>
            </w:r>
          </w:p>
        </w:tc>
        <w:tc>
          <w:tcPr>
            <w:tcW w:w="1094" w:type="pct"/>
          </w:tcPr>
          <w:p w:rsidR="00086F3B" w:rsidRPr="00717560" w:rsidRDefault="00086F3B" w:rsidP="00C5279A">
            <w:pPr>
              <w:pStyle w:val="TableText1"/>
              <w:spacing w:line="240" w:lineRule="auto"/>
            </w:pPr>
            <w:r w:rsidRPr="00717560">
              <w:t>7</w:t>
            </w:r>
          </w:p>
        </w:tc>
        <w:tc>
          <w:tcPr>
            <w:tcW w:w="1094" w:type="pct"/>
          </w:tcPr>
          <w:p w:rsidR="00086F3B" w:rsidRPr="00717560" w:rsidRDefault="00086F3B" w:rsidP="00C5279A">
            <w:pPr>
              <w:pStyle w:val="TableText1"/>
              <w:spacing w:line="240" w:lineRule="auto"/>
            </w:pPr>
            <w:r w:rsidRPr="00717560">
              <w:t>28</w:t>
            </w:r>
          </w:p>
        </w:tc>
        <w:tc>
          <w:tcPr>
            <w:tcW w:w="1094" w:type="pct"/>
          </w:tcPr>
          <w:p w:rsidR="00086F3B" w:rsidRPr="008C25FA" w:rsidRDefault="00086F3B" w:rsidP="00C5279A">
            <w:pPr>
              <w:pStyle w:val="TableText1"/>
              <w:spacing w:line="240" w:lineRule="auto"/>
            </w:pPr>
            <w:r w:rsidRPr="00717560">
              <w:t>196</w:t>
            </w:r>
          </w:p>
        </w:tc>
        <w:tc>
          <w:tcPr>
            <w:tcW w:w="1094" w:type="pct"/>
            <w:vMerge/>
          </w:tcPr>
          <w:p w:rsidR="00086F3B" w:rsidRPr="008C25FA" w:rsidRDefault="00086F3B" w:rsidP="00C5279A">
            <w:pPr>
              <w:pStyle w:val="TableText1"/>
              <w:spacing w:line="240" w:lineRule="auto"/>
              <w:rPr>
                <w:b/>
              </w:rPr>
            </w:pPr>
          </w:p>
        </w:tc>
      </w:tr>
      <w:tr w:rsidR="00086F3B" w:rsidRPr="00F10C3A" w:rsidTr="00960248">
        <w:tc>
          <w:tcPr>
            <w:tcW w:w="624" w:type="pct"/>
          </w:tcPr>
          <w:p w:rsidR="00086F3B" w:rsidRPr="00F10C3A" w:rsidRDefault="00086F3B" w:rsidP="00C5279A">
            <w:pPr>
              <w:pStyle w:val="TableText1"/>
              <w:spacing w:line="240" w:lineRule="auto"/>
            </w:pPr>
            <w:r w:rsidRPr="00F10C3A">
              <w:t>Weeks 9-12</w:t>
            </w:r>
          </w:p>
        </w:tc>
        <w:tc>
          <w:tcPr>
            <w:tcW w:w="1094" w:type="pct"/>
          </w:tcPr>
          <w:p w:rsidR="00086F3B" w:rsidRPr="00717560" w:rsidRDefault="00086F3B" w:rsidP="00C5279A">
            <w:pPr>
              <w:pStyle w:val="TableText1"/>
              <w:spacing w:line="240" w:lineRule="auto"/>
            </w:pPr>
            <w:r w:rsidRPr="00717560">
              <w:t>6</w:t>
            </w:r>
          </w:p>
        </w:tc>
        <w:tc>
          <w:tcPr>
            <w:tcW w:w="1094" w:type="pct"/>
          </w:tcPr>
          <w:p w:rsidR="00086F3B" w:rsidRPr="00717560" w:rsidRDefault="00086F3B" w:rsidP="00C5279A">
            <w:pPr>
              <w:pStyle w:val="TableText1"/>
              <w:spacing w:line="240" w:lineRule="auto"/>
            </w:pPr>
            <w:r w:rsidRPr="00717560">
              <w:t>28</w:t>
            </w:r>
          </w:p>
        </w:tc>
        <w:tc>
          <w:tcPr>
            <w:tcW w:w="1094" w:type="pct"/>
          </w:tcPr>
          <w:p w:rsidR="00086F3B" w:rsidRPr="008C25FA" w:rsidRDefault="00086F3B" w:rsidP="00C5279A">
            <w:pPr>
              <w:pStyle w:val="TableText1"/>
              <w:spacing w:line="240" w:lineRule="auto"/>
            </w:pPr>
            <w:r w:rsidRPr="00717560">
              <w:t>168</w:t>
            </w:r>
          </w:p>
        </w:tc>
        <w:tc>
          <w:tcPr>
            <w:tcW w:w="1094" w:type="pct"/>
            <w:vMerge/>
          </w:tcPr>
          <w:p w:rsidR="00086F3B" w:rsidRPr="008C25FA" w:rsidRDefault="00086F3B" w:rsidP="00C5279A">
            <w:pPr>
              <w:pStyle w:val="TableText1"/>
              <w:spacing w:line="240" w:lineRule="auto"/>
              <w:rPr>
                <w:b/>
              </w:rPr>
            </w:pPr>
          </w:p>
        </w:tc>
      </w:tr>
      <w:tr w:rsidR="00086F3B" w:rsidRPr="00F10C3A" w:rsidTr="00960248">
        <w:trPr>
          <w:trHeight w:val="56"/>
        </w:trPr>
        <w:tc>
          <w:tcPr>
            <w:tcW w:w="624" w:type="pct"/>
            <w:vAlign w:val="center"/>
          </w:tcPr>
          <w:p w:rsidR="00086F3B" w:rsidRPr="00F10C3A" w:rsidRDefault="00086F3B" w:rsidP="00C5279A">
            <w:pPr>
              <w:pStyle w:val="TableText1"/>
              <w:keepLines/>
              <w:spacing w:line="240" w:lineRule="auto"/>
              <w:rPr>
                <w:b/>
              </w:rPr>
            </w:pPr>
            <w:r w:rsidRPr="00F10C3A">
              <w:rPr>
                <w:b/>
              </w:rPr>
              <w:t>Total</w:t>
            </w:r>
          </w:p>
        </w:tc>
        <w:tc>
          <w:tcPr>
            <w:tcW w:w="1094" w:type="pct"/>
            <w:vAlign w:val="center"/>
          </w:tcPr>
          <w:p w:rsidR="00086F3B" w:rsidRPr="00717560" w:rsidRDefault="00086F3B" w:rsidP="00C5279A">
            <w:pPr>
              <w:pStyle w:val="TableText1"/>
              <w:keepLines/>
              <w:spacing w:line="240" w:lineRule="auto"/>
              <w:rPr>
                <w:b/>
              </w:rPr>
            </w:pPr>
            <w:r w:rsidRPr="00717560">
              <w:rPr>
                <w:b/>
              </w:rPr>
              <w:t>-</w:t>
            </w:r>
          </w:p>
        </w:tc>
        <w:tc>
          <w:tcPr>
            <w:tcW w:w="1094" w:type="pct"/>
            <w:vAlign w:val="center"/>
          </w:tcPr>
          <w:p w:rsidR="00086F3B" w:rsidRPr="00717560" w:rsidRDefault="00086F3B" w:rsidP="00C5279A">
            <w:pPr>
              <w:pStyle w:val="TableText1"/>
              <w:keepLines/>
              <w:spacing w:line="240" w:lineRule="auto"/>
              <w:rPr>
                <w:b/>
              </w:rPr>
            </w:pPr>
            <w:r w:rsidRPr="00717560">
              <w:rPr>
                <w:b/>
              </w:rPr>
              <w:t>84</w:t>
            </w:r>
          </w:p>
        </w:tc>
        <w:tc>
          <w:tcPr>
            <w:tcW w:w="1094" w:type="pct"/>
            <w:vAlign w:val="center"/>
          </w:tcPr>
          <w:p w:rsidR="00086F3B" w:rsidRPr="00717560" w:rsidRDefault="00086F3B" w:rsidP="00C5279A">
            <w:pPr>
              <w:pStyle w:val="TableText1"/>
              <w:keepLines/>
              <w:spacing w:line="240" w:lineRule="auto"/>
              <w:rPr>
                <w:b/>
              </w:rPr>
            </w:pPr>
            <w:r w:rsidRPr="00717560">
              <w:rPr>
                <w:b/>
              </w:rPr>
              <w:t>616</w:t>
            </w:r>
          </w:p>
        </w:tc>
        <w:tc>
          <w:tcPr>
            <w:tcW w:w="1094" w:type="pct"/>
          </w:tcPr>
          <w:p w:rsidR="00086F3B" w:rsidRPr="00717560" w:rsidRDefault="00086F3B" w:rsidP="00C5279A">
            <w:pPr>
              <w:pStyle w:val="TableText1"/>
              <w:keepLines/>
              <w:spacing w:line="240" w:lineRule="auto"/>
              <w:rPr>
                <w:b/>
              </w:rPr>
            </w:pPr>
            <w:r w:rsidRPr="00717560">
              <w:rPr>
                <w:b/>
              </w:rPr>
              <w:t>72.24</w:t>
            </w:r>
          </w:p>
        </w:tc>
      </w:tr>
    </w:tbl>
    <w:p w:rsidR="00086F3B" w:rsidRPr="00F10C3A" w:rsidRDefault="00086F3B" w:rsidP="00086F3B">
      <w:pPr>
        <w:keepLines/>
        <w:widowControl/>
        <w:jc w:val="left"/>
        <w:rPr>
          <w:rFonts w:ascii="Arial Narrow" w:hAnsi="Arial Narrow"/>
          <w:sz w:val="18"/>
        </w:rPr>
      </w:pPr>
      <w:r w:rsidRPr="00F10C3A">
        <w:rPr>
          <w:rFonts w:ascii="Arial Narrow" w:hAnsi="Arial Narrow"/>
          <w:sz w:val="18"/>
        </w:rPr>
        <w:t>Source: Table D-7, p117 of the submission and calculated during the evaluation</w:t>
      </w:r>
    </w:p>
    <w:p w:rsidR="00086F3B" w:rsidRPr="00F10C3A" w:rsidRDefault="00086F3B" w:rsidP="00086F3B">
      <w:pPr>
        <w:keepLines/>
        <w:widowControl/>
        <w:jc w:val="left"/>
        <w:rPr>
          <w:rFonts w:ascii="Arial Narrow" w:hAnsi="Arial Narrow"/>
          <w:sz w:val="18"/>
        </w:rPr>
      </w:pPr>
      <w:proofErr w:type="gramStart"/>
      <w:r w:rsidRPr="00F10C3A">
        <w:rPr>
          <w:rFonts w:ascii="Arial Narrow" w:hAnsi="Arial Narrow"/>
          <w:sz w:val="18"/>
          <w:vertAlign w:val="superscript"/>
        </w:rPr>
        <w:t>a</w:t>
      </w:r>
      <w:proofErr w:type="gramEnd"/>
      <w:r w:rsidRPr="00F10C3A">
        <w:rPr>
          <w:rFonts w:ascii="Arial Narrow" w:hAnsi="Arial Narrow"/>
          <w:sz w:val="18"/>
          <w:vertAlign w:val="superscript"/>
        </w:rPr>
        <w:t xml:space="preserve"> </w:t>
      </w:r>
      <w:r w:rsidRPr="00F10C3A">
        <w:rPr>
          <w:rFonts w:ascii="Arial Narrow" w:hAnsi="Arial Narrow"/>
          <w:sz w:val="18"/>
        </w:rPr>
        <w:t xml:space="preserve">Based on adherence from Garvey (2000), </w:t>
      </w:r>
      <w:proofErr w:type="spellStart"/>
      <w:r w:rsidRPr="00F10C3A">
        <w:rPr>
          <w:rFonts w:ascii="Arial Narrow" w:hAnsi="Arial Narrow"/>
          <w:sz w:val="18"/>
        </w:rPr>
        <w:t>Harackiewics</w:t>
      </w:r>
      <w:proofErr w:type="spellEnd"/>
      <w:r w:rsidRPr="00F10C3A">
        <w:rPr>
          <w:rFonts w:ascii="Arial Narrow" w:hAnsi="Arial Narrow"/>
          <w:sz w:val="18"/>
        </w:rPr>
        <w:t xml:space="preserve"> (1988) and Jarvis (1982)</w:t>
      </w:r>
    </w:p>
    <w:p w:rsidR="00086F3B" w:rsidRPr="00F10C3A" w:rsidRDefault="00086F3B" w:rsidP="00086F3B">
      <w:pPr>
        <w:keepLines/>
        <w:widowControl/>
        <w:jc w:val="left"/>
        <w:rPr>
          <w:rFonts w:ascii="Arial Narrow" w:hAnsi="Arial Narrow"/>
          <w:sz w:val="18"/>
        </w:rPr>
      </w:pPr>
      <w:proofErr w:type="gramStart"/>
      <w:r w:rsidRPr="00F10C3A">
        <w:rPr>
          <w:rFonts w:ascii="Arial Narrow" w:hAnsi="Arial Narrow"/>
          <w:sz w:val="18"/>
          <w:vertAlign w:val="superscript"/>
        </w:rPr>
        <w:t>b</w:t>
      </w:r>
      <w:proofErr w:type="gramEnd"/>
      <w:r w:rsidRPr="00F10C3A">
        <w:rPr>
          <w:rFonts w:ascii="Arial Narrow" w:hAnsi="Arial Narrow"/>
          <w:sz w:val="18"/>
          <w:vertAlign w:val="superscript"/>
        </w:rPr>
        <w:t xml:space="preserve"> </w:t>
      </w:r>
      <w:r w:rsidRPr="00F10C3A">
        <w:rPr>
          <w:rFonts w:ascii="Arial Narrow" w:hAnsi="Arial Narrow"/>
          <w:sz w:val="18"/>
        </w:rPr>
        <w:t>Based on an adherence of 86% from the Piper (2009) trial</w:t>
      </w:r>
    </w:p>
    <w:p w:rsidR="00086F3B" w:rsidRPr="00F10C3A" w:rsidRDefault="00086F3B" w:rsidP="00086F3B">
      <w:pPr>
        <w:pStyle w:val="PBACHeading1"/>
        <w:numPr>
          <w:ilvl w:val="0"/>
          <w:numId w:val="0"/>
        </w:numPr>
        <w:jc w:val="both"/>
        <w:rPr>
          <w:rFonts w:eastAsia="Calibri"/>
          <w:snapToGrid/>
        </w:rPr>
      </w:pPr>
    </w:p>
    <w:p w:rsidR="00086F3B" w:rsidRPr="00F10C3A" w:rsidRDefault="00086F3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The submission es</w:t>
      </w:r>
      <w:r w:rsidR="007654C8" w:rsidRPr="00F10C3A">
        <w:rPr>
          <w:rFonts w:ascii="Calibri" w:eastAsia="Calibri" w:hAnsi="Calibri"/>
          <w:snapToGrid/>
          <w:sz w:val="24"/>
          <w:szCs w:val="22"/>
        </w:rPr>
        <w:t xml:space="preserve">timated the </w:t>
      </w:r>
      <w:proofErr w:type="spellStart"/>
      <w:r w:rsidR="007654C8" w:rsidRPr="00F10C3A">
        <w:rPr>
          <w:rFonts w:ascii="Calibri" w:eastAsia="Calibri" w:hAnsi="Calibri"/>
          <w:snapToGrid/>
          <w:sz w:val="24"/>
          <w:szCs w:val="22"/>
        </w:rPr>
        <w:t>equi</w:t>
      </w:r>
      <w:proofErr w:type="spellEnd"/>
      <w:r w:rsidR="007654C8" w:rsidRPr="00F10C3A">
        <w:rPr>
          <w:rFonts w:ascii="Calibri" w:eastAsia="Calibri" w:hAnsi="Calibri"/>
          <w:snapToGrid/>
          <w:sz w:val="24"/>
          <w:szCs w:val="22"/>
        </w:rPr>
        <w:t>-effective dose</w:t>
      </w:r>
      <w:r w:rsidRPr="00F10C3A">
        <w:rPr>
          <w:rFonts w:ascii="Calibri" w:eastAsia="Calibri" w:hAnsi="Calibri"/>
          <w:snapToGrid/>
          <w:sz w:val="24"/>
          <w:szCs w:val="22"/>
        </w:rPr>
        <w:t xml:space="preserve"> as: </w:t>
      </w:r>
      <w:r w:rsidR="007654C8" w:rsidRPr="00717560">
        <w:rPr>
          <w:rFonts w:ascii="Calibri" w:eastAsia="Calibri" w:hAnsi="Calibri"/>
          <w:snapToGrid/>
          <w:sz w:val="24"/>
          <w:szCs w:val="24"/>
        </w:rPr>
        <w:t xml:space="preserve">616 </w:t>
      </w:r>
      <w:r w:rsidR="007654C8" w:rsidRPr="00F10C3A">
        <w:rPr>
          <w:rFonts w:ascii="Calibri" w:eastAsia="Calibri" w:hAnsi="Calibri"/>
          <w:snapToGrid/>
          <w:sz w:val="24"/>
          <w:szCs w:val="24"/>
        </w:rPr>
        <w:t>pieces of nicotine gum</w:t>
      </w:r>
      <w:r w:rsidRPr="00F10C3A">
        <w:rPr>
          <w:rFonts w:ascii="Calibri" w:eastAsia="Calibri" w:hAnsi="Calibri"/>
          <w:snapToGrid/>
          <w:sz w:val="24"/>
          <w:szCs w:val="24"/>
        </w:rPr>
        <w:t xml:space="preserve"> was equivalent to </w:t>
      </w:r>
      <w:r w:rsidRPr="00717560">
        <w:rPr>
          <w:rFonts w:ascii="Calibri" w:eastAsia="Calibri" w:hAnsi="Calibri"/>
          <w:snapToGrid/>
          <w:sz w:val="24"/>
          <w:szCs w:val="24"/>
        </w:rPr>
        <w:t xml:space="preserve">84 </w:t>
      </w:r>
      <w:r w:rsidRPr="00F10C3A">
        <w:rPr>
          <w:rFonts w:ascii="Calibri" w:eastAsia="Calibri" w:hAnsi="Calibri"/>
          <w:snapToGrid/>
          <w:sz w:val="24"/>
          <w:szCs w:val="24"/>
        </w:rPr>
        <w:t xml:space="preserve">nicotine patches in a 12-week treatment period (1 patch = </w:t>
      </w:r>
      <w:r w:rsidRPr="00717560">
        <w:rPr>
          <w:rFonts w:ascii="Calibri" w:eastAsia="Calibri" w:hAnsi="Calibri"/>
          <w:snapToGrid/>
          <w:sz w:val="24"/>
          <w:szCs w:val="24"/>
        </w:rPr>
        <w:t>7.3</w:t>
      </w:r>
      <w:r w:rsidRPr="00F10C3A">
        <w:rPr>
          <w:rFonts w:ascii="Calibri" w:eastAsia="Calibri" w:hAnsi="Calibri"/>
          <w:snapToGrid/>
          <w:sz w:val="24"/>
          <w:szCs w:val="24"/>
        </w:rPr>
        <w:t xml:space="preserve"> pieces of gum). </w:t>
      </w:r>
    </w:p>
    <w:p w:rsidR="00086F3B" w:rsidRPr="00F10C3A" w:rsidRDefault="00086F3B" w:rsidP="00086F3B">
      <w:pPr>
        <w:rPr>
          <w:rFonts w:ascii="Calibri" w:eastAsia="Calibri" w:hAnsi="Calibri"/>
          <w:snapToGrid/>
          <w:sz w:val="24"/>
          <w:szCs w:val="24"/>
        </w:rPr>
      </w:pPr>
    </w:p>
    <w:p w:rsidR="00086F3B" w:rsidRPr="00F10C3A" w:rsidRDefault="00086F3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estimated the mean number pieces of gum consumed per day, and the number of patches used over a 12-week period, based on: </w:t>
      </w:r>
    </w:p>
    <w:p w:rsidR="00086F3B" w:rsidRPr="00F10C3A" w:rsidRDefault="00086F3B" w:rsidP="007E3BC0">
      <w:pPr>
        <w:pStyle w:val="ListParagraph"/>
        <w:numPr>
          <w:ilvl w:val="0"/>
          <w:numId w:val="9"/>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Mean gum use from Garvey (2000), </w:t>
      </w:r>
      <w:proofErr w:type="spellStart"/>
      <w:r w:rsidRPr="00F10C3A">
        <w:rPr>
          <w:rFonts w:asciiTheme="minorHAnsi" w:eastAsia="Calibri" w:hAnsiTheme="minorHAnsi"/>
          <w:snapToGrid/>
          <w:sz w:val="24"/>
          <w:szCs w:val="24"/>
        </w:rPr>
        <w:t>Harackiewics</w:t>
      </w:r>
      <w:proofErr w:type="spellEnd"/>
      <w:r w:rsidRPr="00F10C3A">
        <w:rPr>
          <w:rFonts w:asciiTheme="minorHAnsi" w:eastAsia="Calibri" w:hAnsiTheme="minorHAnsi"/>
          <w:snapToGrid/>
          <w:sz w:val="24"/>
          <w:szCs w:val="24"/>
        </w:rPr>
        <w:t xml:space="preserve"> (1988) and Jarvis (1982); and</w:t>
      </w:r>
    </w:p>
    <w:p w:rsidR="00086F3B" w:rsidRPr="00F10C3A" w:rsidRDefault="00086F3B" w:rsidP="007E3BC0">
      <w:pPr>
        <w:pStyle w:val="ListParagraph"/>
        <w:numPr>
          <w:ilvl w:val="0"/>
          <w:numId w:val="9"/>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The assumption that all patients would use one nicotine patch per day over 12 weeks</w:t>
      </w:r>
      <w:r w:rsidR="007654C8" w:rsidRPr="00F10C3A">
        <w:rPr>
          <w:rFonts w:asciiTheme="minorHAnsi" w:eastAsia="Calibri" w:hAnsiTheme="minorHAnsi"/>
          <w:snapToGrid/>
          <w:sz w:val="24"/>
          <w:szCs w:val="24"/>
        </w:rPr>
        <w:t>.</w:t>
      </w:r>
    </w:p>
    <w:p w:rsidR="00086F3B" w:rsidRPr="00F10C3A" w:rsidRDefault="00086F3B" w:rsidP="00086F3B">
      <w:pPr>
        <w:rPr>
          <w:rFonts w:asciiTheme="minorHAnsi" w:eastAsia="Calibri" w:hAnsiTheme="minorHAnsi"/>
          <w:snapToGrid/>
          <w:sz w:val="24"/>
          <w:szCs w:val="24"/>
        </w:rPr>
      </w:pPr>
    </w:p>
    <w:p w:rsidR="00086F3B" w:rsidRPr="00F10C3A" w:rsidRDefault="00086F3B" w:rsidP="007E3BC0">
      <w:pPr>
        <w:widowControl/>
        <w:numPr>
          <w:ilvl w:val="1"/>
          <w:numId w:val="3"/>
        </w:numPr>
        <w:rPr>
          <w:rFonts w:ascii="Calibri" w:eastAsia="Calibri" w:hAnsi="Calibri"/>
          <w:snapToGrid/>
          <w:sz w:val="24"/>
          <w:szCs w:val="22"/>
        </w:rPr>
      </w:pPr>
      <w:r w:rsidRPr="00F10C3A">
        <w:rPr>
          <w:rFonts w:asciiTheme="minorHAnsi" w:eastAsia="Calibri" w:hAnsiTheme="minorHAnsi"/>
          <w:snapToGrid/>
          <w:sz w:val="24"/>
          <w:szCs w:val="24"/>
        </w:rPr>
        <w:t xml:space="preserve">There was considerable uncertainty in the estimation of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-effective doses for nicotine gum, as:</w:t>
      </w:r>
    </w:p>
    <w:p w:rsidR="00086F3B" w:rsidRPr="00F10C3A" w:rsidRDefault="00086F3B" w:rsidP="007E3BC0">
      <w:pPr>
        <w:pStyle w:val="ListParagraph"/>
        <w:numPr>
          <w:ilvl w:val="0"/>
          <w:numId w:val="10"/>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 xml:space="preserve">The estimate of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-effective dose of nicotine gum might have been inappropriate given the considerable heterogeneity between the trials included in the estimate.</w:t>
      </w:r>
    </w:p>
    <w:p w:rsidR="00A1720B" w:rsidRPr="00BA46D9" w:rsidRDefault="00A1720B" w:rsidP="00BA46D9">
      <w:pPr>
        <w:pStyle w:val="ListParagraph"/>
        <w:numPr>
          <w:ilvl w:val="0"/>
          <w:numId w:val="10"/>
        </w:numPr>
        <w:ind w:left="1134"/>
        <w:rPr>
          <w:rFonts w:asciiTheme="minorHAnsi" w:eastAsia="Calibri" w:hAnsiTheme="minorHAnsi"/>
          <w:snapToGrid/>
          <w:sz w:val="24"/>
          <w:szCs w:val="24"/>
        </w:rPr>
      </w:pPr>
      <w:r w:rsidRPr="00BA46D9">
        <w:rPr>
          <w:rFonts w:asciiTheme="minorHAnsi" w:eastAsia="Calibri" w:hAnsiTheme="minorHAnsi"/>
          <w:snapToGrid/>
          <w:sz w:val="24"/>
          <w:szCs w:val="24"/>
        </w:rPr>
        <w:t xml:space="preserve">The ESC noted that the submission did not provide a rationale to justify why the Garvey (2000), </w:t>
      </w:r>
      <w:proofErr w:type="spellStart"/>
      <w:r w:rsidRPr="00BA46D9">
        <w:rPr>
          <w:rFonts w:asciiTheme="minorHAnsi" w:eastAsia="Calibri" w:hAnsiTheme="minorHAnsi"/>
          <w:snapToGrid/>
          <w:sz w:val="24"/>
          <w:szCs w:val="24"/>
        </w:rPr>
        <w:t>Harackiewics</w:t>
      </w:r>
      <w:proofErr w:type="spellEnd"/>
      <w:r w:rsidRPr="00BA46D9">
        <w:rPr>
          <w:rFonts w:asciiTheme="minorHAnsi" w:eastAsia="Calibri" w:hAnsiTheme="minorHAnsi"/>
          <w:snapToGrid/>
          <w:sz w:val="24"/>
          <w:szCs w:val="24"/>
        </w:rPr>
        <w:t xml:space="preserve"> (1988) and Jarvis (1982) </w:t>
      </w:r>
      <w:r w:rsidR="007660E8" w:rsidRPr="00BA46D9">
        <w:rPr>
          <w:rFonts w:asciiTheme="minorHAnsi" w:eastAsia="Calibri" w:hAnsiTheme="minorHAnsi"/>
          <w:snapToGrid/>
          <w:sz w:val="24"/>
          <w:szCs w:val="24"/>
        </w:rPr>
        <w:t xml:space="preserve">studies </w:t>
      </w:r>
      <w:r w:rsidRPr="00BA46D9">
        <w:rPr>
          <w:rFonts w:asciiTheme="minorHAnsi" w:eastAsia="Calibri" w:hAnsiTheme="minorHAnsi"/>
          <w:snapToGrid/>
          <w:sz w:val="24"/>
          <w:szCs w:val="24"/>
        </w:rPr>
        <w:t>were specifically chosen to estimate the appropriate dosage of the nicotine gum</w:t>
      </w:r>
      <w:r w:rsidR="00BA46D9" w:rsidRPr="00BA46D9">
        <w:rPr>
          <w:rFonts w:asciiTheme="minorHAnsi" w:eastAsia="Calibri" w:hAnsiTheme="minorHAnsi"/>
          <w:snapToGrid/>
          <w:sz w:val="24"/>
          <w:szCs w:val="24"/>
        </w:rPr>
        <w:t xml:space="preserve">. The pre-PBAC response (p2) stated that the three trials were chosen as they provided usage estimates at multiple time points in a consistent manner. The pre-PBAC response (p2) further noted that </w:t>
      </w:r>
      <w:r w:rsidR="00BA46D9">
        <w:rPr>
          <w:rFonts w:asciiTheme="minorHAnsi" w:eastAsia="Calibri" w:hAnsiTheme="minorHAnsi"/>
          <w:snapToGrid/>
          <w:sz w:val="24"/>
          <w:szCs w:val="24"/>
        </w:rPr>
        <w:t>w</w:t>
      </w:r>
      <w:r w:rsidR="00BA46D9" w:rsidRPr="00BA46D9">
        <w:rPr>
          <w:rFonts w:asciiTheme="minorHAnsi" w:eastAsia="Calibri" w:hAnsiTheme="minorHAnsi"/>
          <w:snapToGrid/>
          <w:sz w:val="24"/>
          <w:szCs w:val="24"/>
        </w:rPr>
        <w:t>hen</w:t>
      </w:r>
      <w:r w:rsidR="00BA46D9">
        <w:rPr>
          <w:rFonts w:asciiTheme="minorHAnsi" w:eastAsia="Calibri" w:hAnsiTheme="minorHAnsi"/>
          <w:snapToGrid/>
          <w:sz w:val="24"/>
          <w:szCs w:val="24"/>
        </w:rPr>
        <w:t xml:space="preserve"> all available trials were used, </w:t>
      </w:r>
      <w:r w:rsidR="00BA46D9" w:rsidRPr="00BA46D9">
        <w:rPr>
          <w:rFonts w:asciiTheme="minorHAnsi" w:eastAsia="Calibri" w:hAnsiTheme="minorHAnsi"/>
          <w:snapToGrid/>
          <w:sz w:val="24"/>
          <w:szCs w:val="24"/>
        </w:rPr>
        <w:t xml:space="preserve">the estimated number of pieces was </w:t>
      </w:r>
      <w:r w:rsidR="00BA46D9">
        <w:rPr>
          <w:rFonts w:asciiTheme="minorHAnsi" w:eastAsia="Calibri" w:hAnsiTheme="minorHAnsi"/>
          <w:snapToGrid/>
          <w:sz w:val="24"/>
          <w:szCs w:val="24"/>
        </w:rPr>
        <w:t>considerable lower</w:t>
      </w:r>
      <w:r w:rsidR="00BA46D9" w:rsidRPr="00BA46D9">
        <w:rPr>
          <w:rFonts w:asciiTheme="minorHAnsi" w:eastAsia="Calibri" w:hAnsiTheme="minorHAnsi"/>
          <w:snapToGrid/>
          <w:sz w:val="24"/>
          <w:szCs w:val="24"/>
        </w:rPr>
        <w:t xml:space="preserve"> (about </w:t>
      </w:r>
      <w:r w:rsidR="00BA46D9" w:rsidRPr="00717560">
        <w:rPr>
          <w:rFonts w:asciiTheme="minorHAnsi" w:eastAsia="Calibri" w:hAnsiTheme="minorHAnsi"/>
          <w:snapToGrid/>
          <w:sz w:val="24"/>
          <w:szCs w:val="24"/>
        </w:rPr>
        <w:t>446</w:t>
      </w:r>
      <w:r w:rsidR="00BA46D9" w:rsidRPr="00BA46D9">
        <w:rPr>
          <w:rFonts w:asciiTheme="minorHAnsi" w:eastAsia="Calibri" w:hAnsiTheme="minorHAnsi"/>
          <w:snapToGrid/>
          <w:sz w:val="24"/>
          <w:szCs w:val="24"/>
        </w:rPr>
        <w:t xml:space="preserve"> pieces)</w:t>
      </w:r>
      <w:r w:rsidR="002F75D4">
        <w:rPr>
          <w:rFonts w:asciiTheme="minorHAnsi" w:eastAsia="Calibri" w:hAnsiTheme="minorHAnsi"/>
          <w:snapToGrid/>
          <w:sz w:val="24"/>
          <w:szCs w:val="24"/>
        </w:rPr>
        <w:t>;</w:t>
      </w:r>
    </w:p>
    <w:p w:rsidR="00A1720B" w:rsidRPr="00F10C3A" w:rsidRDefault="00086F3B" w:rsidP="007E3BC0">
      <w:pPr>
        <w:pStyle w:val="ListParagraph"/>
        <w:numPr>
          <w:ilvl w:val="0"/>
          <w:numId w:val="10"/>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The</w:t>
      </w:r>
      <w:r w:rsidR="00A1720B" w:rsidRPr="00F10C3A">
        <w:rPr>
          <w:rFonts w:asciiTheme="minorHAnsi" w:eastAsia="Calibri" w:hAnsiTheme="minorHAnsi"/>
          <w:snapToGrid/>
          <w:sz w:val="24"/>
          <w:szCs w:val="24"/>
        </w:rPr>
        <w:t xml:space="preserve"> ESC noted that</w:t>
      </w:r>
      <w:r w:rsidRPr="00F10C3A">
        <w:rPr>
          <w:rFonts w:asciiTheme="minorHAnsi" w:eastAsia="Calibri" w:hAnsiTheme="minorHAnsi"/>
          <w:snapToGrid/>
          <w:sz w:val="24"/>
          <w:szCs w:val="24"/>
        </w:rPr>
        <w:t xml:space="preserve"> submission did not assess the impact of differences between the maximum dose allowed for the 2 mg and 4 mg nicotine gum on the </w:t>
      </w:r>
      <w:proofErr w:type="spellStart"/>
      <w:r w:rsidRPr="00F10C3A">
        <w:rPr>
          <w:rFonts w:asciiTheme="minorHAnsi" w:eastAsia="Calibri" w:hAnsiTheme="minorHAnsi"/>
          <w:snapToGrid/>
          <w:sz w:val="24"/>
          <w:szCs w:val="24"/>
        </w:rPr>
        <w:t>equi</w:t>
      </w:r>
      <w:proofErr w:type="spellEnd"/>
      <w:r w:rsidRPr="00F10C3A">
        <w:rPr>
          <w:rFonts w:asciiTheme="minorHAnsi" w:eastAsia="Calibri" w:hAnsiTheme="minorHAnsi"/>
          <w:snapToGrid/>
          <w:sz w:val="24"/>
          <w:szCs w:val="24"/>
        </w:rPr>
        <w:t xml:space="preserve">-effective dose, as patients were assigned to either 2 mg or 4 mg arms in the trials, and no </w:t>
      </w:r>
      <w:r w:rsidR="0038008A" w:rsidRPr="00F10C3A">
        <w:rPr>
          <w:rFonts w:asciiTheme="minorHAnsi" w:eastAsia="Calibri" w:hAnsiTheme="minorHAnsi"/>
          <w:snapToGrid/>
          <w:sz w:val="24"/>
          <w:szCs w:val="24"/>
        </w:rPr>
        <w:t xml:space="preserve">strength </w:t>
      </w:r>
      <w:r w:rsidR="00DD5F7D" w:rsidRPr="00F10C3A">
        <w:rPr>
          <w:rFonts w:asciiTheme="minorHAnsi" w:eastAsia="Calibri" w:hAnsiTheme="minorHAnsi"/>
          <w:snapToGrid/>
          <w:sz w:val="24"/>
          <w:szCs w:val="24"/>
        </w:rPr>
        <w:t>switching</w:t>
      </w:r>
      <w:r w:rsidRPr="00F10C3A">
        <w:rPr>
          <w:rFonts w:asciiTheme="minorHAnsi" w:eastAsia="Calibri" w:hAnsiTheme="minorHAnsi"/>
          <w:snapToGrid/>
          <w:sz w:val="24"/>
          <w:szCs w:val="24"/>
        </w:rPr>
        <w:t xml:space="preserve"> occurred</w:t>
      </w:r>
      <w:r w:rsidR="00DD5F7D" w:rsidRPr="00F10C3A">
        <w:rPr>
          <w:rFonts w:asciiTheme="minorHAnsi" w:eastAsia="Calibri" w:hAnsiTheme="minorHAnsi"/>
          <w:snapToGrid/>
          <w:sz w:val="24"/>
          <w:szCs w:val="24"/>
        </w:rPr>
        <w:t xml:space="preserve"> in the trials</w:t>
      </w:r>
      <w:r w:rsidRPr="00F10C3A">
        <w:rPr>
          <w:rFonts w:asciiTheme="minorHAnsi" w:eastAsia="Calibri" w:hAnsiTheme="minorHAnsi"/>
          <w:snapToGrid/>
          <w:sz w:val="24"/>
          <w:szCs w:val="24"/>
        </w:rPr>
        <w:t>.</w:t>
      </w:r>
    </w:p>
    <w:p w:rsidR="00CC73A7" w:rsidRPr="00F10C3A" w:rsidRDefault="007654C8" w:rsidP="00A1720B">
      <w:pPr>
        <w:pStyle w:val="ListParagraph"/>
        <w:numPr>
          <w:ilvl w:val="0"/>
          <w:numId w:val="10"/>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D</w:t>
      </w:r>
      <w:r w:rsidR="00086F3B" w:rsidRPr="00F10C3A">
        <w:rPr>
          <w:rFonts w:asciiTheme="minorHAnsi" w:eastAsia="Calibri" w:hAnsiTheme="minorHAnsi"/>
          <w:snapToGrid/>
          <w:sz w:val="24"/>
          <w:szCs w:val="24"/>
        </w:rPr>
        <w:t>uring the evaluation, it was noted that 86% of patients were adherent to patches in the trial. Based on this, it was estimated that patients would require 72 patches over 12 weeks during the evaluation.</w:t>
      </w:r>
      <w:r w:rsidR="00A1720B" w:rsidRPr="00F10C3A">
        <w:rPr>
          <w:rFonts w:asciiTheme="minorHAnsi" w:eastAsia="Calibri" w:hAnsiTheme="minorHAnsi"/>
          <w:snapToGrid/>
          <w:sz w:val="24"/>
          <w:szCs w:val="24"/>
        </w:rPr>
        <w:t xml:space="preserve"> The ESC considered that the assumption that patients would use </w:t>
      </w:r>
      <w:r w:rsidR="00A1720B" w:rsidRPr="00717560">
        <w:rPr>
          <w:rFonts w:asciiTheme="minorHAnsi" w:eastAsia="Calibri" w:hAnsiTheme="minorHAnsi"/>
          <w:snapToGrid/>
          <w:sz w:val="24"/>
          <w:szCs w:val="24"/>
        </w:rPr>
        <w:t>84</w:t>
      </w:r>
      <w:r w:rsidR="00A1720B" w:rsidRPr="00F10C3A">
        <w:rPr>
          <w:rFonts w:asciiTheme="minorHAnsi" w:eastAsia="Calibri" w:hAnsiTheme="minorHAnsi"/>
          <w:snapToGrid/>
          <w:sz w:val="24"/>
          <w:szCs w:val="24"/>
        </w:rPr>
        <w:t xml:space="preserve"> nicotine patches over 12 weeks of treatment in the determination of the </w:t>
      </w:r>
      <w:proofErr w:type="spellStart"/>
      <w:r w:rsidR="00A1720B" w:rsidRPr="00F10C3A">
        <w:rPr>
          <w:rFonts w:asciiTheme="minorHAnsi" w:eastAsia="Calibri" w:hAnsiTheme="minorHAnsi"/>
          <w:snapToGrid/>
          <w:sz w:val="24"/>
          <w:szCs w:val="24"/>
        </w:rPr>
        <w:t>equi</w:t>
      </w:r>
      <w:proofErr w:type="spellEnd"/>
      <w:r w:rsidR="00A1720B" w:rsidRPr="00F10C3A">
        <w:rPr>
          <w:rFonts w:asciiTheme="minorHAnsi" w:eastAsia="Calibri" w:hAnsiTheme="minorHAnsi"/>
          <w:snapToGrid/>
          <w:sz w:val="24"/>
          <w:szCs w:val="24"/>
        </w:rPr>
        <w:t>-effective dose of nicotine gum and lozenges was inappropriate (see 6.36 above)</w:t>
      </w:r>
      <w:r w:rsidR="007660E8" w:rsidRPr="00F10C3A">
        <w:rPr>
          <w:rFonts w:asciiTheme="minorHAnsi" w:eastAsia="Calibri" w:hAnsiTheme="minorHAnsi"/>
          <w:snapToGrid/>
          <w:sz w:val="24"/>
          <w:szCs w:val="24"/>
        </w:rPr>
        <w:t>, as it assumed 100% adherence which is unlikely to occur in clinical practice</w:t>
      </w:r>
      <w:r w:rsidR="00A1720B" w:rsidRPr="00F10C3A">
        <w:rPr>
          <w:rFonts w:asciiTheme="minorHAnsi" w:eastAsia="Calibri" w:hAnsiTheme="minorHAnsi"/>
          <w:snapToGrid/>
          <w:sz w:val="24"/>
          <w:szCs w:val="24"/>
        </w:rPr>
        <w:t xml:space="preserve">. </w:t>
      </w:r>
      <w:r w:rsidR="00086F3B" w:rsidRPr="00F10C3A">
        <w:rPr>
          <w:rFonts w:asciiTheme="minorHAnsi" w:eastAsia="Calibri" w:hAnsiTheme="minorHAnsi"/>
          <w:snapToGrid/>
          <w:sz w:val="24"/>
          <w:szCs w:val="24"/>
        </w:rPr>
        <w:t xml:space="preserve"> </w:t>
      </w:r>
    </w:p>
    <w:p w:rsidR="00086F3B" w:rsidRPr="00F10C3A" w:rsidRDefault="00086F3B" w:rsidP="00DD5F7D">
      <w:pPr>
        <w:rPr>
          <w:rFonts w:asciiTheme="minorHAnsi" w:eastAsia="Calibri" w:hAnsiTheme="minorHAnsi"/>
          <w:snapToGrid/>
          <w:sz w:val="24"/>
          <w:szCs w:val="24"/>
        </w:rPr>
      </w:pPr>
    </w:p>
    <w:p w:rsidR="00086F3B" w:rsidRPr="00F10C3A" w:rsidRDefault="00086F3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Table 1</w:t>
      </w:r>
      <w:r w:rsidR="00E9245B" w:rsidRPr="00F10C3A">
        <w:rPr>
          <w:rFonts w:ascii="Calibri" w:eastAsia="Calibri" w:hAnsi="Calibri"/>
          <w:snapToGrid/>
          <w:sz w:val="24"/>
          <w:szCs w:val="22"/>
        </w:rPr>
        <w:t>3</w:t>
      </w:r>
      <w:r w:rsidRPr="00F10C3A">
        <w:rPr>
          <w:rFonts w:ascii="Calibri" w:eastAsia="Calibri" w:hAnsi="Calibri"/>
          <w:snapToGrid/>
          <w:sz w:val="24"/>
          <w:szCs w:val="22"/>
        </w:rPr>
        <w:t xml:space="preserve"> presents the proposed ex-manufacturer prices of the nicotine patch and gum.</w:t>
      </w:r>
    </w:p>
    <w:p w:rsidR="00086F3B" w:rsidRPr="00F10C3A" w:rsidRDefault="00086F3B" w:rsidP="00086F3B">
      <w:pPr>
        <w:pStyle w:val="PBACHeading1"/>
        <w:numPr>
          <w:ilvl w:val="0"/>
          <w:numId w:val="0"/>
        </w:numPr>
        <w:ind w:left="720" w:hanging="720"/>
        <w:rPr>
          <w:rFonts w:eastAsia="Calibri"/>
          <w:snapToGrid/>
        </w:rPr>
      </w:pPr>
    </w:p>
    <w:p w:rsidR="00960248" w:rsidRDefault="00960248" w:rsidP="00960248">
      <w:pPr>
        <w:pStyle w:val="Caption"/>
      </w:pPr>
      <w:r>
        <w:t xml:space="preserve">Table </w:t>
      </w:r>
      <w:r w:rsidR="00910E30">
        <w:rPr>
          <w:noProof/>
        </w:rPr>
        <w:t>13</w:t>
      </w:r>
      <w:r w:rsidRPr="0097082C">
        <w:t>: Ex-manufacturer prices of the nicotine patch, lozenge and gum</w:t>
      </w:r>
    </w:p>
    <w:tbl>
      <w:tblPr>
        <w:tblStyle w:val="TableGrid"/>
        <w:tblW w:w="5000" w:type="pct"/>
        <w:tblLook w:val="04A0" w:firstRow="1" w:lastRow="0" w:firstColumn="1" w:lastColumn="0" w:noHBand="0" w:noVBand="1"/>
        <w:tblCaption w:val="Ex-manufacturer prices of the nicotine patch, lozenge and gum"/>
      </w:tblPr>
      <w:tblGrid>
        <w:gridCol w:w="5442"/>
        <w:gridCol w:w="1887"/>
        <w:gridCol w:w="1913"/>
      </w:tblGrid>
      <w:tr w:rsidR="00487E4E" w:rsidRPr="00F10C3A" w:rsidTr="00604D19">
        <w:trPr>
          <w:trHeight w:val="229"/>
          <w:tblHeader/>
        </w:trPr>
        <w:tc>
          <w:tcPr>
            <w:tcW w:w="2944" w:type="pct"/>
          </w:tcPr>
          <w:p w:rsidR="00487E4E" w:rsidRPr="00F10C3A" w:rsidRDefault="00487E4E" w:rsidP="00C5279A">
            <w:pPr>
              <w:pStyle w:val="TableText1"/>
            </w:pPr>
          </w:p>
        </w:tc>
        <w:tc>
          <w:tcPr>
            <w:tcW w:w="1021" w:type="pct"/>
          </w:tcPr>
          <w:p w:rsidR="00487E4E" w:rsidRPr="00F10C3A" w:rsidRDefault="00487E4E" w:rsidP="00C5279A">
            <w:pPr>
              <w:pStyle w:val="TableText1"/>
              <w:rPr>
                <w:b/>
              </w:rPr>
            </w:pPr>
            <w:r w:rsidRPr="00F10C3A">
              <w:rPr>
                <w:b/>
              </w:rPr>
              <w:t>Nicotine Patch</w:t>
            </w:r>
          </w:p>
        </w:tc>
        <w:tc>
          <w:tcPr>
            <w:tcW w:w="1035" w:type="pct"/>
          </w:tcPr>
          <w:p w:rsidR="00487E4E" w:rsidRPr="00F10C3A" w:rsidRDefault="00487E4E" w:rsidP="00C5279A">
            <w:pPr>
              <w:pStyle w:val="TableText1"/>
              <w:rPr>
                <w:b/>
              </w:rPr>
            </w:pPr>
            <w:r w:rsidRPr="00F10C3A">
              <w:rPr>
                <w:b/>
              </w:rPr>
              <w:t>Nicotine Gum</w:t>
            </w:r>
          </w:p>
        </w:tc>
      </w:tr>
      <w:tr w:rsidR="00487E4E" w:rsidRPr="00F10C3A" w:rsidTr="00487E4E">
        <w:trPr>
          <w:trHeight w:val="229"/>
        </w:trPr>
        <w:tc>
          <w:tcPr>
            <w:tcW w:w="2944" w:type="pct"/>
          </w:tcPr>
          <w:p w:rsidR="00487E4E" w:rsidRPr="00F10C3A" w:rsidRDefault="00487E4E" w:rsidP="00C5279A">
            <w:pPr>
              <w:pStyle w:val="TableText1"/>
            </w:pPr>
            <w:proofErr w:type="spellStart"/>
            <w:r w:rsidRPr="00F10C3A">
              <w:t>Equi</w:t>
            </w:r>
            <w:proofErr w:type="spellEnd"/>
            <w:r w:rsidRPr="00F10C3A">
              <w:t>-effective dose</w:t>
            </w:r>
          </w:p>
        </w:tc>
        <w:tc>
          <w:tcPr>
            <w:tcW w:w="1021" w:type="pct"/>
            <w:vAlign w:val="bottom"/>
          </w:tcPr>
          <w:p w:rsidR="00487E4E" w:rsidRPr="00F10C3A" w:rsidRDefault="00487E4E" w:rsidP="00C5279A">
            <w:pPr>
              <w:pStyle w:val="TableText1"/>
            </w:pPr>
            <w:r w:rsidRPr="00717560">
              <w:t>28</w:t>
            </w:r>
            <w:r w:rsidRPr="00F10C3A">
              <w:t xml:space="preserve"> patches</w:t>
            </w:r>
          </w:p>
        </w:tc>
        <w:tc>
          <w:tcPr>
            <w:tcW w:w="1035" w:type="pct"/>
            <w:vAlign w:val="bottom"/>
          </w:tcPr>
          <w:p w:rsidR="00487E4E" w:rsidRPr="00F10C3A" w:rsidRDefault="00487E4E" w:rsidP="00C5279A">
            <w:pPr>
              <w:pStyle w:val="TableText1"/>
            </w:pPr>
            <w:r w:rsidRPr="00717560">
              <w:t>216</w:t>
            </w:r>
            <w:r w:rsidRPr="00F10C3A">
              <w:t xml:space="preserve"> gum pieces</w:t>
            </w:r>
          </w:p>
        </w:tc>
      </w:tr>
      <w:tr w:rsidR="00487E4E" w:rsidRPr="00F10C3A" w:rsidTr="00487E4E">
        <w:trPr>
          <w:trHeight w:val="229"/>
        </w:trPr>
        <w:tc>
          <w:tcPr>
            <w:tcW w:w="2944" w:type="pct"/>
            <w:tcBorders>
              <w:bottom w:val="single" w:sz="4" w:space="0" w:color="auto"/>
            </w:tcBorders>
          </w:tcPr>
          <w:p w:rsidR="00487E4E" w:rsidRPr="00F10C3A" w:rsidRDefault="00487E4E" w:rsidP="00C5279A">
            <w:pPr>
              <w:pStyle w:val="TableText1"/>
            </w:pPr>
            <w:r w:rsidRPr="00F10C3A">
              <w:t>Ex-manufacturer for 3 packs (12 weeks)</w:t>
            </w:r>
          </w:p>
        </w:tc>
        <w:tc>
          <w:tcPr>
            <w:tcW w:w="1021" w:type="pct"/>
            <w:tcBorders>
              <w:bottom w:val="single" w:sz="4" w:space="0" w:color="auto"/>
            </w:tcBorders>
            <w:vAlign w:val="bottom"/>
          </w:tcPr>
          <w:p w:rsidR="00487E4E" w:rsidRPr="00F10C3A" w:rsidRDefault="00487E4E" w:rsidP="00C5279A">
            <w:pPr>
              <w:pStyle w:val="TableText1"/>
            </w:pPr>
            <w:r w:rsidRPr="00F10C3A">
              <w:t>$</w:t>
            </w:r>
            <w:r w:rsidRPr="00717560">
              <w:t>117.42</w:t>
            </w:r>
          </w:p>
        </w:tc>
        <w:tc>
          <w:tcPr>
            <w:tcW w:w="1035" w:type="pct"/>
            <w:tcBorders>
              <w:bottom w:val="single" w:sz="4" w:space="0" w:color="auto"/>
            </w:tcBorders>
            <w:vAlign w:val="bottom"/>
          </w:tcPr>
          <w:p w:rsidR="00487E4E" w:rsidRPr="00F10C3A" w:rsidRDefault="00487E4E" w:rsidP="00C5279A">
            <w:pPr>
              <w:pStyle w:val="TableText1"/>
            </w:pPr>
            <w:r w:rsidRPr="00F10C3A">
              <w:t>$</w:t>
            </w:r>
            <w:r w:rsidRPr="00717560">
              <w:t>117.42</w:t>
            </w:r>
          </w:p>
        </w:tc>
      </w:tr>
      <w:tr w:rsidR="00487E4E" w:rsidRPr="00F10C3A" w:rsidTr="00487E4E">
        <w:trPr>
          <w:trHeight w:val="230"/>
        </w:trPr>
        <w:tc>
          <w:tcPr>
            <w:tcW w:w="2944" w:type="pct"/>
            <w:tcBorders>
              <w:bottom w:val="nil"/>
            </w:tcBorders>
          </w:tcPr>
          <w:p w:rsidR="00487E4E" w:rsidRPr="00F10C3A" w:rsidRDefault="00487E4E" w:rsidP="00C5279A">
            <w:pPr>
              <w:pStyle w:val="TableText1"/>
            </w:pPr>
            <w:r w:rsidRPr="00F10C3A">
              <w:t>Ex-manufacturer/pack</w:t>
            </w:r>
          </w:p>
        </w:tc>
        <w:tc>
          <w:tcPr>
            <w:tcW w:w="1021" w:type="pct"/>
            <w:tcBorders>
              <w:bottom w:val="nil"/>
            </w:tcBorders>
            <w:vAlign w:val="bottom"/>
          </w:tcPr>
          <w:p w:rsidR="00487E4E" w:rsidRPr="00F10C3A" w:rsidRDefault="00487E4E" w:rsidP="00C5279A">
            <w:pPr>
              <w:pStyle w:val="TableText1"/>
            </w:pPr>
            <w:r w:rsidRPr="00F10C3A">
              <w:t>$</w:t>
            </w:r>
            <w:r w:rsidRPr="00717560">
              <w:t>39.14</w:t>
            </w:r>
          </w:p>
        </w:tc>
        <w:tc>
          <w:tcPr>
            <w:tcW w:w="1035" w:type="pct"/>
            <w:tcBorders>
              <w:bottom w:val="nil"/>
            </w:tcBorders>
            <w:vAlign w:val="bottom"/>
          </w:tcPr>
          <w:p w:rsidR="00487E4E" w:rsidRPr="00F10C3A" w:rsidRDefault="00487E4E" w:rsidP="00C5279A">
            <w:pPr>
              <w:pStyle w:val="TableText1"/>
            </w:pPr>
            <w:r w:rsidRPr="00F10C3A">
              <w:t>$</w:t>
            </w:r>
            <w:r w:rsidRPr="00717560">
              <w:t>39.14</w:t>
            </w:r>
          </w:p>
        </w:tc>
      </w:tr>
      <w:tr w:rsidR="00487E4E" w:rsidRPr="00F10C3A" w:rsidTr="00487E4E">
        <w:trPr>
          <w:trHeight w:val="230"/>
        </w:trPr>
        <w:tc>
          <w:tcPr>
            <w:tcW w:w="2944" w:type="pct"/>
            <w:tcBorders>
              <w:top w:val="nil"/>
              <w:bottom w:val="single" w:sz="4" w:space="0" w:color="auto"/>
            </w:tcBorders>
          </w:tcPr>
          <w:p w:rsidR="00487E4E" w:rsidRPr="00F10C3A" w:rsidRDefault="00487E4E" w:rsidP="00C5279A">
            <w:pPr>
              <w:pStyle w:val="TableText1"/>
            </w:pPr>
          </w:p>
        </w:tc>
        <w:tc>
          <w:tcPr>
            <w:tcW w:w="1021" w:type="pct"/>
            <w:tcBorders>
              <w:top w:val="nil"/>
              <w:bottom w:val="single" w:sz="4" w:space="0" w:color="auto"/>
            </w:tcBorders>
            <w:vAlign w:val="bottom"/>
          </w:tcPr>
          <w:p w:rsidR="00487E4E" w:rsidRPr="00F10C3A" w:rsidRDefault="00487E4E" w:rsidP="00C5279A">
            <w:pPr>
              <w:pStyle w:val="TableText1"/>
            </w:pPr>
            <w:r w:rsidRPr="00F10C3A">
              <w:t>-</w:t>
            </w:r>
          </w:p>
        </w:tc>
        <w:tc>
          <w:tcPr>
            <w:tcW w:w="1035" w:type="pct"/>
            <w:tcBorders>
              <w:top w:val="nil"/>
              <w:bottom w:val="single" w:sz="4" w:space="0" w:color="auto"/>
            </w:tcBorders>
            <w:vAlign w:val="bottom"/>
          </w:tcPr>
          <w:p w:rsidR="00487E4E" w:rsidRPr="00F10C3A" w:rsidRDefault="00487E4E" w:rsidP="00C5279A">
            <w:pPr>
              <w:pStyle w:val="TableText1"/>
            </w:pPr>
            <w:r w:rsidRPr="00F10C3A">
              <w:t>$</w:t>
            </w:r>
            <w:r w:rsidRPr="00717560">
              <w:t>35.41</w:t>
            </w:r>
          </w:p>
        </w:tc>
      </w:tr>
      <w:tr w:rsidR="00487E4E" w:rsidRPr="00F10C3A" w:rsidTr="00487E4E">
        <w:trPr>
          <w:trHeight w:val="230"/>
        </w:trPr>
        <w:tc>
          <w:tcPr>
            <w:tcW w:w="2944" w:type="pct"/>
            <w:tcBorders>
              <w:bottom w:val="nil"/>
            </w:tcBorders>
          </w:tcPr>
          <w:p w:rsidR="00487E4E" w:rsidRPr="00F10C3A" w:rsidRDefault="00487E4E" w:rsidP="00C5279A">
            <w:pPr>
              <w:pStyle w:val="TableText1"/>
            </w:pPr>
            <w:r w:rsidRPr="00F10C3A">
              <w:t>DPMQ/pack</w:t>
            </w:r>
          </w:p>
        </w:tc>
        <w:tc>
          <w:tcPr>
            <w:tcW w:w="1021" w:type="pct"/>
            <w:tcBorders>
              <w:bottom w:val="nil"/>
            </w:tcBorders>
            <w:vAlign w:val="bottom"/>
          </w:tcPr>
          <w:p w:rsidR="00487E4E" w:rsidRPr="00F10C3A" w:rsidRDefault="00487E4E" w:rsidP="00C5279A">
            <w:pPr>
              <w:pStyle w:val="TableText1"/>
            </w:pPr>
            <w:r w:rsidRPr="00F10C3A">
              <w:t>$</w:t>
            </w:r>
            <w:r w:rsidRPr="00717560">
              <w:t>52.64</w:t>
            </w:r>
          </w:p>
        </w:tc>
        <w:tc>
          <w:tcPr>
            <w:tcW w:w="1035" w:type="pct"/>
            <w:tcBorders>
              <w:bottom w:val="nil"/>
            </w:tcBorders>
            <w:vAlign w:val="bottom"/>
          </w:tcPr>
          <w:p w:rsidR="00487E4E" w:rsidRPr="00F10C3A" w:rsidRDefault="00487E4E" w:rsidP="00C5279A">
            <w:pPr>
              <w:pStyle w:val="TableText1"/>
            </w:pPr>
            <w:r w:rsidRPr="00F10C3A">
              <w:t>$</w:t>
            </w:r>
            <w:r w:rsidRPr="00717560">
              <w:t>52.64</w:t>
            </w:r>
          </w:p>
        </w:tc>
      </w:tr>
      <w:tr w:rsidR="00487E4E" w:rsidRPr="00F10C3A" w:rsidTr="00487E4E">
        <w:trPr>
          <w:trHeight w:val="230"/>
        </w:trPr>
        <w:tc>
          <w:tcPr>
            <w:tcW w:w="2944" w:type="pct"/>
            <w:tcBorders>
              <w:top w:val="nil"/>
            </w:tcBorders>
          </w:tcPr>
          <w:p w:rsidR="00487E4E" w:rsidRPr="00F10C3A" w:rsidRDefault="00487E4E" w:rsidP="00C5279A">
            <w:pPr>
              <w:pStyle w:val="TableText1"/>
              <w:keepNext w:val="0"/>
              <w:keepLines/>
            </w:pPr>
          </w:p>
        </w:tc>
        <w:tc>
          <w:tcPr>
            <w:tcW w:w="1021" w:type="pct"/>
            <w:tcBorders>
              <w:top w:val="nil"/>
            </w:tcBorders>
            <w:vAlign w:val="bottom"/>
          </w:tcPr>
          <w:p w:rsidR="00487E4E" w:rsidRPr="00F10C3A" w:rsidRDefault="00487E4E" w:rsidP="00C5279A">
            <w:pPr>
              <w:pStyle w:val="TableText1"/>
              <w:keepNext w:val="0"/>
              <w:keepLines/>
            </w:pPr>
            <w:r w:rsidRPr="00F10C3A">
              <w:t>-</w:t>
            </w:r>
          </w:p>
        </w:tc>
        <w:tc>
          <w:tcPr>
            <w:tcW w:w="1035" w:type="pct"/>
            <w:tcBorders>
              <w:top w:val="nil"/>
            </w:tcBorders>
            <w:vAlign w:val="bottom"/>
          </w:tcPr>
          <w:p w:rsidR="00487E4E" w:rsidRPr="00F10C3A" w:rsidRDefault="00487E4E" w:rsidP="00C5279A">
            <w:pPr>
              <w:pStyle w:val="TableText1"/>
              <w:keepNext w:val="0"/>
              <w:keepLines/>
            </w:pPr>
            <w:r w:rsidRPr="00F10C3A">
              <w:t>$</w:t>
            </w:r>
            <w:r w:rsidRPr="00717560">
              <w:t>47.77</w:t>
            </w:r>
          </w:p>
        </w:tc>
      </w:tr>
    </w:tbl>
    <w:p w:rsidR="00086F3B" w:rsidRPr="00F10C3A" w:rsidRDefault="00086F3B" w:rsidP="00086F3B">
      <w:pPr>
        <w:pStyle w:val="TableFooter"/>
        <w:keepLines/>
        <w:rPr>
          <w:rFonts w:eastAsia="Calibri"/>
          <w:snapToGrid/>
        </w:rPr>
      </w:pPr>
      <w:r w:rsidRPr="00F10C3A">
        <w:rPr>
          <w:rFonts w:eastAsia="Calibri"/>
          <w:snapToGrid/>
        </w:rPr>
        <w:t xml:space="preserve">Source: Table D-8, p118 of the submission and calculated during the evaluation based on adjusted </w:t>
      </w:r>
      <w:proofErr w:type="spellStart"/>
      <w:r w:rsidRPr="00F10C3A">
        <w:rPr>
          <w:rFonts w:eastAsia="Calibri"/>
          <w:snapToGrid/>
        </w:rPr>
        <w:t>equi</w:t>
      </w:r>
      <w:proofErr w:type="spellEnd"/>
      <w:r w:rsidRPr="00F10C3A">
        <w:rPr>
          <w:rFonts w:eastAsia="Calibri"/>
          <w:snapToGrid/>
        </w:rPr>
        <w:t>-effective dose</w:t>
      </w:r>
    </w:p>
    <w:p w:rsidR="00086F3B" w:rsidRPr="00F10C3A" w:rsidRDefault="00086F3B" w:rsidP="00086F3B">
      <w:pPr>
        <w:pStyle w:val="TableFooter"/>
        <w:keepLines/>
        <w:rPr>
          <w:rFonts w:eastAsia="Calibri"/>
          <w:snapToGrid/>
        </w:rPr>
      </w:pPr>
      <w:r w:rsidRPr="00F10C3A">
        <w:rPr>
          <w:rFonts w:eastAsia="Calibri"/>
          <w:snapToGrid/>
        </w:rPr>
        <w:t>DPMQ = dispensed price for maximum quantity</w:t>
      </w:r>
    </w:p>
    <w:p w:rsidR="00086F3B" w:rsidRPr="00F10C3A" w:rsidRDefault="00086F3B" w:rsidP="00086F3B">
      <w:pPr>
        <w:rPr>
          <w:rFonts w:eastAsia="Calibri"/>
          <w:snapToGrid/>
        </w:rPr>
      </w:pPr>
    </w:p>
    <w:p w:rsidR="00922152" w:rsidRPr="00F10C3A" w:rsidRDefault="00086F3B" w:rsidP="00DE04C5">
      <w:pPr>
        <w:pStyle w:val="ListParagraph"/>
        <w:numPr>
          <w:ilvl w:val="1"/>
          <w:numId w:val="3"/>
        </w:numPr>
        <w:rPr>
          <w:rFonts w:ascii="Calibri" w:eastAsia="Calibri" w:hAnsi="Calibri"/>
          <w:snapToGrid/>
          <w:sz w:val="24"/>
          <w:szCs w:val="24"/>
        </w:rPr>
      </w:pPr>
      <w:r w:rsidRPr="00F10C3A">
        <w:rPr>
          <w:rFonts w:ascii="Calibri" w:eastAsia="Calibri" w:hAnsi="Calibri"/>
          <w:snapToGrid/>
          <w:sz w:val="24"/>
          <w:szCs w:val="24"/>
        </w:rPr>
        <w:t>The submission requested that 2 mg and 4 mg nicotine gum have the same ex-manufacturer price, contending that this would ensure adequate treatment for patients. The submission did not adequately support this claim</w:t>
      </w:r>
      <w:r w:rsidR="00922152" w:rsidRPr="00F10C3A">
        <w:rPr>
          <w:rFonts w:ascii="Calibri" w:eastAsia="Calibri" w:hAnsi="Calibri"/>
          <w:snapToGrid/>
          <w:sz w:val="24"/>
          <w:szCs w:val="24"/>
        </w:rPr>
        <w:t>, as:</w:t>
      </w:r>
      <w:r w:rsidRPr="00F10C3A">
        <w:rPr>
          <w:rFonts w:ascii="Calibri" w:eastAsia="Calibri" w:hAnsi="Calibri"/>
          <w:snapToGrid/>
          <w:sz w:val="24"/>
          <w:szCs w:val="24"/>
        </w:rPr>
        <w:t xml:space="preserve"> </w:t>
      </w:r>
    </w:p>
    <w:p w:rsidR="007B14BF" w:rsidRPr="00F10C3A" w:rsidRDefault="00A1720B" w:rsidP="007B14BF">
      <w:pPr>
        <w:pStyle w:val="ListParagraph"/>
        <w:numPr>
          <w:ilvl w:val="2"/>
          <w:numId w:val="3"/>
        </w:numPr>
        <w:ind w:left="993" w:hanging="284"/>
        <w:rPr>
          <w:rFonts w:ascii="Calibri" w:eastAsia="Calibri" w:hAnsi="Calibri"/>
          <w:snapToGrid/>
          <w:sz w:val="24"/>
          <w:szCs w:val="24"/>
        </w:rPr>
      </w:pPr>
      <w:r w:rsidRPr="00F10C3A">
        <w:rPr>
          <w:rFonts w:ascii="Calibri" w:eastAsia="Calibri" w:hAnsi="Calibri"/>
          <w:snapToGrid/>
          <w:sz w:val="24"/>
          <w:szCs w:val="24"/>
        </w:rPr>
        <w:t>The</w:t>
      </w:r>
      <w:r w:rsidR="00086F3B" w:rsidRPr="00F10C3A">
        <w:rPr>
          <w:rFonts w:ascii="Calibri" w:eastAsia="Calibri" w:hAnsi="Calibri"/>
          <w:snapToGrid/>
          <w:sz w:val="24"/>
          <w:szCs w:val="24"/>
        </w:rPr>
        <w:t xml:space="preserve"> maximum allowable daily dose, and ther</w:t>
      </w:r>
      <w:r w:rsidR="00922152" w:rsidRPr="00F10C3A">
        <w:rPr>
          <w:rFonts w:ascii="Calibri" w:eastAsia="Calibri" w:hAnsi="Calibri"/>
          <w:snapToGrid/>
          <w:sz w:val="24"/>
          <w:szCs w:val="24"/>
        </w:rPr>
        <w:t xml:space="preserve">efore the </w:t>
      </w:r>
      <w:proofErr w:type="spellStart"/>
      <w:r w:rsidR="00922152" w:rsidRPr="00F10C3A">
        <w:rPr>
          <w:rFonts w:ascii="Calibri" w:eastAsia="Calibri" w:hAnsi="Calibri"/>
          <w:snapToGrid/>
          <w:sz w:val="24"/>
          <w:szCs w:val="24"/>
        </w:rPr>
        <w:t>equi</w:t>
      </w:r>
      <w:proofErr w:type="spellEnd"/>
      <w:r w:rsidR="00922152" w:rsidRPr="00F10C3A">
        <w:rPr>
          <w:rFonts w:ascii="Calibri" w:eastAsia="Calibri" w:hAnsi="Calibri"/>
          <w:snapToGrid/>
          <w:sz w:val="24"/>
          <w:szCs w:val="24"/>
        </w:rPr>
        <w:t>-effective dose, wa</w:t>
      </w:r>
      <w:r w:rsidR="00086F3B" w:rsidRPr="00F10C3A">
        <w:rPr>
          <w:rFonts w:ascii="Calibri" w:eastAsia="Calibri" w:hAnsi="Calibri"/>
          <w:snapToGrid/>
          <w:sz w:val="24"/>
          <w:szCs w:val="24"/>
        </w:rPr>
        <w:t>s different for 4 mg compared with</w:t>
      </w:r>
      <w:r w:rsidR="007654C8" w:rsidRPr="00F10C3A">
        <w:rPr>
          <w:rFonts w:ascii="Calibri" w:eastAsia="Calibri" w:hAnsi="Calibri"/>
          <w:snapToGrid/>
          <w:sz w:val="24"/>
          <w:szCs w:val="24"/>
        </w:rPr>
        <w:t xml:space="preserve"> 2 mg gum</w:t>
      </w:r>
      <w:r w:rsidR="00086F3B" w:rsidRPr="00F10C3A">
        <w:rPr>
          <w:rFonts w:ascii="Calibri" w:eastAsia="Calibri" w:hAnsi="Calibri"/>
          <w:snapToGrid/>
          <w:sz w:val="24"/>
          <w:szCs w:val="24"/>
        </w:rPr>
        <w:t>.</w:t>
      </w:r>
    </w:p>
    <w:p w:rsidR="00A1720B" w:rsidRPr="00F10C3A" w:rsidRDefault="00DE04C5" w:rsidP="007B14BF">
      <w:pPr>
        <w:pStyle w:val="ListParagraph"/>
        <w:numPr>
          <w:ilvl w:val="2"/>
          <w:numId w:val="3"/>
        </w:numPr>
        <w:ind w:left="993" w:hanging="284"/>
        <w:rPr>
          <w:rFonts w:ascii="Calibri" w:eastAsia="Calibri" w:hAnsi="Calibri"/>
          <w:snapToGrid/>
          <w:sz w:val="24"/>
          <w:szCs w:val="24"/>
        </w:rPr>
      </w:pPr>
      <w:r w:rsidRPr="00F10C3A">
        <w:rPr>
          <w:rFonts w:ascii="Calibri" w:eastAsia="Calibri" w:hAnsi="Calibri"/>
          <w:snapToGrid/>
          <w:sz w:val="24"/>
          <w:szCs w:val="24"/>
        </w:rPr>
        <w:t>The PSCR (p</w:t>
      </w:r>
      <w:r w:rsidR="00A82845" w:rsidRPr="00F10C3A">
        <w:rPr>
          <w:rFonts w:ascii="Calibri" w:eastAsia="Calibri" w:hAnsi="Calibri"/>
          <w:snapToGrid/>
          <w:sz w:val="24"/>
          <w:szCs w:val="24"/>
        </w:rPr>
        <w:t>4</w:t>
      </w:r>
      <w:r w:rsidRPr="00F10C3A">
        <w:rPr>
          <w:rFonts w:ascii="Calibri" w:eastAsia="Calibri" w:hAnsi="Calibri"/>
          <w:snapToGrid/>
          <w:sz w:val="24"/>
          <w:szCs w:val="24"/>
        </w:rPr>
        <w:t xml:space="preserve">) acknowledged the uncertainty around the </w:t>
      </w:r>
      <w:proofErr w:type="spellStart"/>
      <w:r w:rsidRPr="00F10C3A">
        <w:rPr>
          <w:rFonts w:ascii="Calibri" w:eastAsia="Calibri" w:hAnsi="Calibri"/>
          <w:snapToGrid/>
          <w:sz w:val="24"/>
          <w:szCs w:val="24"/>
        </w:rPr>
        <w:t>equi</w:t>
      </w:r>
      <w:proofErr w:type="spellEnd"/>
      <w:r w:rsidRPr="00F10C3A">
        <w:rPr>
          <w:rFonts w:ascii="Calibri" w:eastAsia="Calibri" w:hAnsi="Calibri"/>
          <w:snapToGrid/>
          <w:sz w:val="24"/>
          <w:szCs w:val="24"/>
        </w:rPr>
        <w:t>-effective dose, but argued that the same ex-manufacturer’s price for the 2 mg and the 4 mg gum was pro</w:t>
      </w:r>
      <w:r w:rsidR="003713ED" w:rsidRPr="00F10C3A">
        <w:rPr>
          <w:rFonts w:ascii="Calibri" w:eastAsia="Calibri" w:hAnsi="Calibri"/>
          <w:snapToGrid/>
          <w:sz w:val="24"/>
          <w:szCs w:val="24"/>
        </w:rPr>
        <w:t>po</w:t>
      </w:r>
      <w:r w:rsidRPr="00F10C3A">
        <w:rPr>
          <w:rFonts w:ascii="Calibri" w:eastAsia="Calibri" w:hAnsi="Calibri"/>
          <w:snapToGrid/>
          <w:sz w:val="24"/>
          <w:szCs w:val="24"/>
        </w:rPr>
        <w:t xml:space="preserve">sed in the submission to allow switching between strengths as required, and that it was consistent with </w:t>
      </w:r>
      <w:r w:rsidR="003713ED" w:rsidRPr="00F10C3A">
        <w:rPr>
          <w:rFonts w:ascii="Calibri" w:eastAsia="Calibri" w:hAnsi="Calibri"/>
          <w:snapToGrid/>
          <w:sz w:val="24"/>
          <w:szCs w:val="24"/>
        </w:rPr>
        <w:t>the current flat pricing structure o</w:t>
      </w:r>
      <w:r w:rsidR="00125988" w:rsidRPr="00F10C3A">
        <w:rPr>
          <w:rFonts w:ascii="Calibri" w:eastAsia="Calibri" w:hAnsi="Calibri"/>
          <w:snapToGrid/>
          <w:sz w:val="24"/>
          <w:szCs w:val="24"/>
        </w:rPr>
        <w:t>f</w:t>
      </w:r>
      <w:r w:rsidRPr="00F10C3A">
        <w:rPr>
          <w:rFonts w:ascii="Calibri" w:eastAsia="Calibri" w:hAnsi="Calibri"/>
          <w:snapToGrid/>
          <w:sz w:val="24"/>
          <w:szCs w:val="24"/>
        </w:rPr>
        <w:t xml:space="preserve"> nicotine patches</w:t>
      </w:r>
      <w:r w:rsidR="003713ED" w:rsidRPr="00F10C3A">
        <w:rPr>
          <w:rFonts w:ascii="Calibri" w:eastAsia="Calibri" w:hAnsi="Calibri"/>
          <w:snapToGrid/>
          <w:sz w:val="24"/>
          <w:szCs w:val="24"/>
        </w:rPr>
        <w:t xml:space="preserve"> in the OTC market</w:t>
      </w:r>
      <w:r w:rsidRPr="00F10C3A">
        <w:rPr>
          <w:rFonts w:ascii="Calibri" w:eastAsia="Calibri" w:hAnsi="Calibri"/>
          <w:snapToGrid/>
          <w:sz w:val="24"/>
          <w:szCs w:val="24"/>
        </w:rPr>
        <w:t xml:space="preserve">. </w:t>
      </w:r>
      <w:r w:rsidR="007B14BF" w:rsidRPr="00F10C3A">
        <w:rPr>
          <w:rFonts w:ascii="Calibri" w:eastAsia="Calibri" w:hAnsi="Calibri"/>
          <w:snapToGrid/>
          <w:sz w:val="24"/>
          <w:szCs w:val="24"/>
        </w:rPr>
        <w:t>The ESC considered the prices calculated for the nicotine gum should take into account the likely use of each of the strengths.</w:t>
      </w:r>
    </w:p>
    <w:p w:rsidR="003A0EC5" w:rsidRPr="00F10C3A" w:rsidRDefault="00DE04C5" w:rsidP="00922152">
      <w:pPr>
        <w:pStyle w:val="ListParagraph"/>
        <w:numPr>
          <w:ilvl w:val="2"/>
          <w:numId w:val="3"/>
        </w:numPr>
        <w:ind w:left="993" w:hanging="284"/>
        <w:rPr>
          <w:rFonts w:ascii="Calibri" w:eastAsia="Calibri" w:hAnsi="Calibri"/>
          <w:snapToGrid/>
          <w:sz w:val="24"/>
          <w:szCs w:val="24"/>
        </w:rPr>
      </w:pPr>
      <w:r w:rsidRPr="00F10C3A">
        <w:rPr>
          <w:rFonts w:ascii="Calibri" w:eastAsia="Calibri" w:hAnsi="Calibri"/>
          <w:snapToGrid/>
          <w:sz w:val="24"/>
          <w:szCs w:val="24"/>
        </w:rPr>
        <w:t xml:space="preserve">The </w:t>
      </w:r>
      <w:r w:rsidR="00A82845" w:rsidRPr="00F10C3A">
        <w:rPr>
          <w:rFonts w:ascii="Calibri" w:eastAsia="Calibri" w:hAnsi="Calibri"/>
          <w:snapToGrid/>
          <w:sz w:val="24"/>
          <w:szCs w:val="24"/>
        </w:rPr>
        <w:t xml:space="preserve">ESC noted the PSCR (p4) indicated that the sponsor was willing to work with the PBAC on issues relating to the appropriate </w:t>
      </w:r>
      <w:proofErr w:type="spellStart"/>
      <w:r w:rsidR="00A82845" w:rsidRPr="00F10C3A">
        <w:rPr>
          <w:rFonts w:ascii="Calibri" w:eastAsia="Calibri" w:hAnsi="Calibri"/>
          <w:snapToGrid/>
          <w:sz w:val="24"/>
          <w:szCs w:val="24"/>
        </w:rPr>
        <w:t>equi</w:t>
      </w:r>
      <w:proofErr w:type="spellEnd"/>
      <w:r w:rsidR="00A82845" w:rsidRPr="00F10C3A">
        <w:rPr>
          <w:rFonts w:ascii="Calibri" w:eastAsia="Calibri" w:hAnsi="Calibri"/>
          <w:snapToGrid/>
          <w:sz w:val="24"/>
          <w:szCs w:val="24"/>
        </w:rPr>
        <w:t>-effective dose and the resultant price.</w:t>
      </w:r>
    </w:p>
    <w:p w:rsidR="00086F3B" w:rsidRPr="00F10C3A" w:rsidRDefault="00086F3B" w:rsidP="003713ED">
      <w:pPr>
        <w:pStyle w:val="PBACHeading1"/>
        <w:numPr>
          <w:ilvl w:val="0"/>
          <w:numId w:val="0"/>
        </w:numPr>
        <w:rPr>
          <w:rFonts w:eastAsia="Calibri"/>
          <w:snapToGrid/>
        </w:rPr>
      </w:pPr>
    </w:p>
    <w:p w:rsidR="00C23C03" w:rsidRPr="00F10C3A" w:rsidRDefault="00086F3B" w:rsidP="007E3BC0">
      <w:pPr>
        <w:widowControl/>
        <w:numPr>
          <w:ilvl w:val="1"/>
          <w:numId w:val="3"/>
        </w:numPr>
        <w:rPr>
          <w:rFonts w:ascii="Calibri" w:eastAsia="Calibri" w:hAnsi="Calibri"/>
          <w:snapToGrid/>
          <w:sz w:val="24"/>
          <w:szCs w:val="24"/>
        </w:rPr>
      </w:pPr>
      <w:r w:rsidRPr="00F10C3A">
        <w:rPr>
          <w:rFonts w:ascii="Calibri" w:eastAsia="Calibri" w:hAnsi="Calibri"/>
          <w:snapToGrid/>
          <w:sz w:val="24"/>
          <w:szCs w:val="24"/>
        </w:rPr>
        <w:t>The adjusted price is also presented in Table 1</w:t>
      </w:r>
      <w:r w:rsidR="009C650F" w:rsidRPr="00F10C3A">
        <w:rPr>
          <w:rFonts w:ascii="Calibri" w:eastAsia="Calibri" w:hAnsi="Calibri"/>
          <w:snapToGrid/>
          <w:sz w:val="24"/>
          <w:szCs w:val="24"/>
        </w:rPr>
        <w:t>4</w:t>
      </w:r>
      <w:r w:rsidRPr="00F10C3A">
        <w:rPr>
          <w:rFonts w:ascii="Calibri" w:eastAsia="Calibri" w:hAnsi="Calibri"/>
          <w:snapToGrid/>
          <w:sz w:val="24"/>
          <w:szCs w:val="24"/>
        </w:rPr>
        <w:t xml:space="preserve"> above; this was based on the assumption that patient adherence to nicotine patches was 86%, as estimated by the Piper (2009) trial. </w:t>
      </w:r>
    </w:p>
    <w:p w:rsidR="00C23C03" w:rsidRPr="00F10C3A" w:rsidRDefault="00C23C03" w:rsidP="00C23C03">
      <w:pPr>
        <w:pStyle w:val="ListParagraph"/>
        <w:rPr>
          <w:rFonts w:ascii="Calibri" w:eastAsia="Calibri" w:hAnsi="Calibri"/>
          <w:snapToGrid/>
          <w:sz w:val="24"/>
          <w:szCs w:val="24"/>
        </w:rPr>
      </w:pPr>
    </w:p>
    <w:p w:rsidR="00086F3B" w:rsidRPr="00F10C3A" w:rsidRDefault="00F123D5" w:rsidP="007E3BC0">
      <w:pPr>
        <w:widowControl/>
        <w:numPr>
          <w:ilvl w:val="1"/>
          <w:numId w:val="3"/>
        </w:numPr>
        <w:rPr>
          <w:rFonts w:ascii="Calibri" w:eastAsia="Calibri" w:hAnsi="Calibri"/>
          <w:snapToGrid/>
          <w:sz w:val="24"/>
          <w:szCs w:val="24"/>
        </w:rPr>
      </w:pPr>
      <w:r w:rsidRPr="00F10C3A">
        <w:rPr>
          <w:rFonts w:ascii="Calibri" w:eastAsia="Calibri" w:hAnsi="Calibri"/>
          <w:snapToGrid/>
          <w:sz w:val="24"/>
          <w:szCs w:val="24"/>
        </w:rPr>
        <w:t xml:space="preserve">The ESC </w:t>
      </w:r>
      <w:r w:rsidR="006B0A35" w:rsidRPr="00F10C3A">
        <w:rPr>
          <w:rFonts w:ascii="Calibri" w:eastAsia="Calibri" w:hAnsi="Calibri"/>
          <w:snapToGrid/>
          <w:sz w:val="24"/>
          <w:szCs w:val="24"/>
        </w:rPr>
        <w:t>considered</w:t>
      </w:r>
      <w:r w:rsidRPr="00F10C3A">
        <w:rPr>
          <w:rFonts w:ascii="Calibri" w:eastAsia="Calibri" w:hAnsi="Calibri"/>
          <w:snapToGrid/>
          <w:sz w:val="24"/>
          <w:szCs w:val="24"/>
        </w:rPr>
        <w:t xml:space="preserve"> that</w:t>
      </w:r>
      <w:r w:rsidR="00086F3B" w:rsidRPr="00F10C3A">
        <w:rPr>
          <w:rFonts w:ascii="Calibri" w:eastAsia="Calibri" w:hAnsi="Calibri"/>
          <w:snapToGrid/>
          <w:sz w:val="24"/>
          <w:szCs w:val="24"/>
        </w:rPr>
        <w:t xml:space="preserve"> the assumptions used by the submission in the estimation of the </w:t>
      </w:r>
      <w:proofErr w:type="spellStart"/>
      <w:r w:rsidR="00086F3B" w:rsidRPr="00F10C3A">
        <w:rPr>
          <w:rFonts w:ascii="Calibri" w:eastAsia="Calibri" w:hAnsi="Calibri"/>
          <w:snapToGrid/>
          <w:sz w:val="24"/>
          <w:szCs w:val="24"/>
        </w:rPr>
        <w:t>equi</w:t>
      </w:r>
      <w:proofErr w:type="spellEnd"/>
      <w:r w:rsidR="00086F3B" w:rsidRPr="00F10C3A">
        <w:rPr>
          <w:rFonts w:ascii="Calibri" w:eastAsia="Calibri" w:hAnsi="Calibri"/>
          <w:snapToGrid/>
          <w:sz w:val="24"/>
          <w:szCs w:val="24"/>
        </w:rPr>
        <w:t>-effective dose of nicotine gum</w:t>
      </w:r>
      <w:r w:rsidR="0077058A" w:rsidRPr="00F10C3A">
        <w:rPr>
          <w:rFonts w:ascii="Calibri" w:eastAsia="Calibri" w:hAnsi="Calibri"/>
          <w:snapToGrid/>
          <w:sz w:val="24"/>
          <w:szCs w:val="24"/>
        </w:rPr>
        <w:t xml:space="preserve"> are likely to </w:t>
      </w:r>
      <w:r w:rsidRPr="00F10C3A">
        <w:rPr>
          <w:rFonts w:ascii="Calibri" w:eastAsia="Calibri" w:hAnsi="Calibri"/>
          <w:snapToGrid/>
          <w:sz w:val="24"/>
          <w:szCs w:val="24"/>
        </w:rPr>
        <w:t>have</w:t>
      </w:r>
      <w:r w:rsidR="00086F3B" w:rsidRPr="00F10C3A">
        <w:rPr>
          <w:rFonts w:ascii="Calibri" w:eastAsia="Calibri" w:hAnsi="Calibri"/>
          <w:snapToGrid/>
          <w:sz w:val="24"/>
          <w:szCs w:val="24"/>
        </w:rPr>
        <w:t xml:space="preserve"> resulted in the overestimation of the ex-manufacturer price per pack and DPMQ. </w:t>
      </w:r>
    </w:p>
    <w:p w:rsidR="00086F3B" w:rsidRPr="00F10C3A" w:rsidRDefault="00086F3B" w:rsidP="00086F3B">
      <w:pPr>
        <w:ind w:left="709"/>
        <w:rPr>
          <w:rFonts w:ascii="Calibri" w:eastAsia="Calibri" w:hAnsi="Calibri"/>
          <w:snapToGrid/>
          <w:sz w:val="24"/>
          <w:szCs w:val="24"/>
        </w:rPr>
      </w:pPr>
    </w:p>
    <w:p w:rsidR="00086F3B" w:rsidRPr="00F10C3A" w:rsidRDefault="00086F3B" w:rsidP="007E3BC0">
      <w:pPr>
        <w:widowControl/>
        <w:numPr>
          <w:ilvl w:val="1"/>
          <w:numId w:val="3"/>
        </w:numPr>
        <w:rPr>
          <w:rFonts w:ascii="Calibri" w:eastAsia="Calibri" w:hAnsi="Calibri"/>
          <w:snapToGrid/>
          <w:sz w:val="24"/>
          <w:szCs w:val="22"/>
        </w:rPr>
      </w:pPr>
      <w:r w:rsidRPr="00F10C3A">
        <w:rPr>
          <w:rFonts w:ascii="Calibri" w:eastAsia="Calibri" w:hAnsi="Calibri"/>
          <w:snapToGrid/>
          <w:sz w:val="24"/>
          <w:szCs w:val="22"/>
        </w:rPr>
        <w:t xml:space="preserve">The submission noted that no differences in other PBS or MBS items were expected compared with those currently incurred whilst treating patients with nicotine patches. This was on the basis of: </w:t>
      </w:r>
    </w:p>
    <w:p w:rsidR="00086F3B" w:rsidRPr="00F10C3A" w:rsidRDefault="00086F3B" w:rsidP="007E3BC0">
      <w:pPr>
        <w:pStyle w:val="ListParagraph"/>
        <w:numPr>
          <w:ilvl w:val="0"/>
          <w:numId w:val="11"/>
        </w:numPr>
        <w:ind w:left="1134"/>
        <w:rPr>
          <w:rFonts w:asciiTheme="minorHAnsi" w:eastAsia="Calibri" w:hAnsiTheme="minorHAnsi"/>
          <w:snapToGrid/>
          <w:sz w:val="24"/>
          <w:szCs w:val="24"/>
        </w:rPr>
      </w:pPr>
      <w:r w:rsidRPr="00F10C3A">
        <w:rPr>
          <w:rFonts w:asciiTheme="minorHAnsi" w:eastAsia="Calibri" w:hAnsiTheme="minorHAnsi"/>
          <w:snapToGrid/>
          <w:sz w:val="24"/>
          <w:szCs w:val="24"/>
        </w:rPr>
        <w:t>the claim of non-inferior efficacy and safety of nicotine gum</w:t>
      </w:r>
      <w:r w:rsidR="00A1720B" w:rsidRPr="00F10C3A">
        <w:rPr>
          <w:rFonts w:asciiTheme="minorHAnsi" w:eastAsia="Calibri" w:hAnsiTheme="minorHAnsi"/>
          <w:snapToGrid/>
          <w:sz w:val="24"/>
          <w:szCs w:val="24"/>
        </w:rPr>
        <w:t>/lozenges</w:t>
      </w:r>
      <w:r w:rsidRPr="00F10C3A">
        <w:rPr>
          <w:rFonts w:asciiTheme="minorHAnsi" w:eastAsia="Calibri" w:hAnsiTheme="minorHAnsi"/>
          <w:snapToGrid/>
          <w:sz w:val="24"/>
          <w:szCs w:val="24"/>
        </w:rPr>
        <w:t xml:space="preserve"> to patches; and</w:t>
      </w:r>
    </w:p>
    <w:p w:rsidR="00086F3B" w:rsidRPr="00F10C3A" w:rsidRDefault="00086F3B" w:rsidP="007E3BC0">
      <w:pPr>
        <w:pStyle w:val="ListParagraph"/>
        <w:numPr>
          <w:ilvl w:val="0"/>
          <w:numId w:val="11"/>
        </w:numPr>
        <w:ind w:left="1134"/>
        <w:rPr>
          <w:rFonts w:asciiTheme="minorHAnsi" w:eastAsia="Calibri" w:hAnsiTheme="minorHAnsi"/>
          <w:snapToGrid/>
          <w:sz w:val="24"/>
          <w:szCs w:val="24"/>
        </w:rPr>
      </w:pPr>
      <w:proofErr w:type="gramStart"/>
      <w:r w:rsidRPr="00F10C3A">
        <w:rPr>
          <w:rFonts w:asciiTheme="minorHAnsi" w:eastAsia="Calibri" w:hAnsiTheme="minorHAnsi"/>
          <w:snapToGrid/>
          <w:sz w:val="24"/>
          <w:szCs w:val="24"/>
        </w:rPr>
        <w:t>the</w:t>
      </w:r>
      <w:proofErr w:type="gramEnd"/>
      <w:r w:rsidRPr="00F10C3A">
        <w:rPr>
          <w:rFonts w:asciiTheme="minorHAnsi" w:eastAsia="Calibri" w:hAnsiTheme="minorHAnsi"/>
          <w:snapToGrid/>
          <w:sz w:val="24"/>
          <w:szCs w:val="24"/>
        </w:rPr>
        <w:t xml:space="preserve"> identical restriction proposed for nicotine gum to nicotine patches.</w:t>
      </w:r>
    </w:p>
    <w:p w:rsidR="003713ED" w:rsidRPr="00F10C3A" w:rsidRDefault="00C23C03" w:rsidP="0069549F">
      <w:pPr>
        <w:ind w:left="709"/>
        <w:rPr>
          <w:rFonts w:asciiTheme="minorHAnsi" w:eastAsia="Calibri" w:hAnsiTheme="minorHAnsi"/>
          <w:snapToGrid/>
          <w:sz w:val="24"/>
          <w:szCs w:val="24"/>
        </w:rPr>
      </w:pPr>
      <w:r w:rsidRPr="00F10C3A">
        <w:rPr>
          <w:rFonts w:asciiTheme="minorHAnsi" w:eastAsia="Calibri" w:hAnsiTheme="minorHAnsi"/>
          <w:snapToGrid/>
          <w:sz w:val="24"/>
          <w:szCs w:val="24"/>
        </w:rPr>
        <w:t>The ESC considered that while these assumptions were</w:t>
      </w:r>
      <w:r w:rsidR="00086F3B" w:rsidRPr="00F10C3A">
        <w:rPr>
          <w:rFonts w:asciiTheme="minorHAnsi" w:eastAsia="Calibri" w:hAnsiTheme="minorHAnsi"/>
          <w:snapToGrid/>
          <w:sz w:val="24"/>
          <w:szCs w:val="24"/>
        </w:rPr>
        <w:t xml:space="preserve"> </w:t>
      </w:r>
      <w:r w:rsidRPr="00F10C3A">
        <w:rPr>
          <w:rFonts w:asciiTheme="minorHAnsi" w:eastAsia="Calibri" w:hAnsiTheme="minorHAnsi"/>
          <w:snapToGrid/>
          <w:sz w:val="24"/>
          <w:szCs w:val="24"/>
        </w:rPr>
        <w:t>likely to be reasonable,</w:t>
      </w:r>
      <w:r w:rsidRPr="00F10C3A">
        <w:rPr>
          <w:rFonts w:asciiTheme="minorHAnsi" w:eastAsia="Calibri" w:hAnsiTheme="minorHAnsi"/>
          <w:snapToGrid/>
          <w:sz w:val="24"/>
          <w:szCs w:val="24"/>
        </w:rPr>
        <w:tab/>
        <w:t>nicotine lozenges and gum may be used in combination therapy with nicotine patches, given that the efficacy of nicotine lozenges and gum significantly improved when used in combination with nicotine patches</w:t>
      </w:r>
      <w:r w:rsidR="00567BB9" w:rsidRPr="00F10C3A">
        <w:rPr>
          <w:rFonts w:asciiTheme="minorHAnsi" w:eastAsia="Calibri" w:hAnsiTheme="minorHAnsi"/>
          <w:snapToGrid/>
          <w:sz w:val="24"/>
          <w:szCs w:val="24"/>
        </w:rPr>
        <w:t xml:space="preserve"> (Piper, 2009)</w:t>
      </w:r>
      <w:r w:rsidRPr="00F10C3A">
        <w:rPr>
          <w:rFonts w:asciiTheme="minorHAnsi" w:eastAsia="Calibri" w:hAnsiTheme="minorHAnsi"/>
          <w:snapToGrid/>
          <w:sz w:val="24"/>
          <w:szCs w:val="24"/>
        </w:rPr>
        <w:t xml:space="preserve">. </w:t>
      </w:r>
      <w:r w:rsidR="00074285" w:rsidRPr="00F10C3A">
        <w:rPr>
          <w:rFonts w:asciiTheme="minorHAnsi" w:eastAsia="Calibri" w:hAnsiTheme="minorHAnsi"/>
          <w:snapToGrid/>
          <w:sz w:val="24"/>
          <w:szCs w:val="24"/>
        </w:rPr>
        <w:t>The ESC further considered that a</w:t>
      </w:r>
      <w:r w:rsidRPr="00F10C3A">
        <w:rPr>
          <w:rFonts w:asciiTheme="minorHAnsi" w:eastAsia="Calibri" w:hAnsiTheme="minorHAnsi"/>
          <w:snapToGrid/>
          <w:sz w:val="24"/>
          <w:szCs w:val="24"/>
        </w:rPr>
        <w:t xml:space="preserve">lthough no evidence was provided in the submission about the cost-effectiveness of the combination treatment, </w:t>
      </w:r>
      <w:r w:rsidR="00074285" w:rsidRPr="00F10C3A">
        <w:rPr>
          <w:rFonts w:asciiTheme="minorHAnsi" w:eastAsia="Calibri" w:hAnsiTheme="minorHAnsi"/>
          <w:snapToGrid/>
          <w:sz w:val="24"/>
          <w:szCs w:val="24"/>
        </w:rPr>
        <w:t>it was highly</w:t>
      </w:r>
      <w:r w:rsidRPr="00F10C3A">
        <w:rPr>
          <w:rFonts w:asciiTheme="minorHAnsi" w:eastAsia="Calibri" w:hAnsiTheme="minorHAnsi"/>
          <w:snapToGrid/>
          <w:sz w:val="24"/>
          <w:szCs w:val="24"/>
        </w:rPr>
        <w:t xml:space="preserve"> likely</w:t>
      </w:r>
      <w:r w:rsidR="00074285" w:rsidRPr="00F10C3A">
        <w:rPr>
          <w:rFonts w:asciiTheme="minorHAnsi" w:eastAsia="Calibri" w:hAnsiTheme="minorHAnsi"/>
          <w:snapToGrid/>
          <w:sz w:val="24"/>
          <w:szCs w:val="24"/>
        </w:rPr>
        <w:t xml:space="preserve"> that combination use would</w:t>
      </w:r>
      <w:r w:rsidRPr="00F10C3A">
        <w:rPr>
          <w:rFonts w:asciiTheme="minorHAnsi" w:eastAsia="Calibri" w:hAnsiTheme="minorHAnsi"/>
          <w:snapToGrid/>
          <w:sz w:val="24"/>
          <w:szCs w:val="24"/>
        </w:rPr>
        <w:t xml:space="preserve"> occur in practice</w:t>
      </w:r>
      <w:r w:rsidR="00074285" w:rsidRPr="00F10C3A">
        <w:rPr>
          <w:rFonts w:asciiTheme="minorHAnsi" w:eastAsia="Calibri" w:hAnsiTheme="minorHAnsi"/>
          <w:snapToGrid/>
          <w:sz w:val="24"/>
          <w:szCs w:val="24"/>
        </w:rPr>
        <w:t>,</w:t>
      </w:r>
      <w:r w:rsidRPr="00F10C3A">
        <w:rPr>
          <w:rFonts w:asciiTheme="minorHAnsi" w:eastAsia="Calibri" w:hAnsiTheme="minorHAnsi"/>
          <w:snapToGrid/>
          <w:sz w:val="24"/>
          <w:szCs w:val="24"/>
        </w:rPr>
        <w:t xml:space="preserve"> and would </w:t>
      </w:r>
      <w:r w:rsidR="00074285" w:rsidRPr="00F10C3A">
        <w:rPr>
          <w:rFonts w:asciiTheme="minorHAnsi" w:eastAsia="Calibri" w:hAnsiTheme="minorHAnsi"/>
          <w:snapToGrid/>
          <w:sz w:val="24"/>
          <w:szCs w:val="24"/>
        </w:rPr>
        <w:t xml:space="preserve">therefore </w:t>
      </w:r>
      <w:r w:rsidRPr="00F10C3A">
        <w:rPr>
          <w:rFonts w:asciiTheme="minorHAnsi" w:eastAsia="Calibri" w:hAnsiTheme="minorHAnsi"/>
          <w:snapToGrid/>
          <w:sz w:val="24"/>
          <w:szCs w:val="24"/>
        </w:rPr>
        <w:t>have substantial financial implications</w:t>
      </w:r>
      <w:r w:rsidR="00EB1FB2" w:rsidRPr="00F10C3A">
        <w:rPr>
          <w:rFonts w:asciiTheme="minorHAnsi" w:eastAsia="Calibri" w:hAnsiTheme="minorHAnsi"/>
          <w:snapToGrid/>
          <w:sz w:val="24"/>
          <w:szCs w:val="24"/>
        </w:rPr>
        <w:t>.</w:t>
      </w:r>
    </w:p>
    <w:p w:rsidR="0045698A" w:rsidRPr="002E7917" w:rsidRDefault="0045698A" w:rsidP="003F1965">
      <w:pPr>
        <w:pStyle w:val="V50Heading2nonumbers"/>
      </w:pPr>
      <w:bookmarkStart w:id="42" w:name="_Toc413139283"/>
      <w:bookmarkStart w:id="43" w:name="_Toc476306893"/>
      <w:bookmarkStart w:id="44" w:name="_Toc482710301"/>
      <w:r w:rsidRPr="002E7917">
        <w:t>D</w:t>
      </w:r>
      <w:r w:rsidR="009947D6" w:rsidRPr="002E7917">
        <w:t>rug cost/patient/</w:t>
      </w:r>
      <w:r w:rsidR="00B30FF7">
        <w:t xml:space="preserve">12 week </w:t>
      </w:r>
      <w:r w:rsidR="00EA28BE" w:rsidRPr="002E7917">
        <w:t>course: $</w:t>
      </w:r>
      <w:bookmarkEnd w:id="42"/>
      <w:bookmarkEnd w:id="43"/>
      <w:r w:rsidR="000E5B11" w:rsidRPr="00F61481">
        <w:t>158</w:t>
      </w:r>
      <w:bookmarkEnd w:id="44"/>
    </w:p>
    <w:p w:rsidR="001932F8" w:rsidRPr="00F10C3A" w:rsidRDefault="00EA28BE" w:rsidP="007E3BC0">
      <w:pPr>
        <w:widowControl/>
        <w:numPr>
          <w:ilvl w:val="1"/>
          <w:numId w:val="3"/>
        </w:numPr>
        <w:spacing w:before="120" w:after="120"/>
        <w:rPr>
          <w:rFonts w:asciiTheme="minorHAnsi" w:eastAsia="Calibri" w:hAnsiTheme="minorHAnsi"/>
          <w:sz w:val="24"/>
        </w:rPr>
      </w:pPr>
      <w:r w:rsidRPr="00F10C3A">
        <w:rPr>
          <w:rFonts w:asciiTheme="minorHAnsi" w:eastAsia="Calibri" w:hAnsiTheme="minorHAnsi"/>
          <w:sz w:val="24"/>
        </w:rPr>
        <w:t>The submission estimated a drug cost per patient per course of $</w:t>
      </w:r>
      <w:r w:rsidR="000E5B11" w:rsidRPr="00F61481">
        <w:rPr>
          <w:rFonts w:asciiTheme="minorHAnsi" w:eastAsia="Calibri" w:hAnsiTheme="minorHAnsi"/>
          <w:sz w:val="24"/>
        </w:rPr>
        <w:t>158</w:t>
      </w:r>
      <w:r w:rsidR="00227C3D" w:rsidRPr="00F10C3A">
        <w:rPr>
          <w:rFonts w:asciiTheme="minorHAnsi" w:eastAsia="Calibri" w:hAnsiTheme="minorHAnsi"/>
          <w:sz w:val="24"/>
        </w:rPr>
        <w:t xml:space="preserve"> </w:t>
      </w:r>
      <w:r w:rsidRPr="00F10C3A">
        <w:rPr>
          <w:rFonts w:asciiTheme="minorHAnsi" w:eastAsia="Calibri" w:hAnsiTheme="minorHAnsi"/>
          <w:sz w:val="24"/>
        </w:rPr>
        <w:t xml:space="preserve">for nicotine lozenges and for nicotine gum. This was based on </w:t>
      </w:r>
      <w:r w:rsidR="00AF30EE" w:rsidRPr="00F10C3A">
        <w:rPr>
          <w:rFonts w:asciiTheme="minorHAnsi" w:eastAsia="Calibri" w:hAnsiTheme="minorHAnsi"/>
          <w:sz w:val="24"/>
        </w:rPr>
        <w:t>a dispensed price for maximum quantity (DPMQ)</w:t>
      </w:r>
      <w:r w:rsidRPr="00F10C3A">
        <w:rPr>
          <w:rFonts w:asciiTheme="minorHAnsi" w:eastAsia="Calibri" w:hAnsiTheme="minorHAnsi"/>
          <w:sz w:val="24"/>
        </w:rPr>
        <w:t xml:space="preserve"> of $</w:t>
      </w:r>
      <w:r w:rsidR="000E5B11" w:rsidRPr="00F61481">
        <w:rPr>
          <w:rFonts w:asciiTheme="minorHAnsi" w:eastAsia="Calibri" w:hAnsiTheme="minorHAnsi"/>
          <w:sz w:val="24"/>
        </w:rPr>
        <w:t>53</w:t>
      </w:r>
      <w:r w:rsidR="005E35D8" w:rsidRPr="00F10C3A">
        <w:rPr>
          <w:rFonts w:asciiTheme="minorHAnsi" w:eastAsia="Calibri" w:hAnsiTheme="minorHAnsi"/>
          <w:sz w:val="24"/>
        </w:rPr>
        <w:t xml:space="preserve"> </w:t>
      </w:r>
      <w:r w:rsidRPr="00F10C3A">
        <w:rPr>
          <w:rFonts w:asciiTheme="minorHAnsi" w:eastAsia="Calibri" w:hAnsiTheme="minorHAnsi"/>
          <w:sz w:val="24"/>
        </w:rPr>
        <w:t xml:space="preserve">per </w:t>
      </w:r>
      <w:r w:rsidRPr="00F61481">
        <w:rPr>
          <w:rFonts w:asciiTheme="minorHAnsi" w:eastAsia="Calibri" w:hAnsiTheme="minorHAnsi"/>
          <w:sz w:val="24"/>
        </w:rPr>
        <w:t>216</w:t>
      </w:r>
      <w:r w:rsidRPr="00F10C3A">
        <w:rPr>
          <w:rFonts w:asciiTheme="minorHAnsi" w:eastAsia="Calibri" w:hAnsiTheme="minorHAnsi"/>
          <w:sz w:val="24"/>
        </w:rPr>
        <w:t xml:space="preserve">-piece pack of nicotine lozenges or gum, with </w:t>
      </w:r>
      <w:r w:rsidRPr="00F61481">
        <w:rPr>
          <w:rFonts w:asciiTheme="minorHAnsi" w:eastAsia="Calibri" w:hAnsiTheme="minorHAnsi"/>
          <w:sz w:val="24"/>
        </w:rPr>
        <w:t>three</w:t>
      </w:r>
      <w:r w:rsidRPr="00F10C3A">
        <w:rPr>
          <w:rFonts w:asciiTheme="minorHAnsi" w:eastAsia="Calibri" w:hAnsiTheme="minorHAnsi"/>
          <w:sz w:val="24"/>
        </w:rPr>
        <w:t xml:space="preserve"> packs expected to provide a full 12-week treatment course. </w:t>
      </w:r>
    </w:p>
    <w:p w:rsidR="001932F8" w:rsidRPr="00F10C3A" w:rsidRDefault="001932F8" w:rsidP="007E3BC0">
      <w:pPr>
        <w:widowControl/>
        <w:numPr>
          <w:ilvl w:val="1"/>
          <w:numId w:val="3"/>
        </w:numPr>
        <w:spacing w:before="120" w:after="120"/>
        <w:rPr>
          <w:rFonts w:asciiTheme="minorHAnsi" w:eastAsia="Calibri" w:hAnsiTheme="minorHAnsi"/>
          <w:sz w:val="24"/>
        </w:rPr>
      </w:pPr>
      <w:r w:rsidRPr="00F10C3A">
        <w:rPr>
          <w:rFonts w:asciiTheme="minorHAnsi" w:eastAsia="Calibri" w:hAnsiTheme="minorHAnsi"/>
          <w:sz w:val="24"/>
        </w:rPr>
        <w:t xml:space="preserve">During the evaluation, a </w:t>
      </w:r>
      <w:r w:rsidR="00AF30EE" w:rsidRPr="00F10C3A">
        <w:rPr>
          <w:rFonts w:asciiTheme="minorHAnsi" w:eastAsia="Calibri" w:hAnsiTheme="minorHAnsi"/>
          <w:sz w:val="24"/>
        </w:rPr>
        <w:t>DPMQ</w:t>
      </w:r>
      <w:r w:rsidRPr="00F10C3A">
        <w:rPr>
          <w:rFonts w:asciiTheme="minorHAnsi" w:eastAsia="Calibri" w:hAnsiTheme="minorHAnsi"/>
          <w:sz w:val="24"/>
        </w:rPr>
        <w:t xml:space="preserve"> of $</w:t>
      </w:r>
      <w:r w:rsidR="00AF30EE" w:rsidRPr="00F61481">
        <w:rPr>
          <w:rFonts w:asciiTheme="minorHAnsi" w:eastAsia="Calibri" w:hAnsiTheme="minorHAnsi"/>
          <w:sz w:val="24"/>
        </w:rPr>
        <w:t>4</w:t>
      </w:r>
      <w:r w:rsidR="000E5B11" w:rsidRPr="00F61481">
        <w:rPr>
          <w:rFonts w:asciiTheme="minorHAnsi" w:eastAsia="Calibri" w:hAnsiTheme="minorHAnsi"/>
          <w:sz w:val="24"/>
        </w:rPr>
        <w:t>7</w:t>
      </w:r>
      <w:r w:rsidR="0038008A" w:rsidRPr="00F61481">
        <w:rPr>
          <w:rFonts w:asciiTheme="minorHAnsi" w:eastAsia="Calibri" w:hAnsiTheme="minorHAnsi"/>
          <w:sz w:val="24"/>
        </w:rPr>
        <w:t xml:space="preserve"> </w:t>
      </w:r>
      <w:r w:rsidR="00961358" w:rsidRPr="00F10C3A">
        <w:rPr>
          <w:rFonts w:asciiTheme="minorHAnsi" w:eastAsia="Calibri" w:hAnsiTheme="minorHAnsi"/>
          <w:sz w:val="24"/>
        </w:rPr>
        <w:t>per pack of</w:t>
      </w:r>
      <w:r w:rsidRPr="00F10C3A">
        <w:rPr>
          <w:rFonts w:asciiTheme="minorHAnsi" w:eastAsia="Calibri" w:hAnsiTheme="minorHAnsi"/>
          <w:sz w:val="24"/>
        </w:rPr>
        <w:t xml:space="preserve"> nicotine lozenges, and $</w:t>
      </w:r>
      <w:r w:rsidR="00AF30EE" w:rsidRPr="00F61481">
        <w:rPr>
          <w:rFonts w:asciiTheme="minorHAnsi" w:eastAsia="Calibri" w:hAnsiTheme="minorHAnsi"/>
          <w:sz w:val="24"/>
        </w:rPr>
        <w:t>4</w:t>
      </w:r>
      <w:r w:rsidR="000E5B11" w:rsidRPr="00F61481">
        <w:rPr>
          <w:rFonts w:asciiTheme="minorHAnsi" w:eastAsia="Calibri" w:hAnsiTheme="minorHAnsi"/>
          <w:sz w:val="24"/>
        </w:rPr>
        <w:t>8</w:t>
      </w:r>
      <w:r w:rsidR="00961358" w:rsidRPr="00F10C3A">
        <w:rPr>
          <w:rFonts w:asciiTheme="minorHAnsi" w:eastAsia="Calibri" w:hAnsiTheme="minorHAnsi"/>
          <w:sz w:val="24"/>
        </w:rPr>
        <w:t xml:space="preserve"> per pack of nicotine gum was estimated</w:t>
      </w:r>
      <w:r w:rsidR="004A2FAA" w:rsidRPr="00F10C3A">
        <w:rPr>
          <w:rFonts w:asciiTheme="minorHAnsi" w:eastAsia="Calibri" w:hAnsiTheme="minorHAnsi"/>
          <w:sz w:val="24"/>
        </w:rPr>
        <w:t xml:space="preserve"> based on an assumed trial-based patient adherence rate of 86%</w:t>
      </w:r>
      <w:r w:rsidR="00686768" w:rsidRPr="00F10C3A">
        <w:rPr>
          <w:rFonts w:asciiTheme="minorHAnsi" w:eastAsia="Calibri" w:hAnsiTheme="minorHAnsi"/>
          <w:sz w:val="24"/>
        </w:rPr>
        <w:t xml:space="preserve"> for the nicotine patches</w:t>
      </w:r>
      <w:r w:rsidR="004A2FAA" w:rsidRPr="00F10C3A">
        <w:rPr>
          <w:rFonts w:asciiTheme="minorHAnsi" w:eastAsia="Calibri" w:hAnsiTheme="minorHAnsi"/>
          <w:sz w:val="24"/>
        </w:rPr>
        <w:t xml:space="preserve"> (Piper, 2009), rather than full compliance as assumed by the submission</w:t>
      </w:r>
      <w:r w:rsidR="00961358" w:rsidRPr="00F10C3A">
        <w:rPr>
          <w:rFonts w:asciiTheme="minorHAnsi" w:eastAsia="Calibri" w:hAnsiTheme="minorHAnsi"/>
          <w:sz w:val="24"/>
        </w:rPr>
        <w:t xml:space="preserve">. Based on a 12-week treatment course using </w:t>
      </w:r>
      <w:r w:rsidR="00961358" w:rsidRPr="00F61481">
        <w:rPr>
          <w:rFonts w:asciiTheme="minorHAnsi" w:eastAsia="Calibri" w:hAnsiTheme="minorHAnsi"/>
          <w:sz w:val="24"/>
        </w:rPr>
        <w:t>three</w:t>
      </w:r>
      <w:r w:rsidR="00961358" w:rsidRPr="00F10C3A">
        <w:rPr>
          <w:rFonts w:asciiTheme="minorHAnsi" w:eastAsia="Calibri" w:hAnsiTheme="minorHAnsi"/>
          <w:sz w:val="24"/>
        </w:rPr>
        <w:t xml:space="preserve"> packs, it is estimated that a full course of nicotine lozenge therapy would cost $</w:t>
      </w:r>
      <w:r w:rsidR="000E5B11" w:rsidRPr="00F61481">
        <w:rPr>
          <w:rFonts w:asciiTheme="minorHAnsi" w:eastAsia="Calibri" w:hAnsiTheme="minorHAnsi"/>
          <w:sz w:val="24"/>
        </w:rPr>
        <w:t>140</w:t>
      </w:r>
      <w:r w:rsidR="00961358" w:rsidRPr="00F10C3A">
        <w:rPr>
          <w:rFonts w:asciiTheme="minorHAnsi" w:eastAsia="Calibri" w:hAnsiTheme="minorHAnsi"/>
          <w:sz w:val="24"/>
        </w:rPr>
        <w:t xml:space="preserve"> and a full course of nicotine gum would cost $</w:t>
      </w:r>
      <w:r w:rsidR="00AF30EE" w:rsidRPr="00F61481">
        <w:rPr>
          <w:rFonts w:asciiTheme="minorHAnsi" w:eastAsia="Calibri" w:hAnsiTheme="minorHAnsi"/>
          <w:sz w:val="24"/>
        </w:rPr>
        <w:t>143</w:t>
      </w:r>
      <w:r w:rsidR="00961358" w:rsidRPr="00F10C3A">
        <w:rPr>
          <w:rFonts w:asciiTheme="minorHAnsi" w:eastAsia="Calibri" w:hAnsiTheme="minorHAnsi"/>
          <w:sz w:val="24"/>
        </w:rPr>
        <w:t>.</w:t>
      </w:r>
      <w:r w:rsidR="00CB0691" w:rsidRPr="00F10C3A">
        <w:rPr>
          <w:rFonts w:asciiTheme="minorHAnsi" w:eastAsia="Calibri" w:hAnsiTheme="minorHAnsi"/>
          <w:sz w:val="24"/>
        </w:rPr>
        <w:t xml:space="preserve"> The ESC noted that the price of using the nicotine patches for the 12-week period was $</w:t>
      </w:r>
      <w:r w:rsidR="00CB0691" w:rsidRPr="00F61481">
        <w:rPr>
          <w:rFonts w:asciiTheme="minorHAnsi" w:eastAsia="Calibri" w:hAnsiTheme="minorHAnsi"/>
          <w:sz w:val="24"/>
        </w:rPr>
        <w:t>1</w:t>
      </w:r>
      <w:r w:rsidR="0086120E" w:rsidRPr="00F61481">
        <w:rPr>
          <w:rFonts w:asciiTheme="minorHAnsi" w:eastAsia="Calibri" w:hAnsiTheme="minorHAnsi"/>
          <w:sz w:val="24"/>
        </w:rPr>
        <w:t>37</w:t>
      </w:r>
      <w:r w:rsidR="00CB0691" w:rsidRPr="00F10C3A">
        <w:rPr>
          <w:rFonts w:asciiTheme="minorHAnsi" w:eastAsia="Calibri" w:hAnsiTheme="minorHAnsi"/>
          <w:sz w:val="24"/>
        </w:rPr>
        <w:t xml:space="preserve">, using </w:t>
      </w:r>
      <w:r w:rsidR="0086120E" w:rsidRPr="00F10C3A">
        <w:rPr>
          <w:rFonts w:asciiTheme="minorHAnsi" w:eastAsia="Calibri" w:hAnsiTheme="minorHAnsi"/>
          <w:sz w:val="24"/>
        </w:rPr>
        <w:t xml:space="preserve">a </w:t>
      </w:r>
      <w:r w:rsidR="00CB0691" w:rsidRPr="00F10C3A">
        <w:rPr>
          <w:rFonts w:asciiTheme="minorHAnsi" w:eastAsia="Calibri" w:hAnsiTheme="minorHAnsi"/>
          <w:sz w:val="24"/>
        </w:rPr>
        <w:t>DPMQ of $</w:t>
      </w:r>
      <w:r w:rsidR="00CB0691" w:rsidRPr="00F61481">
        <w:rPr>
          <w:rFonts w:asciiTheme="minorHAnsi" w:eastAsia="Calibri" w:hAnsiTheme="minorHAnsi"/>
          <w:sz w:val="24"/>
        </w:rPr>
        <w:t xml:space="preserve">53 </w:t>
      </w:r>
      <w:r w:rsidR="00CB0691" w:rsidRPr="00F10C3A">
        <w:rPr>
          <w:rFonts w:asciiTheme="minorHAnsi" w:eastAsia="Calibri" w:hAnsiTheme="minorHAnsi"/>
          <w:sz w:val="24"/>
        </w:rPr>
        <w:t>per pack of the sponsor’s brand of the nicotine patches currently listed on the PBS, and based on an assumed trial-based patient adherence rate of 86% (Piper, 2009).</w:t>
      </w:r>
    </w:p>
    <w:p w:rsidR="0045698A" w:rsidRPr="002E7917" w:rsidRDefault="0045698A" w:rsidP="003F1965">
      <w:pPr>
        <w:pStyle w:val="V50Heading2nonumbers"/>
      </w:pPr>
      <w:bookmarkStart w:id="45" w:name="_Toc413139284"/>
      <w:bookmarkStart w:id="46" w:name="_Toc476306894"/>
      <w:bookmarkStart w:id="47" w:name="_Toc482710302"/>
      <w:r w:rsidRPr="002E7917">
        <w:t>Estimated PBS usage &amp; financial implications</w:t>
      </w:r>
      <w:bookmarkEnd w:id="45"/>
      <w:bookmarkEnd w:id="46"/>
      <w:bookmarkEnd w:id="47"/>
    </w:p>
    <w:p w:rsidR="00F838E8" w:rsidRPr="00B30FF7" w:rsidRDefault="00F838E8" w:rsidP="00B30FF7">
      <w:pPr>
        <w:widowControl/>
        <w:numPr>
          <w:ilvl w:val="1"/>
          <w:numId w:val="3"/>
        </w:numPr>
        <w:spacing w:before="120" w:after="120"/>
        <w:rPr>
          <w:rFonts w:asciiTheme="minorHAnsi" w:eastAsia="Calibri" w:hAnsiTheme="minorHAnsi"/>
          <w:sz w:val="24"/>
        </w:rPr>
      </w:pPr>
      <w:r w:rsidRPr="00B30FF7">
        <w:rPr>
          <w:rFonts w:asciiTheme="minorHAnsi" w:eastAsia="Calibri" w:hAnsiTheme="minorHAnsi"/>
          <w:sz w:val="24"/>
        </w:rPr>
        <w:t>The submission used a non-</w:t>
      </w:r>
      <w:r w:rsidR="008A584A">
        <w:rPr>
          <w:rFonts w:asciiTheme="minorHAnsi" w:eastAsia="Calibri" w:hAnsiTheme="minorHAnsi"/>
          <w:sz w:val="24"/>
        </w:rPr>
        <w:t>standard</w:t>
      </w:r>
      <w:r w:rsidRPr="00B30FF7">
        <w:rPr>
          <w:rFonts w:asciiTheme="minorHAnsi" w:eastAsia="Calibri" w:hAnsiTheme="minorHAnsi"/>
          <w:sz w:val="24"/>
        </w:rPr>
        <w:t xml:space="preserve"> market share approach based on a combination of the potential shift from the over-the-counter (OTC) lozenge and gum markets and from the existing PBS listed therapies (nicotine patches, </w:t>
      </w:r>
      <w:proofErr w:type="spellStart"/>
      <w:r w:rsidRPr="00B30FF7">
        <w:rPr>
          <w:rFonts w:asciiTheme="minorHAnsi" w:eastAsia="Calibri" w:hAnsiTheme="minorHAnsi"/>
          <w:sz w:val="24"/>
        </w:rPr>
        <w:t>varenicline</w:t>
      </w:r>
      <w:proofErr w:type="spellEnd"/>
      <w:r w:rsidRPr="00B30FF7">
        <w:rPr>
          <w:rFonts w:asciiTheme="minorHAnsi" w:eastAsia="Calibri" w:hAnsiTheme="minorHAnsi"/>
          <w:sz w:val="24"/>
        </w:rPr>
        <w:t xml:space="preserve"> and bupropion) to the potential PBS listed gum and lozenges. </w:t>
      </w:r>
    </w:p>
    <w:p w:rsidR="00B22215" w:rsidRDefault="00B22215">
      <w:pPr>
        <w:widowControl/>
        <w:jc w:val="left"/>
        <w:rPr>
          <w:rFonts w:eastAsia="Calibri"/>
          <w:b/>
          <w:snapToGrid/>
          <w:szCs w:val="22"/>
        </w:rPr>
      </w:pPr>
      <w:r>
        <w:rPr>
          <w:rFonts w:eastAsia="Calibri"/>
          <w:snapToGrid/>
        </w:rPr>
        <w:br w:type="page"/>
      </w:r>
    </w:p>
    <w:p w:rsidR="00910E30" w:rsidRDefault="00910E30" w:rsidP="00910E30">
      <w:pPr>
        <w:pStyle w:val="Caption"/>
      </w:pPr>
      <w:r>
        <w:t xml:space="preserve">Table </w:t>
      </w:r>
      <w:r>
        <w:rPr>
          <w:noProof/>
        </w:rPr>
        <w:t>14</w:t>
      </w:r>
      <w:r w:rsidRPr="00621A09">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86"/>
        <w:gridCol w:w="1357"/>
        <w:gridCol w:w="1359"/>
        <w:gridCol w:w="1359"/>
        <w:gridCol w:w="1359"/>
        <w:gridCol w:w="1362"/>
      </w:tblGrid>
      <w:tr w:rsidR="00F838E8" w:rsidRPr="00F838E8" w:rsidTr="00B2153D">
        <w:trPr>
          <w:trHeight w:val="53"/>
          <w:tblHeader/>
        </w:trPr>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p>
        </w:tc>
        <w:tc>
          <w:tcPr>
            <w:tcW w:w="747" w:type="pct"/>
            <w:shd w:val="clear" w:color="auto" w:fill="auto"/>
            <w:vAlign w:val="center"/>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Year 1</w:t>
            </w:r>
          </w:p>
        </w:tc>
        <w:tc>
          <w:tcPr>
            <w:tcW w:w="748" w:type="pct"/>
            <w:shd w:val="clear" w:color="auto" w:fill="auto"/>
            <w:vAlign w:val="center"/>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Year 2</w:t>
            </w:r>
          </w:p>
        </w:tc>
        <w:tc>
          <w:tcPr>
            <w:tcW w:w="748" w:type="pct"/>
            <w:shd w:val="clear" w:color="auto" w:fill="auto"/>
            <w:vAlign w:val="center"/>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Year 3</w:t>
            </w:r>
          </w:p>
        </w:tc>
        <w:tc>
          <w:tcPr>
            <w:tcW w:w="748" w:type="pct"/>
            <w:shd w:val="clear" w:color="auto" w:fill="auto"/>
            <w:vAlign w:val="center"/>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Year 4</w:t>
            </w:r>
          </w:p>
        </w:tc>
        <w:tc>
          <w:tcPr>
            <w:tcW w:w="750" w:type="pct"/>
            <w:shd w:val="clear" w:color="auto" w:fill="auto"/>
            <w:vAlign w:val="center"/>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Year 5</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Nicotine gum and lozenges</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 xml:space="preserve">Estimated number of people treated with </w:t>
            </w:r>
            <w:proofErr w:type="spellStart"/>
            <w:r w:rsidRPr="00F838E8">
              <w:rPr>
                <w:rFonts w:ascii="Arial Narrow" w:eastAsia="Calibri" w:hAnsi="Arial Narrow"/>
                <w:b/>
                <w:snapToGrid/>
                <w:sz w:val="20"/>
                <w:szCs w:val="22"/>
              </w:rPr>
              <w:t>Nicotinell</w:t>
            </w:r>
            <w:proofErr w:type="spellEnd"/>
            <w:r w:rsidRPr="00F838E8">
              <w:rPr>
                <w:rFonts w:ascii="Arial Narrow" w:eastAsia="Calibri" w:hAnsi="Arial Narrow"/>
                <w:b/>
                <w:snapToGrid/>
                <w:sz w:val="20"/>
                <w:szCs w:val="22"/>
              </w:rPr>
              <w:t>® gum and lozenges</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Gum</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Lozenge</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w:t>
            </w:r>
          </w:p>
        </w:tc>
        <w:tc>
          <w:tcPr>
            <w:tcW w:w="747"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r>
      <w:tr w:rsidR="00F838E8" w:rsidRPr="00F838E8" w:rsidTr="00B2153D">
        <w:tc>
          <w:tcPr>
            <w:tcW w:w="5000" w:type="pct"/>
            <w:gridSpan w:val="6"/>
            <w:shd w:val="clear" w:color="auto" w:fill="auto"/>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 xml:space="preserve">Estimated number of PBS </w:t>
            </w:r>
            <w:r w:rsidRPr="00AC53B8">
              <w:rPr>
                <w:rFonts w:ascii="Arial Narrow" w:eastAsia="Calibri" w:hAnsi="Arial Narrow"/>
                <w:b/>
                <w:snapToGrid/>
                <w:sz w:val="20"/>
                <w:szCs w:val="22"/>
              </w:rPr>
              <w:t xml:space="preserve">prescriptions </w:t>
            </w:r>
            <w:r w:rsidRPr="00F838E8">
              <w:rPr>
                <w:rFonts w:ascii="Arial Narrow" w:eastAsia="Calibri" w:hAnsi="Arial Narrow"/>
                <w:b/>
                <w:snapToGrid/>
                <w:sz w:val="20"/>
                <w:szCs w:val="22"/>
              </w:rPr>
              <w:t xml:space="preserve">for </w:t>
            </w:r>
            <w:proofErr w:type="spellStart"/>
            <w:r w:rsidRPr="00F838E8">
              <w:rPr>
                <w:rFonts w:ascii="Arial Narrow" w:eastAsia="Calibri" w:hAnsi="Arial Narrow"/>
                <w:b/>
                <w:snapToGrid/>
                <w:sz w:val="20"/>
                <w:szCs w:val="22"/>
              </w:rPr>
              <w:t>Nicotinell</w:t>
            </w:r>
            <w:proofErr w:type="spellEnd"/>
            <w:r w:rsidRPr="00F838E8">
              <w:rPr>
                <w:rFonts w:ascii="Arial Narrow" w:eastAsia="Calibri" w:hAnsi="Arial Narrow"/>
                <w:b/>
                <w:snapToGrid/>
                <w:sz w:val="20"/>
                <w:szCs w:val="22"/>
              </w:rPr>
              <w:t>® gum and lozenges</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Nicotine Gum</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Nicotine Lozenge</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w:t>
            </w:r>
          </w:p>
        </w:tc>
        <w:tc>
          <w:tcPr>
            <w:tcW w:w="747"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r>
      <w:tr w:rsidR="00F838E8" w:rsidRPr="00F838E8" w:rsidTr="00B2153D">
        <w:tc>
          <w:tcPr>
            <w:tcW w:w="5000" w:type="pct"/>
            <w:gridSpan w:val="6"/>
            <w:shd w:val="clear" w:color="auto" w:fill="auto"/>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 xml:space="preserve">Estimated financial implications of </w:t>
            </w:r>
            <w:proofErr w:type="spellStart"/>
            <w:r w:rsidRPr="00F838E8">
              <w:rPr>
                <w:rFonts w:ascii="Arial Narrow" w:eastAsia="Calibri" w:hAnsi="Arial Narrow"/>
                <w:b/>
                <w:snapToGrid/>
                <w:sz w:val="20"/>
                <w:szCs w:val="22"/>
              </w:rPr>
              <w:t>Nicotinell</w:t>
            </w:r>
            <w:proofErr w:type="spellEnd"/>
            <w:r w:rsidRPr="00F838E8">
              <w:rPr>
                <w:rFonts w:ascii="Arial Narrow" w:eastAsia="Calibri" w:hAnsi="Arial Narrow"/>
                <w:b/>
                <w:snapToGrid/>
                <w:sz w:val="20"/>
                <w:szCs w:val="22"/>
              </w:rPr>
              <w:t>® gum and lozenges</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Cost to PBS/RPBS (2 mg)</w:t>
            </w:r>
          </w:p>
        </w:tc>
        <w:tc>
          <w:tcPr>
            <w:tcW w:w="747"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50"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Cost to PBS/RPBS (4 mg)</w:t>
            </w:r>
          </w:p>
        </w:tc>
        <w:tc>
          <w:tcPr>
            <w:tcW w:w="747"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50" w:type="pct"/>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 cost to PBS/RPBS</w:t>
            </w:r>
          </w:p>
        </w:tc>
        <w:tc>
          <w:tcPr>
            <w:tcW w:w="747"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50"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proofErr w:type="spellStart"/>
            <w:r w:rsidRPr="00F838E8">
              <w:rPr>
                <w:rFonts w:ascii="Arial Narrow" w:eastAsia="Calibri" w:hAnsi="Arial Narrow"/>
                <w:b/>
                <w:snapToGrid/>
                <w:sz w:val="20"/>
                <w:szCs w:val="22"/>
              </w:rPr>
              <w:t>Varenicline</w:t>
            </w:r>
            <w:proofErr w:type="spellEnd"/>
            <w:r w:rsidRPr="00F838E8">
              <w:rPr>
                <w:rFonts w:ascii="Arial Narrow" w:eastAsia="Calibri" w:hAnsi="Arial Narrow"/>
                <w:b/>
                <w:snapToGrid/>
                <w:sz w:val="20"/>
                <w:szCs w:val="22"/>
              </w:rPr>
              <w:t>, nicotine patches and bupropion</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Estimated change in number of people treated</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proofErr w:type="spellStart"/>
            <w:r w:rsidRPr="00F838E8">
              <w:rPr>
                <w:rFonts w:ascii="Arial Narrow" w:eastAsia="Calibri" w:hAnsi="Arial Narrow"/>
                <w:snapToGrid/>
                <w:sz w:val="20"/>
                <w:szCs w:val="22"/>
              </w:rPr>
              <w:t>Varenicline</w:t>
            </w:r>
            <w:proofErr w:type="spellEnd"/>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Nicotine patch</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Bupropion</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w:t>
            </w:r>
          </w:p>
        </w:tc>
        <w:tc>
          <w:tcPr>
            <w:tcW w:w="747"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b/>
                <w:noProof/>
                <w:snapToGrid/>
                <w:color w:val="000000"/>
                <w:sz w:val="20"/>
                <w:szCs w:val="22"/>
                <w:highlight w:val="black"/>
              </w:rPr>
              <w:t>''''''''''''''''</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 xml:space="preserve">Estimated change in PBS </w:t>
            </w:r>
            <w:r w:rsidRPr="00AC53B8">
              <w:rPr>
                <w:rFonts w:ascii="Arial Narrow" w:eastAsia="Calibri" w:hAnsi="Arial Narrow"/>
                <w:b/>
                <w:snapToGrid/>
                <w:sz w:val="20"/>
                <w:szCs w:val="22"/>
              </w:rPr>
              <w:t>prescriptions</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proofErr w:type="spellStart"/>
            <w:r w:rsidRPr="00F838E8">
              <w:rPr>
                <w:rFonts w:ascii="Arial Narrow" w:eastAsia="Calibri" w:hAnsi="Arial Narrow"/>
                <w:snapToGrid/>
                <w:sz w:val="20"/>
                <w:szCs w:val="22"/>
              </w:rPr>
              <w:t>Varenicline</w:t>
            </w:r>
            <w:proofErr w:type="spellEnd"/>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Nicotine patch</w:t>
            </w:r>
          </w:p>
        </w:tc>
        <w:tc>
          <w:tcPr>
            <w:tcW w:w="747"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Bupropion</w:t>
            </w:r>
          </w:p>
        </w:tc>
        <w:tc>
          <w:tcPr>
            <w:tcW w:w="747" w:type="pct"/>
            <w:vAlign w:val="bottom"/>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vAlign w:val="bottom"/>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vAlign w:val="bottom"/>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48" w:type="pct"/>
            <w:vAlign w:val="bottom"/>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c>
          <w:tcPr>
            <w:tcW w:w="750" w:type="pct"/>
            <w:vAlign w:val="bottom"/>
          </w:tcPr>
          <w:p w:rsidR="00F838E8" w:rsidRPr="008C25FA" w:rsidRDefault="008C25FA" w:rsidP="00F838E8">
            <w:pPr>
              <w:keepNext/>
              <w:widowControl/>
              <w:spacing w:after="60"/>
              <w:jc w:val="center"/>
              <w:rPr>
                <w:rFonts w:ascii="Arial Narrow" w:eastAsia="Calibri" w:hAnsi="Arial Narrow"/>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w:t>
            </w:r>
          </w:p>
        </w:tc>
        <w:tc>
          <w:tcPr>
            <w:tcW w:w="747"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noProof/>
                <w:snapToGrid/>
                <w:color w:val="000000"/>
                <w:sz w:val="20"/>
                <w:szCs w:val="22"/>
                <w:highlight w:val="black"/>
              </w:rPr>
              <w:t>''''''''''''''''''</w:t>
            </w:r>
          </w:p>
        </w:tc>
        <w:tc>
          <w:tcPr>
            <w:tcW w:w="748"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noProof/>
                <w:snapToGrid/>
                <w:color w:val="000000"/>
                <w:sz w:val="20"/>
                <w:szCs w:val="22"/>
                <w:highlight w:val="black"/>
              </w:rPr>
              <w:t>'''''''''''''''''</w:t>
            </w:r>
          </w:p>
        </w:tc>
        <w:tc>
          <w:tcPr>
            <w:tcW w:w="750" w:type="pct"/>
          </w:tcPr>
          <w:p w:rsidR="00F838E8" w:rsidRPr="008C25FA" w:rsidRDefault="008C25FA" w:rsidP="00F838E8">
            <w:pPr>
              <w:keepNext/>
              <w:widowControl/>
              <w:spacing w:after="60"/>
              <w:jc w:val="center"/>
              <w:rPr>
                <w:rFonts w:ascii="Arial Narrow" w:eastAsia="Calibri" w:hAnsi="Arial Narrow"/>
                <w:b/>
                <w:snapToGrid/>
                <w:sz w:val="20"/>
                <w:szCs w:val="22"/>
                <w:highlight w:val="black"/>
              </w:rPr>
            </w:pPr>
            <w:r>
              <w:rPr>
                <w:rFonts w:ascii="Arial Narrow" w:eastAsia="Calibri" w:hAnsi="Arial Narrow"/>
                <w:noProof/>
                <w:snapToGrid/>
                <w:color w:val="000000"/>
                <w:sz w:val="20"/>
                <w:szCs w:val="22"/>
                <w:highlight w:val="black"/>
              </w:rPr>
              <w:t>''''''''''''''''''''</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 xml:space="preserve">Estimated financial implications for </w:t>
            </w:r>
            <w:proofErr w:type="spellStart"/>
            <w:r w:rsidRPr="00F838E8">
              <w:rPr>
                <w:rFonts w:ascii="Arial Narrow" w:eastAsia="Calibri" w:hAnsi="Arial Narrow"/>
                <w:b/>
                <w:snapToGrid/>
                <w:sz w:val="20"/>
                <w:szCs w:val="22"/>
              </w:rPr>
              <w:t>varenicline</w:t>
            </w:r>
            <w:proofErr w:type="spellEnd"/>
            <w:r w:rsidRPr="00F838E8">
              <w:rPr>
                <w:rFonts w:ascii="Arial Narrow" w:eastAsia="Calibri" w:hAnsi="Arial Narrow"/>
                <w:b/>
                <w:snapToGrid/>
                <w:sz w:val="20"/>
                <w:szCs w:val="22"/>
              </w:rPr>
              <w:t>, nicotine patches and bupropion</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proofErr w:type="spellStart"/>
            <w:r w:rsidRPr="00F838E8">
              <w:rPr>
                <w:rFonts w:ascii="Arial Narrow" w:eastAsia="Calibri" w:hAnsi="Arial Narrow"/>
                <w:snapToGrid/>
                <w:sz w:val="20"/>
                <w:szCs w:val="22"/>
              </w:rPr>
              <w:t>Varenicline</w:t>
            </w:r>
            <w:proofErr w:type="spellEnd"/>
            <w:r w:rsidRPr="00F838E8">
              <w:rPr>
                <w:rFonts w:ascii="Arial Narrow" w:eastAsia="Calibri" w:hAnsi="Arial Narrow"/>
                <w:snapToGrid/>
                <w:sz w:val="20"/>
                <w:szCs w:val="22"/>
              </w:rPr>
              <w:t xml:space="preserve"> cost to PBS/RPBS</w:t>
            </w:r>
          </w:p>
        </w:tc>
        <w:tc>
          <w:tcPr>
            <w:tcW w:w="747"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50"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Nicotine patch cost to PBS/RPBS</w:t>
            </w:r>
          </w:p>
        </w:tc>
        <w:tc>
          <w:tcPr>
            <w:tcW w:w="747"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50"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snapToGrid/>
                <w:sz w:val="20"/>
                <w:szCs w:val="22"/>
              </w:rPr>
            </w:pPr>
            <w:r w:rsidRPr="00F838E8">
              <w:rPr>
                <w:rFonts w:ascii="Arial Narrow" w:eastAsia="Calibri" w:hAnsi="Arial Narrow"/>
                <w:snapToGrid/>
                <w:sz w:val="20"/>
                <w:szCs w:val="22"/>
              </w:rPr>
              <w:t>Bupropion cost to PBS/RPBS</w:t>
            </w:r>
          </w:p>
        </w:tc>
        <w:tc>
          <w:tcPr>
            <w:tcW w:w="747"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48"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c>
          <w:tcPr>
            <w:tcW w:w="750" w:type="pct"/>
            <w:shd w:val="clear" w:color="auto" w:fill="auto"/>
            <w:vAlign w:val="bottom"/>
          </w:tcPr>
          <w:p w:rsidR="00F838E8" w:rsidRPr="00F838E8" w:rsidRDefault="00F838E8" w:rsidP="00F838E8">
            <w:pPr>
              <w:keepNext/>
              <w:widowControl/>
              <w:spacing w:after="60"/>
              <w:jc w:val="center"/>
              <w:rPr>
                <w:rFonts w:ascii="Arial Narrow" w:eastAsia="Calibri" w:hAnsi="Arial Narrow"/>
                <w:snapToGrid/>
                <w:sz w:val="20"/>
                <w:szCs w:val="22"/>
              </w:rPr>
            </w:pPr>
            <w:r w:rsidRPr="00F838E8">
              <w:rPr>
                <w:rFonts w:ascii="Arial Narrow" w:eastAsia="Calibri" w:hAnsi="Arial Narrow"/>
                <w:snapToGrid/>
                <w:sz w:val="20"/>
                <w:szCs w:val="22"/>
              </w:rPr>
              <w:t>-$</w:t>
            </w:r>
            <w:r w:rsidR="008C25FA">
              <w:rPr>
                <w:rFonts w:ascii="Arial Narrow" w:eastAsia="Calibri" w:hAnsi="Arial Narrow"/>
                <w:noProof/>
                <w:snapToGrid/>
                <w:color w:val="000000"/>
                <w:sz w:val="20"/>
                <w:szCs w:val="22"/>
                <w:highlight w:val="black"/>
              </w:rPr>
              <w:t>''''''''''''''''</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Total cost to PBS/RPBS</w:t>
            </w:r>
          </w:p>
        </w:tc>
        <w:tc>
          <w:tcPr>
            <w:tcW w:w="747"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50" w:type="pct"/>
            <w:vAlign w:val="bottom"/>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r>
      <w:tr w:rsidR="00F838E8" w:rsidRPr="00F838E8" w:rsidTr="00B2153D">
        <w:tc>
          <w:tcPr>
            <w:tcW w:w="5000" w:type="pct"/>
            <w:gridSpan w:val="6"/>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Net financial implications</w:t>
            </w:r>
          </w:p>
        </w:tc>
      </w:tr>
      <w:tr w:rsidR="00F838E8" w:rsidRPr="00F838E8" w:rsidTr="00B2153D">
        <w:tc>
          <w:tcPr>
            <w:tcW w:w="1259" w:type="pct"/>
            <w:shd w:val="clear" w:color="auto" w:fill="auto"/>
            <w:vAlign w:val="center"/>
          </w:tcPr>
          <w:p w:rsidR="00F838E8" w:rsidRPr="00F838E8" w:rsidRDefault="00F838E8" w:rsidP="00F838E8">
            <w:pPr>
              <w:keepNext/>
              <w:widowControl/>
              <w:spacing w:after="60"/>
              <w:jc w:val="left"/>
              <w:rPr>
                <w:rFonts w:ascii="Arial Narrow" w:eastAsia="Calibri" w:hAnsi="Arial Narrow"/>
                <w:b/>
                <w:snapToGrid/>
                <w:sz w:val="20"/>
                <w:szCs w:val="22"/>
              </w:rPr>
            </w:pPr>
            <w:r w:rsidRPr="00F838E8">
              <w:rPr>
                <w:rFonts w:ascii="Arial Narrow" w:eastAsia="Calibri" w:hAnsi="Arial Narrow"/>
                <w:b/>
                <w:snapToGrid/>
                <w:sz w:val="20"/>
                <w:szCs w:val="22"/>
              </w:rPr>
              <w:t>Net cost to PBS/RPBS</w:t>
            </w:r>
          </w:p>
        </w:tc>
        <w:tc>
          <w:tcPr>
            <w:tcW w:w="747" w:type="pct"/>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48" w:type="pct"/>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c>
          <w:tcPr>
            <w:tcW w:w="750" w:type="pct"/>
          </w:tcPr>
          <w:p w:rsidR="00F838E8" w:rsidRPr="00F838E8" w:rsidRDefault="00F838E8" w:rsidP="00F838E8">
            <w:pPr>
              <w:keepNext/>
              <w:widowControl/>
              <w:spacing w:after="60"/>
              <w:jc w:val="center"/>
              <w:rPr>
                <w:rFonts w:ascii="Arial Narrow" w:eastAsia="Calibri" w:hAnsi="Arial Narrow"/>
                <w:b/>
                <w:snapToGrid/>
                <w:sz w:val="20"/>
                <w:szCs w:val="22"/>
              </w:rPr>
            </w:pPr>
            <w:r w:rsidRPr="00F838E8">
              <w:rPr>
                <w:rFonts w:ascii="Arial Narrow" w:eastAsia="Calibri" w:hAnsi="Arial Narrow"/>
                <w:b/>
                <w:snapToGrid/>
                <w:sz w:val="20"/>
                <w:szCs w:val="22"/>
              </w:rPr>
              <w:t>$</w:t>
            </w:r>
            <w:r w:rsidR="008C25FA">
              <w:rPr>
                <w:rFonts w:ascii="Arial Narrow" w:eastAsia="Calibri" w:hAnsi="Arial Narrow"/>
                <w:b/>
                <w:noProof/>
                <w:snapToGrid/>
                <w:color w:val="000000"/>
                <w:sz w:val="20"/>
                <w:szCs w:val="22"/>
                <w:highlight w:val="black"/>
              </w:rPr>
              <w:t>'''''''''''''''''''</w:t>
            </w:r>
          </w:p>
        </w:tc>
      </w:tr>
    </w:tbl>
    <w:p w:rsidR="00F838E8" w:rsidRPr="00576823" w:rsidRDefault="00F838E8" w:rsidP="00F838E8">
      <w:pPr>
        <w:spacing w:after="120"/>
        <w:contextualSpacing/>
        <w:rPr>
          <w:rFonts w:ascii="Arial Narrow" w:hAnsi="Arial Narrow"/>
          <w:sz w:val="18"/>
        </w:rPr>
      </w:pPr>
      <w:r w:rsidRPr="00576823">
        <w:rPr>
          <w:rFonts w:ascii="Arial Narrow" w:hAnsi="Arial Narrow"/>
          <w:sz w:val="18"/>
        </w:rPr>
        <w:t xml:space="preserve">Source: </w:t>
      </w:r>
      <w:r>
        <w:rPr>
          <w:rFonts w:ascii="Arial Narrow" w:hAnsi="Arial Narrow"/>
          <w:sz w:val="18"/>
        </w:rPr>
        <w:t>Commentary p23</w:t>
      </w:r>
    </w:p>
    <w:p w:rsidR="00F838E8" w:rsidRDefault="00F838E8" w:rsidP="00F838E8">
      <w:pPr>
        <w:spacing w:after="120"/>
        <w:contextualSpacing/>
        <w:rPr>
          <w:rFonts w:ascii="Arial Narrow" w:hAnsi="Arial Narrow"/>
          <w:sz w:val="18"/>
        </w:rPr>
      </w:pPr>
      <w:r w:rsidRPr="00576823">
        <w:rPr>
          <w:rFonts w:ascii="Arial Narrow" w:hAnsi="Arial Narrow"/>
          <w:sz w:val="18"/>
        </w:rPr>
        <w:t>PBS = pharmaceutical benefits scheme; RPBS = repatriation pharmaceutical benefits scheme</w:t>
      </w:r>
    </w:p>
    <w:p w:rsidR="003F72B6" w:rsidRDefault="003F72B6" w:rsidP="00F838E8">
      <w:pPr>
        <w:spacing w:after="120"/>
        <w:contextualSpacing/>
        <w:rPr>
          <w:rFonts w:ascii="Arial Narrow" w:hAnsi="Arial Narrow"/>
          <w:sz w:val="18"/>
        </w:rPr>
      </w:pPr>
    </w:p>
    <w:p w:rsidR="00F838E8" w:rsidRPr="00E17016" w:rsidRDefault="003F72B6" w:rsidP="003F72B6">
      <w:pPr>
        <w:widowControl/>
        <w:spacing w:after="200" w:line="276" w:lineRule="auto"/>
        <w:ind w:left="180" w:hanging="38"/>
        <w:rPr>
          <w:rFonts w:asciiTheme="minorHAnsi" w:eastAsia="Calibri" w:hAnsiTheme="minorHAnsi"/>
          <w:snapToGrid/>
          <w:sz w:val="24"/>
          <w:szCs w:val="22"/>
        </w:rPr>
      </w:pPr>
      <w:r w:rsidRPr="00E17016">
        <w:rPr>
          <w:rFonts w:asciiTheme="minorHAnsi" w:hAnsiTheme="minorHAnsi" w:cs="Times New Roman"/>
          <w:snapToGrid/>
          <w:sz w:val="24"/>
          <w:szCs w:val="24"/>
        </w:rPr>
        <w:t>The redacted table shows that at year 5, the estimated number of PBS prescriptions for</w:t>
      </w:r>
      <w:r w:rsidR="00E17016">
        <w:rPr>
          <w:rFonts w:asciiTheme="minorHAnsi" w:hAnsiTheme="minorHAnsi" w:cs="Times New Roman"/>
          <w:snapToGrid/>
          <w:sz w:val="24"/>
          <w:szCs w:val="24"/>
        </w:rPr>
        <w:t xml:space="preserve"> </w:t>
      </w:r>
      <w:proofErr w:type="spellStart"/>
      <w:r w:rsidRPr="00E17016">
        <w:rPr>
          <w:rFonts w:asciiTheme="minorHAnsi" w:hAnsiTheme="minorHAnsi" w:cs="Times New Roman"/>
          <w:snapToGrid/>
          <w:sz w:val="24"/>
          <w:szCs w:val="24"/>
        </w:rPr>
        <w:t>Nicotinell</w:t>
      </w:r>
      <w:proofErr w:type="spellEnd"/>
      <w:r w:rsidRPr="00E17016">
        <w:rPr>
          <w:rFonts w:asciiTheme="minorHAnsi" w:hAnsiTheme="minorHAnsi" w:cs="Times New Roman"/>
          <w:snapToGrid/>
          <w:sz w:val="24"/>
          <w:szCs w:val="24"/>
        </w:rPr>
        <w:t>® gum and lozenges was 100,000 – 200,000 and the net cost to the PBS would be less than $10 million.</w:t>
      </w:r>
    </w:p>
    <w:p w:rsidR="00B22215" w:rsidRPr="00B22215" w:rsidRDefault="00B22215" w:rsidP="00B22215">
      <w:pPr>
        <w:widowControl/>
        <w:numPr>
          <w:ilvl w:val="1"/>
          <w:numId w:val="3"/>
        </w:numPr>
        <w:spacing w:before="120" w:after="120"/>
        <w:rPr>
          <w:rFonts w:ascii="Calibri" w:eastAsia="Calibri" w:hAnsi="Calibri"/>
          <w:snapToGrid/>
          <w:sz w:val="24"/>
          <w:szCs w:val="22"/>
        </w:rPr>
      </w:pPr>
      <w:r w:rsidRPr="00B22215">
        <w:rPr>
          <w:rFonts w:ascii="Calibri" w:eastAsia="Calibri" w:hAnsi="Calibri"/>
          <w:snapToGrid/>
          <w:sz w:val="24"/>
          <w:szCs w:val="22"/>
        </w:rPr>
        <w:t xml:space="preserve">Sales estimates for OTC NRT were derived from two Intercontinental Marketing Services (IMS) studies of the OTC market for NRT from 2012 to 2016. This was used to predict the OTC market for NRT over the next five years. </w:t>
      </w:r>
    </w:p>
    <w:p w:rsidR="00B22215" w:rsidRPr="00B22215" w:rsidRDefault="00F84421" w:rsidP="00B22215">
      <w:pPr>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 xml:space="preserve">The </w:t>
      </w:r>
      <w:r w:rsidR="00B22215" w:rsidRPr="00B22215">
        <w:rPr>
          <w:rFonts w:ascii="Calibri" w:eastAsia="Calibri" w:hAnsi="Calibri"/>
          <w:snapToGrid/>
          <w:sz w:val="24"/>
          <w:szCs w:val="22"/>
        </w:rPr>
        <w:t xml:space="preserve">DUSC </w:t>
      </w:r>
      <w:r>
        <w:rPr>
          <w:rFonts w:ascii="Calibri" w:eastAsia="Calibri" w:hAnsi="Calibri"/>
          <w:snapToGrid/>
          <w:sz w:val="24"/>
          <w:szCs w:val="22"/>
        </w:rPr>
        <w:t>considered</w:t>
      </w:r>
      <w:r w:rsidR="00B22215" w:rsidRPr="00B22215">
        <w:rPr>
          <w:rFonts w:ascii="Calibri" w:eastAsia="Calibri" w:hAnsi="Calibri"/>
          <w:snapToGrid/>
          <w:sz w:val="24"/>
          <w:szCs w:val="22"/>
        </w:rPr>
        <w:t xml:space="preserve"> that </w:t>
      </w:r>
      <w:r w:rsidRPr="00B22215">
        <w:rPr>
          <w:rFonts w:ascii="Calibri" w:eastAsia="Calibri" w:hAnsi="Calibri"/>
          <w:snapToGrid/>
          <w:sz w:val="24"/>
          <w:szCs w:val="22"/>
        </w:rPr>
        <w:t xml:space="preserve">it </w:t>
      </w:r>
      <w:r>
        <w:rPr>
          <w:rFonts w:ascii="Calibri" w:eastAsia="Calibri" w:hAnsi="Calibri"/>
          <w:snapToGrid/>
          <w:sz w:val="24"/>
          <w:szCs w:val="22"/>
        </w:rPr>
        <w:t xml:space="preserve">was </w:t>
      </w:r>
      <w:r w:rsidRPr="00B22215">
        <w:rPr>
          <w:rFonts w:ascii="Calibri" w:eastAsia="Calibri" w:hAnsi="Calibri"/>
          <w:snapToGrid/>
          <w:sz w:val="24"/>
          <w:szCs w:val="22"/>
        </w:rPr>
        <w:t xml:space="preserve">likely that </w:t>
      </w:r>
      <w:r>
        <w:rPr>
          <w:rFonts w:ascii="Calibri" w:eastAsia="Calibri" w:hAnsi="Calibri"/>
          <w:snapToGrid/>
          <w:sz w:val="24"/>
          <w:szCs w:val="22"/>
        </w:rPr>
        <w:t xml:space="preserve">concomitant use of </w:t>
      </w:r>
      <w:r w:rsidRPr="00B22215">
        <w:rPr>
          <w:rFonts w:ascii="Calibri" w:eastAsia="Calibri" w:hAnsi="Calibri"/>
          <w:snapToGrid/>
          <w:sz w:val="24"/>
          <w:szCs w:val="22"/>
        </w:rPr>
        <w:t>NRT</w:t>
      </w:r>
      <w:r>
        <w:rPr>
          <w:rFonts w:ascii="Calibri" w:eastAsia="Calibri" w:hAnsi="Calibri"/>
          <w:snapToGrid/>
          <w:sz w:val="24"/>
          <w:szCs w:val="22"/>
        </w:rPr>
        <w:t xml:space="preserve">s were already occurring in practice, noting that </w:t>
      </w:r>
      <w:r w:rsidR="00B22215" w:rsidRPr="00B22215">
        <w:rPr>
          <w:rFonts w:ascii="Calibri" w:eastAsia="Calibri" w:hAnsi="Calibri"/>
          <w:snapToGrid/>
          <w:sz w:val="24"/>
          <w:szCs w:val="22"/>
        </w:rPr>
        <w:t>the latest clinical guidelines</w:t>
      </w:r>
      <w:r w:rsidR="00DB4D4E">
        <w:rPr>
          <w:rStyle w:val="FootnoteReference"/>
          <w:rFonts w:asciiTheme="minorHAnsi" w:hAnsiTheme="minorHAnsi"/>
          <w:i/>
          <w:szCs w:val="24"/>
        </w:rPr>
        <w:footnoteReference w:id="1"/>
      </w:r>
      <w:r>
        <w:rPr>
          <w:rFonts w:ascii="Calibri" w:eastAsia="Calibri" w:hAnsi="Calibri"/>
          <w:snapToGrid/>
          <w:sz w:val="24"/>
          <w:szCs w:val="22"/>
        </w:rPr>
        <w:t xml:space="preserve"> encourage</w:t>
      </w:r>
      <w:r w:rsidR="00B22215" w:rsidRPr="00B22215">
        <w:rPr>
          <w:rFonts w:ascii="Calibri" w:eastAsia="Calibri" w:hAnsi="Calibri"/>
          <w:snapToGrid/>
          <w:sz w:val="24"/>
          <w:szCs w:val="22"/>
        </w:rPr>
        <w:t xml:space="preserve"> health professionals to consider recommending the use of combination NRT. </w:t>
      </w:r>
      <w:r>
        <w:rPr>
          <w:rFonts w:ascii="Calibri" w:eastAsia="Calibri" w:hAnsi="Calibri"/>
          <w:snapToGrid/>
          <w:sz w:val="24"/>
          <w:szCs w:val="22"/>
        </w:rPr>
        <w:t xml:space="preserve">The </w:t>
      </w:r>
      <w:r w:rsidR="00B22215" w:rsidRPr="00B22215">
        <w:rPr>
          <w:rFonts w:ascii="Calibri" w:eastAsia="Calibri" w:hAnsi="Calibri"/>
          <w:snapToGrid/>
          <w:sz w:val="24"/>
          <w:szCs w:val="22"/>
        </w:rPr>
        <w:t xml:space="preserve">DUSC considered </w:t>
      </w:r>
      <w:r>
        <w:rPr>
          <w:rFonts w:ascii="Calibri" w:eastAsia="Calibri" w:hAnsi="Calibri"/>
          <w:snapToGrid/>
          <w:sz w:val="24"/>
          <w:szCs w:val="22"/>
        </w:rPr>
        <w:t xml:space="preserve">that </w:t>
      </w:r>
      <w:r w:rsidR="00B22215" w:rsidRPr="00B22215">
        <w:rPr>
          <w:rFonts w:ascii="Calibri" w:eastAsia="Calibri" w:hAnsi="Calibri"/>
          <w:snapToGrid/>
          <w:sz w:val="24"/>
          <w:szCs w:val="22"/>
        </w:rPr>
        <w:t>the 2</w:t>
      </w:r>
      <w:r w:rsidR="008A584A">
        <w:rPr>
          <w:rFonts w:ascii="Calibri" w:eastAsia="Calibri" w:hAnsi="Calibri"/>
          <w:snapToGrid/>
          <w:sz w:val="24"/>
          <w:szCs w:val="22"/>
        </w:rPr>
        <w:t xml:space="preserve"> </w:t>
      </w:r>
      <w:r w:rsidR="00B22215" w:rsidRPr="00B22215">
        <w:rPr>
          <w:rFonts w:ascii="Calibri" w:eastAsia="Calibri" w:hAnsi="Calibri"/>
          <w:snapToGrid/>
          <w:sz w:val="24"/>
          <w:szCs w:val="22"/>
        </w:rPr>
        <w:t xml:space="preserve">mg dose of lozenges or gum is likely to be used concomitantly with other therapies in practice, as it provides a short-term boost in nicotine levels. </w:t>
      </w:r>
      <w:r>
        <w:rPr>
          <w:rFonts w:ascii="Calibri" w:eastAsia="Calibri" w:hAnsi="Calibri"/>
          <w:snapToGrid/>
          <w:sz w:val="24"/>
          <w:szCs w:val="22"/>
        </w:rPr>
        <w:t xml:space="preserve">The </w:t>
      </w:r>
      <w:r w:rsidR="00B22215" w:rsidRPr="00B22215">
        <w:rPr>
          <w:rFonts w:ascii="Calibri" w:eastAsia="Calibri" w:hAnsi="Calibri"/>
          <w:snapToGrid/>
          <w:sz w:val="24"/>
          <w:szCs w:val="22"/>
        </w:rPr>
        <w:t>DUSC considered that the 2 mg dose is unlikely to be effective for heavy smokers and presents a higher risk of concomitant use, which is beyond the requested restriction, compared with the 4 mg</w:t>
      </w:r>
      <w:r>
        <w:rPr>
          <w:rFonts w:ascii="Calibri" w:eastAsia="Calibri" w:hAnsi="Calibri"/>
          <w:snapToGrid/>
          <w:sz w:val="24"/>
          <w:szCs w:val="22"/>
        </w:rPr>
        <w:t xml:space="preserve"> strength</w:t>
      </w:r>
      <w:r w:rsidR="00B22215" w:rsidRPr="00B22215">
        <w:rPr>
          <w:rFonts w:ascii="Calibri" w:eastAsia="Calibri" w:hAnsi="Calibri"/>
          <w:snapToGrid/>
          <w:sz w:val="24"/>
          <w:szCs w:val="22"/>
        </w:rPr>
        <w:t xml:space="preserve">. </w:t>
      </w:r>
      <w:r>
        <w:rPr>
          <w:rFonts w:ascii="Calibri" w:eastAsia="Calibri" w:hAnsi="Calibri"/>
          <w:snapToGrid/>
          <w:sz w:val="24"/>
          <w:szCs w:val="22"/>
        </w:rPr>
        <w:t xml:space="preserve">The </w:t>
      </w:r>
      <w:r w:rsidR="00B22215" w:rsidRPr="00B22215">
        <w:rPr>
          <w:rFonts w:ascii="Calibri" w:eastAsia="Calibri" w:hAnsi="Calibri"/>
          <w:snapToGrid/>
          <w:sz w:val="24"/>
          <w:szCs w:val="22"/>
        </w:rPr>
        <w:t xml:space="preserve">DUSC also noted that switching from one form of NRT to another can be a quitting strategy, but that this was not considered by the submission (switching between lozenges and gum). For these reasons, </w:t>
      </w:r>
      <w:r>
        <w:rPr>
          <w:rFonts w:ascii="Calibri" w:eastAsia="Calibri" w:hAnsi="Calibri"/>
          <w:snapToGrid/>
          <w:sz w:val="24"/>
          <w:szCs w:val="22"/>
        </w:rPr>
        <w:t xml:space="preserve">the </w:t>
      </w:r>
      <w:r w:rsidR="00B22215" w:rsidRPr="00B22215">
        <w:rPr>
          <w:rFonts w:ascii="Calibri" w:eastAsia="Calibri" w:hAnsi="Calibri"/>
          <w:snapToGrid/>
          <w:sz w:val="24"/>
          <w:szCs w:val="22"/>
        </w:rPr>
        <w:t xml:space="preserve">DUSC considered the proposed place in therapy for the gum and lozenges may not be appropriate. </w:t>
      </w:r>
    </w:p>
    <w:p w:rsidR="00B22215" w:rsidRPr="00B22215" w:rsidRDefault="00B22215" w:rsidP="00B22215">
      <w:pPr>
        <w:widowControl/>
        <w:numPr>
          <w:ilvl w:val="1"/>
          <w:numId w:val="3"/>
        </w:numPr>
        <w:spacing w:before="120" w:after="120"/>
        <w:rPr>
          <w:rFonts w:ascii="Calibri" w:eastAsia="Calibri" w:hAnsi="Calibri"/>
          <w:snapToGrid/>
          <w:sz w:val="24"/>
          <w:szCs w:val="24"/>
        </w:rPr>
      </w:pPr>
      <w:r>
        <w:rPr>
          <w:rFonts w:ascii="Calibri" w:eastAsia="Calibri" w:hAnsi="Calibri"/>
          <w:snapToGrid/>
          <w:sz w:val="24"/>
          <w:szCs w:val="24"/>
        </w:rPr>
        <w:t xml:space="preserve">Overall, the </w:t>
      </w:r>
      <w:r w:rsidRPr="00B22215">
        <w:rPr>
          <w:rFonts w:ascii="Calibri" w:eastAsia="Calibri" w:hAnsi="Calibri"/>
          <w:snapToGrid/>
          <w:sz w:val="24"/>
          <w:szCs w:val="24"/>
        </w:rPr>
        <w:t>DUSC considered that the financial estimates were likely to be underestimated with a high degree of uncertainty, as:</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submission did not consider the potential additional population who would start lozenges or gum after PBS listing who would not otherwise have attempted smoking cessation therapy. There may be a clinical need for these forms of NRT on the PBS particularly for high risk groups such as those with mental health issues or who have contraindications to the PBS listed therapies or with financial barriers to accessing them OTC. Therefore the eligible popul</w:t>
      </w:r>
      <w:r w:rsidR="00323323">
        <w:rPr>
          <w:rFonts w:ascii="Calibri" w:eastAsia="Calibri" w:hAnsi="Calibri"/>
          <w:snapToGrid/>
          <w:sz w:val="24"/>
          <w:szCs w:val="24"/>
        </w:rPr>
        <w:t>ation is likely underestimated;</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methodology used to estimate the extent of cost shifting from the OTC market to the potential PBS market was problematic and would have an unclear im</w:t>
      </w:r>
      <w:r w:rsidR="00323323">
        <w:rPr>
          <w:rFonts w:ascii="Calibri" w:eastAsia="Calibri" w:hAnsi="Calibri"/>
          <w:snapToGrid/>
          <w:sz w:val="24"/>
          <w:szCs w:val="24"/>
        </w:rPr>
        <w:t>pact on the financial estimates;</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submission assumed no change in the size of the PBS listed smoking cessation therapy market over the five year estimates, which li</w:t>
      </w:r>
      <w:r w:rsidR="00323323">
        <w:rPr>
          <w:rFonts w:ascii="Calibri" w:eastAsia="Calibri" w:hAnsi="Calibri"/>
          <w:snapToGrid/>
          <w:sz w:val="24"/>
          <w:szCs w:val="24"/>
        </w:rPr>
        <w:t>kely underestimates the market;</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100% continuation rate assumed by the submission does not account for people who stop smoking cessation therapy as a result of a successful quit attempt, adverse</w:t>
      </w:r>
      <w:r w:rsidR="00323323">
        <w:rPr>
          <w:rFonts w:ascii="Calibri" w:eastAsia="Calibri" w:hAnsi="Calibri"/>
          <w:snapToGrid/>
          <w:sz w:val="24"/>
          <w:szCs w:val="24"/>
        </w:rPr>
        <w:t xml:space="preserve"> events or a return to smoking;</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growth rate of the OTC Nicotinell® l</w:t>
      </w:r>
      <w:r w:rsidR="00323323">
        <w:rPr>
          <w:rFonts w:ascii="Calibri" w:eastAsia="Calibri" w:hAnsi="Calibri"/>
          <w:snapToGrid/>
          <w:sz w:val="24"/>
          <w:szCs w:val="24"/>
        </w:rPr>
        <w:t>ozenge market was overestimated;</w:t>
      </w:r>
    </w:p>
    <w:p w:rsidR="00B22215" w:rsidRPr="00B22215"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assumed conversion factor applied for the OTC market was not split between competitor and sponsor produ</w:t>
      </w:r>
      <w:r w:rsidR="00323323">
        <w:rPr>
          <w:rFonts w:ascii="Calibri" w:eastAsia="Calibri" w:hAnsi="Calibri"/>
          <w:snapToGrid/>
          <w:sz w:val="24"/>
          <w:szCs w:val="24"/>
        </w:rPr>
        <w:t>cts, which underestimated costs; and</w:t>
      </w:r>
    </w:p>
    <w:p w:rsidR="00F838E8" w:rsidRDefault="00B22215" w:rsidP="00B22215">
      <w:pPr>
        <w:pStyle w:val="ListParagraph"/>
        <w:numPr>
          <w:ilvl w:val="2"/>
          <w:numId w:val="3"/>
        </w:numPr>
        <w:ind w:left="993" w:hanging="284"/>
        <w:rPr>
          <w:rFonts w:ascii="Calibri" w:eastAsia="Calibri" w:hAnsi="Calibri"/>
          <w:snapToGrid/>
          <w:sz w:val="24"/>
          <w:szCs w:val="24"/>
        </w:rPr>
      </w:pPr>
      <w:r w:rsidRPr="00B22215">
        <w:rPr>
          <w:rFonts w:ascii="Calibri" w:eastAsia="Calibri" w:hAnsi="Calibri"/>
          <w:snapToGrid/>
          <w:sz w:val="24"/>
          <w:szCs w:val="24"/>
        </w:rPr>
        <w:t>The assumption that the proportion shifting to nicotine gum and lozenges from varenicline and bupropion would be equal might not be appropriate given the different levels of efficacy and safety between the treatments.</w:t>
      </w:r>
    </w:p>
    <w:p w:rsidR="00D61797" w:rsidRDefault="00D61797" w:rsidP="00D61797">
      <w:pPr>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Furthermore, the DUSC</w:t>
      </w:r>
      <w:r w:rsidRPr="00D61797">
        <w:rPr>
          <w:rFonts w:ascii="Calibri" w:eastAsia="Calibri" w:hAnsi="Calibri"/>
          <w:snapToGrid/>
          <w:sz w:val="24"/>
          <w:szCs w:val="22"/>
        </w:rPr>
        <w:t xml:space="preserve"> considered the likely place in clinical therapy for the gum and the lozenges is in combination with currently PBS listed smoking cessation therapies. The clinical guidelines recommend combination use to improve smoking cessation. This present</w:t>
      </w:r>
      <w:r w:rsidR="00F84421">
        <w:rPr>
          <w:rFonts w:ascii="Calibri" w:eastAsia="Calibri" w:hAnsi="Calibri"/>
          <w:snapToGrid/>
          <w:sz w:val="24"/>
          <w:szCs w:val="22"/>
        </w:rPr>
        <w:t>ed</w:t>
      </w:r>
      <w:r w:rsidRPr="00D61797">
        <w:rPr>
          <w:rFonts w:ascii="Calibri" w:eastAsia="Calibri" w:hAnsi="Calibri"/>
          <w:snapToGrid/>
          <w:sz w:val="24"/>
          <w:szCs w:val="22"/>
        </w:rPr>
        <w:t xml:space="preserve"> a considerable risk of use beyond the requested restriction. </w:t>
      </w:r>
    </w:p>
    <w:p w:rsidR="00B34F4F" w:rsidRPr="00B34F4F" w:rsidRDefault="00B34F4F" w:rsidP="00B34F4F">
      <w:pPr>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 xml:space="preserve">The pre-PBAC response (p3) </w:t>
      </w:r>
      <w:r w:rsidR="0085203C">
        <w:rPr>
          <w:rFonts w:ascii="Calibri" w:eastAsia="Calibri" w:hAnsi="Calibri"/>
          <w:snapToGrid/>
          <w:sz w:val="24"/>
          <w:szCs w:val="22"/>
        </w:rPr>
        <w:t xml:space="preserve">stated </w:t>
      </w:r>
      <w:r>
        <w:rPr>
          <w:rFonts w:ascii="Calibri" w:eastAsia="Calibri" w:hAnsi="Calibri"/>
          <w:snapToGrid/>
          <w:sz w:val="24"/>
          <w:szCs w:val="22"/>
        </w:rPr>
        <w:t xml:space="preserve">that nicotine gum or lozenges, in combination with nicotine patches, would be equally as effective as varenicline, based on evidence from a </w:t>
      </w:r>
      <w:r w:rsidRPr="001A48E4">
        <w:rPr>
          <w:rFonts w:ascii="Calibri" w:eastAsia="Calibri" w:hAnsi="Calibri"/>
          <w:snapToGrid/>
          <w:sz w:val="24"/>
          <w:szCs w:val="22"/>
        </w:rPr>
        <w:t>Cochrane Collaboration Overview (Cahill et al. 2013)</w:t>
      </w:r>
      <w:r>
        <w:rPr>
          <w:rFonts w:ascii="Calibri" w:eastAsia="Calibri" w:hAnsi="Calibri"/>
          <w:snapToGrid/>
          <w:sz w:val="24"/>
          <w:szCs w:val="22"/>
        </w:rPr>
        <w:t xml:space="preserve">. </w:t>
      </w:r>
      <w:r w:rsidR="00B83D1F">
        <w:rPr>
          <w:rFonts w:ascii="Calibri" w:eastAsia="Calibri" w:hAnsi="Calibri"/>
          <w:snapToGrid/>
          <w:sz w:val="24"/>
          <w:szCs w:val="22"/>
        </w:rPr>
        <w:t xml:space="preserve">Although </w:t>
      </w:r>
      <w:r>
        <w:rPr>
          <w:rFonts w:ascii="Calibri" w:eastAsia="Calibri" w:hAnsi="Calibri"/>
          <w:snapToGrid/>
          <w:sz w:val="24"/>
          <w:szCs w:val="22"/>
        </w:rPr>
        <w:t>no evidence regarding the efficacy or cost-effectiveness of combination therapy compared</w:t>
      </w:r>
      <w:r w:rsidR="00B83D1F">
        <w:rPr>
          <w:rFonts w:ascii="Calibri" w:eastAsia="Calibri" w:hAnsi="Calibri"/>
          <w:snapToGrid/>
          <w:sz w:val="24"/>
          <w:szCs w:val="22"/>
        </w:rPr>
        <w:t xml:space="preserve"> with varenicline was presented, the sponsor expressed their willingness to </w:t>
      </w:r>
      <w:r w:rsidR="00B83D1F" w:rsidRPr="00B83D1F">
        <w:rPr>
          <w:rFonts w:ascii="Calibri" w:eastAsia="Calibri" w:hAnsi="Calibri"/>
          <w:snapToGrid/>
          <w:sz w:val="24"/>
          <w:szCs w:val="22"/>
        </w:rPr>
        <w:t>work with the Department on combination and extended use.</w:t>
      </w:r>
    </w:p>
    <w:p w:rsidR="0045698A" w:rsidRPr="002E7917" w:rsidRDefault="0045698A" w:rsidP="003F1965">
      <w:pPr>
        <w:pStyle w:val="V50Heading2nonumbers"/>
      </w:pPr>
      <w:bookmarkStart w:id="48" w:name="_Toc413139285"/>
      <w:bookmarkStart w:id="49" w:name="_Toc476306895"/>
      <w:bookmarkStart w:id="50" w:name="_Toc482710303"/>
      <w:r w:rsidRPr="002E7917">
        <w:t>Quality Use of Medicines</w:t>
      </w:r>
      <w:bookmarkEnd w:id="48"/>
      <w:bookmarkEnd w:id="49"/>
      <w:bookmarkEnd w:id="50"/>
    </w:p>
    <w:p w:rsidR="00370E36" w:rsidRDefault="00792E32" w:rsidP="007E3BC0">
      <w:pPr>
        <w:widowControl/>
        <w:numPr>
          <w:ilvl w:val="1"/>
          <w:numId w:val="3"/>
        </w:numPr>
        <w:spacing w:before="120" w:after="120"/>
        <w:rPr>
          <w:rFonts w:ascii="Calibri" w:eastAsia="Calibri" w:hAnsi="Calibri"/>
          <w:snapToGrid/>
          <w:sz w:val="24"/>
          <w:szCs w:val="22"/>
        </w:rPr>
      </w:pPr>
      <w:r w:rsidRPr="00F10C3A">
        <w:rPr>
          <w:rFonts w:ascii="Calibri" w:eastAsia="Calibri" w:hAnsi="Calibri"/>
          <w:snapToGrid/>
          <w:sz w:val="24"/>
          <w:szCs w:val="22"/>
        </w:rPr>
        <w:t xml:space="preserve">The submission did not provide any further information regarding the Quality Use of Medicines. </w:t>
      </w:r>
      <w:r w:rsidR="004C7B9A" w:rsidRPr="00F10C3A">
        <w:rPr>
          <w:rFonts w:ascii="Calibri" w:eastAsia="Calibri" w:hAnsi="Calibri"/>
          <w:snapToGrid/>
          <w:sz w:val="24"/>
          <w:szCs w:val="22"/>
        </w:rPr>
        <w:t>T</w:t>
      </w:r>
      <w:r w:rsidR="00AF30EE" w:rsidRPr="00F10C3A">
        <w:rPr>
          <w:rFonts w:ascii="Calibri" w:eastAsia="Calibri" w:hAnsi="Calibri"/>
          <w:snapToGrid/>
          <w:sz w:val="24"/>
          <w:szCs w:val="22"/>
        </w:rPr>
        <w:t>he PI for nicotine gum no</w:t>
      </w:r>
      <w:r w:rsidR="005D272B" w:rsidRPr="00F10C3A">
        <w:rPr>
          <w:rFonts w:ascii="Calibri" w:eastAsia="Calibri" w:hAnsi="Calibri"/>
          <w:snapToGrid/>
          <w:sz w:val="24"/>
          <w:szCs w:val="22"/>
        </w:rPr>
        <w:t>tes that patients should rest the chewing gum between the gum and cheek to allow for optimal absorption of nicotine. It is recommended that patients are instructed on proper nicotine gum usage, and that instructions on proper gum usage are clearly displayed on packaging.</w:t>
      </w:r>
      <w:bookmarkEnd w:id="0"/>
      <w:bookmarkEnd w:id="1"/>
      <w:bookmarkEnd w:id="2"/>
      <w:bookmarkEnd w:id="3"/>
      <w:bookmarkEnd w:id="4"/>
    </w:p>
    <w:p w:rsidR="00D61797" w:rsidRDefault="00D61797" w:rsidP="00D61797">
      <w:pPr>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 xml:space="preserve">The </w:t>
      </w:r>
      <w:r w:rsidRPr="00D61797">
        <w:rPr>
          <w:rFonts w:ascii="Calibri" w:eastAsia="Calibri" w:hAnsi="Calibri"/>
          <w:snapToGrid/>
          <w:sz w:val="24"/>
          <w:szCs w:val="22"/>
        </w:rPr>
        <w:t>DUSC reiterated the importance of the correct use of the nicotine gum and lozenges. The proposed listing for the gum and lozenge to be the sole PBS-subsidised therapy for this condition does not take into account the updated smoking cessation guidelines which encourage health professionals to consider combination NRT for heavy smokers and those who need to have their first cigarette within 30 minutes of waking to enhance efficacy and quit rates from NRT.</w:t>
      </w:r>
    </w:p>
    <w:p w:rsidR="004E4D5D" w:rsidRPr="00F10C3A" w:rsidRDefault="004E4D5D" w:rsidP="004E4D5D">
      <w:pPr>
        <w:widowControl/>
        <w:spacing w:before="120" w:after="120"/>
        <w:ind w:left="720"/>
        <w:rPr>
          <w:rFonts w:ascii="Calibri" w:eastAsia="Calibri" w:hAnsi="Calibri"/>
          <w:snapToGrid/>
          <w:sz w:val="24"/>
          <w:szCs w:val="22"/>
        </w:rPr>
      </w:pPr>
    </w:p>
    <w:p w:rsidR="00504102" w:rsidRPr="00F10C3A" w:rsidRDefault="00504102" w:rsidP="00504102">
      <w:pPr>
        <w:keepNext/>
        <w:keepLines/>
        <w:widowControl/>
        <w:spacing w:after="120"/>
        <w:ind w:left="709" w:hanging="709"/>
        <w:jc w:val="left"/>
        <w:outlineLvl w:val="0"/>
        <w:rPr>
          <w:rFonts w:ascii="Calibri" w:hAnsi="Calibri" w:cs="Times New Roman"/>
          <w:b/>
          <w:snapToGrid/>
          <w:sz w:val="32"/>
          <w:szCs w:val="28"/>
        </w:rPr>
      </w:pPr>
      <w:r>
        <w:rPr>
          <w:rFonts w:ascii="Calibri" w:hAnsi="Calibri" w:cs="Times New Roman"/>
          <w:b/>
          <w:snapToGrid/>
          <w:sz w:val="32"/>
          <w:szCs w:val="28"/>
        </w:rPr>
        <w:t>7</w:t>
      </w:r>
      <w:r w:rsidRPr="00F10C3A">
        <w:rPr>
          <w:rFonts w:ascii="Calibri" w:hAnsi="Calibri" w:cs="Times New Roman"/>
          <w:b/>
          <w:snapToGrid/>
          <w:sz w:val="32"/>
          <w:szCs w:val="28"/>
        </w:rPr>
        <w:tab/>
      </w:r>
      <w:r>
        <w:rPr>
          <w:rFonts w:ascii="Calibri" w:hAnsi="Calibri" w:cs="Times New Roman"/>
          <w:b/>
          <w:snapToGrid/>
          <w:sz w:val="32"/>
          <w:szCs w:val="28"/>
        </w:rPr>
        <w:t>PBAC Outcome</w:t>
      </w:r>
    </w:p>
    <w:p w:rsidR="00504102" w:rsidRPr="00F10C3A" w:rsidRDefault="00504102" w:rsidP="00504102">
      <w:pPr>
        <w:widowControl/>
        <w:numPr>
          <w:ilvl w:val="0"/>
          <w:numId w:val="3"/>
        </w:numPr>
        <w:jc w:val="left"/>
        <w:rPr>
          <w:b/>
          <w:vanish/>
          <w:color w:val="FFFFFF" w:themeColor="background1"/>
          <w:szCs w:val="22"/>
        </w:rPr>
      </w:pPr>
    </w:p>
    <w:p w:rsidR="0092192E" w:rsidRDefault="00957882" w:rsidP="0092192E">
      <w:pPr>
        <w:widowControl/>
        <w:numPr>
          <w:ilvl w:val="1"/>
          <w:numId w:val="3"/>
        </w:numPr>
        <w:spacing w:before="120" w:after="120"/>
        <w:rPr>
          <w:rFonts w:ascii="Calibri" w:eastAsia="Calibri" w:hAnsi="Calibri"/>
          <w:snapToGrid/>
          <w:sz w:val="24"/>
          <w:szCs w:val="22"/>
        </w:rPr>
      </w:pPr>
      <w:r w:rsidRPr="00957882">
        <w:rPr>
          <w:rFonts w:ascii="Calibri" w:eastAsia="Calibri" w:hAnsi="Calibri"/>
          <w:snapToGrid/>
          <w:sz w:val="24"/>
          <w:szCs w:val="22"/>
        </w:rPr>
        <w:t xml:space="preserve">The PBAC deferred making a recommendation on whether </w:t>
      </w:r>
      <w:r>
        <w:rPr>
          <w:rFonts w:ascii="Calibri" w:eastAsia="Calibri" w:hAnsi="Calibri"/>
          <w:snapToGrid/>
          <w:sz w:val="24"/>
          <w:szCs w:val="22"/>
        </w:rPr>
        <w:t>nicotine gum and lozenges</w:t>
      </w:r>
      <w:r w:rsidRPr="00957882">
        <w:rPr>
          <w:rFonts w:ascii="Calibri" w:eastAsia="Calibri" w:hAnsi="Calibri"/>
          <w:snapToGrid/>
          <w:sz w:val="24"/>
          <w:szCs w:val="22"/>
        </w:rPr>
        <w:t xml:space="preserve"> should be listed on the PBS</w:t>
      </w:r>
      <w:r w:rsidR="00A56D1D">
        <w:rPr>
          <w:rFonts w:ascii="Calibri" w:eastAsia="Calibri" w:hAnsi="Calibri"/>
          <w:snapToGrid/>
          <w:sz w:val="24"/>
          <w:szCs w:val="22"/>
        </w:rPr>
        <w:t xml:space="preserve"> as monotherapies</w:t>
      </w:r>
      <w:r w:rsidRPr="00957882">
        <w:rPr>
          <w:rFonts w:ascii="Calibri" w:eastAsia="Calibri" w:hAnsi="Calibri"/>
          <w:snapToGrid/>
          <w:sz w:val="24"/>
          <w:szCs w:val="22"/>
        </w:rPr>
        <w:t xml:space="preserve"> for </w:t>
      </w:r>
      <w:r>
        <w:rPr>
          <w:rFonts w:ascii="Calibri" w:eastAsia="Calibri" w:hAnsi="Calibri"/>
          <w:snapToGrid/>
          <w:sz w:val="24"/>
          <w:szCs w:val="22"/>
        </w:rPr>
        <w:t xml:space="preserve">smoking cessation, </w:t>
      </w:r>
      <w:r w:rsidRPr="00957882">
        <w:rPr>
          <w:rFonts w:ascii="Calibri" w:eastAsia="Calibri" w:hAnsi="Calibri"/>
          <w:snapToGrid/>
          <w:sz w:val="24"/>
          <w:szCs w:val="22"/>
        </w:rPr>
        <w:t>pending</w:t>
      </w:r>
      <w:r>
        <w:rPr>
          <w:rFonts w:ascii="Calibri" w:eastAsia="Calibri" w:hAnsi="Calibri"/>
          <w:snapToGrid/>
          <w:sz w:val="24"/>
          <w:szCs w:val="22"/>
        </w:rPr>
        <w:t xml:space="preserve"> further </w:t>
      </w:r>
      <w:r w:rsidR="002569AA">
        <w:rPr>
          <w:rFonts w:ascii="Calibri" w:eastAsia="Calibri" w:hAnsi="Calibri"/>
          <w:snapToGrid/>
          <w:sz w:val="24"/>
          <w:szCs w:val="22"/>
        </w:rPr>
        <w:t>clarity</w:t>
      </w:r>
      <w:r>
        <w:rPr>
          <w:rFonts w:ascii="Calibri" w:eastAsia="Calibri" w:hAnsi="Calibri"/>
          <w:snapToGrid/>
          <w:sz w:val="24"/>
          <w:szCs w:val="22"/>
        </w:rPr>
        <w:t xml:space="preserve"> </w:t>
      </w:r>
      <w:r w:rsidR="005F1ABE" w:rsidRPr="005F1ABE">
        <w:rPr>
          <w:rFonts w:ascii="Calibri" w:eastAsia="Calibri" w:hAnsi="Calibri"/>
          <w:snapToGrid/>
          <w:sz w:val="24"/>
          <w:szCs w:val="22"/>
        </w:rPr>
        <w:t xml:space="preserve">on the appropriate use of </w:t>
      </w:r>
      <w:r w:rsidR="005F1ABE">
        <w:rPr>
          <w:rFonts w:ascii="Calibri" w:eastAsia="Calibri" w:hAnsi="Calibri"/>
          <w:snapToGrid/>
          <w:sz w:val="24"/>
          <w:szCs w:val="22"/>
        </w:rPr>
        <w:t xml:space="preserve">nicotine </w:t>
      </w:r>
      <w:r w:rsidR="005F1ABE" w:rsidRPr="005F1ABE">
        <w:rPr>
          <w:rFonts w:ascii="Calibri" w:eastAsia="Calibri" w:hAnsi="Calibri"/>
          <w:snapToGrid/>
          <w:sz w:val="24"/>
          <w:szCs w:val="22"/>
        </w:rPr>
        <w:t>gum and lozenges</w:t>
      </w:r>
      <w:r w:rsidR="005F1ABE">
        <w:rPr>
          <w:rFonts w:ascii="Calibri" w:eastAsia="Calibri" w:hAnsi="Calibri"/>
          <w:snapToGrid/>
          <w:sz w:val="24"/>
          <w:szCs w:val="22"/>
        </w:rPr>
        <w:t xml:space="preserve">, and its </w:t>
      </w:r>
      <w:r w:rsidR="005F1ABE" w:rsidRPr="005F1ABE">
        <w:rPr>
          <w:rFonts w:ascii="Calibri" w:eastAsia="Calibri" w:hAnsi="Calibri"/>
          <w:snapToGrid/>
          <w:sz w:val="24"/>
          <w:szCs w:val="22"/>
        </w:rPr>
        <w:t xml:space="preserve">implications for </w:t>
      </w:r>
      <w:r w:rsidR="005F1ABE">
        <w:rPr>
          <w:rFonts w:ascii="Calibri" w:eastAsia="Calibri" w:hAnsi="Calibri"/>
          <w:snapToGrid/>
          <w:sz w:val="24"/>
          <w:szCs w:val="22"/>
        </w:rPr>
        <w:t xml:space="preserve">the </w:t>
      </w:r>
      <w:r w:rsidR="005F1ABE" w:rsidRPr="005F1ABE">
        <w:rPr>
          <w:rFonts w:ascii="Calibri" w:eastAsia="Calibri" w:hAnsi="Calibri"/>
          <w:snapToGrid/>
          <w:sz w:val="24"/>
          <w:szCs w:val="22"/>
        </w:rPr>
        <w:t>economic analysis and financial estimates</w:t>
      </w:r>
      <w:r w:rsidR="00F11D34">
        <w:rPr>
          <w:rFonts w:ascii="Calibri" w:eastAsia="Calibri" w:hAnsi="Calibri"/>
          <w:snapToGrid/>
          <w:sz w:val="24"/>
          <w:szCs w:val="22"/>
        </w:rPr>
        <w:t>.</w:t>
      </w:r>
      <w:r w:rsidR="005F1ABE" w:rsidDel="005F1ABE">
        <w:rPr>
          <w:rFonts w:ascii="Calibri" w:eastAsia="Calibri" w:hAnsi="Calibri"/>
          <w:snapToGrid/>
          <w:sz w:val="24"/>
          <w:szCs w:val="22"/>
        </w:rPr>
        <w:t xml:space="preserve"> </w:t>
      </w:r>
      <w:r>
        <w:rPr>
          <w:rFonts w:ascii="Calibri" w:eastAsia="Calibri" w:hAnsi="Calibri"/>
          <w:snapToGrid/>
          <w:sz w:val="24"/>
          <w:szCs w:val="22"/>
        </w:rPr>
        <w:t xml:space="preserve"> </w:t>
      </w:r>
    </w:p>
    <w:p w:rsidR="00D067F0" w:rsidRPr="006A47F3" w:rsidRDefault="00D067F0" w:rsidP="0092192E">
      <w:pPr>
        <w:pStyle w:val="ListParagraph"/>
        <w:widowControl/>
        <w:numPr>
          <w:ilvl w:val="1"/>
          <w:numId w:val="3"/>
        </w:numPr>
        <w:spacing w:before="120" w:after="120"/>
        <w:rPr>
          <w:rFonts w:ascii="Calibri" w:eastAsia="Calibri" w:hAnsi="Calibri"/>
          <w:snapToGrid/>
          <w:sz w:val="24"/>
          <w:szCs w:val="22"/>
        </w:rPr>
      </w:pPr>
      <w:r w:rsidRPr="006A47F3">
        <w:rPr>
          <w:rFonts w:ascii="Calibri" w:eastAsia="Calibri" w:hAnsi="Calibri"/>
          <w:snapToGrid/>
          <w:sz w:val="24"/>
          <w:szCs w:val="22"/>
        </w:rPr>
        <w:t xml:space="preserve">The PBAC recalled that while considering the PBS retention criteria for medicines that were available </w:t>
      </w:r>
      <w:r w:rsidR="003026E3">
        <w:rPr>
          <w:rFonts w:ascii="Calibri" w:eastAsia="Calibri" w:hAnsi="Calibri"/>
          <w:snapToGrid/>
          <w:sz w:val="24"/>
          <w:szCs w:val="22"/>
        </w:rPr>
        <w:t>OTC</w:t>
      </w:r>
      <w:r w:rsidRPr="006A47F3">
        <w:rPr>
          <w:rFonts w:ascii="Calibri" w:eastAsia="Calibri" w:hAnsi="Calibri"/>
          <w:snapToGrid/>
          <w:sz w:val="24"/>
          <w:szCs w:val="22"/>
        </w:rPr>
        <w:t xml:space="preserve"> at its April 2015 Special meeting, the Committee had considered that removal of NRT from the PBS would be a retrograde step in addressing a public health need, noting that retaining NRTs on the PBS for smoking cessation was important “…in the context of a public health priority area, noting that reduction of chronic disease caused by smoking is one of the key focuses of the national health taskforce on prevention.” </w:t>
      </w:r>
    </w:p>
    <w:p w:rsidR="002554F1" w:rsidRDefault="004A6956" w:rsidP="002554F1">
      <w:pPr>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 xml:space="preserve">The PBAC noted that the requested maximum quantities and the basis of determining the equi-effective doses were based on nicotine gum and lozenges being PBS-listed as </w:t>
      </w:r>
      <w:r w:rsidR="00C73340">
        <w:rPr>
          <w:rFonts w:ascii="Calibri" w:eastAsia="Calibri" w:hAnsi="Calibri"/>
          <w:snapToGrid/>
          <w:sz w:val="24"/>
          <w:szCs w:val="22"/>
        </w:rPr>
        <w:t>monotherapies</w:t>
      </w:r>
      <w:r>
        <w:rPr>
          <w:rFonts w:ascii="Calibri" w:eastAsia="Calibri" w:hAnsi="Calibri"/>
          <w:snapToGrid/>
          <w:sz w:val="24"/>
          <w:szCs w:val="22"/>
        </w:rPr>
        <w:t>. However, t</w:t>
      </w:r>
      <w:r w:rsidR="002554F1">
        <w:rPr>
          <w:rFonts w:ascii="Calibri" w:eastAsia="Calibri" w:hAnsi="Calibri"/>
          <w:snapToGrid/>
          <w:sz w:val="24"/>
          <w:szCs w:val="22"/>
        </w:rPr>
        <w:t>he PBAC considered</w:t>
      </w:r>
      <w:r w:rsidR="002554F1" w:rsidRPr="003026E3">
        <w:rPr>
          <w:rFonts w:ascii="Calibri" w:eastAsia="Calibri" w:hAnsi="Calibri"/>
          <w:snapToGrid/>
          <w:sz w:val="24"/>
          <w:szCs w:val="22"/>
        </w:rPr>
        <w:t xml:space="preserve"> that the likely place in clinical therapy for </w:t>
      </w:r>
      <w:r w:rsidR="002554F1">
        <w:rPr>
          <w:rFonts w:ascii="Calibri" w:eastAsia="Calibri" w:hAnsi="Calibri"/>
          <w:snapToGrid/>
          <w:sz w:val="24"/>
          <w:szCs w:val="22"/>
        </w:rPr>
        <w:t>nicotine</w:t>
      </w:r>
      <w:r w:rsidR="002554F1" w:rsidRPr="003026E3">
        <w:rPr>
          <w:rFonts w:ascii="Calibri" w:eastAsia="Calibri" w:hAnsi="Calibri"/>
          <w:snapToGrid/>
          <w:sz w:val="24"/>
          <w:szCs w:val="22"/>
        </w:rPr>
        <w:t xml:space="preserve"> gum and lozenges would be as combination therapy with long acting forms of </w:t>
      </w:r>
      <w:r w:rsidR="002554F1">
        <w:rPr>
          <w:rFonts w:ascii="Calibri" w:eastAsia="Calibri" w:hAnsi="Calibri"/>
          <w:snapToGrid/>
          <w:sz w:val="24"/>
          <w:szCs w:val="22"/>
        </w:rPr>
        <w:t>currently listed NRTs</w:t>
      </w:r>
      <w:r w:rsidR="002554F1" w:rsidRPr="003026E3">
        <w:rPr>
          <w:rFonts w:ascii="Calibri" w:eastAsia="Calibri" w:hAnsi="Calibri"/>
          <w:snapToGrid/>
          <w:sz w:val="24"/>
          <w:szCs w:val="22"/>
        </w:rPr>
        <w:t xml:space="preserve"> (nicotine patches, varenicline or bupropion). </w:t>
      </w:r>
    </w:p>
    <w:p w:rsidR="002554F1" w:rsidRDefault="004148E6" w:rsidP="002554F1">
      <w:pPr>
        <w:widowControl/>
        <w:numPr>
          <w:ilvl w:val="3"/>
          <w:numId w:val="3"/>
        </w:numPr>
        <w:spacing w:before="120" w:after="120"/>
        <w:ind w:hanging="371"/>
        <w:rPr>
          <w:rFonts w:ascii="Calibri" w:eastAsia="Calibri" w:hAnsi="Calibri"/>
          <w:snapToGrid/>
          <w:sz w:val="24"/>
          <w:szCs w:val="22"/>
        </w:rPr>
      </w:pPr>
      <w:r>
        <w:rPr>
          <w:rFonts w:ascii="Calibri" w:eastAsia="Calibri" w:hAnsi="Calibri"/>
          <w:snapToGrid/>
          <w:sz w:val="24"/>
          <w:szCs w:val="22"/>
        </w:rPr>
        <w:t>T</w:t>
      </w:r>
      <w:r w:rsidR="002554F1">
        <w:rPr>
          <w:rFonts w:ascii="Calibri" w:eastAsia="Calibri" w:hAnsi="Calibri"/>
          <w:snapToGrid/>
          <w:sz w:val="24"/>
          <w:szCs w:val="22"/>
        </w:rPr>
        <w:t xml:space="preserve">he PBAC considered that </w:t>
      </w:r>
      <w:r w:rsidR="000260F2">
        <w:rPr>
          <w:rFonts w:ascii="Calibri" w:eastAsia="Calibri" w:hAnsi="Calibri"/>
          <w:snapToGrid/>
          <w:sz w:val="24"/>
          <w:szCs w:val="22"/>
        </w:rPr>
        <w:t xml:space="preserve">combination use was the appropriate place in therapy and </w:t>
      </w:r>
      <w:r>
        <w:rPr>
          <w:rFonts w:ascii="Calibri" w:eastAsia="Calibri" w:hAnsi="Calibri"/>
          <w:snapToGrid/>
          <w:sz w:val="24"/>
          <w:szCs w:val="22"/>
        </w:rPr>
        <w:t>that nicotine gum and lozenges</w:t>
      </w:r>
      <w:r w:rsidR="002554F1" w:rsidRPr="003026E3">
        <w:rPr>
          <w:rFonts w:ascii="Calibri" w:eastAsia="Calibri" w:hAnsi="Calibri"/>
          <w:snapToGrid/>
          <w:sz w:val="24"/>
          <w:szCs w:val="22"/>
        </w:rPr>
        <w:t xml:space="preserve"> would be used as such in practice</w:t>
      </w:r>
      <w:r w:rsidR="00197EBF">
        <w:rPr>
          <w:rFonts w:ascii="Calibri" w:eastAsia="Calibri" w:hAnsi="Calibri"/>
          <w:snapToGrid/>
          <w:sz w:val="24"/>
          <w:szCs w:val="22"/>
        </w:rPr>
        <w:t>;</w:t>
      </w:r>
    </w:p>
    <w:p w:rsidR="002554F1" w:rsidRDefault="002554F1" w:rsidP="002554F1">
      <w:pPr>
        <w:widowControl/>
        <w:numPr>
          <w:ilvl w:val="3"/>
          <w:numId w:val="3"/>
        </w:numPr>
        <w:spacing w:before="120" w:after="120"/>
        <w:ind w:hanging="371"/>
        <w:rPr>
          <w:rFonts w:ascii="Calibri" w:eastAsia="Calibri" w:hAnsi="Calibri"/>
          <w:snapToGrid/>
          <w:sz w:val="24"/>
          <w:szCs w:val="22"/>
        </w:rPr>
      </w:pPr>
      <w:r>
        <w:rPr>
          <w:rFonts w:ascii="Calibri" w:eastAsia="Calibri" w:hAnsi="Calibri"/>
          <w:snapToGrid/>
          <w:sz w:val="24"/>
          <w:szCs w:val="22"/>
        </w:rPr>
        <w:t xml:space="preserve">The PBAC noted that </w:t>
      </w:r>
      <w:r w:rsidRPr="003026E3">
        <w:rPr>
          <w:rFonts w:ascii="Calibri" w:eastAsia="Calibri" w:hAnsi="Calibri"/>
          <w:snapToGrid/>
          <w:sz w:val="24"/>
          <w:szCs w:val="22"/>
        </w:rPr>
        <w:t>the Royal Australian College of General Practitioners (RACGP)</w:t>
      </w:r>
      <w:r w:rsidR="00004928">
        <w:rPr>
          <w:rStyle w:val="FootnoteReference"/>
          <w:rFonts w:ascii="Calibri" w:eastAsia="Calibri" w:hAnsi="Calibri"/>
          <w:snapToGrid/>
          <w:sz w:val="24"/>
          <w:szCs w:val="22"/>
        </w:rPr>
        <w:footnoteReference w:id="2"/>
      </w:r>
      <w:r w:rsidR="000145A3">
        <w:rPr>
          <w:rFonts w:ascii="Calibri" w:eastAsia="Calibri" w:hAnsi="Calibri"/>
          <w:snapToGrid/>
          <w:sz w:val="24"/>
          <w:szCs w:val="22"/>
        </w:rPr>
        <w:t xml:space="preserve"> smoking cessation guidelines indicated</w:t>
      </w:r>
      <w:r w:rsidRPr="003026E3">
        <w:rPr>
          <w:rFonts w:ascii="Calibri" w:eastAsia="Calibri" w:hAnsi="Calibri"/>
          <w:snapToGrid/>
          <w:sz w:val="24"/>
          <w:szCs w:val="22"/>
        </w:rPr>
        <w:t xml:space="preserve"> that combination </w:t>
      </w:r>
      <w:r w:rsidR="002569AA">
        <w:rPr>
          <w:rFonts w:ascii="Calibri" w:eastAsia="Calibri" w:hAnsi="Calibri"/>
          <w:snapToGrid/>
          <w:sz w:val="24"/>
          <w:szCs w:val="22"/>
        </w:rPr>
        <w:t>NRT</w:t>
      </w:r>
      <w:r w:rsidRPr="003026E3">
        <w:rPr>
          <w:rFonts w:ascii="Calibri" w:eastAsia="Calibri" w:hAnsi="Calibri"/>
          <w:snapToGrid/>
          <w:sz w:val="24"/>
          <w:szCs w:val="22"/>
        </w:rPr>
        <w:t xml:space="preserve"> or var</w:t>
      </w:r>
      <w:r>
        <w:rPr>
          <w:rFonts w:ascii="Calibri" w:eastAsia="Calibri" w:hAnsi="Calibri"/>
          <w:snapToGrid/>
          <w:sz w:val="24"/>
          <w:szCs w:val="22"/>
        </w:rPr>
        <w:t>enicline we</w:t>
      </w:r>
      <w:r w:rsidRPr="003026E3">
        <w:rPr>
          <w:rFonts w:ascii="Calibri" w:eastAsia="Calibri" w:hAnsi="Calibri"/>
          <w:snapToGrid/>
          <w:sz w:val="24"/>
          <w:szCs w:val="22"/>
        </w:rPr>
        <w:t>re the most effe</w:t>
      </w:r>
      <w:r>
        <w:rPr>
          <w:rFonts w:ascii="Calibri" w:eastAsia="Calibri" w:hAnsi="Calibri"/>
          <w:snapToGrid/>
          <w:sz w:val="24"/>
          <w:szCs w:val="22"/>
        </w:rPr>
        <w:t>ctive forms of pharmacotherapy, encouraging</w:t>
      </w:r>
      <w:r w:rsidRPr="003026E3">
        <w:rPr>
          <w:rFonts w:ascii="Calibri" w:eastAsia="Calibri" w:hAnsi="Calibri"/>
          <w:snapToGrid/>
          <w:sz w:val="24"/>
          <w:szCs w:val="22"/>
        </w:rPr>
        <w:t xml:space="preserve"> health professionals to consider using combin</w:t>
      </w:r>
      <w:r w:rsidR="00197EBF">
        <w:rPr>
          <w:rFonts w:ascii="Calibri" w:eastAsia="Calibri" w:hAnsi="Calibri"/>
          <w:snapToGrid/>
          <w:sz w:val="24"/>
          <w:szCs w:val="22"/>
        </w:rPr>
        <w:t>ation NRT for smoking cessation;</w:t>
      </w:r>
      <w:r w:rsidRPr="003026E3">
        <w:rPr>
          <w:rFonts w:ascii="Calibri" w:eastAsia="Calibri" w:hAnsi="Calibri"/>
          <w:snapToGrid/>
          <w:sz w:val="24"/>
          <w:szCs w:val="22"/>
        </w:rPr>
        <w:t xml:space="preserve"> </w:t>
      </w:r>
    </w:p>
    <w:p w:rsidR="00307E5E" w:rsidRDefault="002554F1" w:rsidP="002554F1">
      <w:pPr>
        <w:widowControl/>
        <w:numPr>
          <w:ilvl w:val="3"/>
          <w:numId w:val="3"/>
        </w:numPr>
        <w:spacing w:before="120" w:after="120"/>
        <w:ind w:hanging="371"/>
        <w:rPr>
          <w:rFonts w:ascii="Calibri" w:eastAsia="Calibri" w:hAnsi="Calibri"/>
          <w:snapToGrid/>
          <w:sz w:val="24"/>
          <w:szCs w:val="22"/>
        </w:rPr>
      </w:pPr>
      <w:r>
        <w:rPr>
          <w:rFonts w:ascii="Calibri" w:eastAsia="Calibri" w:hAnsi="Calibri"/>
          <w:snapToGrid/>
          <w:sz w:val="24"/>
          <w:szCs w:val="22"/>
        </w:rPr>
        <w:t>The PBAC noted that the merits of combination use were acknowledged in the PSCR and the pre-PBAC</w:t>
      </w:r>
      <w:r w:rsidR="00307E5E">
        <w:rPr>
          <w:rFonts w:ascii="Calibri" w:eastAsia="Calibri" w:hAnsi="Calibri"/>
          <w:snapToGrid/>
          <w:sz w:val="24"/>
          <w:szCs w:val="22"/>
        </w:rPr>
        <w:t xml:space="preserve"> response. </w:t>
      </w:r>
    </w:p>
    <w:p w:rsidR="00D132FD" w:rsidRDefault="008A4B36" w:rsidP="002554F1">
      <w:pPr>
        <w:pStyle w:val="ListParagraph"/>
        <w:widowControl/>
        <w:numPr>
          <w:ilvl w:val="1"/>
          <w:numId w:val="3"/>
        </w:numPr>
        <w:spacing w:before="120" w:after="120"/>
        <w:rPr>
          <w:rFonts w:ascii="Calibri" w:eastAsia="Calibri" w:hAnsi="Calibri"/>
          <w:snapToGrid/>
          <w:sz w:val="24"/>
          <w:szCs w:val="22"/>
        </w:rPr>
      </w:pPr>
      <w:r w:rsidRPr="002554F1">
        <w:rPr>
          <w:rFonts w:ascii="Calibri" w:eastAsia="Calibri" w:hAnsi="Calibri"/>
          <w:snapToGrid/>
          <w:sz w:val="24"/>
          <w:szCs w:val="22"/>
        </w:rPr>
        <w:t xml:space="preserve">The PBAC noted that the maximum </w:t>
      </w:r>
      <w:r w:rsidR="00056AF6">
        <w:rPr>
          <w:rFonts w:ascii="Calibri" w:eastAsia="Calibri" w:hAnsi="Calibri"/>
          <w:snapToGrid/>
          <w:sz w:val="24"/>
          <w:szCs w:val="22"/>
        </w:rPr>
        <w:t>quantity</w:t>
      </w:r>
      <w:r w:rsidRPr="002554F1">
        <w:rPr>
          <w:rFonts w:ascii="Calibri" w:eastAsia="Calibri" w:hAnsi="Calibri"/>
          <w:snapToGrid/>
          <w:sz w:val="24"/>
          <w:szCs w:val="22"/>
        </w:rPr>
        <w:t xml:space="preserve"> requested in the proposed restriction, based on the mean dosages from the clinical trials, was considerably less than that recommended in the </w:t>
      </w:r>
      <w:r w:rsidR="002554F1">
        <w:rPr>
          <w:rFonts w:ascii="Calibri" w:eastAsia="Calibri" w:hAnsi="Calibri"/>
          <w:snapToGrid/>
          <w:sz w:val="24"/>
          <w:szCs w:val="22"/>
        </w:rPr>
        <w:t xml:space="preserve">PI </w:t>
      </w:r>
      <w:r w:rsidRPr="002554F1">
        <w:rPr>
          <w:rFonts w:ascii="Calibri" w:eastAsia="Calibri" w:hAnsi="Calibri"/>
          <w:snapToGrid/>
          <w:sz w:val="24"/>
          <w:szCs w:val="22"/>
        </w:rPr>
        <w:t xml:space="preserve">for both the lozenge and the gum. The PBAC </w:t>
      </w:r>
      <w:r w:rsidR="002554F1">
        <w:rPr>
          <w:rFonts w:ascii="Calibri" w:eastAsia="Calibri" w:hAnsi="Calibri"/>
          <w:snapToGrid/>
          <w:sz w:val="24"/>
          <w:szCs w:val="22"/>
        </w:rPr>
        <w:t>considered that the proposed maximum quantity was</w:t>
      </w:r>
      <w:r w:rsidRPr="002554F1">
        <w:rPr>
          <w:rFonts w:ascii="Calibri" w:eastAsia="Calibri" w:hAnsi="Calibri"/>
          <w:snapToGrid/>
          <w:sz w:val="24"/>
          <w:szCs w:val="22"/>
        </w:rPr>
        <w:t xml:space="preserve"> underestimated</w:t>
      </w:r>
      <w:r w:rsidR="002554F1">
        <w:rPr>
          <w:rFonts w:ascii="Calibri" w:eastAsia="Calibri" w:hAnsi="Calibri"/>
          <w:snapToGrid/>
          <w:sz w:val="24"/>
          <w:szCs w:val="22"/>
        </w:rPr>
        <w:t>,</w:t>
      </w:r>
      <w:r w:rsidRPr="002554F1">
        <w:rPr>
          <w:rFonts w:ascii="Calibri" w:eastAsia="Calibri" w:hAnsi="Calibri"/>
          <w:snapToGrid/>
          <w:sz w:val="24"/>
          <w:szCs w:val="22"/>
        </w:rPr>
        <w:t xml:space="preserve"> given that the requested restrictions require the gum or lozenges to be the sole form of PBS-subsidised smoking cessation medicine permitted in a twelve-month period. Although the PSCR </w:t>
      </w:r>
      <w:r w:rsidR="004F1F6D">
        <w:rPr>
          <w:rFonts w:ascii="Calibri" w:eastAsia="Calibri" w:hAnsi="Calibri"/>
          <w:snapToGrid/>
          <w:sz w:val="24"/>
          <w:szCs w:val="22"/>
        </w:rPr>
        <w:t xml:space="preserve">(p3) </w:t>
      </w:r>
      <w:r w:rsidRPr="002554F1">
        <w:rPr>
          <w:rFonts w:ascii="Calibri" w:eastAsia="Calibri" w:hAnsi="Calibri"/>
          <w:snapToGrid/>
          <w:sz w:val="24"/>
          <w:szCs w:val="22"/>
        </w:rPr>
        <w:t xml:space="preserve">argued that the increase in quantity may result in wastage and could be a safety issue, the PBAC considered that the proposed maximum quantity would result in under-treatment for some patients and may trigger discontinuation in others. </w:t>
      </w:r>
    </w:p>
    <w:p w:rsidR="00D132FD" w:rsidRDefault="00D132FD" w:rsidP="00D132FD">
      <w:pPr>
        <w:pStyle w:val="ListParagraph"/>
        <w:widowControl/>
        <w:spacing w:before="120" w:after="120"/>
        <w:rPr>
          <w:rFonts w:ascii="Calibri" w:eastAsia="Calibri" w:hAnsi="Calibri"/>
          <w:snapToGrid/>
          <w:sz w:val="24"/>
          <w:szCs w:val="22"/>
        </w:rPr>
      </w:pPr>
    </w:p>
    <w:p w:rsidR="003026E3" w:rsidRDefault="00D132FD" w:rsidP="002554F1">
      <w:pPr>
        <w:pStyle w:val="ListParagraph"/>
        <w:widowControl/>
        <w:numPr>
          <w:ilvl w:val="1"/>
          <w:numId w:val="3"/>
        </w:numPr>
        <w:spacing w:before="120" w:after="120"/>
        <w:rPr>
          <w:rFonts w:ascii="Calibri" w:eastAsia="Calibri" w:hAnsi="Calibri"/>
          <w:snapToGrid/>
          <w:sz w:val="24"/>
          <w:szCs w:val="22"/>
        </w:rPr>
      </w:pPr>
      <w:r>
        <w:rPr>
          <w:rFonts w:ascii="Calibri" w:eastAsia="Calibri" w:hAnsi="Calibri"/>
          <w:snapToGrid/>
          <w:sz w:val="24"/>
          <w:szCs w:val="22"/>
        </w:rPr>
        <w:t xml:space="preserve">The PBAC </w:t>
      </w:r>
      <w:r w:rsidR="00056AF6">
        <w:rPr>
          <w:rFonts w:ascii="Calibri" w:eastAsia="Calibri" w:hAnsi="Calibri"/>
          <w:snapToGrid/>
          <w:sz w:val="24"/>
          <w:szCs w:val="22"/>
        </w:rPr>
        <w:t>noted</w:t>
      </w:r>
      <w:r>
        <w:rPr>
          <w:rFonts w:ascii="Calibri" w:eastAsia="Calibri" w:hAnsi="Calibri"/>
          <w:snapToGrid/>
          <w:sz w:val="24"/>
          <w:szCs w:val="22"/>
        </w:rPr>
        <w:t xml:space="preserve"> that</w:t>
      </w:r>
      <w:r w:rsidR="00056AF6">
        <w:rPr>
          <w:rFonts w:ascii="Calibri" w:eastAsia="Calibri" w:hAnsi="Calibri"/>
          <w:snapToGrid/>
          <w:sz w:val="24"/>
          <w:szCs w:val="22"/>
        </w:rPr>
        <w:t xml:space="preserve"> </w:t>
      </w:r>
      <w:r>
        <w:rPr>
          <w:rFonts w:ascii="Calibri" w:eastAsia="Calibri" w:hAnsi="Calibri"/>
          <w:snapToGrid/>
          <w:sz w:val="24"/>
          <w:szCs w:val="22"/>
        </w:rPr>
        <w:t xml:space="preserve">the </w:t>
      </w:r>
      <w:r w:rsidR="00056AF6">
        <w:rPr>
          <w:rFonts w:ascii="Calibri" w:eastAsia="Calibri" w:hAnsi="Calibri"/>
          <w:snapToGrid/>
          <w:sz w:val="24"/>
          <w:szCs w:val="22"/>
        </w:rPr>
        <w:t xml:space="preserve">Australian </w:t>
      </w:r>
      <w:r w:rsidR="00D82470">
        <w:rPr>
          <w:rFonts w:ascii="Calibri" w:eastAsia="Calibri" w:hAnsi="Calibri"/>
          <w:snapToGrid/>
          <w:sz w:val="24"/>
          <w:szCs w:val="22"/>
        </w:rPr>
        <w:t xml:space="preserve">Medicines </w:t>
      </w:r>
      <w:r w:rsidR="00056AF6">
        <w:rPr>
          <w:rFonts w:ascii="Calibri" w:eastAsia="Calibri" w:hAnsi="Calibri"/>
          <w:snapToGrid/>
          <w:sz w:val="24"/>
          <w:szCs w:val="22"/>
        </w:rPr>
        <w:t xml:space="preserve">Handbook recommends that the appropriate doses for NRTs were 867 pieces of nicotine gum and 840 pieces of nicotine lozenges, for </w:t>
      </w:r>
      <w:r w:rsidR="002569AA">
        <w:rPr>
          <w:rFonts w:ascii="Calibri" w:eastAsia="Calibri" w:hAnsi="Calibri"/>
          <w:snapToGrid/>
          <w:sz w:val="24"/>
          <w:szCs w:val="22"/>
        </w:rPr>
        <w:t>a</w:t>
      </w:r>
      <w:r w:rsidR="00056AF6">
        <w:rPr>
          <w:rFonts w:ascii="Calibri" w:eastAsia="Calibri" w:hAnsi="Calibri"/>
          <w:snapToGrid/>
          <w:sz w:val="24"/>
          <w:szCs w:val="22"/>
        </w:rPr>
        <w:t xml:space="preserve"> 12-week period</w:t>
      </w:r>
      <w:r w:rsidR="00056AF6">
        <w:rPr>
          <w:rStyle w:val="FootnoteReference"/>
          <w:rFonts w:ascii="Calibri" w:eastAsia="Calibri" w:hAnsi="Calibri"/>
          <w:snapToGrid/>
          <w:sz w:val="24"/>
          <w:szCs w:val="22"/>
        </w:rPr>
        <w:footnoteReference w:id="3"/>
      </w:r>
      <w:r w:rsidR="00056AF6">
        <w:rPr>
          <w:rFonts w:ascii="Calibri" w:eastAsia="Calibri" w:hAnsi="Calibri"/>
          <w:snapToGrid/>
          <w:sz w:val="24"/>
          <w:szCs w:val="22"/>
        </w:rPr>
        <w:t xml:space="preserve">. </w:t>
      </w:r>
      <w:r w:rsidR="008A4B36" w:rsidRPr="002554F1">
        <w:rPr>
          <w:rFonts w:ascii="Calibri" w:eastAsia="Calibri" w:hAnsi="Calibri"/>
          <w:snapToGrid/>
          <w:sz w:val="24"/>
          <w:szCs w:val="22"/>
        </w:rPr>
        <w:t xml:space="preserve">The PBAC therefore </w:t>
      </w:r>
      <w:r w:rsidR="00056AF6">
        <w:rPr>
          <w:rFonts w:ascii="Calibri" w:eastAsia="Calibri" w:hAnsi="Calibri"/>
          <w:snapToGrid/>
          <w:sz w:val="24"/>
          <w:szCs w:val="22"/>
        </w:rPr>
        <w:t xml:space="preserve">considered </w:t>
      </w:r>
      <w:r w:rsidR="008A4B36" w:rsidRPr="002554F1">
        <w:rPr>
          <w:rFonts w:ascii="Calibri" w:eastAsia="Calibri" w:hAnsi="Calibri"/>
          <w:snapToGrid/>
          <w:sz w:val="24"/>
          <w:szCs w:val="22"/>
        </w:rPr>
        <w:t>that further deliberation on the most appropriate maximum quantity was required,</w:t>
      </w:r>
      <w:r w:rsidR="00056AF6">
        <w:rPr>
          <w:rFonts w:ascii="Calibri" w:eastAsia="Calibri" w:hAnsi="Calibri"/>
          <w:snapToGrid/>
          <w:sz w:val="24"/>
          <w:szCs w:val="22"/>
        </w:rPr>
        <w:t xml:space="preserve"> and advised that the recommendations of the Australian </w:t>
      </w:r>
      <w:r w:rsidR="00D82470">
        <w:rPr>
          <w:rFonts w:ascii="Calibri" w:eastAsia="Calibri" w:hAnsi="Calibri"/>
          <w:snapToGrid/>
          <w:sz w:val="24"/>
          <w:szCs w:val="22"/>
        </w:rPr>
        <w:t>g</w:t>
      </w:r>
      <w:r w:rsidR="00056AF6">
        <w:rPr>
          <w:rFonts w:ascii="Calibri" w:eastAsia="Calibri" w:hAnsi="Calibri"/>
          <w:snapToGrid/>
          <w:sz w:val="24"/>
          <w:szCs w:val="22"/>
        </w:rPr>
        <w:t xml:space="preserve">uidelines </w:t>
      </w:r>
      <w:r w:rsidR="000145A3">
        <w:rPr>
          <w:rFonts w:ascii="Calibri" w:eastAsia="Calibri" w:hAnsi="Calibri"/>
          <w:snapToGrid/>
          <w:sz w:val="24"/>
          <w:szCs w:val="22"/>
        </w:rPr>
        <w:t>are</w:t>
      </w:r>
      <w:r w:rsidR="00056AF6">
        <w:rPr>
          <w:rFonts w:ascii="Calibri" w:eastAsia="Calibri" w:hAnsi="Calibri"/>
          <w:snapToGrid/>
          <w:sz w:val="24"/>
          <w:szCs w:val="22"/>
        </w:rPr>
        <w:t xml:space="preserve"> taken into account while resolving the disparity between the maximum </w:t>
      </w:r>
      <w:r w:rsidR="004F1F6D">
        <w:rPr>
          <w:rFonts w:ascii="Calibri" w:eastAsia="Calibri" w:hAnsi="Calibri"/>
          <w:snapToGrid/>
          <w:sz w:val="24"/>
          <w:szCs w:val="22"/>
        </w:rPr>
        <w:t>quantities outlined</w:t>
      </w:r>
      <w:r w:rsidR="00056AF6">
        <w:rPr>
          <w:rFonts w:ascii="Calibri" w:eastAsia="Calibri" w:hAnsi="Calibri"/>
          <w:snapToGrid/>
          <w:sz w:val="24"/>
          <w:szCs w:val="22"/>
        </w:rPr>
        <w:t xml:space="preserve"> in the PI, versus th</w:t>
      </w:r>
      <w:r w:rsidR="004F1F6D">
        <w:rPr>
          <w:rFonts w:ascii="Calibri" w:eastAsia="Calibri" w:hAnsi="Calibri"/>
          <w:snapToGrid/>
          <w:sz w:val="24"/>
          <w:szCs w:val="22"/>
        </w:rPr>
        <w:t>ose</w:t>
      </w:r>
      <w:r w:rsidR="00056AF6">
        <w:rPr>
          <w:rFonts w:ascii="Calibri" w:eastAsia="Calibri" w:hAnsi="Calibri"/>
          <w:snapToGrid/>
          <w:sz w:val="24"/>
          <w:szCs w:val="22"/>
        </w:rPr>
        <w:t xml:space="preserve"> in the proposed PBS restriction</w:t>
      </w:r>
      <w:r w:rsidR="008A4B36" w:rsidRPr="002554F1">
        <w:rPr>
          <w:rFonts w:ascii="Calibri" w:eastAsia="Calibri" w:hAnsi="Calibri"/>
          <w:snapToGrid/>
          <w:sz w:val="24"/>
          <w:szCs w:val="22"/>
        </w:rPr>
        <w:t xml:space="preserve">. Furthermore, the PBAC advised that the inclusion of dose titration, as described in the PI </w:t>
      </w:r>
      <w:r w:rsidR="00A80336">
        <w:rPr>
          <w:rFonts w:ascii="Calibri" w:eastAsia="Calibri" w:hAnsi="Calibri"/>
          <w:snapToGrid/>
          <w:sz w:val="24"/>
          <w:szCs w:val="22"/>
        </w:rPr>
        <w:t>(i.e.</w:t>
      </w:r>
      <w:r w:rsidR="008A4B36" w:rsidRPr="002554F1">
        <w:rPr>
          <w:rFonts w:ascii="Calibri" w:eastAsia="Calibri" w:hAnsi="Calibri"/>
          <w:snapToGrid/>
          <w:sz w:val="24"/>
          <w:szCs w:val="22"/>
        </w:rPr>
        <w:t xml:space="preserve"> down titration after three months) should be considered while developing the revised restriction criteria.</w:t>
      </w:r>
    </w:p>
    <w:p w:rsidR="00E9705C" w:rsidRPr="002554F1" w:rsidRDefault="00E9705C" w:rsidP="00E9705C">
      <w:pPr>
        <w:pStyle w:val="ListParagraph"/>
        <w:widowControl/>
        <w:spacing w:before="120" w:after="120"/>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The submission nominated nicotine patches as the main comparator for nicotine gum and lozenges. The PBAC considered that this was reasonable</w:t>
      </w:r>
      <w:r w:rsidR="009C313C">
        <w:rPr>
          <w:rFonts w:ascii="Calibri" w:eastAsia="Calibri" w:hAnsi="Calibri"/>
          <w:snapToGrid/>
          <w:sz w:val="24"/>
          <w:szCs w:val="22"/>
        </w:rPr>
        <w:t>, if nicotine gum and l</w:t>
      </w:r>
      <w:r w:rsidR="00C71346">
        <w:rPr>
          <w:rFonts w:ascii="Calibri" w:eastAsia="Calibri" w:hAnsi="Calibri"/>
          <w:snapToGrid/>
          <w:sz w:val="24"/>
          <w:szCs w:val="22"/>
        </w:rPr>
        <w:t xml:space="preserve">ozenges were to be used as </w:t>
      </w:r>
      <w:r w:rsidR="00C73340">
        <w:rPr>
          <w:rFonts w:ascii="Calibri" w:eastAsia="Calibri" w:hAnsi="Calibri"/>
          <w:snapToGrid/>
          <w:sz w:val="24"/>
          <w:szCs w:val="22"/>
        </w:rPr>
        <w:t>mono</w:t>
      </w:r>
      <w:r w:rsidR="009C313C">
        <w:rPr>
          <w:rFonts w:ascii="Calibri" w:eastAsia="Calibri" w:hAnsi="Calibri"/>
          <w:snapToGrid/>
          <w:sz w:val="24"/>
          <w:szCs w:val="22"/>
        </w:rPr>
        <w:t>therapies</w:t>
      </w:r>
      <w:r w:rsidRPr="00321D60">
        <w:rPr>
          <w:rFonts w:ascii="Calibri" w:eastAsia="Calibri" w:hAnsi="Calibri"/>
          <w:snapToGrid/>
          <w:sz w:val="24"/>
          <w:szCs w:val="22"/>
        </w:rPr>
        <w:t>. The PBAC noted that varenicline was proposed as a relevant comparator for combination use of NRTs in the pre-PBAC response (p3)</w:t>
      </w:r>
      <w:r w:rsidR="000A1C12">
        <w:rPr>
          <w:rFonts w:ascii="Calibri" w:eastAsia="Calibri" w:hAnsi="Calibri"/>
          <w:snapToGrid/>
          <w:sz w:val="24"/>
          <w:szCs w:val="22"/>
        </w:rPr>
        <w:t>.</w:t>
      </w:r>
      <w:r w:rsidR="0022556A">
        <w:rPr>
          <w:rFonts w:ascii="Calibri" w:eastAsia="Calibri" w:hAnsi="Calibri"/>
          <w:snapToGrid/>
          <w:sz w:val="24"/>
          <w:szCs w:val="22"/>
        </w:rPr>
        <w:t xml:space="preserve"> The PBAC considered that while varenicline was likely to be an appropriate comparator for the use of nicotine gum or lozenges in combination with nicotine patches, nicotine gum or lozenges could be used in combination with varenicline as well in practice.</w:t>
      </w:r>
      <w:r w:rsidR="000A1C12">
        <w:rPr>
          <w:rFonts w:ascii="Calibri" w:eastAsia="Calibri" w:hAnsi="Calibri"/>
          <w:snapToGrid/>
          <w:sz w:val="24"/>
          <w:szCs w:val="22"/>
        </w:rPr>
        <w:t xml:space="preserve"> The PBAC noted that</w:t>
      </w:r>
      <w:r w:rsidR="000A1C12" w:rsidRPr="000A1C12">
        <w:rPr>
          <w:rFonts w:ascii="Calibri" w:eastAsia="Calibri" w:hAnsi="Calibri"/>
          <w:snapToGrid/>
          <w:sz w:val="24"/>
          <w:szCs w:val="22"/>
        </w:rPr>
        <w:t xml:space="preserve"> </w:t>
      </w:r>
      <w:r w:rsidR="000A1C12" w:rsidRPr="00321D60">
        <w:rPr>
          <w:rFonts w:ascii="Calibri" w:eastAsia="Calibri" w:hAnsi="Calibri"/>
          <w:snapToGrid/>
          <w:sz w:val="24"/>
          <w:szCs w:val="22"/>
        </w:rPr>
        <w:t xml:space="preserve">no clinical evidence </w:t>
      </w:r>
      <w:r w:rsidR="007F14EC">
        <w:rPr>
          <w:rFonts w:ascii="Calibri" w:eastAsia="Calibri" w:hAnsi="Calibri"/>
          <w:snapToGrid/>
          <w:sz w:val="24"/>
          <w:szCs w:val="22"/>
        </w:rPr>
        <w:t xml:space="preserve">on the potential comparator/s for </w:t>
      </w:r>
      <w:r w:rsidR="000A1C12">
        <w:rPr>
          <w:rFonts w:ascii="Calibri" w:eastAsia="Calibri" w:hAnsi="Calibri"/>
          <w:snapToGrid/>
          <w:sz w:val="24"/>
          <w:szCs w:val="22"/>
        </w:rPr>
        <w:t xml:space="preserve">either of the combinations </w:t>
      </w:r>
      <w:r w:rsidR="00D82470">
        <w:rPr>
          <w:rFonts w:ascii="Calibri" w:eastAsia="Calibri" w:hAnsi="Calibri"/>
          <w:snapToGrid/>
          <w:sz w:val="24"/>
          <w:szCs w:val="22"/>
        </w:rPr>
        <w:t>was</w:t>
      </w:r>
      <w:r w:rsidR="000A1C12" w:rsidRPr="00321D60">
        <w:rPr>
          <w:rFonts w:ascii="Calibri" w:eastAsia="Calibri" w:hAnsi="Calibri"/>
          <w:snapToGrid/>
          <w:sz w:val="24"/>
          <w:szCs w:val="22"/>
        </w:rPr>
        <w:t xml:space="preserve"> presented</w:t>
      </w:r>
      <w:r w:rsidR="000A1C12">
        <w:rPr>
          <w:rFonts w:ascii="Calibri" w:eastAsia="Calibri" w:hAnsi="Calibri"/>
          <w:snapToGrid/>
          <w:sz w:val="24"/>
          <w:szCs w:val="22"/>
        </w:rPr>
        <w:t xml:space="preserve"> in the submission or the pre-PBAC response.</w:t>
      </w:r>
    </w:p>
    <w:p w:rsidR="00321D60" w:rsidRPr="00321D60" w:rsidRDefault="00321D60" w:rsidP="00321D60">
      <w:pPr>
        <w:pStyle w:val="ListParagraph"/>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 xml:space="preserve">The submission claimed that nicotine lozenge was non inferior to nicotine patches based on three head-to-head trials and a random effects meta-analysis (RR: 0.94, 95% CI: 0.74 to 1.18) (p = 0.629). The PBAC considered that the submission’s claim of non-inferiority in </w:t>
      </w:r>
      <w:r w:rsidR="000145A3">
        <w:rPr>
          <w:rFonts w:ascii="Calibri" w:eastAsia="Calibri" w:hAnsi="Calibri"/>
          <w:snapToGrid/>
          <w:sz w:val="24"/>
          <w:szCs w:val="22"/>
        </w:rPr>
        <w:t>relation to</w:t>
      </w:r>
      <w:r w:rsidRPr="00321D60">
        <w:rPr>
          <w:rFonts w:ascii="Calibri" w:eastAsia="Calibri" w:hAnsi="Calibri"/>
          <w:snapToGrid/>
          <w:sz w:val="24"/>
          <w:szCs w:val="22"/>
        </w:rPr>
        <w:t xml:space="preserve"> comparative efficacy for nicotine lozenges compared with nicotine patches was reasonable. </w:t>
      </w:r>
    </w:p>
    <w:p w:rsidR="00321D60" w:rsidRPr="00321D60" w:rsidRDefault="00321D60" w:rsidP="00321D60">
      <w:pPr>
        <w:pStyle w:val="ListParagraph"/>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 xml:space="preserve">The submission presented an indirect comparison of 56 gum versus control trials and 54 patch versus control trials, </w:t>
      </w:r>
      <w:r w:rsidR="001A48E4">
        <w:rPr>
          <w:rFonts w:ascii="Calibri" w:eastAsia="Calibri" w:hAnsi="Calibri"/>
          <w:snapToGrid/>
          <w:sz w:val="24"/>
          <w:szCs w:val="22"/>
        </w:rPr>
        <w:t>claiming</w:t>
      </w:r>
      <w:r w:rsidR="000145A3">
        <w:rPr>
          <w:rFonts w:ascii="Calibri" w:eastAsia="Calibri" w:hAnsi="Calibri"/>
          <w:snapToGrid/>
          <w:sz w:val="24"/>
          <w:szCs w:val="22"/>
        </w:rPr>
        <w:t xml:space="preserve"> that nicotine gum was non-</w:t>
      </w:r>
      <w:r w:rsidRPr="00321D60">
        <w:rPr>
          <w:rFonts w:ascii="Calibri" w:eastAsia="Calibri" w:hAnsi="Calibri"/>
          <w:snapToGrid/>
          <w:sz w:val="24"/>
          <w:szCs w:val="22"/>
        </w:rPr>
        <w:t>inferior to nicotine patch</w:t>
      </w:r>
      <w:r w:rsidR="000145A3">
        <w:rPr>
          <w:rFonts w:ascii="Calibri" w:eastAsia="Calibri" w:hAnsi="Calibri"/>
          <w:snapToGrid/>
          <w:sz w:val="24"/>
          <w:szCs w:val="22"/>
        </w:rPr>
        <w:t>es</w:t>
      </w:r>
      <w:r w:rsidRPr="00321D60">
        <w:rPr>
          <w:rFonts w:ascii="Calibri" w:eastAsia="Calibri" w:hAnsi="Calibri"/>
          <w:snapToGrid/>
          <w:sz w:val="24"/>
          <w:szCs w:val="22"/>
        </w:rPr>
        <w:t xml:space="preserve"> (RR: 0.91, 95% CI: 0.80 to 1.04) (p = 0.16). </w:t>
      </w:r>
      <w:r>
        <w:rPr>
          <w:rFonts w:ascii="Calibri" w:eastAsia="Calibri" w:hAnsi="Calibri"/>
          <w:snapToGrid/>
          <w:sz w:val="24"/>
          <w:szCs w:val="22"/>
        </w:rPr>
        <w:t>Notwithstanding ESC’s concerns regarding the</w:t>
      </w:r>
      <w:r w:rsidRPr="00321D60">
        <w:rPr>
          <w:rFonts w:ascii="Calibri" w:eastAsia="Calibri" w:hAnsi="Calibri"/>
          <w:snapToGrid/>
          <w:sz w:val="24"/>
          <w:szCs w:val="22"/>
        </w:rPr>
        <w:t xml:space="preserve"> upper limit of the 95% CI, which just crosses unity</w:t>
      </w:r>
      <w:r>
        <w:rPr>
          <w:rFonts w:ascii="Calibri" w:eastAsia="Calibri" w:hAnsi="Calibri"/>
          <w:snapToGrid/>
          <w:sz w:val="24"/>
          <w:szCs w:val="22"/>
        </w:rPr>
        <w:t xml:space="preserve">, the PBAC considered that, </w:t>
      </w:r>
      <w:r w:rsidRPr="00321D60">
        <w:rPr>
          <w:rFonts w:ascii="Calibri" w:eastAsia="Calibri" w:hAnsi="Calibri"/>
          <w:snapToGrid/>
          <w:sz w:val="24"/>
          <w:szCs w:val="22"/>
        </w:rPr>
        <w:t xml:space="preserve">on balance, the submission’s claim of non-inferiority in </w:t>
      </w:r>
      <w:r w:rsidR="00DC3506">
        <w:rPr>
          <w:rFonts w:ascii="Calibri" w:eastAsia="Calibri" w:hAnsi="Calibri"/>
          <w:snapToGrid/>
          <w:sz w:val="24"/>
          <w:szCs w:val="22"/>
        </w:rPr>
        <w:t>relation to</w:t>
      </w:r>
      <w:r w:rsidRPr="00321D60">
        <w:rPr>
          <w:rFonts w:ascii="Calibri" w:eastAsia="Calibri" w:hAnsi="Calibri"/>
          <w:snapToGrid/>
          <w:sz w:val="24"/>
          <w:szCs w:val="22"/>
        </w:rPr>
        <w:t xml:space="preserve"> comparative efficacy for nicotine gum compared with nicotine patches, was reasonable. </w:t>
      </w:r>
    </w:p>
    <w:p w:rsidR="00321D60" w:rsidRPr="00321D60" w:rsidRDefault="00321D60" w:rsidP="00321D60">
      <w:pPr>
        <w:pStyle w:val="ListParagraph"/>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The PBAC also noted that the efficacy of nicotine lozenges and gum significantly improved when used in combination with nicotine patches (Piper, 2009). However, no evidence was provided in the submission about the cost-effectiveness of the combination treatment</w:t>
      </w:r>
      <w:r>
        <w:rPr>
          <w:rFonts w:ascii="Calibri" w:eastAsia="Calibri" w:hAnsi="Calibri"/>
          <w:snapToGrid/>
          <w:sz w:val="24"/>
          <w:szCs w:val="22"/>
        </w:rPr>
        <w:t xml:space="preserve"> (see paragraph 7.3)</w:t>
      </w:r>
      <w:r w:rsidRPr="00321D60">
        <w:rPr>
          <w:rFonts w:ascii="Calibri" w:eastAsia="Calibri" w:hAnsi="Calibri"/>
          <w:snapToGrid/>
          <w:sz w:val="24"/>
          <w:szCs w:val="22"/>
        </w:rPr>
        <w:t>.</w:t>
      </w:r>
    </w:p>
    <w:p w:rsidR="00321D60" w:rsidRPr="00321D60" w:rsidRDefault="00321D60" w:rsidP="00321D60">
      <w:pPr>
        <w:pStyle w:val="ListParagraph"/>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The PBAC noted that adverse events experienced by participants receiving nicotine gum or lozenges were similar to those experienced by participants receiving nicotine patches, with hiccups and oral reactions occurring more frequently amongst participants using nicotine gum or lozenges. This was consistent with the PI for both nicotine gum and lozenges. As such, the PBAC considered that the submission’s claim of non-inferior safety compared with nicotine patches was reasonable.</w:t>
      </w:r>
    </w:p>
    <w:p w:rsidR="00321D60" w:rsidRPr="00321D60" w:rsidRDefault="00321D60" w:rsidP="00321D60">
      <w:pPr>
        <w:pStyle w:val="ListParagraph"/>
        <w:rPr>
          <w:rFonts w:ascii="Calibri" w:eastAsia="Calibri" w:hAnsi="Calibri"/>
          <w:snapToGrid/>
          <w:sz w:val="24"/>
          <w:szCs w:val="22"/>
        </w:rPr>
      </w:pPr>
    </w:p>
    <w:p w:rsidR="00321D60" w:rsidRPr="00321D60" w:rsidRDefault="00321D60" w:rsidP="00321D60">
      <w:pPr>
        <w:pStyle w:val="ListParagraph"/>
        <w:numPr>
          <w:ilvl w:val="1"/>
          <w:numId w:val="3"/>
        </w:numPr>
        <w:rPr>
          <w:rFonts w:ascii="Calibri" w:eastAsia="Calibri" w:hAnsi="Calibri"/>
          <w:snapToGrid/>
          <w:sz w:val="24"/>
          <w:szCs w:val="22"/>
        </w:rPr>
      </w:pPr>
      <w:r w:rsidRPr="00321D60">
        <w:rPr>
          <w:rFonts w:ascii="Calibri" w:eastAsia="Calibri" w:hAnsi="Calibri"/>
          <w:snapToGrid/>
          <w:sz w:val="24"/>
          <w:szCs w:val="22"/>
        </w:rPr>
        <w:t>The submission presented a cost-minimisation analysis to estimate the price of nicotine gum and nicotine lozenges, compared with nicotine patches. However, the PBAC considered that there was</w:t>
      </w:r>
      <w:r w:rsidR="000145A3">
        <w:rPr>
          <w:rFonts w:ascii="Calibri" w:eastAsia="Calibri" w:hAnsi="Calibri"/>
          <w:snapToGrid/>
          <w:sz w:val="24"/>
          <w:szCs w:val="22"/>
        </w:rPr>
        <w:t xml:space="preserve"> considerable</w:t>
      </w:r>
      <w:r w:rsidRPr="00321D60">
        <w:rPr>
          <w:rFonts w:ascii="Calibri" w:eastAsia="Calibri" w:hAnsi="Calibri"/>
          <w:snapToGrid/>
          <w:sz w:val="24"/>
          <w:szCs w:val="22"/>
        </w:rPr>
        <w:t xml:space="preserve"> uncertainty in the estimation of equi-effective doses for both forms using the approach undertaken by the submission, as:</w:t>
      </w:r>
    </w:p>
    <w:p w:rsidR="00321D60" w:rsidRPr="00321D60" w:rsidRDefault="00321D60" w:rsidP="00321D60">
      <w:pPr>
        <w:pStyle w:val="ListParagraph"/>
        <w:numPr>
          <w:ilvl w:val="1"/>
          <w:numId w:val="26"/>
        </w:numPr>
        <w:tabs>
          <w:tab w:val="left" w:pos="1134"/>
        </w:tabs>
        <w:ind w:hanging="11"/>
        <w:rPr>
          <w:rFonts w:ascii="Calibri" w:eastAsia="Calibri" w:hAnsi="Calibri"/>
          <w:snapToGrid/>
          <w:sz w:val="24"/>
          <w:szCs w:val="22"/>
        </w:rPr>
      </w:pPr>
      <w:r w:rsidRPr="00321D60">
        <w:rPr>
          <w:rFonts w:ascii="Calibri" w:eastAsia="Calibri" w:hAnsi="Calibri"/>
          <w:snapToGrid/>
          <w:sz w:val="24"/>
          <w:szCs w:val="22"/>
        </w:rPr>
        <w:t>No strength switching occurred in the trials presented by the submission;</w:t>
      </w:r>
    </w:p>
    <w:p w:rsidR="00321D60" w:rsidRPr="00321D60" w:rsidRDefault="00321D60" w:rsidP="00321D60">
      <w:pPr>
        <w:pStyle w:val="ListParagraph"/>
        <w:numPr>
          <w:ilvl w:val="1"/>
          <w:numId w:val="26"/>
        </w:numPr>
        <w:tabs>
          <w:tab w:val="left" w:pos="1134"/>
        </w:tabs>
        <w:ind w:left="1134" w:hanging="425"/>
        <w:rPr>
          <w:rFonts w:ascii="Calibri" w:eastAsia="Calibri" w:hAnsi="Calibri"/>
          <w:snapToGrid/>
          <w:sz w:val="24"/>
          <w:szCs w:val="22"/>
        </w:rPr>
      </w:pPr>
      <w:r w:rsidRPr="00321D60">
        <w:rPr>
          <w:rFonts w:ascii="Calibri" w:eastAsia="Calibri" w:hAnsi="Calibri"/>
          <w:snapToGrid/>
          <w:sz w:val="24"/>
          <w:szCs w:val="22"/>
        </w:rPr>
        <w:t>There was uncertainty around the average number of pieces of lozenges and gum consumed in the trials used to calculate the equi-effective dose in the submission;</w:t>
      </w:r>
    </w:p>
    <w:p w:rsidR="00321D60" w:rsidRPr="00321D60" w:rsidRDefault="00321D60" w:rsidP="00321D60">
      <w:pPr>
        <w:pStyle w:val="ListParagraph"/>
        <w:numPr>
          <w:ilvl w:val="1"/>
          <w:numId w:val="26"/>
        </w:numPr>
        <w:tabs>
          <w:tab w:val="left" w:pos="1134"/>
        </w:tabs>
        <w:ind w:left="1134" w:hanging="425"/>
        <w:rPr>
          <w:rFonts w:ascii="Calibri" w:eastAsia="Calibri" w:hAnsi="Calibri"/>
          <w:snapToGrid/>
          <w:sz w:val="24"/>
          <w:szCs w:val="22"/>
        </w:rPr>
      </w:pPr>
      <w:r w:rsidRPr="00321D60">
        <w:rPr>
          <w:rFonts w:ascii="Calibri" w:eastAsia="Calibri" w:hAnsi="Calibri"/>
          <w:snapToGrid/>
          <w:sz w:val="24"/>
          <w:szCs w:val="22"/>
        </w:rPr>
        <w:t xml:space="preserve">The estimated number of lozenges consumed over 12 weeks was based on applying the adherence rate (67%) in the Piper (2009) trial to the dosage recommended in the </w:t>
      </w:r>
      <w:r w:rsidR="000145A3">
        <w:rPr>
          <w:rFonts w:ascii="Calibri" w:eastAsia="Calibri" w:hAnsi="Calibri"/>
          <w:snapToGrid/>
          <w:sz w:val="24"/>
          <w:szCs w:val="22"/>
        </w:rPr>
        <w:t>PI</w:t>
      </w:r>
      <w:r w:rsidRPr="00321D60">
        <w:rPr>
          <w:rFonts w:ascii="Calibri" w:eastAsia="Calibri" w:hAnsi="Calibri"/>
          <w:snapToGrid/>
          <w:sz w:val="24"/>
          <w:szCs w:val="22"/>
        </w:rPr>
        <w:t>;</w:t>
      </w:r>
    </w:p>
    <w:p w:rsidR="00321D60" w:rsidRPr="00321D60" w:rsidRDefault="00321D60" w:rsidP="00321D60">
      <w:pPr>
        <w:pStyle w:val="ListParagraph"/>
        <w:numPr>
          <w:ilvl w:val="1"/>
          <w:numId w:val="26"/>
        </w:numPr>
        <w:tabs>
          <w:tab w:val="left" w:pos="1134"/>
        </w:tabs>
        <w:ind w:left="1134" w:hanging="425"/>
        <w:rPr>
          <w:rFonts w:ascii="Calibri" w:eastAsia="Calibri" w:hAnsi="Calibri"/>
          <w:snapToGrid/>
          <w:sz w:val="24"/>
          <w:szCs w:val="22"/>
        </w:rPr>
      </w:pPr>
      <w:r w:rsidRPr="00321D60">
        <w:rPr>
          <w:rFonts w:ascii="Calibri" w:eastAsia="Calibri" w:hAnsi="Calibri"/>
          <w:snapToGrid/>
          <w:sz w:val="24"/>
          <w:szCs w:val="22"/>
        </w:rPr>
        <w:t>Trials reporting nicotine gum consumption were associated with significant heterogeneity;</w:t>
      </w:r>
      <w:r w:rsidR="000145A3">
        <w:rPr>
          <w:rFonts w:ascii="Calibri" w:eastAsia="Calibri" w:hAnsi="Calibri"/>
          <w:snapToGrid/>
          <w:sz w:val="24"/>
          <w:szCs w:val="22"/>
        </w:rPr>
        <w:t xml:space="preserve"> and</w:t>
      </w:r>
    </w:p>
    <w:p w:rsidR="00321D60" w:rsidRPr="00321D60" w:rsidRDefault="00321D60" w:rsidP="00321D60">
      <w:pPr>
        <w:pStyle w:val="ListParagraph"/>
        <w:numPr>
          <w:ilvl w:val="1"/>
          <w:numId w:val="26"/>
        </w:numPr>
        <w:tabs>
          <w:tab w:val="left" w:pos="1134"/>
        </w:tabs>
        <w:ind w:left="1134" w:hanging="425"/>
        <w:rPr>
          <w:rFonts w:ascii="Calibri" w:eastAsia="Calibri" w:hAnsi="Calibri"/>
          <w:snapToGrid/>
          <w:sz w:val="24"/>
          <w:szCs w:val="22"/>
        </w:rPr>
      </w:pPr>
      <w:r w:rsidRPr="00321D60">
        <w:rPr>
          <w:rFonts w:ascii="Calibri" w:eastAsia="Calibri" w:hAnsi="Calibri"/>
          <w:snapToGrid/>
          <w:sz w:val="24"/>
          <w:szCs w:val="22"/>
        </w:rPr>
        <w:t xml:space="preserve">The adherence rate (100%) assumed for nicotine patches was not reasonable, as full compliance is unlikely in a clinical setting and did not occur in Piper (2009). </w:t>
      </w:r>
    </w:p>
    <w:p w:rsidR="00321D60" w:rsidRPr="00321D60" w:rsidRDefault="00321D60" w:rsidP="00321D60">
      <w:pPr>
        <w:pStyle w:val="ListParagraph"/>
        <w:rPr>
          <w:rFonts w:ascii="Calibri" w:eastAsia="Calibri" w:hAnsi="Calibri"/>
          <w:snapToGrid/>
          <w:sz w:val="24"/>
          <w:szCs w:val="22"/>
        </w:rPr>
      </w:pPr>
    </w:p>
    <w:p w:rsidR="00D25120" w:rsidRDefault="00D25120" w:rsidP="002956E1">
      <w:pPr>
        <w:pStyle w:val="ListParagraph"/>
        <w:widowControl/>
        <w:spacing w:before="120" w:after="120"/>
        <w:rPr>
          <w:rFonts w:ascii="Calibri" w:eastAsia="Calibri" w:hAnsi="Calibri"/>
          <w:snapToGrid/>
          <w:sz w:val="24"/>
          <w:szCs w:val="22"/>
        </w:rPr>
      </w:pPr>
      <w:r>
        <w:rPr>
          <w:rFonts w:ascii="Calibri" w:eastAsia="Calibri" w:hAnsi="Calibri"/>
          <w:snapToGrid/>
          <w:sz w:val="24"/>
          <w:szCs w:val="22"/>
        </w:rPr>
        <w:t>T</w:t>
      </w:r>
      <w:r w:rsidR="002956E1">
        <w:rPr>
          <w:rFonts w:ascii="Calibri" w:eastAsia="Calibri" w:hAnsi="Calibri"/>
          <w:snapToGrid/>
          <w:sz w:val="24"/>
          <w:szCs w:val="22"/>
        </w:rPr>
        <w:t xml:space="preserve">he PBAC </w:t>
      </w:r>
      <w:r>
        <w:rPr>
          <w:rFonts w:ascii="Calibri" w:eastAsia="Calibri" w:hAnsi="Calibri"/>
          <w:snapToGrid/>
          <w:sz w:val="24"/>
          <w:szCs w:val="22"/>
        </w:rPr>
        <w:t xml:space="preserve">therefore </w:t>
      </w:r>
      <w:r w:rsidR="002956E1">
        <w:rPr>
          <w:rFonts w:ascii="Calibri" w:eastAsia="Calibri" w:hAnsi="Calibri"/>
          <w:snapToGrid/>
          <w:sz w:val="24"/>
          <w:szCs w:val="22"/>
        </w:rPr>
        <w:t xml:space="preserve">advised that </w:t>
      </w:r>
      <w:r w:rsidR="002956E1">
        <w:rPr>
          <w:rFonts w:ascii="Calibri" w:hAnsi="Calibri"/>
          <w:sz w:val="24"/>
          <w:szCs w:val="24"/>
        </w:rPr>
        <w:t>the</w:t>
      </w:r>
      <w:r w:rsidR="002956E1">
        <w:rPr>
          <w:rFonts w:ascii="Calibri" w:eastAsia="Calibri" w:hAnsi="Calibri"/>
          <w:snapToGrid/>
          <w:sz w:val="24"/>
          <w:szCs w:val="22"/>
        </w:rPr>
        <w:t xml:space="preserve"> Australian Medic</w:t>
      </w:r>
      <w:r w:rsidR="00D82470">
        <w:rPr>
          <w:rFonts w:ascii="Calibri" w:eastAsia="Calibri" w:hAnsi="Calibri"/>
          <w:snapToGrid/>
          <w:sz w:val="24"/>
          <w:szCs w:val="22"/>
        </w:rPr>
        <w:t>ines</w:t>
      </w:r>
      <w:r w:rsidR="002956E1">
        <w:rPr>
          <w:rFonts w:ascii="Calibri" w:eastAsia="Calibri" w:hAnsi="Calibri"/>
          <w:snapToGrid/>
          <w:sz w:val="24"/>
          <w:szCs w:val="22"/>
        </w:rPr>
        <w:t xml:space="preserve"> Handbook</w:t>
      </w:r>
      <w:r w:rsidR="002956E1">
        <w:rPr>
          <w:rStyle w:val="FootnoteReference"/>
          <w:rFonts w:ascii="Calibri" w:eastAsia="Calibri" w:hAnsi="Calibri"/>
          <w:snapToGrid/>
          <w:sz w:val="24"/>
          <w:szCs w:val="22"/>
        </w:rPr>
        <w:footnoteReference w:id="4"/>
      </w:r>
      <w:r w:rsidR="002956E1">
        <w:rPr>
          <w:rFonts w:ascii="Calibri" w:eastAsia="Calibri" w:hAnsi="Calibri"/>
          <w:snapToGrid/>
          <w:sz w:val="24"/>
          <w:szCs w:val="22"/>
        </w:rPr>
        <w:t xml:space="preserve"> recommendations for the appropriate usage of NRT products be utilised in the esti</w:t>
      </w:r>
      <w:r>
        <w:rPr>
          <w:rFonts w:ascii="Calibri" w:eastAsia="Calibri" w:hAnsi="Calibri"/>
          <w:snapToGrid/>
          <w:sz w:val="24"/>
          <w:szCs w:val="22"/>
        </w:rPr>
        <w:t>mation of equi-effective doses, consistent with its advice regarding the maximum quantity in the proposed PBS restriction (see paragraph 7.5).</w:t>
      </w:r>
      <w:r w:rsidR="000145A3">
        <w:rPr>
          <w:rFonts w:ascii="Calibri" w:eastAsia="Calibri" w:hAnsi="Calibri"/>
          <w:snapToGrid/>
          <w:sz w:val="24"/>
          <w:szCs w:val="22"/>
        </w:rPr>
        <w:t xml:space="preserve"> </w:t>
      </w:r>
    </w:p>
    <w:p w:rsidR="00D25120" w:rsidRDefault="00D25120" w:rsidP="002956E1">
      <w:pPr>
        <w:pStyle w:val="ListParagraph"/>
        <w:widowControl/>
        <w:spacing w:before="120" w:after="120"/>
        <w:rPr>
          <w:rFonts w:ascii="Calibri" w:eastAsia="Calibri" w:hAnsi="Calibri"/>
          <w:snapToGrid/>
          <w:sz w:val="24"/>
          <w:szCs w:val="22"/>
        </w:rPr>
      </w:pPr>
    </w:p>
    <w:p w:rsidR="00F84421" w:rsidRDefault="00F84421" w:rsidP="00F84421">
      <w:pPr>
        <w:pStyle w:val="ListParagraph"/>
        <w:numPr>
          <w:ilvl w:val="1"/>
          <w:numId w:val="3"/>
        </w:numPr>
        <w:rPr>
          <w:rFonts w:ascii="Calibri" w:eastAsia="Calibri" w:hAnsi="Calibri"/>
          <w:snapToGrid/>
          <w:sz w:val="24"/>
          <w:szCs w:val="22"/>
        </w:rPr>
      </w:pPr>
      <w:r w:rsidRPr="00F84421">
        <w:rPr>
          <w:rFonts w:ascii="Calibri" w:eastAsia="Calibri" w:hAnsi="Calibri"/>
          <w:snapToGrid/>
          <w:sz w:val="24"/>
          <w:szCs w:val="22"/>
        </w:rPr>
        <w:t xml:space="preserve">The </w:t>
      </w:r>
      <w:r w:rsidR="009B3A65">
        <w:rPr>
          <w:rFonts w:ascii="Calibri" w:eastAsia="Calibri" w:hAnsi="Calibri"/>
          <w:snapToGrid/>
          <w:sz w:val="24"/>
          <w:szCs w:val="22"/>
        </w:rPr>
        <w:t xml:space="preserve">PBAC noted that the </w:t>
      </w:r>
      <w:r w:rsidRPr="00F84421">
        <w:rPr>
          <w:rFonts w:ascii="Calibri" w:eastAsia="Calibri" w:hAnsi="Calibri"/>
          <w:snapToGrid/>
          <w:sz w:val="24"/>
          <w:szCs w:val="22"/>
        </w:rPr>
        <w:t xml:space="preserve">submission did not </w:t>
      </w:r>
      <w:r w:rsidR="009B3A65">
        <w:rPr>
          <w:rFonts w:ascii="Calibri" w:eastAsia="Calibri" w:hAnsi="Calibri"/>
          <w:snapToGrid/>
          <w:sz w:val="24"/>
          <w:szCs w:val="22"/>
        </w:rPr>
        <w:t>consider that the</w:t>
      </w:r>
      <w:r w:rsidRPr="00F84421">
        <w:rPr>
          <w:rFonts w:ascii="Calibri" w:eastAsia="Calibri" w:hAnsi="Calibri"/>
          <w:snapToGrid/>
          <w:sz w:val="24"/>
          <w:szCs w:val="22"/>
        </w:rPr>
        <w:t xml:space="preserve"> PBS subsidy of NRT lozenges or gum would incentivise some </w:t>
      </w:r>
      <w:r w:rsidR="009B3A65">
        <w:rPr>
          <w:rFonts w:ascii="Calibri" w:eastAsia="Calibri" w:hAnsi="Calibri"/>
          <w:snapToGrid/>
          <w:sz w:val="24"/>
          <w:szCs w:val="22"/>
        </w:rPr>
        <w:t>groups</w:t>
      </w:r>
      <w:r w:rsidRPr="00F84421">
        <w:rPr>
          <w:rFonts w:ascii="Calibri" w:eastAsia="Calibri" w:hAnsi="Calibri"/>
          <w:snapToGrid/>
          <w:sz w:val="24"/>
          <w:szCs w:val="22"/>
        </w:rPr>
        <w:t xml:space="preserve"> who may not have otherwise atte</w:t>
      </w:r>
      <w:r w:rsidR="009B3A65">
        <w:rPr>
          <w:rFonts w:ascii="Calibri" w:eastAsia="Calibri" w:hAnsi="Calibri"/>
          <w:snapToGrid/>
          <w:sz w:val="24"/>
          <w:szCs w:val="22"/>
        </w:rPr>
        <w:t xml:space="preserve">mpted smoking cessation therapy, as (i) </w:t>
      </w:r>
      <w:r w:rsidRPr="00F84421">
        <w:rPr>
          <w:rFonts w:ascii="Calibri" w:eastAsia="Calibri" w:hAnsi="Calibri"/>
          <w:snapToGrid/>
          <w:sz w:val="24"/>
          <w:szCs w:val="22"/>
        </w:rPr>
        <w:t>nicotine patches are not appropriate for those with contact allergies</w:t>
      </w:r>
      <w:r w:rsidR="009B3A65">
        <w:rPr>
          <w:rFonts w:ascii="Calibri" w:eastAsia="Calibri" w:hAnsi="Calibri"/>
          <w:snapToGrid/>
          <w:sz w:val="24"/>
          <w:szCs w:val="22"/>
        </w:rPr>
        <w:t>; and (ii) b</w:t>
      </w:r>
      <w:r w:rsidRPr="00F84421">
        <w:rPr>
          <w:rFonts w:ascii="Calibri" w:eastAsia="Calibri" w:hAnsi="Calibri"/>
          <w:snapToGrid/>
          <w:sz w:val="24"/>
          <w:szCs w:val="22"/>
        </w:rPr>
        <w:t xml:space="preserve">upropion and varenicline are not suitable treatment options in pregnancy and might not be appropriate for some people with mental health issues or with other comorbidities. </w:t>
      </w:r>
    </w:p>
    <w:p w:rsidR="00F84421" w:rsidRDefault="00F84421" w:rsidP="00F84421">
      <w:pPr>
        <w:pStyle w:val="ListParagraph"/>
        <w:rPr>
          <w:rFonts w:ascii="Calibri" w:eastAsia="Calibri" w:hAnsi="Calibri"/>
          <w:snapToGrid/>
          <w:sz w:val="24"/>
          <w:szCs w:val="22"/>
        </w:rPr>
      </w:pPr>
    </w:p>
    <w:p w:rsidR="009B3A65" w:rsidRPr="00E12772" w:rsidRDefault="00D25120" w:rsidP="003F72B6">
      <w:pPr>
        <w:pStyle w:val="ListParagraph"/>
        <w:numPr>
          <w:ilvl w:val="1"/>
          <w:numId w:val="3"/>
        </w:numPr>
        <w:rPr>
          <w:rFonts w:ascii="Calibri" w:eastAsia="Calibri" w:hAnsi="Calibri"/>
          <w:snapToGrid/>
          <w:sz w:val="24"/>
          <w:szCs w:val="22"/>
        </w:rPr>
      </w:pPr>
      <w:r w:rsidRPr="00D25120">
        <w:rPr>
          <w:rFonts w:ascii="Calibri" w:eastAsia="Calibri" w:hAnsi="Calibri"/>
          <w:snapToGrid/>
          <w:sz w:val="24"/>
          <w:szCs w:val="22"/>
        </w:rPr>
        <w:t xml:space="preserve">The PBAC </w:t>
      </w:r>
      <w:r w:rsidR="00DC36A8">
        <w:rPr>
          <w:rFonts w:ascii="Calibri" w:eastAsia="Calibri" w:hAnsi="Calibri"/>
          <w:snapToGrid/>
          <w:sz w:val="24"/>
          <w:szCs w:val="22"/>
        </w:rPr>
        <w:t>noted that the</w:t>
      </w:r>
      <w:r w:rsidR="00D82470">
        <w:rPr>
          <w:rFonts w:ascii="Calibri" w:eastAsia="Calibri" w:hAnsi="Calibri"/>
          <w:snapToGrid/>
          <w:sz w:val="24"/>
          <w:szCs w:val="22"/>
        </w:rPr>
        <w:t xml:space="preserve"> submission</w:t>
      </w:r>
      <w:r w:rsidR="00DC36A8">
        <w:rPr>
          <w:rFonts w:ascii="Calibri" w:eastAsia="Calibri" w:hAnsi="Calibri"/>
          <w:snapToGrid/>
          <w:sz w:val="24"/>
          <w:szCs w:val="22"/>
        </w:rPr>
        <w:t xml:space="preserve"> estimated </w:t>
      </w:r>
      <w:r w:rsidR="00D82470">
        <w:rPr>
          <w:rFonts w:ascii="Calibri" w:eastAsia="Calibri" w:hAnsi="Calibri"/>
          <w:snapToGrid/>
          <w:sz w:val="24"/>
          <w:szCs w:val="22"/>
        </w:rPr>
        <w:t xml:space="preserve">the </w:t>
      </w:r>
      <w:r w:rsidR="00DC36A8">
        <w:rPr>
          <w:rFonts w:ascii="Calibri" w:eastAsia="Calibri" w:hAnsi="Calibri"/>
          <w:snapToGrid/>
          <w:sz w:val="24"/>
          <w:szCs w:val="22"/>
        </w:rPr>
        <w:t xml:space="preserve">cost of listing nicotine gum and lozenges as PBS-subsidised </w:t>
      </w:r>
      <w:r w:rsidR="00D82470">
        <w:rPr>
          <w:rFonts w:ascii="Calibri" w:eastAsia="Calibri" w:hAnsi="Calibri"/>
          <w:snapToGrid/>
          <w:sz w:val="24"/>
          <w:szCs w:val="22"/>
        </w:rPr>
        <w:t>mono</w:t>
      </w:r>
      <w:r w:rsidR="00DC36A8">
        <w:rPr>
          <w:rFonts w:ascii="Calibri" w:eastAsia="Calibri" w:hAnsi="Calibri"/>
          <w:snapToGrid/>
          <w:sz w:val="24"/>
          <w:szCs w:val="22"/>
        </w:rPr>
        <w:t xml:space="preserve">therapies was approximately </w:t>
      </w:r>
      <w:r w:rsidR="003F72B6" w:rsidRPr="003F72B6">
        <w:rPr>
          <w:rFonts w:ascii="Calibri" w:eastAsia="Calibri" w:hAnsi="Calibri"/>
          <w:snapToGrid/>
          <w:sz w:val="24"/>
          <w:szCs w:val="22"/>
        </w:rPr>
        <w:t xml:space="preserve">$20 – $30 million </w:t>
      </w:r>
      <w:r w:rsidR="00DC36A8">
        <w:rPr>
          <w:rFonts w:ascii="Calibri" w:eastAsia="Calibri" w:hAnsi="Calibri"/>
          <w:snapToGrid/>
          <w:sz w:val="24"/>
          <w:szCs w:val="22"/>
        </w:rPr>
        <w:t xml:space="preserve">over the first five years of listing. The PBAC </w:t>
      </w:r>
      <w:r w:rsidRPr="00D25120">
        <w:rPr>
          <w:rFonts w:ascii="Calibri" w:eastAsia="Calibri" w:hAnsi="Calibri"/>
          <w:snapToGrid/>
          <w:sz w:val="24"/>
          <w:szCs w:val="22"/>
        </w:rPr>
        <w:t>considered that the financial estimates presented in t</w:t>
      </w:r>
      <w:r>
        <w:rPr>
          <w:rFonts w:ascii="Calibri" w:eastAsia="Calibri" w:hAnsi="Calibri"/>
          <w:snapToGrid/>
          <w:sz w:val="24"/>
          <w:szCs w:val="22"/>
        </w:rPr>
        <w:t>he submission were unde</w:t>
      </w:r>
      <w:r w:rsidRPr="00D25120">
        <w:rPr>
          <w:rFonts w:ascii="Calibri" w:eastAsia="Calibri" w:hAnsi="Calibri"/>
          <w:snapToGrid/>
          <w:sz w:val="24"/>
          <w:szCs w:val="22"/>
        </w:rPr>
        <w:t>restimated, on account of several inappropriate assumptions as identi</w:t>
      </w:r>
      <w:r>
        <w:rPr>
          <w:rFonts w:ascii="Calibri" w:eastAsia="Calibri" w:hAnsi="Calibri"/>
          <w:snapToGrid/>
          <w:sz w:val="24"/>
          <w:szCs w:val="22"/>
        </w:rPr>
        <w:t>fied by DUSC (see paragraph 6.65</w:t>
      </w:r>
      <w:r w:rsidRPr="00D25120">
        <w:rPr>
          <w:rFonts w:ascii="Calibri" w:eastAsia="Calibri" w:hAnsi="Calibri"/>
          <w:snapToGrid/>
          <w:sz w:val="24"/>
          <w:szCs w:val="22"/>
        </w:rPr>
        <w:t xml:space="preserve">). </w:t>
      </w:r>
      <w:r w:rsidR="00E12772" w:rsidRPr="00E12772">
        <w:rPr>
          <w:rFonts w:ascii="Calibri" w:eastAsia="Calibri" w:hAnsi="Calibri"/>
          <w:snapToGrid/>
          <w:sz w:val="24"/>
        </w:rPr>
        <w:t>T</w:t>
      </w:r>
      <w:r w:rsidR="009B3A65" w:rsidRPr="00E12772">
        <w:rPr>
          <w:rFonts w:ascii="Calibri" w:eastAsia="Calibri" w:hAnsi="Calibri"/>
          <w:snapToGrid/>
          <w:sz w:val="24"/>
        </w:rPr>
        <w:t xml:space="preserve">he PBAC considered that combination use of NRTs presented a considerable risk of use beyond the requested restriction, and therefore further clinical evidence and utilisation estimates were warranted before the comparative efficacy and cost-effectiveness of combination use could be appropriately determined by the Committee. </w:t>
      </w:r>
    </w:p>
    <w:p w:rsidR="00E12772" w:rsidRPr="00E12772" w:rsidRDefault="00E12772" w:rsidP="00E12772">
      <w:pPr>
        <w:rPr>
          <w:rFonts w:ascii="Calibri" w:eastAsia="Calibri" w:hAnsi="Calibri"/>
          <w:snapToGrid/>
          <w:sz w:val="24"/>
        </w:rPr>
      </w:pPr>
    </w:p>
    <w:p w:rsidR="00A45611" w:rsidRPr="00A45611" w:rsidRDefault="00D25120" w:rsidP="00A45611">
      <w:pPr>
        <w:pStyle w:val="ListParagraph"/>
        <w:numPr>
          <w:ilvl w:val="1"/>
          <w:numId w:val="3"/>
        </w:numPr>
        <w:rPr>
          <w:rFonts w:asciiTheme="minorHAnsi" w:hAnsiTheme="minorHAnsi"/>
          <w:b/>
          <w:bCs/>
          <w:sz w:val="28"/>
          <w:szCs w:val="28"/>
          <w:lang w:val="en-GB"/>
        </w:rPr>
      </w:pPr>
      <w:r>
        <w:rPr>
          <w:rFonts w:ascii="Calibri" w:eastAsia="Calibri" w:hAnsi="Calibri"/>
          <w:snapToGrid/>
          <w:sz w:val="24"/>
          <w:szCs w:val="22"/>
        </w:rPr>
        <w:t xml:space="preserve">Acknowledging that smoking cessation was a </w:t>
      </w:r>
      <w:r w:rsidRPr="006A47F3">
        <w:rPr>
          <w:rFonts w:ascii="Calibri" w:eastAsia="Calibri" w:hAnsi="Calibri"/>
          <w:snapToGrid/>
          <w:sz w:val="24"/>
          <w:szCs w:val="22"/>
        </w:rPr>
        <w:t>public health priority area</w:t>
      </w:r>
      <w:r>
        <w:rPr>
          <w:rFonts w:ascii="Calibri" w:eastAsia="Calibri" w:hAnsi="Calibri"/>
          <w:snapToGrid/>
          <w:sz w:val="24"/>
          <w:szCs w:val="22"/>
        </w:rPr>
        <w:t>, the PBAC advised that it was willing to consider an</w:t>
      </w:r>
      <w:r w:rsidR="00860D39">
        <w:rPr>
          <w:rFonts w:ascii="Calibri" w:eastAsia="Calibri" w:hAnsi="Calibri"/>
          <w:snapToGrid/>
          <w:sz w:val="24"/>
          <w:szCs w:val="22"/>
        </w:rPr>
        <w:t xml:space="preserve"> alternative </w:t>
      </w:r>
      <w:r w:rsidR="00396A5B">
        <w:rPr>
          <w:rFonts w:ascii="Calibri" w:eastAsia="Calibri" w:hAnsi="Calibri"/>
          <w:snapToGrid/>
          <w:sz w:val="24"/>
          <w:szCs w:val="22"/>
        </w:rPr>
        <w:t xml:space="preserve">approach for the </w:t>
      </w:r>
      <w:r w:rsidR="00860D39">
        <w:rPr>
          <w:rFonts w:ascii="Calibri" w:eastAsia="Calibri" w:hAnsi="Calibri"/>
          <w:snapToGrid/>
          <w:sz w:val="24"/>
          <w:szCs w:val="22"/>
        </w:rPr>
        <w:t xml:space="preserve">subsidisation </w:t>
      </w:r>
      <w:r w:rsidR="00396A5B">
        <w:rPr>
          <w:rFonts w:ascii="Calibri" w:eastAsia="Calibri" w:hAnsi="Calibri"/>
          <w:snapToGrid/>
          <w:sz w:val="24"/>
          <w:szCs w:val="22"/>
        </w:rPr>
        <w:t>of</w:t>
      </w:r>
      <w:r>
        <w:rPr>
          <w:rFonts w:ascii="Calibri" w:eastAsia="Calibri" w:hAnsi="Calibri"/>
          <w:snapToGrid/>
          <w:sz w:val="24"/>
          <w:szCs w:val="22"/>
        </w:rPr>
        <w:t xml:space="preserve"> NRT products</w:t>
      </w:r>
      <w:r w:rsidR="007476BC">
        <w:rPr>
          <w:rFonts w:ascii="Calibri" w:eastAsia="Calibri" w:hAnsi="Calibri"/>
          <w:snapToGrid/>
          <w:sz w:val="24"/>
          <w:szCs w:val="22"/>
        </w:rPr>
        <w:t xml:space="preserve">, pending further </w:t>
      </w:r>
      <w:r w:rsidR="00AA00DF">
        <w:rPr>
          <w:rFonts w:ascii="Calibri" w:eastAsia="Calibri" w:hAnsi="Calibri"/>
          <w:snapToGrid/>
          <w:sz w:val="24"/>
          <w:szCs w:val="22"/>
        </w:rPr>
        <w:t xml:space="preserve">clarity </w:t>
      </w:r>
      <w:r w:rsidR="00AA00DF" w:rsidRPr="005F1ABE">
        <w:rPr>
          <w:rFonts w:ascii="Calibri" w:eastAsia="Calibri" w:hAnsi="Calibri"/>
          <w:snapToGrid/>
          <w:sz w:val="24"/>
          <w:szCs w:val="22"/>
        </w:rPr>
        <w:t xml:space="preserve">on the appropriate use of </w:t>
      </w:r>
      <w:r w:rsidR="00AA00DF">
        <w:rPr>
          <w:rFonts w:ascii="Calibri" w:eastAsia="Calibri" w:hAnsi="Calibri"/>
          <w:snapToGrid/>
          <w:sz w:val="24"/>
          <w:szCs w:val="22"/>
        </w:rPr>
        <w:t xml:space="preserve">nicotine </w:t>
      </w:r>
      <w:r w:rsidR="00AA00DF" w:rsidRPr="005F1ABE">
        <w:rPr>
          <w:rFonts w:ascii="Calibri" w:eastAsia="Calibri" w:hAnsi="Calibri"/>
          <w:snapToGrid/>
          <w:sz w:val="24"/>
          <w:szCs w:val="22"/>
        </w:rPr>
        <w:t>gum and lozenges</w:t>
      </w:r>
      <w:r w:rsidR="00860D39">
        <w:rPr>
          <w:rFonts w:ascii="Calibri" w:eastAsia="Calibri" w:hAnsi="Calibri"/>
          <w:snapToGrid/>
          <w:sz w:val="24"/>
          <w:szCs w:val="22"/>
        </w:rPr>
        <w:t>.</w:t>
      </w:r>
      <w:r w:rsidR="00396A5B">
        <w:rPr>
          <w:rFonts w:ascii="Calibri" w:eastAsia="Calibri" w:hAnsi="Calibri"/>
          <w:snapToGrid/>
          <w:sz w:val="24"/>
          <w:szCs w:val="22"/>
        </w:rPr>
        <w:t xml:space="preserve"> T</w:t>
      </w:r>
      <w:r w:rsidR="00860D39">
        <w:rPr>
          <w:rFonts w:ascii="Calibri" w:eastAsia="Calibri" w:hAnsi="Calibri"/>
          <w:snapToGrid/>
          <w:sz w:val="24"/>
          <w:szCs w:val="22"/>
        </w:rPr>
        <w:t xml:space="preserve">he PBAC advised that </w:t>
      </w:r>
      <w:r>
        <w:rPr>
          <w:rFonts w:ascii="Calibri" w:eastAsia="Calibri" w:hAnsi="Calibri"/>
          <w:snapToGrid/>
          <w:sz w:val="24"/>
          <w:szCs w:val="22"/>
        </w:rPr>
        <w:t xml:space="preserve">the </w:t>
      </w:r>
      <w:r w:rsidR="00DC3506">
        <w:rPr>
          <w:rFonts w:ascii="Calibri" w:eastAsia="Calibri" w:hAnsi="Calibri"/>
          <w:snapToGrid/>
          <w:sz w:val="24"/>
          <w:szCs w:val="22"/>
        </w:rPr>
        <w:t>maximum quantities</w:t>
      </w:r>
      <w:r>
        <w:rPr>
          <w:rFonts w:ascii="Calibri" w:eastAsia="Calibri" w:hAnsi="Calibri"/>
          <w:snapToGrid/>
          <w:sz w:val="24"/>
          <w:szCs w:val="22"/>
        </w:rPr>
        <w:t xml:space="preserve">, </w:t>
      </w:r>
      <w:r w:rsidR="00396A5B">
        <w:rPr>
          <w:rFonts w:ascii="Calibri" w:eastAsia="Calibri" w:hAnsi="Calibri"/>
          <w:snapToGrid/>
          <w:sz w:val="24"/>
          <w:szCs w:val="22"/>
        </w:rPr>
        <w:t>economic analysis</w:t>
      </w:r>
      <w:r>
        <w:rPr>
          <w:rFonts w:ascii="Calibri" w:eastAsia="Calibri" w:hAnsi="Calibri"/>
          <w:snapToGrid/>
          <w:sz w:val="24"/>
          <w:szCs w:val="22"/>
        </w:rPr>
        <w:t xml:space="preserve"> and utilisation estimates </w:t>
      </w:r>
      <w:r w:rsidR="00860D39">
        <w:rPr>
          <w:rFonts w:ascii="Calibri" w:eastAsia="Calibri" w:hAnsi="Calibri"/>
          <w:snapToGrid/>
          <w:sz w:val="24"/>
          <w:szCs w:val="22"/>
        </w:rPr>
        <w:t>should be</w:t>
      </w:r>
      <w:r>
        <w:rPr>
          <w:rFonts w:ascii="Calibri" w:eastAsia="Calibri" w:hAnsi="Calibri"/>
          <w:snapToGrid/>
          <w:sz w:val="24"/>
          <w:szCs w:val="22"/>
        </w:rPr>
        <w:t xml:space="preserve"> </w:t>
      </w:r>
      <w:r w:rsidR="00061BE5">
        <w:rPr>
          <w:rFonts w:ascii="Calibri" w:eastAsia="Calibri" w:hAnsi="Calibri"/>
          <w:snapToGrid/>
          <w:sz w:val="24"/>
          <w:szCs w:val="22"/>
        </w:rPr>
        <w:t>revised to account for combination use</w:t>
      </w:r>
      <w:r>
        <w:rPr>
          <w:rFonts w:ascii="Calibri" w:eastAsia="Calibri" w:hAnsi="Calibri"/>
          <w:snapToGrid/>
          <w:sz w:val="24"/>
          <w:szCs w:val="22"/>
        </w:rPr>
        <w:t xml:space="preserve"> and resubmitted to the Committee for its consideration</w:t>
      </w:r>
      <w:r w:rsidR="00860D39">
        <w:rPr>
          <w:rFonts w:ascii="Calibri" w:eastAsia="Calibri" w:hAnsi="Calibri"/>
          <w:snapToGrid/>
          <w:sz w:val="24"/>
          <w:szCs w:val="22"/>
        </w:rPr>
        <w:t>.</w:t>
      </w:r>
    </w:p>
    <w:p w:rsidR="00A45611" w:rsidRPr="00A45611" w:rsidRDefault="00A45611" w:rsidP="00A45611">
      <w:pPr>
        <w:pStyle w:val="ListParagraph"/>
        <w:rPr>
          <w:rFonts w:asciiTheme="minorHAnsi" w:hAnsiTheme="minorHAnsi"/>
          <w:b/>
          <w:bCs/>
          <w:sz w:val="28"/>
          <w:szCs w:val="28"/>
          <w:lang w:val="en-GB"/>
        </w:rPr>
      </w:pPr>
    </w:p>
    <w:p w:rsidR="006C691E" w:rsidRPr="00A45611" w:rsidRDefault="00A45611" w:rsidP="00A45611">
      <w:pPr>
        <w:rPr>
          <w:rFonts w:asciiTheme="minorHAnsi" w:hAnsiTheme="minorHAnsi"/>
          <w:b/>
          <w:bCs/>
          <w:sz w:val="28"/>
          <w:szCs w:val="28"/>
          <w:lang w:val="en-GB"/>
        </w:rPr>
      </w:pPr>
      <w:r w:rsidRPr="00A45611">
        <w:rPr>
          <w:rFonts w:asciiTheme="minorHAnsi" w:hAnsiTheme="minorHAnsi"/>
          <w:b/>
          <w:bCs/>
          <w:sz w:val="28"/>
          <w:szCs w:val="28"/>
          <w:lang w:val="en-GB"/>
        </w:rPr>
        <w:t xml:space="preserve"> </w:t>
      </w:r>
      <w:r w:rsidR="006C691E" w:rsidRPr="00A45611">
        <w:rPr>
          <w:rFonts w:asciiTheme="minorHAnsi" w:hAnsiTheme="minorHAnsi"/>
          <w:b/>
          <w:bCs/>
          <w:sz w:val="28"/>
          <w:szCs w:val="28"/>
          <w:lang w:val="en-GB"/>
        </w:rPr>
        <w:t>Outcome:</w:t>
      </w:r>
    </w:p>
    <w:p w:rsidR="006C691E" w:rsidRDefault="006C691E" w:rsidP="006C691E">
      <w:pPr>
        <w:widowControl/>
        <w:rPr>
          <w:rFonts w:asciiTheme="minorHAnsi" w:hAnsiTheme="minorHAnsi"/>
          <w:bCs/>
          <w:sz w:val="24"/>
          <w:szCs w:val="22"/>
          <w:lang w:val="en-GB"/>
        </w:rPr>
      </w:pPr>
      <w:r w:rsidRPr="00504102">
        <w:rPr>
          <w:rFonts w:asciiTheme="minorHAnsi" w:hAnsiTheme="minorHAnsi"/>
          <w:bCs/>
          <w:sz w:val="24"/>
          <w:szCs w:val="22"/>
          <w:lang w:val="en-GB"/>
        </w:rPr>
        <w:t>Deferred</w:t>
      </w:r>
    </w:p>
    <w:p w:rsidR="00A60989" w:rsidRDefault="00A60989" w:rsidP="006C691E">
      <w:pPr>
        <w:widowControl/>
        <w:rPr>
          <w:rFonts w:asciiTheme="minorHAnsi" w:hAnsiTheme="minorHAnsi"/>
          <w:bCs/>
          <w:sz w:val="24"/>
          <w:szCs w:val="22"/>
          <w:lang w:val="en-GB"/>
        </w:rPr>
      </w:pPr>
    </w:p>
    <w:p w:rsidR="00A60989" w:rsidRPr="00504102" w:rsidRDefault="00A60989" w:rsidP="006C691E">
      <w:pPr>
        <w:widowControl/>
        <w:rPr>
          <w:rFonts w:asciiTheme="minorHAnsi" w:hAnsiTheme="minorHAnsi"/>
          <w:bCs/>
          <w:sz w:val="24"/>
          <w:szCs w:val="22"/>
          <w:lang w:val="en-GB"/>
        </w:rPr>
      </w:pPr>
    </w:p>
    <w:p w:rsidR="00A60989" w:rsidRPr="00A60989" w:rsidRDefault="00A60989" w:rsidP="00604D19">
      <w:pPr>
        <w:widowControl/>
        <w:spacing w:after="200" w:line="276" w:lineRule="auto"/>
        <w:jc w:val="left"/>
        <w:outlineLvl w:val="0"/>
        <w:rPr>
          <w:rFonts w:asciiTheme="minorHAnsi" w:eastAsiaTheme="minorHAnsi" w:hAnsiTheme="minorHAnsi"/>
          <w:snapToGrid/>
          <w:sz w:val="24"/>
          <w:szCs w:val="24"/>
        </w:rPr>
      </w:pPr>
      <w:r>
        <w:rPr>
          <w:rFonts w:ascii="Calibri" w:hAnsi="Calibri" w:cs="Times New Roman"/>
          <w:b/>
          <w:snapToGrid/>
          <w:sz w:val="32"/>
          <w:szCs w:val="28"/>
        </w:rPr>
        <w:t>8</w:t>
      </w:r>
      <w:r w:rsidRPr="00A60989">
        <w:rPr>
          <w:rFonts w:asciiTheme="minorHAnsi" w:eastAsiaTheme="minorHAnsi" w:hAnsiTheme="minorHAnsi" w:cstheme="minorBidi"/>
          <w:b/>
          <w:snapToGrid/>
          <w:sz w:val="32"/>
          <w:szCs w:val="32"/>
        </w:rPr>
        <w:tab/>
        <w:t>Context for Decision</w:t>
      </w:r>
    </w:p>
    <w:p w:rsidR="00A60989" w:rsidRPr="00A60989" w:rsidRDefault="00A60989" w:rsidP="00F9160E">
      <w:pPr>
        <w:widowControl/>
        <w:spacing w:line="276" w:lineRule="auto"/>
        <w:rPr>
          <w:rFonts w:asciiTheme="minorHAnsi" w:eastAsiaTheme="minorHAnsi" w:hAnsiTheme="minorHAnsi"/>
          <w:snapToGrid/>
          <w:sz w:val="24"/>
          <w:szCs w:val="24"/>
        </w:rPr>
      </w:pPr>
      <w:r w:rsidRPr="00A60989">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60989" w:rsidRPr="00A60989" w:rsidRDefault="00A60989" w:rsidP="00F9160E">
      <w:pPr>
        <w:widowControl/>
        <w:spacing w:after="200" w:line="276" w:lineRule="auto"/>
        <w:rPr>
          <w:rFonts w:asciiTheme="minorHAnsi" w:eastAsiaTheme="minorHAnsi" w:hAnsiTheme="minorHAnsi"/>
          <w:snapToGrid/>
          <w:sz w:val="24"/>
          <w:szCs w:val="24"/>
        </w:rPr>
      </w:pPr>
    </w:p>
    <w:p w:rsidR="00A60989" w:rsidRPr="00A60989" w:rsidRDefault="00A60989" w:rsidP="00604D19">
      <w:pPr>
        <w:widowControl/>
        <w:spacing w:after="200" w:line="276" w:lineRule="auto"/>
        <w:jc w:val="left"/>
        <w:outlineLvl w:val="0"/>
        <w:rPr>
          <w:rFonts w:asciiTheme="minorHAnsi" w:eastAsiaTheme="minorHAnsi" w:hAnsiTheme="minorHAnsi" w:cstheme="minorBidi"/>
          <w:b/>
          <w:snapToGrid/>
          <w:sz w:val="32"/>
          <w:szCs w:val="32"/>
        </w:rPr>
      </w:pPr>
      <w:r>
        <w:rPr>
          <w:rFonts w:ascii="Calibri" w:hAnsi="Calibri" w:cs="Times New Roman"/>
          <w:b/>
          <w:snapToGrid/>
          <w:sz w:val="32"/>
          <w:szCs w:val="28"/>
        </w:rPr>
        <w:t>9</w:t>
      </w:r>
      <w:r w:rsidRPr="00A60989">
        <w:rPr>
          <w:rFonts w:asciiTheme="minorHAnsi" w:eastAsiaTheme="minorHAnsi" w:hAnsiTheme="minorHAnsi" w:cstheme="minorBidi"/>
          <w:b/>
          <w:snapToGrid/>
          <w:sz w:val="32"/>
          <w:szCs w:val="32"/>
        </w:rPr>
        <w:tab/>
        <w:t>Sponsor’s Comment</w:t>
      </w:r>
    </w:p>
    <w:p w:rsidR="006C691E" w:rsidRPr="00504102" w:rsidRDefault="00A60989" w:rsidP="00F9160E">
      <w:pPr>
        <w:widowControl/>
        <w:spacing w:after="120" w:line="276" w:lineRule="auto"/>
        <w:rPr>
          <w:rFonts w:asciiTheme="minorHAnsi" w:hAnsiTheme="minorHAnsi"/>
          <w:bCs/>
          <w:sz w:val="24"/>
          <w:szCs w:val="22"/>
          <w:lang w:val="en-GB"/>
        </w:rPr>
      </w:pPr>
      <w:r w:rsidRPr="00A60989">
        <w:rPr>
          <w:rFonts w:asciiTheme="minorHAnsi" w:eastAsiaTheme="minorHAnsi" w:hAnsiTheme="minorHAnsi"/>
          <w:bCs/>
          <w:snapToGrid/>
          <w:sz w:val="24"/>
          <w:szCs w:val="24"/>
        </w:rPr>
        <w:t>The sponsor had no comment.</w:t>
      </w:r>
    </w:p>
    <w:p w:rsidR="007E3BC0" w:rsidRPr="00421F10" w:rsidRDefault="007E3BC0" w:rsidP="007E3BC0">
      <w:pPr>
        <w:pStyle w:val="PBACHeading1"/>
        <w:numPr>
          <w:ilvl w:val="0"/>
          <w:numId w:val="0"/>
        </w:numPr>
        <w:ind w:left="720" w:hanging="720"/>
        <w:rPr>
          <w:rFonts w:asciiTheme="minorHAnsi" w:eastAsia="Calibri" w:hAnsiTheme="minorHAnsi"/>
          <w:snapToGrid/>
        </w:rPr>
      </w:pPr>
    </w:p>
    <w:sectPr w:rsidR="007E3BC0" w:rsidRPr="00421F10" w:rsidSect="002A5F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C50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5FA" w:rsidRDefault="008C25FA" w:rsidP="00124A51">
      <w:r>
        <w:separator/>
      </w:r>
    </w:p>
    <w:p w:rsidR="008C25FA" w:rsidRDefault="008C25FA"/>
  </w:endnote>
  <w:endnote w:type="continuationSeparator" w:id="0">
    <w:p w:rsidR="008C25FA" w:rsidRDefault="008C25FA" w:rsidP="00124A51">
      <w:r>
        <w:continuationSeparator/>
      </w:r>
    </w:p>
    <w:p w:rsidR="008C25FA" w:rsidRDefault="008C2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FA" w:rsidRDefault="008C2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551616"/>
      <w:docPartObj>
        <w:docPartGallery w:val="Page Numbers (Bottom of Page)"/>
        <w:docPartUnique/>
      </w:docPartObj>
    </w:sdtPr>
    <w:sdtEndPr>
      <w:rPr>
        <w:rFonts w:asciiTheme="minorHAnsi" w:hAnsiTheme="minorHAnsi"/>
        <w:noProof/>
        <w:sz w:val="24"/>
      </w:rPr>
    </w:sdtEndPr>
    <w:sdtContent>
      <w:p w:rsidR="00960248" w:rsidRPr="00FF1698" w:rsidRDefault="00960248">
        <w:pPr>
          <w:pStyle w:val="Footer"/>
          <w:jc w:val="center"/>
          <w:rPr>
            <w:rFonts w:asciiTheme="minorHAnsi" w:hAnsiTheme="minorHAnsi"/>
            <w:sz w:val="24"/>
          </w:rPr>
        </w:pPr>
        <w:r w:rsidRPr="00FF1698">
          <w:rPr>
            <w:rFonts w:asciiTheme="minorHAnsi" w:hAnsiTheme="minorHAnsi"/>
            <w:sz w:val="24"/>
          </w:rPr>
          <w:fldChar w:fldCharType="begin"/>
        </w:r>
        <w:r w:rsidRPr="00FF1698">
          <w:rPr>
            <w:rFonts w:asciiTheme="minorHAnsi" w:hAnsiTheme="minorHAnsi"/>
            <w:sz w:val="24"/>
          </w:rPr>
          <w:instrText xml:space="preserve"> PAGE   \* MERGEFORMAT </w:instrText>
        </w:r>
        <w:r w:rsidRPr="00FF1698">
          <w:rPr>
            <w:rFonts w:asciiTheme="minorHAnsi" w:hAnsiTheme="minorHAnsi"/>
            <w:sz w:val="24"/>
          </w:rPr>
          <w:fldChar w:fldCharType="separate"/>
        </w:r>
        <w:r w:rsidR="00A45611">
          <w:rPr>
            <w:rFonts w:asciiTheme="minorHAnsi" w:hAnsiTheme="minorHAnsi"/>
            <w:noProof/>
            <w:sz w:val="24"/>
          </w:rPr>
          <w:t>24</w:t>
        </w:r>
        <w:r w:rsidRPr="00FF1698">
          <w:rPr>
            <w:rFonts w:asciiTheme="minorHAnsi" w:hAnsiTheme="minorHAnsi"/>
            <w:noProof/>
            <w:sz w:val="24"/>
          </w:rPr>
          <w:fldChar w:fldCharType="end"/>
        </w:r>
      </w:p>
    </w:sdtContent>
  </w:sdt>
  <w:p w:rsidR="00960248" w:rsidRDefault="00960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FA" w:rsidRDefault="008C2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5FA" w:rsidRDefault="008C25FA" w:rsidP="00124A51">
      <w:r>
        <w:separator/>
      </w:r>
    </w:p>
    <w:p w:rsidR="008C25FA" w:rsidRDefault="008C25FA"/>
  </w:footnote>
  <w:footnote w:type="continuationSeparator" w:id="0">
    <w:p w:rsidR="008C25FA" w:rsidRDefault="008C25FA" w:rsidP="00124A51">
      <w:r>
        <w:continuationSeparator/>
      </w:r>
    </w:p>
    <w:p w:rsidR="008C25FA" w:rsidRDefault="008C25FA"/>
  </w:footnote>
  <w:footnote w:id="1">
    <w:p w:rsidR="00960248" w:rsidRPr="00F83053" w:rsidRDefault="00960248" w:rsidP="00DB4D4E">
      <w:pPr>
        <w:pStyle w:val="FootnoteText"/>
        <w:rPr>
          <w:rFonts w:asciiTheme="minorHAnsi" w:hAnsiTheme="minorHAnsi"/>
        </w:rPr>
      </w:pPr>
      <w:r w:rsidRPr="00F83053">
        <w:rPr>
          <w:rStyle w:val="FootnoteReference"/>
          <w:rFonts w:asciiTheme="minorHAnsi" w:hAnsiTheme="minorHAnsi"/>
        </w:rPr>
        <w:footnoteRef/>
      </w:r>
      <w:r w:rsidRPr="00F83053">
        <w:rPr>
          <w:rFonts w:asciiTheme="minorHAnsi" w:hAnsiTheme="minorHAnsi"/>
        </w:rPr>
        <w:t xml:space="preserve"> </w:t>
      </w:r>
      <w:hyperlink r:id="rId1" w:history="1">
        <w:r w:rsidRPr="00F83053">
          <w:rPr>
            <w:rStyle w:val="Hyperlink"/>
            <w:rFonts w:asciiTheme="minorHAnsi" w:hAnsiTheme="minorHAnsi"/>
          </w:rPr>
          <w:t>http://www.racgp.org.au/your-practice/guidelines/smoking-cessation/</w:t>
        </w:r>
      </w:hyperlink>
      <w:r w:rsidRPr="00F83053">
        <w:rPr>
          <w:rFonts w:asciiTheme="minorHAnsi" w:hAnsiTheme="minorHAnsi"/>
        </w:rPr>
        <w:t xml:space="preserve"> </w:t>
      </w:r>
    </w:p>
  </w:footnote>
  <w:footnote w:id="2">
    <w:p w:rsidR="00960248" w:rsidRDefault="00960248">
      <w:pPr>
        <w:pStyle w:val="FootnoteText"/>
      </w:pPr>
      <w:r>
        <w:rPr>
          <w:rStyle w:val="FootnoteReference"/>
        </w:rPr>
        <w:footnoteRef/>
      </w:r>
      <w:r>
        <w:t xml:space="preserve"> </w:t>
      </w:r>
      <w:r w:rsidRPr="00F83053">
        <w:rPr>
          <w:rFonts w:asciiTheme="minorHAnsi" w:hAnsiTheme="minorHAnsi"/>
        </w:rPr>
        <w:t xml:space="preserve"> </w:t>
      </w:r>
      <w:hyperlink r:id="rId2" w:history="1">
        <w:r w:rsidRPr="00F83053">
          <w:rPr>
            <w:rStyle w:val="Hyperlink"/>
            <w:rFonts w:asciiTheme="minorHAnsi" w:hAnsiTheme="minorHAnsi"/>
          </w:rPr>
          <w:t>http://www.racgp.org.au/your-practice/guidelines/smoking-cessation/</w:t>
        </w:r>
      </w:hyperlink>
    </w:p>
  </w:footnote>
  <w:footnote w:id="3">
    <w:p w:rsidR="00960248" w:rsidRDefault="00960248">
      <w:pPr>
        <w:pStyle w:val="FootnoteText"/>
      </w:pPr>
      <w:r>
        <w:rPr>
          <w:rStyle w:val="FootnoteReference"/>
        </w:rPr>
        <w:footnoteRef/>
      </w:r>
      <w:r>
        <w:t xml:space="preserve"> </w:t>
      </w:r>
      <w:r w:rsidRPr="00056AF6">
        <w:t>https://amhonline.amh.net.au/chapters/chap-18/nicotine-dependence-drugs/nicotine?menu=hints</w:t>
      </w:r>
    </w:p>
  </w:footnote>
  <w:footnote w:id="4">
    <w:p w:rsidR="00960248" w:rsidRDefault="00960248" w:rsidP="00860D39">
      <w:pPr>
        <w:pStyle w:val="FootnoteText"/>
        <w:tabs>
          <w:tab w:val="left" w:pos="8071"/>
        </w:tabs>
      </w:pPr>
      <w:r>
        <w:rPr>
          <w:rStyle w:val="FootnoteReference"/>
        </w:rPr>
        <w:footnoteRef/>
      </w:r>
      <w:r>
        <w:t xml:space="preserve"> </w:t>
      </w:r>
      <w:r w:rsidRPr="00056AF6">
        <w:t>https://amhonline.amh.net.au/chapters/chap-18/nicotine-dependence-drugs/nicotine?menu=hints</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FA" w:rsidRDefault="008C2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248" w:rsidRPr="00AC4321" w:rsidRDefault="00960248" w:rsidP="00AC4321">
    <w:pPr>
      <w:widowControl/>
      <w:tabs>
        <w:tab w:val="center" w:pos="4153"/>
        <w:tab w:val="right" w:pos="8306"/>
      </w:tabs>
      <w:spacing w:after="120"/>
      <w:ind w:left="360"/>
      <w:jc w:val="center"/>
      <w:rPr>
        <w:rFonts w:asciiTheme="minorHAnsi" w:hAnsiTheme="minorHAnsi"/>
        <w:i/>
        <w:snapToGrid/>
        <w:color w:val="808080"/>
        <w:sz w:val="24"/>
        <w:szCs w:val="24"/>
      </w:rPr>
    </w:pPr>
    <w:r>
      <w:rPr>
        <w:rFonts w:asciiTheme="minorHAnsi" w:hAnsiTheme="minorHAnsi"/>
        <w:i/>
        <w:snapToGrid/>
        <w:color w:val="808080"/>
        <w:sz w:val="24"/>
        <w:szCs w:val="24"/>
      </w:rPr>
      <w:t>Public Summary Document</w:t>
    </w:r>
    <w:r w:rsidRPr="00AC4321">
      <w:rPr>
        <w:rFonts w:asciiTheme="minorHAnsi" w:hAnsiTheme="minorHAnsi"/>
        <w:i/>
        <w:snapToGrid/>
        <w:color w:val="808080"/>
        <w:sz w:val="24"/>
        <w:szCs w:val="24"/>
      </w:rPr>
      <w:t xml:space="preserve"> – </w:t>
    </w:r>
    <w:r>
      <w:rPr>
        <w:rFonts w:asciiTheme="minorHAnsi" w:hAnsiTheme="minorHAnsi"/>
        <w:i/>
        <w:snapToGrid/>
        <w:color w:val="808080"/>
        <w:sz w:val="24"/>
        <w:szCs w:val="24"/>
      </w:rPr>
      <w:t>July 2017</w:t>
    </w:r>
    <w:r w:rsidRPr="00AC4321">
      <w:rPr>
        <w:rFonts w:asciiTheme="minorHAnsi" w:hAnsiTheme="minorHAnsi"/>
        <w:i/>
        <w:snapToGrid/>
        <w:color w:val="808080"/>
        <w:sz w:val="24"/>
        <w:szCs w:val="24"/>
      </w:rPr>
      <w:t xml:space="preserve"> PBAC Meeting</w:t>
    </w:r>
  </w:p>
  <w:p w:rsidR="00960248" w:rsidRDefault="00960248">
    <w:pPr>
      <w:pStyle w:val="Header"/>
    </w:pPr>
  </w:p>
  <w:p w:rsidR="00960248" w:rsidRDefault="009602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FA" w:rsidRDefault="008C2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C328C6"/>
    <w:multiLevelType w:val="hybridMultilevel"/>
    <w:tmpl w:val="F220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8705BF"/>
    <w:multiLevelType w:val="hybridMultilevel"/>
    <w:tmpl w:val="3522E3BC"/>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16B011DB"/>
    <w:multiLevelType w:val="hybridMultilevel"/>
    <w:tmpl w:val="7DEC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24546F5"/>
    <w:multiLevelType w:val="hybridMultilevel"/>
    <w:tmpl w:val="B522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735143"/>
    <w:multiLevelType w:val="hybridMultilevel"/>
    <w:tmpl w:val="8D1A8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454CF1"/>
    <w:multiLevelType w:val="hybridMultilevel"/>
    <w:tmpl w:val="BFDAA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D84B27"/>
    <w:multiLevelType w:val="hybridMultilevel"/>
    <w:tmpl w:val="9E00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8940A0"/>
    <w:multiLevelType w:val="hybridMultilevel"/>
    <w:tmpl w:val="639839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7151148"/>
    <w:multiLevelType w:val="hybridMultilevel"/>
    <w:tmpl w:val="EB42ECE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5EB33C5D"/>
    <w:multiLevelType w:val="hybridMultilevel"/>
    <w:tmpl w:val="F3FA8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07D6975"/>
    <w:multiLevelType w:val="hybridMultilevel"/>
    <w:tmpl w:val="6F800CDE"/>
    <w:lvl w:ilvl="0" w:tplc="053C0B8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C959F8"/>
    <w:multiLevelType w:val="hybridMultilevel"/>
    <w:tmpl w:val="74F6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281748"/>
    <w:multiLevelType w:val="hybridMultilevel"/>
    <w:tmpl w:val="CEA8B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163232C"/>
    <w:multiLevelType w:val="multilevel"/>
    <w:tmpl w:val="2D8A5E7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566237F"/>
    <w:multiLevelType w:val="hybridMultilevel"/>
    <w:tmpl w:val="0C3CD190"/>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6D461C4"/>
    <w:multiLevelType w:val="hybridMultilevel"/>
    <w:tmpl w:val="C7D001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784D033C"/>
    <w:multiLevelType w:val="multilevel"/>
    <w:tmpl w:val="E5BC00A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
  </w:num>
  <w:num w:numId="3">
    <w:abstractNumId w:val="25"/>
  </w:num>
  <w:num w:numId="4">
    <w:abstractNumId w:val="11"/>
  </w:num>
  <w:num w:numId="5">
    <w:abstractNumId w:val="7"/>
  </w:num>
  <w:num w:numId="6">
    <w:abstractNumId w:val="18"/>
  </w:num>
  <w:num w:numId="7">
    <w:abstractNumId w:val="9"/>
  </w:num>
  <w:num w:numId="8">
    <w:abstractNumId w:val="20"/>
  </w:num>
  <w:num w:numId="9">
    <w:abstractNumId w:val="21"/>
  </w:num>
  <w:num w:numId="10">
    <w:abstractNumId w:val="4"/>
  </w:num>
  <w:num w:numId="11">
    <w:abstractNumId w:val="13"/>
  </w:num>
  <w:num w:numId="12">
    <w:abstractNumId w:val="8"/>
  </w:num>
  <w:num w:numId="13">
    <w:abstractNumId w:val="16"/>
  </w:num>
  <w:num w:numId="14">
    <w:abstractNumId w:val="17"/>
  </w:num>
  <w:num w:numId="15">
    <w:abstractNumId w:val="10"/>
  </w:num>
  <w:num w:numId="16">
    <w:abstractNumId w:val="12"/>
  </w:num>
  <w:num w:numId="17">
    <w:abstractNumId w:val="15"/>
  </w:num>
  <w:num w:numId="18">
    <w:abstractNumId w:val="5"/>
  </w:num>
  <w:num w:numId="19">
    <w:abstractNumId w:val="3"/>
  </w:num>
  <w:num w:numId="20">
    <w:abstractNumId w:val="14"/>
  </w:num>
  <w:num w:numId="21">
    <w:abstractNumId w:val="2"/>
  </w:num>
  <w:num w:numId="22">
    <w:abstractNumId w:val="0"/>
  </w:num>
  <w:num w:numId="23">
    <w:abstractNumId w:val="6"/>
  </w:num>
  <w:num w:numId="24">
    <w:abstractNumId w:val="25"/>
  </w:num>
  <w:num w:numId="25">
    <w:abstractNumId w:val="24"/>
  </w:num>
  <w:num w:numId="26">
    <w:abstractNumId w:val="22"/>
  </w:num>
  <w:num w:numId="27">
    <w:abstractNumId w:val="19"/>
  </w:num>
  <w:numIdMacAtCleanup w:val="1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Newby">
    <w15:presenceInfo w15:providerId="None" w15:userId="David New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4D"/>
    <w:rsid w:val="00000790"/>
    <w:rsid w:val="0000110B"/>
    <w:rsid w:val="00003499"/>
    <w:rsid w:val="00003BBF"/>
    <w:rsid w:val="00004928"/>
    <w:rsid w:val="0001306A"/>
    <w:rsid w:val="00013247"/>
    <w:rsid w:val="00014309"/>
    <w:rsid w:val="000145A3"/>
    <w:rsid w:val="00015886"/>
    <w:rsid w:val="000162EF"/>
    <w:rsid w:val="00016DD4"/>
    <w:rsid w:val="000173F5"/>
    <w:rsid w:val="0002225F"/>
    <w:rsid w:val="00023763"/>
    <w:rsid w:val="000260F2"/>
    <w:rsid w:val="00040895"/>
    <w:rsid w:val="00043C37"/>
    <w:rsid w:val="00052D1D"/>
    <w:rsid w:val="0005403B"/>
    <w:rsid w:val="0005405D"/>
    <w:rsid w:val="000546D7"/>
    <w:rsid w:val="00056AF6"/>
    <w:rsid w:val="00057AD4"/>
    <w:rsid w:val="00060D2D"/>
    <w:rsid w:val="00061BE5"/>
    <w:rsid w:val="00062B8C"/>
    <w:rsid w:val="00064249"/>
    <w:rsid w:val="000645A3"/>
    <w:rsid w:val="000675AA"/>
    <w:rsid w:val="00071248"/>
    <w:rsid w:val="000720B9"/>
    <w:rsid w:val="000739F5"/>
    <w:rsid w:val="00074285"/>
    <w:rsid w:val="0008047A"/>
    <w:rsid w:val="000812CA"/>
    <w:rsid w:val="00086F3B"/>
    <w:rsid w:val="00090C7E"/>
    <w:rsid w:val="00093859"/>
    <w:rsid w:val="00095C4C"/>
    <w:rsid w:val="000A004C"/>
    <w:rsid w:val="000A1C12"/>
    <w:rsid w:val="000A6CCA"/>
    <w:rsid w:val="000A712D"/>
    <w:rsid w:val="000B5B1F"/>
    <w:rsid w:val="000B692F"/>
    <w:rsid w:val="000C46BD"/>
    <w:rsid w:val="000C4BB7"/>
    <w:rsid w:val="000C6C9F"/>
    <w:rsid w:val="000C7466"/>
    <w:rsid w:val="000D078C"/>
    <w:rsid w:val="000D07D7"/>
    <w:rsid w:val="000D1970"/>
    <w:rsid w:val="000D1BFC"/>
    <w:rsid w:val="000D325A"/>
    <w:rsid w:val="000D373E"/>
    <w:rsid w:val="000D5545"/>
    <w:rsid w:val="000D5613"/>
    <w:rsid w:val="000D5945"/>
    <w:rsid w:val="000D72AE"/>
    <w:rsid w:val="000D7948"/>
    <w:rsid w:val="000D7B40"/>
    <w:rsid w:val="000E10C3"/>
    <w:rsid w:val="000E2007"/>
    <w:rsid w:val="000E4EB7"/>
    <w:rsid w:val="000E5B11"/>
    <w:rsid w:val="000E6BFF"/>
    <w:rsid w:val="000E7CD2"/>
    <w:rsid w:val="000F0FB2"/>
    <w:rsid w:val="000F3AD2"/>
    <w:rsid w:val="000F42E0"/>
    <w:rsid w:val="000F4BB8"/>
    <w:rsid w:val="000F5F8B"/>
    <w:rsid w:val="000F636C"/>
    <w:rsid w:val="000F7127"/>
    <w:rsid w:val="0010015B"/>
    <w:rsid w:val="00100F8A"/>
    <w:rsid w:val="00101B41"/>
    <w:rsid w:val="00102CE7"/>
    <w:rsid w:val="00104CFA"/>
    <w:rsid w:val="001053B5"/>
    <w:rsid w:val="001057D8"/>
    <w:rsid w:val="00106475"/>
    <w:rsid w:val="0011032E"/>
    <w:rsid w:val="00110E47"/>
    <w:rsid w:val="0011348B"/>
    <w:rsid w:val="00113A87"/>
    <w:rsid w:val="0012016E"/>
    <w:rsid w:val="00120DE2"/>
    <w:rsid w:val="00121799"/>
    <w:rsid w:val="00121972"/>
    <w:rsid w:val="001222FC"/>
    <w:rsid w:val="0012238B"/>
    <w:rsid w:val="00122D0A"/>
    <w:rsid w:val="00122F2A"/>
    <w:rsid w:val="001237C1"/>
    <w:rsid w:val="001245D6"/>
    <w:rsid w:val="00124A51"/>
    <w:rsid w:val="00124F7E"/>
    <w:rsid w:val="00125988"/>
    <w:rsid w:val="00125AD4"/>
    <w:rsid w:val="00126621"/>
    <w:rsid w:val="00127A27"/>
    <w:rsid w:val="001301E9"/>
    <w:rsid w:val="001353D8"/>
    <w:rsid w:val="00137645"/>
    <w:rsid w:val="001379D7"/>
    <w:rsid w:val="0014015A"/>
    <w:rsid w:val="001403DD"/>
    <w:rsid w:val="00140E99"/>
    <w:rsid w:val="00143A4D"/>
    <w:rsid w:val="00145540"/>
    <w:rsid w:val="001456B0"/>
    <w:rsid w:val="00145BB4"/>
    <w:rsid w:val="001467FD"/>
    <w:rsid w:val="00151DDF"/>
    <w:rsid w:val="00153068"/>
    <w:rsid w:val="00154AC3"/>
    <w:rsid w:val="001557E0"/>
    <w:rsid w:val="00155D96"/>
    <w:rsid w:val="00155F06"/>
    <w:rsid w:val="0015679E"/>
    <w:rsid w:val="00157130"/>
    <w:rsid w:val="00162913"/>
    <w:rsid w:val="00163EFF"/>
    <w:rsid w:val="001657AF"/>
    <w:rsid w:val="001661FB"/>
    <w:rsid w:val="00167801"/>
    <w:rsid w:val="001725DE"/>
    <w:rsid w:val="00173D24"/>
    <w:rsid w:val="001828C5"/>
    <w:rsid w:val="00185246"/>
    <w:rsid w:val="0018708A"/>
    <w:rsid w:val="0018752F"/>
    <w:rsid w:val="00192A3B"/>
    <w:rsid w:val="001932F8"/>
    <w:rsid w:val="00193381"/>
    <w:rsid w:val="00195222"/>
    <w:rsid w:val="0019585F"/>
    <w:rsid w:val="00196633"/>
    <w:rsid w:val="001975D8"/>
    <w:rsid w:val="00197EBF"/>
    <w:rsid w:val="001A48E4"/>
    <w:rsid w:val="001B0FDE"/>
    <w:rsid w:val="001B1788"/>
    <w:rsid w:val="001B28A7"/>
    <w:rsid w:val="001B30DF"/>
    <w:rsid w:val="001B3443"/>
    <w:rsid w:val="001B58E1"/>
    <w:rsid w:val="001B6996"/>
    <w:rsid w:val="001C0BB3"/>
    <w:rsid w:val="001C16A9"/>
    <w:rsid w:val="001C1FDD"/>
    <w:rsid w:val="001C2CBD"/>
    <w:rsid w:val="001C347D"/>
    <w:rsid w:val="001C4962"/>
    <w:rsid w:val="001C6E66"/>
    <w:rsid w:val="001D1ED5"/>
    <w:rsid w:val="001D7E06"/>
    <w:rsid w:val="001E17A9"/>
    <w:rsid w:val="001E238E"/>
    <w:rsid w:val="001E2B1E"/>
    <w:rsid w:val="001E52EB"/>
    <w:rsid w:val="001E740C"/>
    <w:rsid w:val="001F03F8"/>
    <w:rsid w:val="001F11DF"/>
    <w:rsid w:val="001F1235"/>
    <w:rsid w:val="001F1CB3"/>
    <w:rsid w:val="001F23DF"/>
    <w:rsid w:val="001F418F"/>
    <w:rsid w:val="001F4C59"/>
    <w:rsid w:val="001F6907"/>
    <w:rsid w:val="001F692F"/>
    <w:rsid w:val="001F7361"/>
    <w:rsid w:val="00200E25"/>
    <w:rsid w:val="00201F87"/>
    <w:rsid w:val="00202E0C"/>
    <w:rsid w:val="0020385F"/>
    <w:rsid w:val="00204035"/>
    <w:rsid w:val="00204759"/>
    <w:rsid w:val="00207021"/>
    <w:rsid w:val="00207D00"/>
    <w:rsid w:val="002105C1"/>
    <w:rsid w:val="00211980"/>
    <w:rsid w:val="00211F12"/>
    <w:rsid w:val="00213C49"/>
    <w:rsid w:val="00221903"/>
    <w:rsid w:val="00223B49"/>
    <w:rsid w:val="00224DD4"/>
    <w:rsid w:val="00225053"/>
    <w:rsid w:val="0022556A"/>
    <w:rsid w:val="00227C3D"/>
    <w:rsid w:val="002309CC"/>
    <w:rsid w:val="00231F1E"/>
    <w:rsid w:val="00234232"/>
    <w:rsid w:val="002358FD"/>
    <w:rsid w:val="002362D4"/>
    <w:rsid w:val="00237FE7"/>
    <w:rsid w:val="00243119"/>
    <w:rsid w:val="00252327"/>
    <w:rsid w:val="00253D80"/>
    <w:rsid w:val="002540EC"/>
    <w:rsid w:val="00254DCF"/>
    <w:rsid w:val="0025534B"/>
    <w:rsid w:val="002554F1"/>
    <w:rsid w:val="002558FC"/>
    <w:rsid w:val="00255BB7"/>
    <w:rsid w:val="002569AA"/>
    <w:rsid w:val="00257C97"/>
    <w:rsid w:val="00262A87"/>
    <w:rsid w:val="002640AF"/>
    <w:rsid w:val="00264F37"/>
    <w:rsid w:val="00265EE8"/>
    <w:rsid w:val="00272286"/>
    <w:rsid w:val="00272EFF"/>
    <w:rsid w:val="00272FCB"/>
    <w:rsid w:val="00275C5A"/>
    <w:rsid w:val="00276875"/>
    <w:rsid w:val="00276B01"/>
    <w:rsid w:val="00277A59"/>
    <w:rsid w:val="00281014"/>
    <w:rsid w:val="00281E54"/>
    <w:rsid w:val="00283939"/>
    <w:rsid w:val="002869D2"/>
    <w:rsid w:val="00291B4A"/>
    <w:rsid w:val="00294988"/>
    <w:rsid w:val="002956E1"/>
    <w:rsid w:val="00296D6D"/>
    <w:rsid w:val="002A060F"/>
    <w:rsid w:val="002A14AB"/>
    <w:rsid w:val="002A5F73"/>
    <w:rsid w:val="002B0BC0"/>
    <w:rsid w:val="002B1C1F"/>
    <w:rsid w:val="002B432F"/>
    <w:rsid w:val="002B5A98"/>
    <w:rsid w:val="002B6CCE"/>
    <w:rsid w:val="002C0C88"/>
    <w:rsid w:val="002C122C"/>
    <w:rsid w:val="002C2319"/>
    <w:rsid w:val="002C2775"/>
    <w:rsid w:val="002C27C1"/>
    <w:rsid w:val="002C2F59"/>
    <w:rsid w:val="002C5945"/>
    <w:rsid w:val="002C6684"/>
    <w:rsid w:val="002D0592"/>
    <w:rsid w:val="002D0B65"/>
    <w:rsid w:val="002D2C1D"/>
    <w:rsid w:val="002D50BB"/>
    <w:rsid w:val="002D644B"/>
    <w:rsid w:val="002E04C8"/>
    <w:rsid w:val="002E2F8F"/>
    <w:rsid w:val="002E4A74"/>
    <w:rsid w:val="002E7917"/>
    <w:rsid w:val="002E7BC5"/>
    <w:rsid w:val="002F1803"/>
    <w:rsid w:val="002F1B5F"/>
    <w:rsid w:val="002F44F4"/>
    <w:rsid w:val="002F75D4"/>
    <w:rsid w:val="002F7848"/>
    <w:rsid w:val="00301017"/>
    <w:rsid w:val="003026E3"/>
    <w:rsid w:val="00303BDF"/>
    <w:rsid w:val="00304FAD"/>
    <w:rsid w:val="003076BF"/>
    <w:rsid w:val="0030786C"/>
    <w:rsid w:val="00307964"/>
    <w:rsid w:val="00307E5E"/>
    <w:rsid w:val="0031031A"/>
    <w:rsid w:val="00310981"/>
    <w:rsid w:val="00310B78"/>
    <w:rsid w:val="00311261"/>
    <w:rsid w:val="0031154B"/>
    <w:rsid w:val="00315498"/>
    <w:rsid w:val="00316234"/>
    <w:rsid w:val="003213DD"/>
    <w:rsid w:val="00321D60"/>
    <w:rsid w:val="0032317F"/>
    <w:rsid w:val="00323323"/>
    <w:rsid w:val="003236A9"/>
    <w:rsid w:val="00324F9B"/>
    <w:rsid w:val="003312FE"/>
    <w:rsid w:val="0033132B"/>
    <w:rsid w:val="003339AC"/>
    <w:rsid w:val="003366C9"/>
    <w:rsid w:val="003371B0"/>
    <w:rsid w:val="003402E5"/>
    <w:rsid w:val="00344054"/>
    <w:rsid w:val="00345A7B"/>
    <w:rsid w:val="00345EBE"/>
    <w:rsid w:val="00346DFC"/>
    <w:rsid w:val="00346E92"/>
    <w:rsid w:val="003522E8"/>
    <w:rsid w:val="003557D8"/>
    <w:rsid w:val="0035620E"/>
    <w:rsid w:val="00356730"/>
    <w:rsid w:val="00356A02"/>
    <w:rsid w:val="00356A23"/>
    <w:rsid w:val="00356B14"/>
    <w:rsid w:val="00357A39"/>
    <w:rsid w:val="00361F58"/>
    <w:rsid w:val="003633CE"/>
    <w:rsid w:val="00363588"/>
    <w:rsid w:val="003638C1"/>
    <w:rsid w:val="00364276"/>
    <w:rsid w:val="00366080"/>
    <w:rsid w:val="00370E23"/>
    <w:rsid w:val="00370E36"/>
    <w:rsid w:val="003713ED"/>
    <w:rsid w:val="00371BAE"/>
    <w:rsid w:val="00371D14"/>
    <w:rsid w:val="00376713"/>
    <w:rsid w:val="00377B5A"/>
    <w:rsid w:val="00377CBF"/>
    <w:rsid w:val="0038008A"/>
    <w:rsid w:val="00380805"/>
    <w:rsid w:val="0038365C"/>
    <w:rsid w:val="00384742"/>
    <w:rsid w:val="003848C0"/>
    <w:rsid w:val="003859D6"/>
    <w:rsid w:val="003861AC"/>
    <w:rsid w:val="00391A8F"/>
    <w:rsid w:val="003925EC"/>
    <w:rsid w:val="00395C70"/>
    <w:rsid w:val="00396A5B"/>
    <w:rsid w:val="00396FD0"/>
    <w:rsid w:val="003A065F"/>
    <w:rsid w:val="003A0EC5"/>
    <w:rsid w:val="003A1A7A"/>
    <w:rsid w:val="003A32C7"/>
    <w:rsid w:val="003B6594"/>
    <w:rsid w:val="003B6A2B"/>
    <w:rsid w:val="003C0A39"/>
    <w:rsid w:val="003C297B"/>
    <w:rsid w:val="003C414F"/>
    <w:rsid w:val="003C4D40"/>
    <w:rsid w:val="003C573C"/>
    <w:rsid w:val="003C5AC7"/>
    <w:rsid w:val="003C5DE1"/>
    <w:rsid w:val="003D000C"/>
    <w:rsid w:val="003D1828"/>
    <w:rsid w:val="003D2422"/>
    <w:rsid w:val="003D37AC"/>
    <w:rsid w:val="003D3C49"/>
    <w:rsid w:val="003E0618"/>
    <w:rsid w:val="003E4908"/>
    <w:rsid w:val="003E4E1B"/>
    <w:rsid w:val="003E7CA1"/>
    <w:rsid w:val="003F1965"/>
    <w:rsid w:val="003F20BE"/>
    <w:rsid w:val="003F2D87"/>
    <w:rsid w:val="003F4156"/>
    <w:rsid w:val="003F465D"/>
    <w:rsid w:val="003F473F"/>
    <w:rsid w:val="003F72B6"/>
    <w:rsid w:val="004017F4"/>
    <w:rsid w:val="00402922"/>
    <w:rsid w:val="004030EF"/>
    <w:rsid w:val="004054EA"/>
    <w:rsid w:val="0040550D"/>
    <w:rsid w:val="0040568A"/>
    <w:rsid w:val="004062A3"/>
    <w:rsid w:val="00410708"/>
    <w:rsid w:val="00410EC7"/>
    <w:rsid w:val="00414476"/>
    <w:rsid w:val="004148E6"/>
    <w:rsid w:val="00414D6B"/>
    <w:rsid w:val="00416579"/>
    <w:rsid w:val="00416840"/>
    <w:rsid w:val="00420B9F"/>
    <w:rsid w:val="00421F10"/>
    <w:rsid w:val="0042357A"/>
    <w:rsid w:val="0042542B"/>
    <w:rsid w:val="00426656"/>
    <w:rsid w:val="00431284"/>
    <w:rsid w:val="004319F8"/>
    <w:rsid w:val="00432C4B"/>
    <w:rsid w:val="00433044"/>
    <w:rsid w:val="0043577F"/>
    <w:rsid w:val="004443A7"/>
    <w:rsid w:val="004464EB"/>
    <w:rsid w:val="004506C6"/>
    <w:rsid w:val="00450A1F"/>
    <w:rsid w:val="00454B19"/>
    <w:rsid w:val="00455047"/>
    <w:rsid w:val="00455D45"/>
    <w:rsid w:val="00456898"/>
    <w:rsid w:val="0045698A"/>
    <w:rsid w:val="00463A0B"/>
    <w:rsid w:val="00464595"/>
    <w:rsid w:val="00466175"/>
    <w:rsid w:val="00467FF6"/>
    <w:rsid w:val="00473398"/>
    <w:rsid w:val="004739C9"/>
    <w:rsid w:val="00473A6D"/>
    <w:rsid w:val="004744AF"/>
    <w:rsid w:val="00475A32"/>
    <w:rsid w:val="00481FDD"/>
    <w:rsid w:val="00482E0C"/>
    <w:rsid w:val="00484F79"/>
    <w:rsid w:val="004859EF"/>
    <w:rsid w:val="004867E2"/>
    <w:rsid w:val="00487E4E"/>
    <w:rsid w:val="00491B3A"/>
    <w:rsid w:val="00491FD3"/>
    <w:rsid w:val="0049267C"/>
    <w:rsid w:val="004928FD"/>
    <w:rsid w:val="00492CFD"/>
    <w:rsid w:val="00495FF7"/>
    <w:rsid w:val="004962D2"/>
    <w:rsid w:val="004A0DA1"/>
    <w:rsid w:val="004A1884"/>
    <w:rsid w:val="004A2FAA"/>
    <w:rsid w:val="004A4CCC"/>
    <w:rsid w:val="004A6564"/>
    <w:rsid w:val="004A6597"/>
    <w:rsid w:val="004A6956"/>
    <w:rsid w:val="004B1CB4"/>
    <w:rsid w:val="004B2F18"/>
    <w:rsid w:val="004B3DDB"/>
    <w:rsid w:val="004B44FD"/>
    <w:rsid w:val="004B5CFC"/>
    <w:rsid w:val="004C1A7F"/>
    <w:rsid w:val="004C3C21"/>
    <w:rsid w:val="004C4AED"/>
    <w:rsid w:val="004C5044"/>
    <w:rsid w:val="004C6D2C"/>
    <w:rsid w:val="004C7B9A"/>
    <w:rsid w:val="004D070E"/>
    <w:rsid w:val="004D1986"/>
    <w:rsid w:val="004D3A77"/>
    <w:rsid w:val="004D62CA"/>
    <w:rsid w:val="004E0EB8"/>
    <w:rsid w:val="004E21E1"/>
    <w:rsid w:val="004E2ADC"/>
    <w:rsid w:val="004E2C5F"/>
    <w:rsid w:val="004E43B2"/>
    <w:rsid w:val="004E4D5D"/>
    <w:rsid w:val="004E5517"/>
    <w:rsid w:val="004E6ACF"/>
    <w:rsid w:val="004F1A5F"/>
    <w:rsid w:val="004F1D02"/>
    <w:rsid w:val="004F1F6D"/>
    <w:rsid w:val="004F2679"/>
    <w:rsid w:val="004F277D"/>
    <w:rsid w:val="004F2AEA"/>
    <w:rsid w:val="004F44C3"/>
    <w:rsid w:val="004F7865"/>
    <w:rsid w:val="00500948"/>
    <w:rsid w:val="0050303A"/>
    <w:rsid w:val="00504102"/>
    <w:rsid w:val="00504FDF"/>
    <w:rsid w:val="00506928"/>
    <w:rsid w:val="005144CA"/>
    <w:rsid w:val="005152B5"/>
    <w:rsid w:val="00521319"/>
    <w:rsid w:val="00521887"/>
    <w:rsid w:val="005234C3"/>
    <w:rsid w:val="00523C28"/>
    <w:rsid w:val="00527F5F"/>
    <w:rsid w:val="00530E87"/>
    <w:rsid w:val="005325B2"/>
    <w:rsid w:val="00537D4F"/>
    <w:rsid w:val="005405E8"/>
    <w:rsid w:val="00541F78"/>
    <w:rsid w:val="005424DB"/>
    <w:rsid w:val="00544AD6"/>
    <w:rsid w:val="00544BC7"/>
    <w:rsid w:val="00546438"/>
    <w:rsid w:val="00546BF1"/>
    <w:rsid w:val="0055015C"/>
    <w:rsid w:val="00550E09"/>
    <w:rsid w:val="00551ED5"/>
    <w:rsid w:val="00552BD3"/>
    <w:rsid w:val="0055312D"/>
    <w:rsid w:val="00553C78"/>
    <w:rsid w:val="00553FC8"/>
    <w:rsid w:val="00555109"/>
    <w:rsid w:val="00555C83"/>
    <w:rsid w:val="0056179A"/>
    <w:rsid w:val="00563EBE"/>
    <w:rsid w:val="00564C43"/>
    <w:rsid w:val="0056696F"/>
    <w:rsid w:val="00566C16"/>
    <w:rsid w:val="00567BB9"/>
    <w:rsid w:val="00571B8E"/>
    <w:rsid w:val="00572BF0"/>
    <w:rsid w:val="00573355"/>
    <w:rsid w:val="00573C8C"/>
    <w:rsid w:val="00574F35"/>
    <w:rsid w:val="00575D8D"/>
    <w:rsid w:val="00576972"/>
    <w:rsid w:val="00580265"/>
    <w:rsid w:val="005813C8"/>
    <w:rsid w:val="00581410"/>
    <w:rsid w:val="00583699"/>
    <w:rsid w:val="00584611"/>
    <w:rsid w:val="00590602"/>
    <w:rsid w:val="005925BF"/>
    <w:rsid w:val="00594420"/>
    <w:rsid w:val="005955F9"/>
    <w:rsid w:val="005A42B2"/>
    <w:rsid w:val="005A4571"/>
    <w:rsid w:val="005A4AE7"/>
    <w:rsid w:val="005A5345"/>
    <w:rsid w:val="005B2C33"/>
    <w:rsid w:val="005B3203"/>
    <w:rsid w:val="005B379B"/>
    <w:rsid w:val="005B5857"/>
    <w:rsid w:val="005B7D04"/>
    <w:rsid w:val="005C0B52"/>
    <w:rsid w:val="005C1B83"/>
    <w:rsid w:val="005C227F"/>
    <w:rsid w:val="005C3339"/>
    <w:rsid w:val="005C346B"/>
    <w:rsid w:val="005C387B"/>
    <w:rsid w:val="005C6B35"/>
    <w:rsid w:val="005C78A5"/>
    <w:rsid w:val="005D044D"/>
    <w:rsid w:val="005D18AD"/>
    <w:rsid w:val="005D2580"/>
    <w:rsid w:val="005D272B"/>
    <w:rsid w:val="005D34E9"/>
    <w:rsid w:val="005D4D97"/>
    <w:rsid w:val="005E146B"/>
    <w:rsid w:val="005E1729"/>
    <w:rsid w:val="005E1980"/>
    <w:rsid w:val="005E35D8"/>
    <w:rsid w:val="005E73C0"/>
    <w:rsid w:val="005E7BD5"/>
    <w:rsid w:val="005F0B41"/>
    <w:rsid w:val="005F1889"/>
    <w:rsid w:val="005F1ABE"/>
    <w:rsid w:val="005F23AA"/>
    <w:rsid w:val="005F2706"/>
    <w:rsid w:val="005F459D"/>
    <w:rsid w:val="005F5EE0"/>
    <w:rsid w:val="005F6A8F"/>
    <w:rsid w:val="005F748F"/>
    <w:rsid w:val="00604D19"/>
    <w:rsid w:val="00604DEF"/>
    <w:rsid w:val="0060645E"/>
    <w:rsid w:val="0060681A"/>
    <w:rsid w:val="00606879"/>
    <w:rsid w:val="00606B13"/>
    <w:rsid w:val="00607669"/>
    <w:rsid w:val="006128C6"/>
    <w:rsid w:val="00612F97"/>
    <w:rsid w:val="00616802"/>
    <w:rsid w:val="006178D7"/>
    <w:rsid w:val="00617E12"/>
    <w:rsid w:val="00617FEA"/>
    <w:rsid w:val="00621477"/>
    <w:rsid w:val="00623DFD"/>
    <w:rsid w:val="00631D6B"/>
    <w:rsid w:val="00632812"/>
    <w:rsid w:val="006335EC"/>
    <w:rsid w:val="00634334"/>
    <w:rsid w:val="0063479F"/>
    <w:rsid w:val="00634E21"/>
    <w:rsid w:val="006364A1"/>
    <w:rsid w:val="00636741"/>
    <w:rsid w:val="0063740D"/>
    <w:rsid w:val="00637BFD"/>
    <w:rsid w:val="006403AB"/>
    <w:rsid w:val="00641327"/>
    <w:rsid w:val="006430AD"/>
    <w:rsid w:val="0064589C"/>
    <w:rsid w:val="006471CC"/>
    <w:rsid w:val="0064775A"/>
    <w:rsid w:val="0065079F"/>
    <w:rsid w:val="00650AC9"/>
    <w:rsid w:val="006527A4"/>
    <w:rsid w:val="00660309"/>
    <w:rsid w:val="00661A11"/>
    <w:rsid w:val="00662424"/>
    <w:rsid w:val="00663C53"/>
    <w:rsid w:val="00663E07"/>
    <w:rsid w:val="006660BF"/>
    <w:rsid w:val="0066743A"/>
    <w:rsid w:val="00672E12"/>
    <w:rsid w:val="00673AA5"/>
    <w:rsid w:val="00674E42"/>
    <w:rsid w:val="00676647"/>
    <w:rsid w:val="00676930"/>
    <w:rsid w:val="0068065D"/>
    <w:rsid w:val="00680B42"/>
    <w:rsid w:val="00682112"/>
    <w:rsid w:val="00685984"/>
    <w:rsid w:val="00686768"/>
    <w:rsid w:val="006872BA"/>
    <w:rsid w:val="0069103C"/>
    <w:rsid w:val="006911E7"/>
    <w:rsid w:val="006917D7"/>
    <w:rsid w:val="006920B6"/>
    <w:rsid w:val="00693E2B"/>
    <w:rsid w:val="00694F44"/>
    <w:rsid w:val="0069549F"/>
    <w:rsid w:val="00695DFC"/>
    <w:rsid w:val="006A1551"/>
    <w:rsid w:val="006A47F3"/>
    <w:rsid w:val="006B0A35"/>
    <w:rsid w:val="006B0A9B"/>
    <w:rsid w:val="006B6E20"/>
    <w:rsid w:val="006C0B66"/>
    <w:rsid w:val="006C13F1"/>
    <w:rsid w:val="006C1422"/>
    <w:rsid w:val="006C2A8E"/>
    <w:rsid w:val="006C4B32"/>
    <w:rsid w:val="006C691E"/>
    <w:rsid w:val="006C765B"/>
    <w:rsid w:val="006C7773"/>
    <w:rsid w:val="006C7DF9"/>
    <w:rsid w:val="006D0ABD"/>
    <w:rsid w:val="006D1E18"/>
    <w:rsid w:val="006D3C7D"/>
    <w:rsid w:val="006D5D5F"/>
    <w:rsid w:val="006D6D69"/>
    <w:rsid w:val="006E0D95"/>
    <w:rsid w:val="006E55C4"/>
    <w:rsid w:val="006E5EBD"/>
    <w:rsid w:val="006E798D"/>
    <w:rsid w:val="006F023A"/>
    <w:rsid w:val="006F63A5"/>
    <w:rsid w:val="006F74A1"/>
    <w:rsid w:val="0070276E"/>
    <w:rsid w:val="00702969"/>
    <w:rsid w:val="00702D05"/>
    <w:rsid w:val="00702F8F"/>
    <w:rsid w:val="00706279"/>
    <w:rsid w:val="00706A5C"/>
    <w:rsid w:val="00710528"/>
    <w:rsid w:val="00711A36"/>
    <w:rsid w:val="007122F2"/>
    <w:rsid w:val="00712344"/>
    <w:rsid w:val="00712401"/>
    <w:rsid w:val="00713A82"/>
    <w:rsid w:val="007144FD"/>
    <w:rsid w:val="00715423"/>
    <w:rsid w:val="00715C8B"/>
    <w:rsid w:val="007172AD"/>
    <w:rsid w:val="007172C5"/>
    <w:rsid w:val="00717560"/>
    <w:rsid w:val="0072416F"/>
    <w:rsid w:val="007255D7"/>
    <w:rsid w:val="0073375D"/>
    <w:rsid w:val="0073438F"/>
    <w:rsid w:val="00734E9F"/>
    <w:rsid w:val="00735328"/>
    <w:rsid w:val="0073685B"/>
    <w:rsid w:val="007378C1"/>
    <w:rsid w:val="00742B71"/>
    <w:rsid w:val="00743B4B"/>
    <w:rsid w:val="007452DF"/>
    <w:rsid w:val="00746E0A"/>
    <w:rsid w:val="00746E9F"/>
    <w:rsid w:val="007476BC"/>
    <w:rsid w:val="00753978"/>
    <w:rsid w:val="00753D6C"/>
    <w:rsid w:val="00754086"/>
    <w:rsid w:val="007573E4"/>
    <w:rsid w:val="00763CB6"/>
    <w:rsid w:val="007646C4"/>
    <w:rsid w:val="007654C8"/>
    <w:rsid w:val="00765ADF"/>
    <w:rsid w:val="007660E8"/>
    <w:rsid w:val="0076718B"/>
    <w:rsid w:val="0077058A"/>
    <w:rsid w:val="00772F34"/>
    <w:rsid w:val="0077379A"/>
    <w:rsid w:val="00773BCA"/>
    <w:rsid w:val="0077528F"/>
    <w:rsid w:val="00782049"/>
    <w:rsid w:val="00783731"/>
    <w:rsid w:val="00784114"/>
    <w:rsid w:val="00787C20"/>
    <w:rsid w:val="007927D8"/>
    <w:rsid w:val="00792998"/>
    <w:rsid w:val="00792E32"/>
    <w:rsid w:val="00795CAD"/>
    <w:rsid w:val="00796072"/>
    <w:rsid w:val="007A0A12"/>
    <w:rsid w:val="007A3467"/>
    <w:rsid w:val="007A4A0B"/>
    <w:rsid w:val="007A5509"/>
    <w:rsid w:val="007B14BF"/>
    <w:rsid w:val="007B251D"/>
    <w:rsid w:val="007B2FF8"/>
    <w:rsid w:val="007B400B"/>
    <w:rsid w:val="007B4AD0"/>
    <w:rsid w:val="007B73EA"/>
    <w:rsid w:val="007B77D1"/>
    <w:rsid w:val="007C0C39"/>
    <w:rsid w:val="007C252A"/>
    <w:rsid w:val="007C361D"/>
    <w:rsid w:val="007C4DFF"/>
    <w:rsid w:val="007C5EC9"/>
    <w:rsid w:val="007D0B38"/>
    <w:rsid w:val="007D0D01"/>
    <w:rsid w:val="007D1F7B"/>
    <w:rsid w:val="007D2CF9"/>
    <w:rsid w:val="007D2F56"/>
    <w:rsid w:val="007D569F"/>
    <w:rsid w:val="007D7929"/>
    <w:rsid w:val="007E2C30"/>
    <w:rsid w:val="007E3BC0"/>
    <w:rsid w:val="007E3E20"/>
    <w:rsid w:val="007E5E40"/>
    <w:rsid w:val="007E7724"/>
    <w:rsid w:val="007F1017"/>
    <w:rsid w:val="007F14EC"/>
    <w:rsid w:val="007F2F17"/>
    <w:rsid w:val="007F4A3F"/>
    <w:rsid w:val="007F65D9"/>
    <w:rsid w:val="007F774B"/>
    <w:rsid w:val="007F7CEB"/>
    <w:rsid w:val="008004BC"/>
    <w:rsid w:val="00800B68"/>
    <w:rsid w:val="00805142"/>
    <w:rsid w:val="00805A7A"/>
    <w:rsid w:val="00807A8B"/>
    <w:rsid w:val="00812149"/>
    <w:rsid w:val="00812B0F"/>
    <w:rsid w:val="008166EF"/>
    <w:rsid w:val="00816D86"/>
    <w:rsid w:val="00823647"/>
    <w:rsid w:val="008264EB"/>
    <w:rsid w:val="00827B5B"/>
    <w:rsid w:val="00827E11"/>
    <w:rsid w:val="00833B05"/>
    <w:rsid w:val="00835DE7"/>
    <w:rsid w:val="0083741F"/>
    <w:rsid w:val="00837BC8"/>
    <w:rsid w:val="00837CBC"/>
    <w:rsid w:val="00840CA2"/>
    <w:rsid w:val="00843B58"/>
    <w:rsid w:val="00844CF1"/>
    <w:rsid w:val="00844E76"/>
    <w:rsid w:val="00845D58"/>
    <w:rsid w:val="00847D7B"/>
    <w:rsid w:val="00851D45"/>
    <w:rsid w:val="0085203C"/>
    <w:rsid w:val="0085508A"/>
    <w:rsid w:val="00855F01"/>
    <w:rsid w:val="00856E9A"/>
    <w:rsid w:val="00857657"/>
    <w:rsid w:val="0086039D"/>
    <w:rsid w:val="00860D39"/>
    <w:rsid w:val="0086120E"/>
    <w:rsid w:val="00862502"/>
    <w:rsid w:val="00866CF1"/>
    <w:rsid w:val="008707A2"/>
    <w:rsid w:val="0087118E"/>
    <w:rsid w:val="00871697"/>
    <w:rsid w:val="00872EF0"/>
    <w:rsid w:val="00882874"/>
    <w:rsid w:val="00883787"/>
    <w:rsid w:val="00894489"/>
    <w:rsid w:val="008949B9"/>
    <w:rsid w:val="00894DED"/>
    <w:rsid w:val="008963A5"/>
    <w:rsid w:val="00896A8D"/>
    <w:rsid w:val="008970A6"/>
    <w:rsid w:val="008A2A25"/>
    <w:rsid w:val="008A2A2C"/>
    <w:rsid w:val="008A3C3E"/>
    <w:rsid w:val="008A4B36"/>
    <w:rsid w:val="008A584A"/>
    <w:rsid w:val="008A630C"/>
    <w:rsid w:val="008A79DE"/>
    <w:rsid w:val="008B2652"/>
    <w:rsid w:val="008B329E"/>
    <w:rsid w:val="008B5778"/>
    <w:rsid w:val="008B7D7E"/>
    <w:rsid w:val="008C043B"/>
    <w:rsid w:val="008C054F"/>
    <w:rsid w:val="008C25AE"/>
    <w:rsid w:val="008C25FA"/>
    <w:rsid w:val="008C26E5"/>
    <w:rsid w:val="008C300F"/>
    <w:rsid w:val="008C75DC"/>
    <w:rsid w:val="008C7ECB"/>
    <w:rsid w:val="008D2355"/>
    <w:rsid w:val="008D2839"/>
    <w:rsid w:val="008D396F"/>
    <w:rsid w:val="008D46D1"/>
    <w:rsid w:val="008D4787"/>
    <w:rsid w:val="008D6C47"/>
    <w:rsid w:val="008D7B62"/>
    <w:rsid w:val="008E0670"/>
    <w:rsid w:val="008E1B0F"/>
    <w:rsid w:val="008E1B20"/>
    <w:rsid w:val="008E1B45"/>
    <w:rsid w:val="008E1B9E"/>
    <w:rsid w:val="008E314F"/>
    <w:rsid w:val="008F120A"/>
    <w:rsid w:val="008F2979"/>
    <w:rsid w:val="008F43BB"/>
    <w:rsid w:val="008F48EB"/>
    <w:rsid w:val="008F4F0B"/>
    <w:rsid w:val="008F7B10"/>
    <w:rsid w:val="009002ED"/>
    <w:rsid w:val="009006F5"/>
    <w:rsid w:val="009054CC"/>
    <w:rsid w:val="009062A5"/>
    <w:rsid w:val="00910E30"/>
    <w:rsid w:val="00911272"/>
    <w:rsid w:val="009119B7"/>
    <w:rsid w:val="0092192E"/>
    <w:rsid w:val="00921B84"/>
    <w:rsid w:val="00922152"/>
    <w:rsid w:val="00923A51"/>
    <w:rsid w:val="00930962"/>
    <w:rsid w:val="00931133"/>
    <w:rsid w:val="00932494"/>
    <w:rsid w:val="0093598F"/>
    <w:rsid w:val="0093718D"/>
    <w:rsid w:val="0093776B"/>
    <w:rsid w:val="00942A62"/>
    <w:rsid w:val="00943B72"/>
    <w:rsid w:val="0094432F"/>
    <w:rsid w:val="0094592E"/>
    <w:rsid w:val="00946E4A"/>
    <w:rsid w:val="00956E37"/>
    <w:rsid w:val="00957882"/>
    <w:rsid w:val="00960213"/>
    <w:rsid w:val="00960248"/>
    <w:rsid w:val="00961358"/>
    <w:rsid w:val="00962CB9"/>
    <w:rsid w:val="0096306C"/>
    <w:rsid w:val="00964312"/>
    <w:rsid w:val="009706BE"/>
    <w:rsid w:val="00970A9B"/>
    <w:rsid w:val="00974F3D"/>
    <w:rsid w:val="00983E57"/>
    <w:rsid w:val="00986073"/>
    <w:rsid w:val="0098730D"/>
    <w:rsid w:val="009876E3"/>
    <w:rsid w:val="00993186"/>
    <w:rsid w:val="0099374A"/>
    <w:rsid w:val="00993E6B"/>
    <w:rsid w:val="009947D6"/>
    <w:rsid w:val="00994DE3"/>
    <w:rsid w:val="00995D44"/>
    <w:rsid w:val="00996A76"/>
    <w:rsid w:val="00996B1A"/>
    <w:rsid w:val="00997496"/>
    <w:rsid w:val="0099754C"/>
    <w:rsid w:val="009A0EEB"/>
    <w:rsid w:val="009A14C3"/>
    <w:rsid w:val="009A14D4"/>
    <w:rsid w:val="009A282E"/>
    <w:rsid w:val="009A4E08"/>
    <w:rsid w:val="009A4ED7"/>
    <w:rsid w:val="009A68C7"/>
    <w:rsid w:val="009A7163"/>
    <w:rsid w:val="009A757E"/>
    <w:rsid w:val="009B3A65"/>
    <w:rsid w:val="009B3E26"/>
    <w:rsid w:val="009B6AD0"/>
    <w:rsid w:val="009C05D2"/>
    <w:rsid w:val="009C15A7"/>
    <w:rsid w:val="009C2D27"/>
    <w:rsid w:val="009C313C"/>
    <w:rsid w:val="009C3F09"/>
    <w:rsid w:val="009C650F"/>
    <w:rsid w:val="009D1990"/>
    <w:rsid w:val="009D54A0"/>
    <w:rsid w:val="009D5AE0"/>
    <w:rsid w:val="009D5B91"/>
    <w:rsid w:val="009E0696"/>
    <w:rsid w:val="009E08AB"/>
    <w:rsid w:val="009E1851"/>
    <w:rsid w:val="009E1A03"/>
    <w:rsid w:val="009E4521"/>
    <w:rsid w:val="009E4C07"/>
    <w:rsid w:val="009E662A"/>
    <w:rsid w:val="009F0E08"/>
    <w:rsid w:val="009F2C6A"/>
    <w:rsid w:val="009F3C59"/>
    <w:rsid w:val="009F6465"/>
    <w:rsid w:val="009F6C7D"/>
    <w:rsid w:val="009F757E"/>
    <w:rsid w:val="00A0181F"/>
    <w:rsid w:val="00A02B33"/>
    <w:rsid w:val="00A03D43"/>
    <w:rsid w:val="00A03D66"/>
    <w:rsid w:val="00A04380"/>
    <w:rsid w:val="00A06D71"/>
    <w:rsid w:val="00A07ECA"/>
    <w:rsid w:val="00A13948"/>
    <w:rsid w:val="00A14CFE"/>
    <w:rsid w:val="00A15212"/>
    <w:rsid w:val="00A15959"/>
    <w:rsid w:val="00A1616B"/>
    <w:rsid w:val="00A1720B"/>
    <w:rsid w:val="00A20820"/>
    <w:rsid w:val="00A2257F"/>
    <w:rsid w:val="00A227C4"/>
    <w:rsid w:val="00A237C0"/>
    <w:rsid w:val="00A238BF"/>
    <w:rsid w:val="00A245DD"/>
    <w:rsid w:val="00A250FE"/>
    <w:rsid w:val="00A27AEC"/>
    <w:rsid w:val="00A336B3"/>
    <w:rsid w:val="00A336FF"/>
    <w:rsid w:val="00A35D16"/>
    <w:rsid w:val="00A4009A"/>
    <w:rsid w:val="00A4045B"/>
    <w:rsid w:val="00A4147F"/>
    <w:rsid w:val="00A43C59"/>
    <w:rsid w:val="00A45611"/>
    <w:rsid w:val="00A4628A"/>
    <w:rsid w:val="00A46588"/>
    <w:rsid w:val="00A466FC"/>
    <w:rsid w:val="00A50ECD"/>
    <w:rsid w:val="00A52729"/>
    <w:rsid w:val="00A53675"/>
    <w:rsid w:val="00A538B4"/>
    <w:rsid w:val="00A56B6A"/>
    <w:rsid w:val="00A56D1D"/>
    <w:rsid w:val="00A578DC"/>
    <w:rsid w:val="00A6032C"/>
    <w:rsid w:val="00A60989"/>
    <w:rsid w:val="00A61C7E"/>
    <w:rsid w:val="00A666D2"/>
    <w:rsid w:val="00A6725B"/>
    <w:rsid w:val="00A71A89"/>
    <w:rsid w:val="00A72092"/>
    <w:rsid w:val="00A72823"/>
    <w:rsid w:val="00A728A8"/>
    <w:rsid w:val="00A74660"/>
    <w:rsid w:val="00A75852"/>
    <w:rsid w:val="00A80336"/>
    <w:rsid w:val="00A81334"/>
    <w:rsid w:val="00A82845"/>
    <w:rsid w:val="00A8325E"/>
    <w:rsid w:val="00A83BF2"/>
    <w:rsid w:val="00A85A31"/>
    <w:rsid w:val="00A86E8B"/>
    <w:rsid w:val="00A87F31"/>
    <w:rsid w:val="00A90EB2"/>
    <w:rsid w:val="00A92229"/>
    <w:rsid w:val="00A93072"/>
    <w:rsid w:val="00A9579B"/>
    <w:rsid w:val="00A95958"/>
    <w:rsid w:val="00A959D8"/>
    <w:rsid w:val="00A95B0F"/>
    <w:rsid w:val="00AA00DF"/>
    <w:rsid w:val="00AA35DF"/>
    <w:rsid w:val="00AA69E7"/>
    <w:rsid w:val="00AA79B0"/>
    <w:rsid w:val="00AB042A"/>
    <w:rsid w:val="00AB187E"/>
    <w:rsid w:val="00AB2D34"/>
    <w:rsid w:val="00AB3108"/>
    <w:rsid w:val="00AB3430"/>
    <w:rsid w:val="00AB41B4"/>
    <w:rsid w:val="00AB52EF"/>
    <w:rsid w:val="00AB750A"/>
    <w:rsid w:val="00AB7CFA"/>
    <w:rsid w:val="00AC4321"/>
    <w:rsid w:val="00AC4921"/>
    <w:rsid w:val="00AC51DC"/>
    <w:rsid w:val="00AC53B8"/>
    <w:rsid w:val="00AC72BE"/>
    <w:rsid w:val="00AC7E0B"/>
    <w:rsid w:val="00AC7EEE"/>
    <w:rsid w:val="00AD2F4A"/>
    <w:rsid w:val="00AD34A4"/>
    <w:rsid w:val="00AD3CB2"/>
    <w:rsid w:val="00AD5094"/>
    <w:rsid w:val="00AE1F03"/>
    <w:rsid w:val="00AE437F"/>
    <w:rsid w:val="00AF30EE"/>
    <w:rsid w:val="00AF530C"/>
    <w:rsid w:val="00AF6AF0"/>
    <w:rsid w:val="00B01844"/>
    <w:rsid w:val="00B01856"/>
    <w:rsid w:val="00B01B45"/>
    <w:rsid w:val="00B03649"/>
    <w:rsid w:val="00B03DAF"/>
    <w:rsid w:val="00B068EB"/>
    <w:rsid w:val="00B12137"/>
    <w:rsid w:val="00B16583"/>
    <w:rsid w:val="00B2153D"/>
    <w:rsid w:val="00B21A5B"/>
    <w:rsid w:val="00B22215"/>
    <w:rsid w:val="00B24759"/>
    <w:rsid w:val="00B2584B"/>
    <w:rsid w:val="00B3058C"/>
    <w:rsid w:val="00B30AB8"/>
    <w:rsid w:val="00B30FF7"/>
    <w:rsid w:val="00B3243F"/>
    <w:rsid w:val="00B34F4F"/>
    <w:rsid w:val="00B351B4"/>
    <w:rsid w:val="00B354E6"/>
    <w:rsid w:val="00B370C9"/>
    <w:rsid w:val="00B40947"/>
    <w:rsid w:val="00B4178D"/>
    <w:rsid w:val="00B42851"/>
    <w:rsid w:val="00B4666C"/>
    <w:rsid w:val="00B50DB8"/>
    <w:rsid w:val="00B519BC"/>
    <w:rsid w:val="00B53905"/>
    <w:rsid w:val="00B54B5B"/>
    <w:rsid w:val="00B5562E"/>
    <w:rsid w:val="00B57000"/>
    <w:rsid w:val="00B60939"/>
    <w:rsid w:val="00B60AFD"/>
    <w:rsid w:val="00B62715"/>
    <w:rsid w:val="00B630F8"/>
    <w:rsid w:val="00B6323D"/>
    <w:rsid w:val="00B63466"/>
    <w:rsid w:val="00B64278"/>
    <w:rsid w:val="00B64D50"/>
    <w:rsid w:val="00B66721"/>
    <w:rsid w:val="00B672F5"/>
    <w:rsid w:val="00B703F6"/>
    <w:rsid w:val="00B70F11"/>
    <w:rsid w:val="00B72E80"/>
    <w:rsid w:val="00B753AB"/>
    <w:rsid w:val="00B80D37"/>
    <w:rsid w:val="00B818A4"/>
    <w:rsid w:val="00B82C10"/>
    <w:rsid w:val="00B83D1F"/>
    <w:rsid w:val="00B8649C"/>
    <w:rsid w:val="00B87783"/>
    <w:rsid w:val="00B901A8"/>
    <w:rsid w:val="00B90E22"/>
    <w:rsid w:val="00B92049"/>
    <w:rsid w:val="00B9204B"/>
    <w:rsid w:val="00B92D0B"/>
    <w:rsid w:val="00B94945"/>
    <w:rsid w:val="00B950F3"/>
    <w:rsid w:val="00BA1E8F"/>
    <w:rsid w:val="00BA35BD"/>
    <w:rsid w:val="00BA3B6D"/>
    <w:rsid w:val="00BA405E"/>
    <w:rsid w:val="00BA45A0"/>
    <w:rsid w:val="00BA46D9"/>
    <w:rsid w:val="00BA5DD2"/>
    <w:rsid w:val="00BA7B62"/>
    <w:rsid w:val="00BB1769"/>
    <w:rsid w:val="00BB3106"/>
    <w:rsid w:val="00BB4303"/>
    <w:rsid w:val="00BB5FB3"/>
    <w:rsid w:val="00BB7405"/>
    <w:rsid w:val="00BB78D5"/>
    <w:rsid w:val="00BC00A7"/>
    <w:rsid w:val="00BC1970"/>
    <w:rsid w:val="00BC2697"/>
    <w:rsid w:val="00BC26D7"/>
    <w:rsid w:val="00BC4B87"/>
    <w:rsid w:val="00BC4EBA"/>
    <w:rsid w:val="00BC708A"/>
    <w:rsid w:val="00BC760B"/>
    <w:rsid w:val="00BD083A"/>
    <w:rsid w:val="00BD0ADD"/>
    <w:rsid w:val="00BD1323"/>
    <w:rsid w:val="00BD2227"/>
    <w:rsid w:val="00BD2E23"/>
    <w:rsid w:val="00BD35D5"/>
    <w:rsid w:val="00BD5402"/>
    <w:rsid w:val="00BD55AB"/>
    <w:rsid w:val="00BD5FC1"/>
    <w:rsid w:val="00BD6CF3"/>
    <w:rsid w:val="00BE1CD5"/>
    <w:rsid w:val="00BE2180"/>
    <w:rsid w:val="00BE2962"/>
    <w:rsid w:val="00BE2B41"/>
    <w:rsid w:val="00BE32BD"/>
    <w:rsid w:val="00BE4275"/>
    <w:rsid w:val="00BF125D"/>
    <w:rsid w:val="00BF2433"/>
    <w:rsid w:val="00BF407A"/>
    <w:rsid w:val="00BF61C9"/>
    <w:rsid w:val="00BF729B"/>
    <w:rsid w:val="00C01F92"/>
    <w:rsid w:val="00C06BD2"/>
    <w:rsid w:val="00C10EF5"/>
    <w:rsid w:val="00C1158A"/>
    <w:rsid w:val="00C15499"/>
    <w:rsid w:val="00C16EEC"/>
    <w:rsid w:val="00C173A6"/>
    <w:rsid w:val="00C174FD"/>
    <w:rsid w:val="00C2006F"/>
    <w:rsid w:val="00C20B33"/>
    <w:rsid w:val="00C23C03"/>
    <w:rsid w:val="00C23D54"/>
    <w:rsid w:val="00C25418"/>
    <w:rsid w:val="00C25D9C"/>
    <w:rsid w:val="00C277DD"/>
    <w:rsid w:val="00C27A7C"/>
    <w:rsid w:val="00C31649"/>
    <w:rsid w:val="00C35767"/>
    <w:rsid w:val="00C35F7F"/>
    <w:rsid w:val="00C3743D"/>
    <w:rsid w:val="00C37BDD"/>
    <w:rsid w:val="00C40385"/>
    <w:rsid w:val="00C4279F"/>
    <w:rsid w:val="00C46612"/>
    <w:rsid w:val="00C47BEA"/>
    <w:rsid w:val="00C51C3A"/>
    <w:rsid w:val="00C51D0D"/>
    <w:rsid w:val="00C5279A"/>
    <w:rsid w:val="00C54AAA"/>
    <w:rsid w:val="00C56769"/>
    <w:rsid w:val="00C609C5"/>
    <w:rsid w:val="00C64D15"/>
    <w:rsid w:val="00C65576"/>
    <w:rsid w:val="00C66165"/>
    <w:rsid w:val="00C66E6B"/>
    <w:rsid w:val="00C67FEA"/>
    <w:rsid w:val="00C71346"/>
    <w:rsid w:val="00C71DAC"/>
    <w:rsid w:val="00C73340"/>
    <w:rsid w:val="00C7435B"/>
    <w:rsid w:val="00C750C8"/>
    <w:rsid w:val="00C80B59"/>
    <w:rsid w:val="00C8213F"/>
    <w:rsid w:val="00C8797A"/>
    <w:rsid w:val="00C903DE"/>
    <w:rsid w:val="00C909C3"/>
    <w:rsid w:val="00C92782"/>
    <w:rsid w:val="00C92888"/>
    <w:rsid w:val="00C938CF"/>
    <w:rsid w:val="00C93C13"/>
    <w:rsid w:val="00C96505"/>
    <w:rsid w:val="00CA0012"/>
    <w:rsid w:val="00CA1456"/>
    <w:rsid w:val="00CA2108"/>
    <w:rsid w:val="00CA225A"/>
    <w:rsid w:val="00CA5245"/>
    <w:rsid w:val="00CA554A"/>
    <w:rsid w:val="00CA5F54"/>
    <w:rsid w:val="00CA768C"/>
    <w:rsid w:val="00CA7B09"/>
    <w:rsid w:val="00CB0691"/>
    <w:rsid w:val="00CB34C2"/>
    <w:rsid w:val="00CB5B1A"/>
    <w:rsid w:val="00CB61B8"/>
    <w:rsid w:val="00CB6CE8"/>
    <w:rsid w:val="00CB7FE8"/>
    <w:rsid w:val="00CC00ED"/>
    <w:rsid w:val="00CC0A79"/>
    <w:rsid w:val="00CC1939"/>
    <w:rsid w:val="00CC21EB"/>
    <w:rsid w:val="00CC6C49"/>
    <w:rsid w:val="00CC73A7"/>
    <w:rsid w:val="00CC761D"/>
    <w:rsid w:val="00CD245C"/>
    <w:rsid w:val="00CD439F"/>
    <w:rsid w:val="00CD4BBA"/>
    <w:rsid w:val="00CD4DD0"/>
    <w:rsid w:val="00CD533A"/>
    <w:rsid w:val="00CD53D2"/>
    <w:rsid w:val="00CD6ADC"/>
    <w:rsid w:val="00CE0095"/>
    <w:rsid w:val="00CE07EA"/>
    <w:rsid w:val="00CE1F44"/>
    <w:rsid w:val="00CE51D1"/>
    <w:rsid w:val="00CE6274"/>
    <w:rsid w:val="00CE754F"/>
    <w:rsid w:val="00CE766B"/>
    <w:rsid w:val="00CE7ED8"/>
    <w:rsid w:val="00CF15CB"/>
    <w:rsid w:val="00CF2241"/>
    <w:rsid w:val="00CF405A"/>
    <w:rsid w:val="00CF456B"/>
    <w:rsid w:val="00CF5A22"/>
    <w:rsid w:val="00CF5FEF"/>
    <w:rsid w:val="00CF777B"/>
    <w:rsid w:val="00D0262E"/>
    <w:rsid w:val="00D03181"/>
    <w:rsid w:val="00D067F0"/>
    <w:rsid w:val="00D06C99"/>
    <w:rsid w:val="00D079E1"/>
    <w:rsid w:val="00D110BD"/>
    <w:rsid w:val="00D111C1"/>
    <w:rsid w:val="00D11677"/>
    <w:rsid w:val="00D12CC4"/>
    <w:rsid w:val="00D132FD"/>
    <w:rsid w:val="00D1459F"/>
    <w:rsid w:val="00D1562A"/>
    <w:rsid w:val="00D17C0C"/>
    <w:rsid w:val="00D17D6C"/>
    <w:rsid w:val="00D2272A"/>
    <w:rsid w:val="00D25120"/>
    <w:rsid w:val="00D25254"/>
    <w:rsid w:val="00D2681F"/>
    <w:rsid w:val="00D30E58"/>
    <w:rsid w:val="00D31502"/>
    <w:rsid w:val="00D31C42"/>
    <w:rsid w:val="00D357FF"/>
    <w:rsid w:val="00D362EC"/>
    <w:rsid w:val="00D37B97"/>
    <w:rsid w:val="00D4082A"/>
    <w:rsid w:val="00D40C16"/>
    <w:rsid w:val="00D41C3C"/>
    <w:rsid w:val="00D41FF2"/>
    <w:rsid w:val="00D42AB0"/>
    <w:rsid w:val="00D472D9"/>
    <w:rsid w:val="00D548E0"/>
    <w:rsid w:val="00D5681A"/>
    <w:rsid w:val="00D615C4"/>
    <w:rsid w:val="00D61797"/>
    <w:rsid w:val="00D6196C"/>
    <w:rsid w:val="00D64B4A"/>
    <w:rsid w:val="00D64ED2"/>
    <w:rsid w:val="00D65681"/>
    <w:rsid w:val="00D67EFE"/>
    <w:rsid w:val="00D756D9"/>
    <w:rsid w:val="00D75B70"/>
    <w:rsid w:val="00D76A44"/>
    <w:rsid w:val="00D76C22"/>
    <w:rsid w:val="00D7710C"/>
    <w:rsid w:val="00D77766"/>
    <w:rsid w:val="00D81436"/>
    <w:rsid w:val="00D82470"/>
    <w:rsid w:val="00D8661F"/>
    <w:rsid w:val="00D90A4F"/>
    <w:rsid w:val="00D93753"/>
    <w:rsid w:val="00D94BB0"/>
    <w:rsid w:val="00D9767B"/>
    <w:rsid w:val="00DA0758"/>
    <w:rsid w:val="00DA34A8"/>
    <w:rsid w:val="00DA3AA5"/>
    <w:rsid w:val="00DA5721"/>
    <w:rsid w:val="00DA5D59"/>
    <w:rsid w:val="00DA5FC0"/>
    <w:rsid w:val="00DA77A5"/>
    <w:rsid w:val="00DB42E9"/>
    <w:rsid w:val="00DB4897"/>
    <w:rsid w:val="00DB4D4E"/>
    <w:rsid w:val="00DB52A9"/>
    <w:rsid w:val="00DB6145"/>
    <w:rsid w:val="00DB7641"/>
    <w:rsid w:val="00DC0D5B"/>
    <w:rsid w:val="00DC21AB"/>
    <w:rsid w:val="00DC3506"/>
    <w:rsid w:val="00DC36A8"/>
    <w:rsid w:val="00DC42FF"/>
    <w:rsid w:val="00DC5501"/>
    <w:rsid w:val="00DD15B1"/>
    <w:rsid w:val="00DD374E"/>
    <w:rsid w:val="00DD3F28"/>
    <w:rsid w:val="00DD4537"/>
    <w:rsid w:val="00DD4E15"/>
    <w:rsid w:val="00DD5F7D"/>
    <w:rsid w:val="00DD7231"/>
    <w:rsid w:val="00DE04C5"/>
    <w:rsid w:val="00DE20EE"/>
    <w:rsid w:val="00DE4FCB"/>
    <w:rsid w:val="00DE756B"/>
    <w:rsid w:val="00DE7E45"/>
    <w:rsid w:val="00DF0244"/>
    <w:rsid w:val="00DF0F70"/>
    <w:rsid w:val="00DF3446"/>
    <w:rsid w:val="00DF45F7"/>
    <w:rsid w:val="00DF4637"/>
    <w:rsid w:val="00DF5D2B"/>
    <w:rsid w:val="00E00214"/>
    <w:rsid w:val="00E017C4"/>
    <w:rsid w:val="00E044C9"/>
    <w:rsid w:val="00E05A25"/>
    <w:rsid w:val="00E063FC"/>
    <w:rsid w:val="00E06EC7"/>
    <w:rsid w:val="00E10149"/>
    <w:rsid w:val="00E12058"/>
    <w:rsid w:val="00E12772"/>
    <w:rsid w:val="00E16372"/>
    <w:rsid w:val="00E16DA9"/>
    <w:rsid w:val="00E17016"/>
    <w:rsid w:val="00E171E4"/>
    <w:rsid w:val="00E1792C"/>
    <w:rsid w:val="00E20C5C"/>
    <w:rsid w:val="00E20ED6"/>
    <w:rsid w:val="00E21358"/>
    <w:rsid w:val="00E2249B"/>
    <w:rsid w:val="00E22A0D"/>
    <w:rsid w:val="00E2331F"/>
    <w:rsid w:val="00E23B50"/>
    <w:rsid w:val="00E26562"/>
    <w:rsid w:val="00E265EE"/>
    <w:rsid w:val="00E2771E"/>
    <w:rsid w:val="00E336CD"/>
    <w:rsid w:val="00E33E4D"/>
    <w:rsid w:val="00E34350"/>
    <w:rsid w:val="00E37569"/>
    <w:rsid w:val="00E40AB5"/>
    <w:rsid w:val="00E4121E"/>
    <w:rsid w:val="00E41E30"/>
    <w:rsid w:val="00E43D70"/>
    <w:rsid w:val="00E45006"/>
    <w:rsid w:val="00E47B2C"/>
    <w:rsid w:val="00E50B96"/>
    <w:rsid w:val="00E51560"/>
    <w:rsid w:val="00E520FA"/>
    <w:rsid w:val="00E52D08"/>
    <w:rsid w:val="00E52EE4"/>
    <w:rsid w:val="00E54457"/>
    <w:rsid w:val="00E55424"/>
    <w:rsid w:val="00E55BB5"/>
    <w:rsid w:val="00E57AFC"/>
    <w:rsid w:val="00E6044C"/>
    <w:rsid w:val="00E6139B"/>
    <w:rsid w:val="00E61B9A"/>
    <w:rsid w:val="00E61EE2"/>
    <w:rsid w:val="00E64172"/>
    <w:rsid w:val="00E6442C"/>
    <w:rsid w:val="00E65E79"/>
    <w:rsid w:val="00E6694C"/>
    <w:rsid w:val="00E67416"/>
    <w:rsid w:val="00E70ACB"/>
    <w:rsid w:val="00E718B6"/>
    <w:rsid w:val="00E73581"/>
    <w:rsid w:val="00E751C0"/>
    <w:rsid w:val="00E75D99"/>
    <w:rsid w:val="00E813AB"/>
    <w:rsid w:val="00E81DAF"/>
    <w:rsid w:val="00E83BDF"/>
    <w:rsid w:val="00E83DD6"/>
    <w:rsid w:val="00E84494"/>
    <w:rsid w:val="00E9245B"/>
    <w:rsid w:val="00E95407"/>
    <w:rsid w:val="00E96911"/>
    <w:rsid w:val="00E9705C"/>
    <w:rsid w:val="00EA1882"/>
    <w:rsid w:val="00EA28BE"/>
    <w:rsid w:val="00EA3864"/>
    <w:rsid w:val="00EA46B7"/>
    <w:rsid w:val="00EA4D25"/>
    <w:rsid w:val="00EA5B51"/>
    <w:rsid w:val="00EA672B"/>
    <w:rsid w:val="00EB15B6"/>
    <w:rsid w:val="00EB1659"/>
    <w:rsid w:val="00EB1FB2"/>
    <w:rsid w:val="00EB3493"/>
    <w:rsid w:val="00EB34C0"/>
    <w:rsid w:val="00EB4916"/>
    <w:rsid w:val="00EC00C9"/>
    <w:rsid w:val="00EC0306"/>
    <w:rsid w:val="00EC0A66"/>
    <w:rsid w:val="00EC0C72"/>
    <w:rsid w:val="00EC110F"/>
    <w:rsid w:val="00EC24E0"/>
    <w:rsid w:val="00EC2AE4"/>
    <w:rsid w:val="00EC718A"/>
    <w:rsid w:val="00EC7331"/>
    <w:rsid w:val="00EC7941"/>
    <w:rsid w:val="00ED2B02"/>
    <w:rsid w:val="00ED4961"/>
    <w:rsid w:val="00ED5BA0"/>
    <w:rsid w:val="00EE07D3"/>
    <w:rsid w:val="00EE2BD7"/>
    <w:rsid w:val="00EE31ED"/>
    <w:rsid w:val="00EE3323"/>
    <w:rsid w:val="00EE60C8"/>
    <w:rsid w:val="00EF06F3"/>
    <w:rsid w:val="00EF0DDD"/>
    <w:rsid w:val="00EF11A9"/>
    <w:rsid w:val="00EF4717"/>
    <w:rsid w:val="00EF57B9"/>
    <w:rsid w:val="00EF6A6C"/>
    <w:rsid w:val="00EF6D6B"/>
    <w:rsid w:val="00F02A2B"/>
    <w:rsid w:val="00F067A2"/>
    <w:rsid w:val="00F10C3A"/>
    <w:rsid w:val="00F11120"/>
    <w:rsid w:val="00F113F3"/>
    <w:rsid w:val="00F11D34"/>
    <w:rsid w:val="00F123D5"/>
    <w:rsid w:val="00F156D6"/>
    <w:rsid w:val="00F15847"/>
    <w:rsid w:val="00F16353"/>
    <w:rsid w:val="00F16977"/>
    <w:rsid w:val="00F1760C"/>
    <w:rsid w:val="00F20AD5"/>
    <w:rsid w:val="00F20F27"/>
    <w:rsid w:val="00F21840"/>
    <w:rsid w:val="00F22CEE"/>
    <w:rsid w:val="00F2364B"/>
    <w:rsid w:val="00F242DD"/>
    <w:rsid w:val="00F24837"/>
    <w:rsid w:val="00F2575F"/>
    <w:rsid w:val="00F258D4"/>
    <w:rsid w:val="00F33DE9"/>
    <w:rsid w:val="00F347AC"/>
    <w:rsid w:val="00F34AC9"/>
    <w:rsid w:val="00F3619A"/>
    <w:rsid w:val="00F3753B"/>
    <w:rsid w:val="00F4009D"/>
    <w:rsid w:val="00F405CF"/>
    <w:rsid w:val="00F44C41"/>
    <w:rsid w:val="00F4647E"/>
    <w:rsid w:val="00F46CB6"/>
    <w:rsid w:val="00F47E2B"/>
    <w:rsid w:val="00F5276B"/>
    <w:rsid w:val="00F528C0"/>
    <w:rsid w:val="00F53B2C"/>
    <w:rsid w:val="00F55E73"/>
    <w:rsid w:val="00F60052"/>
    <w:rsid w:val="00F60092"/>
    <w:rsid w:val="00F606F7"/>
    <w:rsid w:val="00F61481"/>
    <w:rsid w:val="00F61606"/>
    <w:rsid w:val="00F6266D"/>
    <w:rsid w:val="00F6668F"/>
    <w:rsid w:val="00F66C22"/>
    <w:rsid w:val="00F67599"/>
    <w:rsid w:val="00F67AE4"/>
    <w:rsid w:val="00F70BAD"/>
    <w:rsid w:val="00F72219"/>
    <w:rsid w:val="00F7280E"/>
    <w:rsid w:val="00F72A35"/>
    <w:rsid w:val="00F80E5D"/>
    <w:rsid w:val="00F817E2"/>
    <w:rsid w:val="00F838E8"/>
    <w:rsid w:val="00F84421"/>
    <w:rsid w:val="00F851CE"/>
    <w:rsid w:val="00F8734F"/>
    <w:rsid w:val="00F915ED"/>
    <w:rsid w:val="00F9160E"/>
    <w:rsid w:val="00F92C69"/>
    <w:rsid w:val="00F94D69"/>
    <w:rsid w:val="00F950F8"/>
    <w:rsid w:val="00F971C3"/>
    <w:rsid w:val="00F97A78"/>
    <w:rsid w:val="00FA0B48"/>
    <w:rsid w:val="00FA20AB"/>
    <w:rsid w:val="00FA24E7"/>
    <w:rsid w:val="00FA2F8F"/>
    <w:rsid w:val="00FA3AD6"/>
    <w:rsid w:val="00FB0C2E"/>
    <w:rsid w:val="00FB2FCB"/>
    <w:rsid w:val="00FB5102"/>
    <w:rsid w:val="00FB57E1"/>
    <w:rsid w:val="00FB581F"/>
    <w:rsid w:val="00FB6818"/>
    <w:rsid w:val="00FB6995"/>
    <w:rsid w:val="00FC1074"/>
    <w:rsid w:val="00FC1884"/>
    <w:rsid w:val="00FC41E5"/>
    <w:rsid w:val="00FC55B6"/>
    <w:rsid w:val="00FC72C1"/>
    <w:rsid w:val="00FD2100"/>
    <w:rsid w:val="00FD446D"/>
    <w:rsid w:val="00FD5A14"/>
    <w:rsid w:val="00FD5CE4"/>
    <w:rsid w:val="00FD5E80"/>
    <w:rsid w:val="00FD7801"/>
    <w:rsid w:val="00FD7B8E"/>
    <w:rsid w:val="00FE2486"/>
    <w:rsid w:val="00FE5674"/>
    <w:rsid w:val="00FE64F2"/>
    <w:rsid w:val="00FE7555"/>
    <w:rsid w:val="00FF0818"/>
    <w:rsid w:val="00FF1698"/>
    <w:rsid w:val="00FF324D"/>
    <w:rsid w:val="00FF3DCF"/>
    <w:rsid w:val="00FF5AA3"/>
    <w:rsid w:val="00FF6415"/>
    <w:rsid w:val="00FF7C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82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4102"/>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960248"/>
    <w:pPr>
      <w:keepNext/>
      <w:widowControl/>
      <w:spacing w:after="60"/>
      <w:jc w:val="left"/>
    </w:pPr>
    <w:rPr>
      <w:rFonts w:ascii="Arial Narrow" w:eastAsia="Calibri" w:hAnsi="Arial Narrow"/>
      <w:b/>
      <w:snapToGrid/>
      <w:sz w:val="20"/>
      <w:szCs w:val="22"/>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960248"/>
    <w:rPr>
      <w:rFonts w:ascii="Arial Narrow" w:eastAsia="Calibri" w:hAnsi="Arial Narrow" w:cs="Arial"/>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D2272A"/>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locked/>
    <w:rsid w:val="00AC72BE"/>
    <w:rPr>
      <w:rFonts w:ascii="Arial" w:hAnsi="Arial" w:cs="Arial"/>
      <w:snapToGrid w:val="0"/>
      <w:sz w:val="22"/>
      <w:lang w:eastAsia="en-US"/>
    </w:rPr>
  </w:style>
  <w:style w:type="numbering" w:customStyle="1" w:styleId="NoList1">
    <w:name w:val="No List1"/>
    <w:next w:val="NoList"/>
    <w:uiPriority w:val="99"/>
    <w:semiHidden/>
    <w:unhideWhenUsed/>
    <w:rsid w:val="0045698A"/>
  </w:style>
  <w:style w:type="character" w:customStyle="1" w:styleId="Heading1Char">
    <w:name w:val="Heading 1 Char"/>
    <w:basedOn w:val="DefaultParagraphFont"/>
    <w:link w:val="Heading1"/>
    <w:uiPriority w:val="1"/>
    <w:rsid w:val="0045698A"/>
    <w:rPr>
      <w:rFonts w:ascii="Arial Bold" w:hAnsi="Arial Bold" w:cs="Arial"/>
      <w:b/>
      <w:caps/>
      <w:snapToGrid w:val="0"/>
      <w:sz w:val="22"/>
      <w:lang w:eastAsia="en-US"/>
    </w:rPr>
  </w:style>
  <w:style w:type="character" w:customStyle="1" w:styleId="Heading3Char">
    <w:name w:val="Heading 3 Char"/>
    <w:basedOn w:val="DefaultParagraphFont"/>
    <w:link w:val="Heading3"/>
    <w:uiPriority w:val="1"/>
    <w:rsid w:val="0045698A"/>
    <w:rPr>
      <w:rFonts w:ascii="Arial" w:hAnsi="Arial" w:cs="Arial"/>
      <w:snapToGrid w:val="0"/>
      <w:sz w:val="22"/>
      <w:u w:val="single"/>
      <w:lang w:eastAsia="en-US"/>
    </w:rPr>
  </w:style>
  <w:style w:type="paragraph" w:customStyle="1" w:styleId="V50Heading2nonumbers">
    <w:name w:val="V5.0 Heading 2 no numbers"/>
    <w:basedOn w:val="Heading2"/>
    <w:uiPriority w:val="99"/>
    <w:qFormat/>
    <w:rsid w:val="0045698A"/>
    <w:pPr>
      <w:keepNext/>
      <w:keepLines/>
      <w:widowControl/>
      <w:spacing w:before="240" w:after="120"/>
      <w:ind w:left="578" w:hanging="578"/>
      <w:jc w:val="left"/>
    </w:pPr>
    <w:rPr>
      <w:rFonts w:ascii="Calibri" w:hAnsi="Calibri" w:cs="Times New Roman"/>
      <w:i/>
      <w:snapToGrid/>
      <w:sz w:val="28"/>
      <w:szCs w:val="28"/>
    </w:rPr>
  </w:style>
  <w:style w:type="paragraph" w:customStyle="1" w:styleId="V50Instructions">
    <w:name w:val="V5.0 Instructions"/>
    <w:basedOn w:val="Normal"/>
    <w:link w:val="V50InstructionsChar"/>
    <w:qFormat/>
    <w:rsid w:val="0045698A"/>
    <w:pPr>
      <w:widowControl/>
      <w:spacing w:before="120" w:after="160"/>
      <w:jc w:val="left"/>
    </w:pPr>
    <w:rPr>
      <w:rFonts w:ascii="Calibri" w:eastAsia="Calibri" w:hAnsi="Calibri"/>
      <w:snapToGrid/>
      <w:color w:val="4472C4"/>
      <w:sz w:val="24"/>
      <w:szCs w:val="22"/>
    </w:rPr>
  </w:style>
  <w:style w:type="character" w:customStyle="1" w:styleId="Heading4Char">
    <w:name w:val="Heading 4 Char"/>
    <w:aliases w:val="Heading 1 - Body Char"/>
    <w:basedOn w:val="DefaultParagraphFont"/>
    <w:link w:val="Heading4"/>
    <w:uiPriority w:val="5"/>
    <w:rsid w:val="004569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4569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45698A"/>
    <w:rPr>
      <w:rFonts w:ascii="Arial" w:hAnsi="Arial" w:cs="Arial"/>
      <w:b/>
      <w:bCs/>
      <w:i/>
      <w:snapToGrid w:val="0"/>
      <w:sz w:val="22"/>
      <w:szCs w:val="22"/>
      <w:lang w:eastAsia="en-US"/>
    </w:rPr>
  </w:style>
  <w:style w:type="paragraph" w:customStyle="1" w:styleId="V50Heading1nonumbers">
    <w:name w:val="V5.0 Heading 1 no numbers"/>
    <w:basedOn w:val="Heading1"/>
    <w:qFormat/>
    <w:rsid w:val="0045698A"/>
    <w:pPr>
      <w:keepNext/>
      <w:keepLines/>
      <w:widowControl/>
      <w:spacing w:before="400" w:after="120"/>
      <w:ind w:left="0" w:firstLine="0"/>
      <w:jc w:val="left"/>
    </w:pPr>
    <w:rPr>
      <w:rFonts w:ascii="Calibri" w:hAnsi="Calibri" w:cs="Times New Roman"/>
      <w:caps w:val="0"/>
      <w:snapToGrid/>
      <w:sz w:val="32"/>
      <w:szCs w:val="28"/>
    </w:rPr>
  </w:style>
  <w:style w:type="table" w:customStyle="1" w:styleId="TableGridbeth1">
    <w:name w:val="Table Gridbeth1"/>
    <w:basedOn w:val="TableNormal"/>
    <w:next w:val="TableGrid"/>
    <w:uiPriority w:val="59"/>
    <w:rsid w:val="004569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45698A"/>
    <w:rPr>
      <w:rFonts w:ascii="Calibri" w:eastAsia="Calibri" w:hAnsi="Calibri" w:cs="Arial"/>
      <w:szCs w:val="24"/>
      <w:lang w:val="en-US" w:eastAsia="en-US"/>
    </w:rPr>
  </w:style>
  <w:style w:type="paragraph" w:customStyle="1" w:styleId="V50TableTextInstruction">
    <w:name w:val="V5.0 TableText Instruction"/>
    <w:basedOn w:val="V50TableText"/>
    <w:qFormat/>
    <w:rsid w:val="0045698A"/>
    <w:rPr>
      <w:b/>
      <w:color w:val="4472C4"/>
    </w:rPr>
  </w:style>
  <w:style w:type="paragraph" w:customStyle="1" w:styleId="V50InstructionsBullets">
    <w:name w:val="V5.0 Instructions Bullets"/>
    <w:basedOn w:val="V50Instructions"/>
    <w:qFormat/>
    <w:rsid w:val="0045698A"/>
    <w:pPr>
      <w:numPr>
        <w:numId w:val="4"/>
      </w:numPr>
      <w:spacing w:before="0" w:after="0"/>
      <w:ind w:left="714" w:hanging="357"/>
    </w:pPr>
  </w:style>
  <w:style w:type="table" w:customStyle="1" w:styleId="TableGridLight1">
    <w:name w:val="Table Grid Light1"/>
    <w:basedOn w:val="TableNormal"/>
    <w:uiPriority w:val="40"/>
    <w:rsid w:val="0045698A"/>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45698A"/>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1">
    <w:name w:val="Table Text"/>
    <w:basedOn w:val="Normal"/>
    <w:qFormat/>
    <w:rsid w:val="0042542B"/>
    <w:pPr>
      <w:keepNext/>
      <w:widowControl/>
      <w:jc w:val="left"/>
    </w:pPr>
    <w:rPr>
      <w:rFonts w:ascii="Arial Narrow" w:eastAsia="Calibri" w:hAnsi="Arial Narrow"/>
      <w:snapToGrid/>
      <w:sz w:val="20"/>
      <w:szCs w:val="22"/>
    </w:rPr>
  </w:style>
  <w:style w:type="paragraph" w:styleId="FootnoteText">
    <w:name w:val="footnote text"/>
    <w:basedOn w:val="Normal"/>
    <w:link w:val="FootnoteTextChar"/>
    <w:unhideWhenUsed/>
    <w:rsid w:val="0045698A"/>
    <w:pPr>
      <w:widowControl/>
      <w:jc w:val="left"/>
    </w:pPr>
    <w:rPr>
      <w:rFonts w:ascii="Calibri" w:eastAsia="Calibri" w:hAnsi="Calibri"/>
      <w:snapToGrid/>
      <w:sz w:val="18"/>
    </w:rPr>
  </w:style>
  <w:style w:type="character" w:customStyle="1" w:styleId="FootnoteTextChar">
    <w:name w:val="Footnote Text Char"/>
    <w:basedOn w:val="DefaultParagraphFont"/>
    <w:link w:val="FootnoteText"/>
    <w:rsid w:val="0045698A"/>
    <w:rPr>
      <w:rFonts w:ascii="Calibri" w:eastAsia="Calibri" w:hAnsi="Calibri" w:cs="Arial"/>
      <w:sz w:val="18"/>
      <w:lang w:eastAsia="en-US"/>
    </w:rPr>
  </w:style>
  <w:style w:type="character" w:styleId="FootnoteReference">
    <w:name w:val="footnote reference"/>
    <w:basedOn w:val="DefaultParagraphFont"/>
    <w:unhideWhenUsed/>
    <w:rsid w:val="0045698A"/>
    <w:rPr>
      <w:vertAlign w:val="superscript"/>
    </w:rPr>
  </w:style>
  <w:style w:type="paragraph" w:customStyle="1" w:styleId="TableFigNoteLast">
    <w:name w:val="TableFigNote Last"/>
    <w:basedOn w:val="Normal"/>
    <w:qFormat/>
    <w:rsid w:val="0045698A"/>
    <w:pPr>
      <w:widowControl/>
      <w:spacing w:after="360"/>
      <w:jc w:val="left"/>
    </w:pPr>
    <w:rPr>
      <w:rFonts w:ascii="Calibri" w:eastAsia="Calibri" w:hAnsi="Calibri"/>
      <w:snapToGrid/>
      <w:sz w:val="18"/>
      <w:szCs w:val="22"/>
    </w:rPr>
  </w:style>
  <w:style w:type="character" w:styleId="Emphasis">
    <w:name w:val="Emphasis"/>
    <w:basedOn w:val="DefaultParagraphFont"/>
    <w:uiPriority w:val="20"/>
    <w:qFormat/>
    <w:rsid w:val="0045698A"/>
    <w:rPr>
      <w:b w:val="0"/>
      <w:i/>
      <w:iCs/>
    </w:rPr>
  </w:style>
  <w:style w:type="paragraph" w:customStyle="1" w:styleId="TableHeading0">
    <w:name w:val="Table Heading"/>
    <w:basedOn w:val="Normal"/>
    <w:qFormat/>
    <w:rsid w:val="0045698A"/>
    <w:pPr>
      <w:keepNext/>
      <w:widowControl/>
      <w:spacing w:after="60"/>
      <w:jc w:val="left"/>
    </w:pPr>
    <w:rPr>
      <w:rFonts w:ascii="Arial Narrow" w:eastAsia="Calibri" w:hAnsi="Arial Narrow"/>
      <w:b/>
      <w:snapToGrid/>
      <w:sz w:val="20"/>
      <w:szCs w:val="22"/>
    </w:rPr>
  </w:style>
  <w:style w:type="character" w:customStyle="1" w:styleId="V50InstructionsChar">
    <w:name w:val="V5.0 Instructions Char"/>
    <w:basedOn w:val="DefaultParagraphFont"/>
    <w:link w:val="V50Instructions"/>
    <w:rsid w:val="0045698A"/>
    <w:rPr>
      <w:rFonts w:ascii="Calibri" w:eastAsia="Calibri" w:hAnsi="Calibri" w:cs="Arial"/>
      <w:color w:val="4472C4"/>
      <w:sz w:val="24"/>
      <w:szCs w:val="22"/>
      <w:lang w:eastAsia="en-US"/>
    </w:rPr>
  </w:style>
  <w:style w:type="character" w:customStyle="1" w:styleId="V50TableTextChar">
    <w:name w:val="V5.0 TableText Char"/>
    <w:basedOn w:val="DefaultParagraphFont"/>
    <w:link w:val="V50TableText"/>
    <w:rsid w:val="0045698A"/>
    <w:rPr>
      <w:rFonts w:ascii="Calibri" w:eastAsia="Calibri" w:hAnsi="Calibri" w:cs="Arial"/>
      <w:szCs w:val="24"/>
      <w:lang w:val="en-US" w:eastAsia="en-US"/>
    </w:rPr>
  </w:style>
  <w:style w:type="paragraph" w:customStyle="1" w:styleId="V50Tablename">
    <w:name w:val="V5.0 Table name"/>
    <w:basedOn w:val="V50TableText"/>
    <w:link w:val="V50TablenameChar"/>
    <w:qFormat/>
    <w:rsid w:val="0045698A"/>
    <w:pPr>
      <w:keepNext/>
    </w:pPr>
    <w:rPr>
      <w:b/>
    </w:rPr>
  </w:style>
  <w:style w:type="character" w:customStyle="1" w:styleId="V50TablenameChar">
    <w:name w:val="V5.0 Table name Char"/>
    <w:basedOn w:val="DefaultParagraphFont"/>
    <w:link w:val="V50Tablename"/>
    <w:rsid w:val="0045698A"/>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45698A"/>
    <w:pPr>
      <w:spacing w:after="120"/>
      <w:contextualSpacing/>
      <w:jc w:val="both"/>
    </w:pPr>
    <w:rPr>
      <w:sz w:val="18"/>
      <w:szCs w:val="18"/>
    </w:rPr>
  </w:style>
  <w:style w:type="character" w:customStyle="1" w:styleId="V50TablenoteChar">
    <w:name w:val="V5.0 Tablenote Char"/>
    <w:basedOn w:val="DefaultParagraphFont"/>
    <w:link w:val="V50Tablenote"/>
    <w:rsid w:val="0045698A"/>
    <w:rPr>
      <w:rFonts w:ascii="Calibri" w:eastAsia="Calibri" w:hAnsi="Calibri" w:cs="Arial"/>
      <w:sz w:val="18"/>
      <w:szCs w:val="18"/>
      <w:lang w:val="en-US" w:eastAsia="en-US"/>
    </w:rPr>
  </w:style>
  <w:style w:type="character" w:customStyle="1" w:styleId="TableFooterChar">
    <w:name w:val="Table Footer Char"/>
    <w:link w:val="TableFooter"/>
    <w:rsid w:val="0045698A"/>
    <w:rPr>
      <w:rFonts w:ascii="Arial Narrow" w:hAnsi="Arial Narrow" w:cs="Arial"/>
      <w:snapToGrid w:val="0"/>
      <w:sz w:val="18"/>
      <w:lang w:eastAsia="en-US"/>
    </w:rPr>
  </w:style>
  <w:style w:type="paragraph" w:customStyle="1" w:styleId="TableNotes">
    <w:name w:val="TableNotes"/>
    <w:basedOn w:val="Normal"/>
    <w:qFormat/>
    <w:rsid w:val="0045698A"/>
    <w:pPr>
      <w:widowControl/>
      <w:spacing w:after="60"/>
      <w:jc w:val="left"/>
    </w:pPr>
    <w:rPr>
      <w:rFonts w:ascii="Calibri" w:eastAsia="Calibri" w:hAnsi="Calibri"/>
      <w:snapToGrid/>
      <w:sz w:val="20"/>
      <w:szCs w:val="22"/>
    </w:rPr>
  </w:style>
  <w:style w:type="paragraph" w:customStyle="1" w:styleId="oldTablefooter">
    <w:name w:val="old Table footer"/>
    <w:basedOn w:val="Normal"/>
    <w:link w:val="oldTablefooterChar"/>
    <w:qFormat/>
    <w:rsid w:val="0045698A"/>
    <w:pPr>
      <w:widowControl/>
    </w:pPr>
    <w:rPr>
      <w:rFonts w:ascii="Calibri" w:eastAsia="Calibri" w:hAnsi="Calibri"/>
      <w:snapToGrid/>
      <w:sz w:val="18"/>
      <w:szCs w:val="18"/>
      <w:lang w:val="en-US"/>
    </w:rPr>
  </w:style>
  <w:style w:type="character" w:customStyle="1" w:styleId="oldTablefooterChar">
    <w:name w:val="old Table footer Char"/>
    <w:basedOn w:val="V50TableTextChar"/>
    <w:link w:val="oldTablefooter"/>
    <w:rsid w:val="0045698A"/>
    <w:rPr>
      <w:rFonts w:ascii="Calibri" w:eastAsia="Calibri" w:hAnsi="Calibri" w:cs="Arial"/>
      <w:sz w:val="18"/>
      <w:szCs w:val="18"/>
      <w:lang w:val="en-US" w:eastAsia="en-US"/>
    </w:rPr>
  </w:style>
  <w:style w:type="paragraph" w:customStyle="1" w:styleId="Style1">
    <w:name w:val="Style1"/>
    <w:basedOn w:val="Normal"/>
    <w:rsid w:val="0045698A"/>
  </w:style>
  <w:style w:type="paragraph" w:customStyle="1" w:styleId="PBACheading10">
    <w:name w:val="PBAC heading 1"/>
    <w:qFormat/>
    <w:rsid w:val="0045698A"/>
    <w:pPr>
      <w:ind w:left="720" w:hanging="720"/>
    </w:pPr>
    <w:rPr>
      <w:rFonts w:ascii="Arial" w:hAnsi="Arial" w:cs="Arial"/>
      <w:snapToGrid w:val="0"/>
      <w:sz w:val="22"/>
      <w:szCs w:val="22"/>
      <w:lang w:eastAsia="en-US"/>
    </w:rPr>
  </w:style>
  <w:style w:type="numbering" w:customStyle="1" w:styleId="Headings">
    <w:name w:val="Headings"/>
    <w:uiPriority w:val="99"/>
    <w:rsid w:val="0045698A"/>
    <w:pPr>
      <w:numPr>
        <w:numId w:val="5"/>
      </w:numPr>
    </w:pPr>
  </w:style>
  <w:style w:type="character" w:customStyle="1" w:styleId="FollowedHyperlink1">
    <w:name w:val="FollowedHyperlink1"/>
    <w:basedOn w:val="DefaultParagraphFont"/>
    <w:uiPriority w:val="99"/>
    <w:semiHidden/>
    <w:unhideWhenUsed/>
    <w:rsid w:val="0045698A"/>
    <w:rPr>
      <w:color w:val="954F72"/>
      <w:u w:val="single"/>
    </w:rPr>
  </w:style>
  <w:style w:type="paragraph" w:customStyle="1" w:styleId="BulletLast">
    <w:name w:val="Bullet Last"/>
    <w:basedOn w:val="Normal"/>
    <w:qFormat/>
    <w:rsid w:val="0045698A"/>
    <w:pPr>
      <w:widowControl/>
      <w:numPr>
        <w:numId w:val="6"/>
      </w:numPr>
      <w:tabs>
        <w:tab w:val="num" w:pos="360"/>
      </w:tabs>
      <w:spacing w:after="240"/>
      <w:ind w:left="357" w:hanging="357"/>
      <w:jc w:val="left"/>
    </w:pPr>
    <w:rPr>
      <w:rFonts w:ascii="Calibri" w:eastAsia="Calibri" w:hAnsi="Calibri"/>
      <w:snapToGrid/>
      <w:szCs w:val="22"/>
    </w:rPr>
  </w:style>
  <w:style w:type="paragraph" w:customStyle="1" w:styleId="TableFigNote">
    <w:name w:val="TableFigNote"/>
    <w:basedOn w:val="Normal"/>
    <w:qFormat/>
    <w:rsid w:val="0045698A"/>
    <w:pPr>
      <w:widowControl/>
      <w:jc w:val="left"/>
    </w:pPr>
    <w:rPr>
      <w:rFonts w:ascii="Calibri" w:eastAsia="Calibri" w:hAnsi="Calibri"/>
      <w:snapToGrid/>
      <w:sz w:val="18"/>
      <w:szCs w:val="22"/>
    </w:rPr>
  </w:style>
  <w:style w:type="character" w:customStyle="1" w:styleId="StyleArial11pt">
    <w:name w:val="Style Arial 11 pt"/>
    <w:basedOn w:val="DefaultParagraphFont"/>
    <w:rsid w:val="004569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569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5698A"/>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FollowedHyperlink">
    <w:name w:val="FollowedHyperlink"/>
    <w:basedOn w:val="DefaultParagraphFont"/>
    <w:semiHidden/>
    <w:unhideWhenUsed/>
    <w:rsid w:val="0045698A"/>
    <w:rPr>
      <w:color w:val="800080" w:themeColor="followedHyperlink"/>
      <w:u w:val="single"/>
    </w:rPr>
  </w:style>
  <w:style w:type="numbering" w:customStyle="1" w:styleId="NoList2">
    <w:name w:val="No List2"/>
    <w:next w:val="NoList"/>
    <w:uiPriority w:val="99"/>
    <w:semiHidden/>
    <w:unhideWhenUsed/>
    <w:rsid w:val="00BD2227"/>
  </w:style>
  <w:style w:type="numbering" w:customStyle="1" w:styleId="NoList11">
    <w:name w:val="No List11"/>
    <w:next w:val="NoList"/>
    <w:uiPriority w:val="99"/>
    <w:semiHidden/>
    <w:unhideWhenUsed/>
    <w:rsid w:val="00BD2227"/>
  </w:style>
  <w:style w:type="numbering" w:customStyle="1" w:styleId="Headings1">
    <w:name w:val="Headings1"/>
    <w:uiPriority w:val="99"/>
    <w:rsid w:val="00BD2227"/>
    <w:pPr>
      <w:numPr>
        <w:numId w:val="1"/>
      </w:numPr>
    </w:pPr>
  </w:style>
  <w:style w:type="table" w:customStyle="1" w:styleId="TableGrid1">
    <w:name w:val="Table Grid1"/>
    <w:basedOn w:val="TableNormal"/>
    <w:next w:val="TableGrid"/>
    <w:uiPriority w:val="39"/>
    <w:rsid w:val="00BD222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e-id">
    <w:name w:val="label-note-id"/>
    <w:basedOn w:val="DefaultParagraphFont"/>
    <w:rsid w:val="00BD2227"/>
  </w:style>
  <w:style w:type="table" w:customStyle="1" w:styleId="TableGrid6">
    <w:name w:val="Table Grid6"/>
    <w:basedOn w:val="TableNormal"/>
    <w:next w:val="TableGrid"/>
    <w:uiPriority w:val="59"/>
    <w:rsid w:val="00BD222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2F"/>
  </w:style>
  <w:style w:type="numbering" w:customStyle="1" w:styleId="NoList12">
    <w:name w:val="No List12"/>
    <w:next w:val="NoList"/>
    <w:uiPriority w:val="99"/>
    <w:semiHidden/>
    <w:unhideWhenUsed/>
    <w:rsid w:val="000B692F"/>
  </w:style>
  <w:style w:type="numbering" w:customStyle="1" w:styleId="Headings2">
    <w:name w:val="Headings2"/>
    <w:uiPriority w:val="99"/>
    <w:rsid w:val="000B6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Strong" w:semiHidden="0" w:unhideWhenUsed="0"/>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4102"/>
    <w:pPr>
      <w:widowControl w:val="0"/>
      <w:jc w:val="both"/>
    </w:pPr>
    <w:rPr>
      <w:rFonts w:ascii="Arial" w:hAnsi="Arial" w:cs="Arial"/>
      <w:snapToGrid w:val="0"/>
      <w:sz w:val="22"/>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960248"/>
    <w:pPr>
      <w:keepNext/>
      <w:widowControl/>
      <w:spacing w:after="60"/>
      <w:jc w:val="left"/>
    </w:pPr>
    <w:rPr>
      <w:rFonts w:ascii="Arial Narrow" w:eastAsia="Calibri" w:hAnsi="Arial Narrow"/>
      <w:b/>
      <w:snapToGrid/>
      <w:sz w:val="20"/>
      <w:szCs w:val="22"/>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960248"/>
    <w:rPr>
      <w:rFonts w:ascii="Arial Narrow" w:eastAsia="Calibri" w:hAnsi="Arial Narrow" w:cs="Arial"/>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D2272A"/>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B50DB8"/>
    <w:rPr>
      <w:lang w:eastAsia="en-US"/>
    </w:rPr>
  </w:style>
  <w:style w:type="paragraph" w:styleId="Subtitle">
    <w:name w:val="Subtitle"/>
    <w:basedOn w:val="Normal"/>
    <w:link w:val="SubtitleChar"/>
    <w:uiPriority w:val="9"/>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character" w:customStyle="1" w:styleId="ListParagraphChar">
    <w:name w:val="List Paragraph Char"/>
    <w:aliases w:val="BulletPoints Char"/>
    <w:basedOn w:val="DefaultParagraphFont"/>
    <w:link w:val="ListParagraph"/>
    <w:uiPriority w:val="72"/>
    <w:locked/>
    <w:rsid w:val="00AC72BE"/>
    <w:rPr>
      <w:rFonts w:ascii="Arial" w:hAnsi="Arial" w:cs="Arial"/>
      <w:snapToGrid w:val="0"/>
      <w:sz w:val="22"/>
      <w:lang w:eastAsia="en-US"/>
    </w:rPr>
  </w:style>
  <w:style w:type="numbering" w:customStyle="1" w:styleId="NoList1">
    <w:name w:val="No List1"/>
    <w:next w:val="NoList"/>
    <w:uiPriority w:val="99"/>
    <w:semiHidden/>
    <w:unhideWhenUsed/>
    <w:rsid w:val="0045698A"/>
  </w:style>
  <w:style w:type="character" w:customStyle="1" w:styleId="Heading1Char">
    <w:name w:val="Heading 1 Char"/>
    <w:basedOn w:val="DefaultParagraphFont"/>
    <w:link w:val="Heading1"/>
    <w:uiPriority w:val="1"/>
    <w:rsid w:val="0045698A"/>
    <w:rPr>
      <w:rFonts w:ascii="Arial Bold" w:hAnsi="Arial Bold" w:cs="Arial"/>
      <w:b/>
      <w:caps/>
      <w:snapToGrid w:val="0"/>
      <w:sz w:val="22"/>
      <w:lang w:eastAsia="en-US"/>
    </w:rPr>
  </w:style>
  <w:style w:type="character" w:customStyle="1" w:styleId="Heading3Char">
    <w:name w:val="Heading 3 Char"/>
    <w:basedOn w:val="DefaultParagraphFont"/>
    <w:link w:val="Heading3"/>
    <w:uiPriority w:val="1"/>
    <w:rsid w:val="0045698A"/>
    <w:rPr>
      <w:rFonts w:ascii="Arial" w:hAnsi="Arial" w:cs="Arial"/>
      <w:snapToGrid w:val="0"/>
      <w:sz w:val="22"/>
      <w:u w:val="single"/>
      <w:lang w:eastAsia="en-US"/>
    </w:rPr>
  </w:style>
  <w:style w:type="paragraph" w:customStyle="1" w:styleId="V50Heading2nonumbers">
    <w:name w:val="V5.0 Heading 2 no numbers"/>
    <w:basedOn w:val="Heading2"/>
    <w:uiPriority w:val="99"/>
    <w:qFormat/>
    <w:rsid w:val="0045698A"/>
    <w:pPr>
      <w:keepNext/>
      <w:keepLines/>
      <w:widowControl/>
      <w:spacing w:before="240" w:after="120"/>
      <w:ind w:left="578" w:hanging="578"/>
      <w:jc w:val="left"/>
    </w:pPr>
    <w:rPr>
      <w:rFonts w:ascii="Calibri" w:hAnsi="Calibri" w:cs="Times New Roman"/>
      <w:i/>
      <w:snapToGrid/>
      <w:sz w:val="28"/>
      <w:szCs w:val="28"/>
    </w:rPr>
  </w:style>
  <w:style w:type="paragraph" w:customStyle="1" w:styleId="V50Instructions">
    <w:name w:val="V5.0 Instructions"/>
    <w:basedOn w:val="Normal"/>
    <w:link w:val="V50InstructionsChar"/>
    <w:qFormat/>
    <w:rsid w:val="0045698A"/>
    <w:pPr>
      <w:widowControl/>
      <w:spacing w:before="120" w:after="160"/>
      <w:jc w:val="left"/>
    </w:pPr>
    <w:rPr>
      <w:rFonts w:ascii="Calibri" w:eastAsia="Calibri" w:hAnsi="Calibri"/>
      <w:snapToGrid/>
      <w:color w:val="4472C4"/>
      <w:sz w:val="24"/>
      <w:szCs w:val="22"/>
    </w:rPr>
  </w:style>
  <w:style w:type="character" w:customStyle="1" w:styleId="Heading4Char">
    <w:name w:val="Heading 4 Char"/>
    <w:aliases w:val="Heading 1 - Body Char"/>
    <w:basedOn w:val="DefaultParagraphFont"/>
    <w:link w:val="Heading4"/>
    <w:uiPriority w:val="5"/>
    <w:rsid w:val="004569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4569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45698A"/>
    <w:rPr>
      <w:rFonts w:ascii="Arial" w:hAnsi="Arial" w:cs="Arial"/>
      <w:b/>
      <w:bCs/>
      <w:i/>
      <w:snapToGrid w:val="0"/>
      <w:sz w:val="22"/>
      <w:szCs w:val="22"/>
      <w:lang w:eastAsia="en-US"/>
    </w:rPr>
  </w:style>
  <w:style w:type="paragraph" w:customStyle="1" w:styleId="V50Heading1nonumbers">
    <w:name w:val="V5.0 Heading 1 no numbers"/>
    <w:basedOn w:val="Heading1"/>
    <w:qFormat/>
    <w:rsid w:val="0045698A"/>
    <w:pPr>
      <w:keepNext/>
      <w:keepLines/>
      <w:widowControl/>
      <w:spacing w:before="400" w:after="120"/>
      <w:ind w:left="0" w:firstLine="0"/>
      <w:jc w:val="left"/>
    </w:pPr>
    <w:rPr>
      <w:rFonts w:ascii="Calibri" w:hAnsi="Calibri" w:cs="Times New Roman"/>
      <w:caps w:val="0"/>
      <w:snapToGrid/>
      <w:sz w:val="32"/>
      <w:szCs w:val="28"/>
    </w:rPr>
  </w:style>
  <w:style w:type="table" w:customStyle="1" w:styleId="TableGridbeth1">
    <w:name w:val="Table Gridbeth1"/>
    <w:basedOn w:val="TableNormal"/>
    <w:next w:val="TableGrid"/>
    <w:uiPriority w:val="59"/>
    <w:rsid w:val="0045698A"/>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V50TableText">
    <w:name w:val="V5.0 TableText"/>
    <w:link w:val="V50TableTextChar"/>
    <w:qFormat/>
    <w:rsid w:val="0045698A"/>
    <w:rPr>
      <w:rFonts w:ascii="Calibri" w:eastAsia="Calibri" w:hAnsi="Calibri" w:cs="Arial"/>
      <w:szCs w:val="24"/>
      <w:lang w:val="en-US" w:eastAsia="en-US"/>
    </w:rPr>
  </w:style>
  <w:style w:type="paragraph" w:customStyle="1" w:styleId="V50TableTextInstruction">
    <w:name w:val="V5.0 TableText Instruction"/>
    <w:basedOn w:val="V50TableText"/>
    <w:qFormat/>
    <w:rsid w:val="0045698A"/>
    <w:rPr>
      <w:b/>
      <w:color w:val="4472C4"/>
    </w:rPr>
  </w:style>
  <w:style w:type="paragraph" w:customStyle="1" w:styleId="V50InstructionsBullets">
    <w:name w:val="V5.0 Instructions Bullets"/>
    <w:basedOn w:val="V50Instructions"/>
    <w:qFormat/>
    <w:rsid w:val="0045698A"/>
    <w:pPr>
      <w:numPr>
        <w:numId w:val="4"/>
      </w:numPr>
      <w:spacing w:before="0" w:after="0"/>
      <w:ind w:left="714" w:hanging="357"/>
    </w:pPr>
  </w:style>
  <w:style w:type="table" w:customStyle="1" w:styleId="TableGridLight1">
    <w:name w:val="Table Grid Light1"/>
    <w:basedOn w:val="TableNormal"/>
    <w:uiPriority w:val="40"/>
    <w:rsid w:val="0045698A"/>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45698A"/>
    <w:rPr>
      <w:rFonts w:ascii="Calibri" w:eastAsia="Calibri" w:hAnsi="Calibri" w:cs="Arial"/>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Text1">
    <w:name w:val="Table Text"/>
    <w:basedOn w:val="Normal"/>
    <w:qFormat/>
    <w:rsid w:val="0042542B"/>
    <w:pPr>
      <w:keepNext/>
      <w:widowControl/>
      <w:jc w:val="left"/>
    </w:pPr>
    <w:rPr>
      <w:rFonts w:ascii="Arial Narrow" w:eastAsia="Calibri" w:hAnsi="Arial Narrow"/>
      <w:snapToGrid/>
      <w:sz w:val="20"/>
      <w:szCs w:val="22"/>
    </w:rPr>
  </w:style>
  <w:style w:type="paragraph" w:styleId="FootnoteText">
    <w:name w:val="footnote text"/>
    <w:basedOn w:val="Normal"/>
    <w:link w:val="FootnoteTextChar"/>
    <w:unhideWhenUsed/>
    <w:rsid w:val="0045698A"/>
    <w:pPr>
      <w:widowControl/>
      <w:jc w:val="left"/>
    </w:pPr>
    <w:rPr>
      <w:rFonts w:ascii="Calibri" w:eastAsia="Calibri" w:hAnsi="Calibri"/>
      <w:snapToGrid/>
      <w:sz w:val="18"/>
    </w:rPr>
  </w:style>
  <w:style w:type="character" w:customStyle="1" w:styleId="FootnoteTextChar">
    <w:name w:val="Footnote Text Char"/>
    <w:basedOn w:val="DefaultParagraphFont"/>
    <w:link w:val="FootnoteText"/>
    <w:rsid w:val="0045698A"/>
    <w:rPr>
      <w:rFonts w:ascii="Calibri" w:eastAsia="Calibri" w:hAnsi="Calibri" w:cs="Arial"/>
      <w:sz w:val="18"/>
      <w:lang w:eastAsia="en-US"/>
    </w:rPr>
  </w:style>
  <w:style w:type="character" w:styleId="FootnoteReference">
    <w:name w:val="footnote reference"/>
    <w:basedOn w:val="DefaultParagraphFont"/>
    <w:unhideWhenUsed/>
    <w:rsid w:val="0045698A"/>
    <w:rPr>
      <w:vertAlign w:val="superscript"/>
    </w:rPr>
  </w:style>
  <w:style w:type="paragraph" w:customStyle="1" w:styleId="TableFigNoteLast">
    <w:name w:val="TableFigNote Last"/>
    <w:basedOn w:val="Normal"/>
    <w:qFormat/>
    <w:rsid w:val="0045698A"/>
    <w:pPr>
      <w:widowControl/>
      <w:spacing w:after="360"/>
      <w:jc w:val="left"/>
    </w:pPr>
    <w:rPr>
      <w:rFonts w:ascii="Calibri" w:eastAsia="Calibri" w:hAnsi="Calibri"/>
      <w:snapToGrid/>
      <w:sz w:val="18"/>
      <w:szCs w:val="22"/>
    </w:rPr>
  </w:style>
  <w:style w:type="character" w:styleId="Emphasis">
    <w:name w:val="Emphasis"/>
    <w:basedOn w:val="DefaultParagraphFont"/>
    <w:uiPriority w:val="20"/>
    <w:qFormat/>
    <w:rsid w:val="0045698A"/>
    <w:rPr>
      <w:b w:val="0"/>
      <w:i/>
      <w:iCs/>
    </w:rPr>
  </w:style>
  <w:style w:type="paragraph" w:customStyle="1" w:styleId="TableHeading0">
    <w:name w:val="Table Heading"/>
    <w:basedOn w:val="Normal"/>
    <w:qFormat/>
    <w:rsid w:val="0045698A"/>
    <w:pPr>
      <w:keepNext/>
      <w:widowControl/>
      <w:spacing w:after="60"/>
      <w:jc w:val="left"/>
    </w:pPr>
    <w:rPr>
      <w:rFonts w:ascii="Arial Narrow" w:eastAsia="Calibri" w:hAnsi="Arial Narrow"/>
      <w:b/>
      <w:snapToGrid/>
      <w:sz w:val="20"/>
      <w:szCs w:val="22"/>
    </w:rPr>
  </w:style>
  <w:style w:type="character" w:customStyle="1" w:styleId="V50InstructionsChar">
    <w:name w:val="V5.0 Instructions Char"/>
    <w:basedOn w:val="DefaultParagraphFont"/>
    <w:link w:val="V50Instructions"/>
    <w:rsid w:val="0045698A"/>
    <w:rPr>
      <w:rFonts w:ascii="Calibri" w:eastAsia="Calibri" w:hAnsi="Calibri" w:cs="Arial"/>
      <w:color w:val="4472C4"/>
      <w:sz w:val="24"/>
      <w:szCs w:val="22"/>
      <w:lang w:eastAsia="en-US"/>
    </w:rPr>
  </w:style>
  <w:style w:type="character" w:customStyle="1" w:styleId="V50TableTextChar">
    <w:name w:val="V5.0 TableText Char"/>
    <w:basedOn w:val="DefaultParagraphFont"/>
    <w:link w:val="V50TableText"/>
    <w:rsid w:val="0045698A"/>
    <w:rPr>
      <w:rFonts w:ascii="Calibri" w:eastAsia="Calibri" w:hAnsi="Calibri" w:cs="Arial"/>
      <w:szCs w:val="24"/>
      <w:lang w:val="en-US" w:eastAsia="en-US"/>
    </w:rPr>
  </w:style>
  <w:style w:type="paragraph" w:customStyle="1" w:styleId="V50Tablename">
    <w:name w:val="V5.0 Table name"/>
    <w:basedOn w:val="V50TableText"/>
    <w:link w:val="V50TablenameChar"/>
    <w:qFormat/>
    <w:rsid w:val="0045698A"/>
    <w:pPr>
      <w:keepNext/>
    </w:pPr>
    <w:rPr>
      <w:b/>
    </w:rPr>
  </w:style>
  <w:style w:type="character" w:customStyle="1" w:styleId="V50TablenameChar">
    <w:name w:val="V5.0 Table name Char"/>
    <w:basedOn w:val="DefaultParagraphFont"/>
    <w:link w:val="V50Tablename"/>
    <w:rsid w:val="0045698A"/>
    <w:rPr>
      <w:rFonts w:ascii="Calibri" w:eastAsia="Calibri" w:hAnsi="Calibri" w:cs="Arial"/>
      <w:b/>
      <w:szCs w:val="24"/>
      <w:lang w:val="en-US" w:eastAsia="en-US"/>
    </w:rPr>
  </w:style>
  <w:style w:type="paragraph" w:customStyle="1" w:styleId="V50Tablenote">
    <w:name w:val="V5.0 Tablenote"/>
    <w:basedOn w:val="V50TableText"/>
    <w:link w:val="V50TablenoteChar"/>
    <w:qFormat/>
    <w:rsid w:val="0045698A"/>
    <w:pPr>
      <w:spacing w:after="120"/>
      <w:contextualSpacing/>
      <w:jc w:val="both"/>
    </w:pPr>
    <w:rPr>
      <w:sz w:val="18"/>
      <w:szCs w:val="18"/>
    </w:rPr>
  </w:style>
  <w:style w:type="character" w:customStyle="1" w:styleId="V50TablenoteChar">
    <w:name w:val="V5.0 Tablenote Char"/>
    <w:basedOn w:val="DefaultParagraphFont"/>
    <w:link w:val="V50Tablenote"/>
    <w:rsid w:val="0045698A"/>
    <w:rPr>
      <w:rFonts w:ascii="Calibri" w:eastAsia="Calibri" w:hAnsi="Calibri" w:cs="Arial"/>
      <w:sz w:val="18"/>
      <w:szCs w:val="18"/>
      <w:lang w:val="en-US" w:eastAsia="en-US"/>
    </w:rPr>
  </w:style>
  <w:style w:type="character" w:customStyle="1" w:styleId="TableFooterChar">
    <w:name w:val="Table Footer Char"/>
    <w:link w:val="TableFooter"/>
    <w:rsid w:val="0045698A"/>
    <w:rPr>
      <w:rFonts w:ascii="Arial Narrow" w:hAnsi="Arial Narrow" w:cs="Arial"/>
      <w:snapToGrid w:val="0"/>
      <w:sz w:val="18"/>
      <w:lang w:eastAsia="en-US"/>
    </w:rPr>
  </w:style>
  <w:style w:type="paragraph" w:customStyle="1" w:styleId="TableNotes">
    <w:name w:val="TableNotes"/>
    <w:basedOn w:val="Normal"/>
    <w:qFormat/>
    <w:rsid w:val="0045698A"/>
    <w:pPr>
      <w:widowControl/>
      <w:spacing w:after="60"/>
      <w:jc w:val="left"/>
    </w:pPr>
    <w:rPr>
      <w:rFonts w:ascii="Calibri" w:eastAsia="Calibri" w:hAnsi="Calibri"/>
      <w:snapToGrid/>
      <w:sz w:val="20"/>
      <w:szCs w:val="22"/>
    </w:rPr>
  </w:style>
  <w:style w:type="paragraph" w:customStyle="1" w:styleId="oldTablefooter">
    <w:name w:val="old Table footer"/>
    <w:basedOn w:val="Normal"/>
    <w:link w:val="oldTablefooterChar"/>
    <w:qFormat/>
    <w:rsid w:val="0045698A"/>
    <w:pPr>
      <w:widowControl/>
    </w:pPr>
    <w:rPr>
      <w:rFonts w:ascii="Calibri" w:eastAsia="Calibri" w:hAnsi="Calibri"/>
      <w:snapToGrid/>
      <w:sz w:val="18"/>
      <w:szCs w:val="18"/>
      <w:lang w:val="en-US"/>
    </w:rPr>
  </w:style>
  <w:style w:type="character" w:customStyle="1" w:styleId="oldTablefooterChar">
    <w:name w:val="old Table footer Char"/>
    <w:basedOn w:val="V50TableTextChar"/>
    <w:link w:val="oldTablefooter"/>
    <w:rsid w:val="0045698A"/>
    <w:rPr>
      <w:rFonts w:ascii="Calibri" w:eastAsia="Calibri" w:hAnsi="Calibri" w:cs="Arial"/>
      <w:sz w:val="18"/>
      <w:szCs w:val="18"/>
      <w:lang w:val="en-US" w:eastAsia="en-US"/>
    </w:rPr>
  </w:style>
  <w:style w:type="paragraph" w:customStyle="1" w:styleId="Style1">
    <w:name w:val="Style1"/>
    <w:basedOn w:val="Normal"/>
    <w:rsid w:val="0045698A"/>
  </w:style>
  <w:style w:type="paragraph" w:customStyle="1" w:styleId="PBACheading10">
    <w:name w:val="PBAC heading 1"/>
    <w:qFormat/>
    <w:rsid w:val="0045698A"/>
    <w:pPr>
      <w:ind w:left="720" w:hanging="720"/>
    </w:pPr>
    <w:rPr>
      <w:rFonts w:ascii="Arial" w:hAnsi="Arial" w:cs="Arial"/>
      <w:snapToGrid w:val="0"/>
      <w:sz w:val="22"/>
      <w:szCs w:val="22"/>
      <w:lang w:eastAsia="en-US"/>
    </w:rPr>
  </w:style>
  <w:style w:type="numbering" w:customStyle="1" w:styleId="Headings">
    <w:name w:val="Headings"/>
    <w:uiPriority w:val="99"/>
    <w:rsid w:val="0045698A"/>
    <w:pPr>
      <w:numPr>
        <w:numId w:val="5"/>
      </w:numPr>
    </w:pPr>
  </w:style>
  <w:style w:type="character" w:customStyle="1" w:styleId="FollowedHyperlink1">
    <w:name w:val="FollowedHyperlink1"/>
    <w:basedOn w:val="DefaultParagraphFont"/>
    <w:uiPriority w:val="99"/>
    <w:semiHidden/>
    <w:unhideWhenUsed/>
    <w:rsid w:val="0045698A"/>
    <w:rPr>
      <w:color w:val="954F72"/>
      <w:u w:val="single"/>
    </w:rPr>
  </w:style>
  <w:style w:type="paragraph" w:customStyle="1" w:styleId="BulletLast">
    <w:name w:val="Bullet Last"/>
    <w:basedOn w:val="Normal"/>
    <w:qFormat/>
    <w:rsid w:val="0045698A"/>
    <w:pPr>
      <w:widowControl/>
      <w:numPr>
        <w:numId w:val="6"/>
      </w:numPr>
      <w:tabs>
        <w:tab w:val="num" w:pos="360"/>
      </w:tabs>
      <w:spacing w:after="240"/>
      <w:ind w:left="357" w:hanging="357"/>
      <w:jc w:val="left"/>
    </w:pPr>
    <w:rPr>
      <w:rFonts w:ascii="Calibri" w:eastAsia="Calibri" w:hAnsi="Calibri"/>
      <w:snapToGrid/>
      <w:szCs w:val="22"/>
    </w:rPr>
  </w:style>
  <w:style w:type="paragraph" w:customStyle="1" w:styleId="TableFigNote">
    <w:name w:val="TableFigNote"/>
    <w:basedOn w:val="Normal"/>
    <w:qFormat/>
    <w:rsid w:val="0045698A"/>
    <w:pPr>
      <w:widowControl/>
      <w:jc w:val="left"/>
    </w:pPr>
    <w:rPr>
      <w:rFonts w:ascii="Calibri" w:eastAsia="Calibri" w:hAnsi="Calibri"/>
      <w:snapToGrid/>
      <w:sz w:val="18"/>
      <w:szCs w:val="22"/>
    </w:rPr>
  </w:style>
  <w:style w:type="character" w:customStyle="1" w:styleId="StyleArial11pt">
    <w:name w:val="Style Arial 11 pt"/>
    <w:basedOn w:val="DefaultParagraphFont"/>
    <w:rsid w:val="004569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569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45698A"/>
    <w:pPr>
      <w:widowControl/>
      <w:spacing w:before="100" w:beforeAutospacing="1" w:after="100" w:afterAutospacing="1"/>
      <w:jc w:val="left"/>
    </w:pPr>
    <w:rPr>
      <w:rFonts w:ascii="Times New Roman" w:hAnsi="Times New Roman" w:cs="Times New Roman"/>
      <w:snapToGrid/>
      <w:sz w:val="24"/>
      <w:szCs w:val="24"/>
      <w:lang w:eastAsia="en-AU"/>
    </w:rPr>
  </w:style>
  <w:style w:type="character" w:styleId="FollowedHyperlink">
    <w:name w:val="FollowedHyperlink"/>
    <w:basedOn w:val="DefaultParagraphFont"/>
    <w:semiHidden/>
    <w:unhideWhenUsed/>
    <w:rsid w:val="0045698A"/>
    <w:rPr>
      <w:color w:val="800080" w:themeColor="followedHyperlink"/>
      <w:u w:val="single"/>
    </w:rPr>
  </w:style>
  <w:style w:type="numbering" w:customStyle="1" w:styleId="NoList2">
    <w:name w:val="No List2"/>
    <w:next w:val="NoList"/>
    <w:uiPriority w:val="99"/>
    <w:semiHidden/>
    <w:unhideWhenUsed/>
    <w:rsid w:val="00BD2227"/>
  </w:style>
  <w:style w:type="numbering" w:customStyle="1" w:styleId="NoList11">
    <w:name w:val="No List11"/>
    <w:next w:val="NoList"/>
    <w:uiPriority w:val="99"/>
    <w:semiHidden/>
    <w:unhideWhenUsed/>
    <w:rsid w:val="00BD2227"/>
  </w:style>
  <w:style w:type="numbering" w:customStyle="1" w:styleId="Headings1">
    <w:name w:val="Headings1"/>
    <w:uiPriority w:val="99"/>
    <w:rsid w:val="00BD2227"/>
    <w:pPr>
      <w:numPr>
        <w:numId w:val="1"/>
      </w:numPr>
    </w:pPr>
  </w:style>
  <w:style w:type="table" w:customStyle="1" w:styleId="TableGrid1">
    <w:name w:val="Table Grid1"/>
    <w:basedOn w:val="TableNormal"/>
    <w:next w:val="TableGrid"/>
    <w:uiPriority w:val="39"/>
    <w:rsid w:val="00BD222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e-id">
    <w:name w:val="label-note-id"/>
    <w:basedOn w:val="DefaultParagraphFont"/>
    <w:rsid w:val="00BD2227"/>
  </w:style>
  <w:style w:type="table" w:customStyle="1" w:styleId="TableGrid6">
    <w:name w:val="Table Grid6"/>
    <w:basedOn w:val="TableNormal"/>
    <w:next w:val="TableGrid"/>
    <w:uiPriority w:val="59"/>
    <w:rsid w:val="00BD2227"/>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2F"/>
  </w:style>
  <w:style w:type="numbering" w:customStyle="1" w:styleId="NoList12">
    <w:name w:val="No List12"/>
    <w:next w:val="NoList"/>
    <w:uiPriority w:val="99"/>
    <w:semiHidden/>
    <w:unhideWhenUsed/>
    <w:rsid w:val="000B692F"/>
  </w:style>
  <w:style w:type="numbering" w:customStyle="1" w:styleId="Headings2">
    <w:name w:val="Headings2"/>
    <w:uiPriority w:val="99"/>
    <w:rsid w:val="000B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racgp.org.au/your-practice/guidelines/smoking-cessation/" TargetMode="External"/><Relationship Id="rId1" Type="http://schemas.openxmlformats.org/officeDocument/2006/relationships/hyperlink" Target="http://www.racgp.org.au/your-practice/guidelines/smoking-ces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2DB6-C9E8-477E-988D-3F28B322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9640</Words>
  <Characters>53989</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2017-10-16T01:16:00Z</dcterms:created>
  <dcterms:modified xsi:type="dcterms:W3CDTF">2017-10-16T01:24:00Z</dcterms:modified>
</cp:coreProperties>
</file>