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C51" w:rsidRPr="00B926E0" w:rsidRDefault="00C24C51" w:rsidP="00C24C51">
      <w:pPr>
        <w:jc w:val="both"/>
        <w:rPr>
          <w:rFonts w:asciiTheme="minorHAnsi" w:hAnsiTheme="minorHAnsi" w:cs="Arial"/>
          <w:sz w:val="22"/>
          <w:szCs w:val="22"/>
        </w:rPr>
      </w:pPr>
    </w:p>
    <w:p w:rsidR="00D3280C" w:rsidRPr="00F36CCB" w:rsidRDefault="00644420" w:rsidP="008A50F1">
      <w:pPr>
        <w:pStyle w:val="Title"/>
        <w:ind w:left="720" w:hanging="720"/>
        <w:rPr>
          <w:rFonts w:asciiTheme="minorHAnsi" w:hAnsiTheme="minorHAnsi"/>
          <w:szCs w:val="28"/>
        </w:rPr>
      </w:pPr>
      <w:r w:rsidRPr="00C4442E">
        <w:rPr>
          <w:rFonts w:asciiTheme="minorHAnsi" w:hAnsiTheme="minorHAnsi"/>
          <w:sz w:val="36"/>
          <w:szCs w:val="36"/>
        </w:rPr>
        <w:t>4.03</w:t>
      </w:r>
      <w:r w:rsidR="007C0F57" w:rsidRPr="00F36CCB">
        <w:rPr>
          <w:rFonts w:asciiTheme="minorHAnsi" w:hAnsiTheme="minorHAnsi"/>
          <w:szCs w:val="28"/>
        </w:rPr>
        <w:tab/>
      </w:r>
      <w:r w:rsidRPr="00352694">
        <w:rPr>
          <w:rFonts w:asciiTheme="minorHAnsi" w:hAnsiTheme="minorHAnsi"/>
          <w:sz w:val="36"/>
          <w:szCs w:val="36"/>
        </w:rPr>
        <w:t>MIGALASTAT</w:t>
      </w:r>
      <w:r w:rsidR="008A50F1" w:rsidRPr="00352694">
        <w:rPr>
          <w:rFonts w:asciiTheme="minorHAnsi" w:hAnsiTheme="minorHAnsi"/>
          <w:sz w:val="36"/>
          <w:szCs w:val="36"/>
        </w:rPr>
        <w:t xml:space="preserve"> </w:t>
      </w:r>
      <w:r w:rsidR="008A50F1" w:rsidRPr="00352694">
        <w:rPr>
          <w:rFonts w:asciiTheme="minorHAnsi" w:hAnsiTheme="minorHAnsi"/>
          <w:sz w:val="36"/>
          <w:szCs w:val="36"/>
        </w:rPr>
        <w:br/>
      </w:r>
      <w:r w:rsidRPr="00352694">
        <w:rPr>
          <w:rFonts w:asciiTheme="minorHAnsi" w:hAnsiTheme="minorHAnsi"/>
          <w:sz w:val="36"/>
          <w:szCs w:val="36"/>
        </w:rPr>
        <w:t>Capsule containing migalastat hydrochloride</w:t>
      </w:r>
      <w:r w:rsidR="0004240E" w:rsidRPr="00352694">
        <w:rPr>
          <w:rFonts w:asciiTheme="minorHAnsi" w:hAnsiTheme="minorHAnsi"/>
          <w:sz w:val="36"/>
          <w:szCs w:val="36"/>
        </w:rPr>
        <w:t xml:space="preserve">, </w:t>
      </w:r>
      <w:r w:rsidRPr="00352694">
        <w:rPr>
          <w:rFonts w:asciiTheme="minorHAnsi" w:hAnsiTheme="minorHAnsi"/>
          <w:sz w:val="36"/>
          <w:szCs w:val="36"/>
        </w:rPr>
        <w:t>150 mg</w:t>
      </w:r>
      <w:r w:rsidR="0004240E" w:rsidRPr="00352694">
        <w:rPr>
          <w:rFonts w:asciiTheme="minorHAnsi" w:hAnsiTheme="minorHAnsi"/>
          <w:sz w:val="36"/>
          <w:szCs w:val="36"/>
        </w:rPr>
        <w:t>,</w:t>
      </w:r>
      <w:r w:rsidR="008A50F1" w:rsidRPr="00352694">
        <w:rPr>
          <w:rFonts w:asciiTheme="minorHAnsi" w:hAnsiTheme="minorHAnsi"/>
          <w:sz w:val="36"/>
          <w:szCs w:val="36"/>
        </w:rPr>
        <w:t xml:space="preserve"> </w:t>
      </w:r>
      <w:r w:rsidR="008A50F1" w:rsidRPr="00352694">
        <w:rPr>
          <w:rFonts w:asciiTheme="minorHAnsi" w:hAnsiTheme="minorHAnsi"/>
          <w:sz w:val="36"/>
          <w:szCs w:val="36"/>
        </w:rPr>
        <w:br/>
      </w:r>
      <w:r w:rsidRPr="00352694">
        <w:rPr>
          <w:rFonts w:asciiTheme="minorHAnsi" w:hAnsiTheme="minorHAnsi"/>
          <w:sz w:val="36"/>
          <w:szCs w:val="36"/>
        </w:rPr>
        <w:t>Galafold</w:t>
      </w:r>
      <w:r w:rsidR="0004240E" w:rsidRPr="00352694">
        <w:rPr>
          <w:rFonts w:asciiTheme="minorHAnsi" w:hAnsiTheme="minorHAnsi"/>
          <w:sz w:val="36"/>
          <w:szCs w:val="36"/>
          <w:vertAlign w:val="superscript"/>
        </w:rPr>
        <w:t>®</w:t>
      </w:r>
      <w:r w:rsidR="00EF44A0" w:rsidRPr="00352694">
        <w:rPr>
          <w:rFonts w:asciiTheme="minorHAnsi" w:hAnsiTheme="minorHAnsi"/>
          <w:sz w:val="36"/>
          <w:szCs w:val="36"/>
        </w:rPr>
        <w:t xml:space="preserve">, </w:t>
      </w:r>
      <w:r w:rsidRPr="00352694">
        <w:rPr>
          <w:rFonts w:asciiTheme="minorHAnsi" w:hAnsiTheme="minorHAnsi"/>
          <w:sz w:val="36"/>
          <w:szCs w:val="36"/>
        </w:rPr>
        <w:t>Amicus Therapeutics</w:t>
      </w:r>
    </w:p>
    <w:p w:rsidR="00E15627" w:rsidRPr="00352694" w:rsidRDefault="00CE10C4" w:rsidP="00E15627">
      <w:pPr>
        <w:pStyle w:val="PBACHeading1"/>
        <w:rPr>
          <w:rFonts w:asciiTheme="minorHAnsi" w:hAnsiTheme="minorHAnsi"/>
          <w:sz w:val="28"/>
          <w:szCs w:val="28"/>
        </w:rPr>
      </w:pPr>
      <w:r w:rsidRPr="00352694">
        <w:rPr>
          <w:rFonts w:asciiTheme="minorHAnsi" w:hAnsiTheme="minorHAnsi"/>
          <w:sz w:val="28"/>
          <w:szCs w:val="28"/>
        </w:rPr>
        <w:t xml:space="preserve">Purpose of </w:t>
      </w:r>
      <w:r w:rsidR="0004240E" w:rsidRPr="00352694">
        <w:rPr>
          <w:rFonts w:asciiTheme="minorHAnsi" w:hAnsiTheme="minorHAnsi"/>
          <w:sz w:val="28"/>
          <w:szCs w:val="28"/>
        </w:rPr>
        <w:t>Application</w:t>
      </w:r>
    </w:p>
    <w:p w:rsidR="008A50F1" w:rsidRPr="00F36CCB" w:rsidRDefault="008A50F1" w:rsidP="00E15627">
      <w:pPr>
        <w:rPr>
          <w:rFonts w:asciiTheme="minorHAnsi" w:hAnsiTheme="minorHAnsi"/>
        </w:rPr>
      </w:pPr>
    </w:p>
    <w:p w:rsidR="00F66BB0" w:rsidRPr="00352694" w:rsidRDefault="00F66BB0" w:rsidP="00F66BB0">
      <w:pPr>
        <w:pStyle w:val="ListParagraph"/>
        <w:numPr>
          <w:ilvl w:val="1"/>
          <w:numId w:val="5"/>
        </w:numPr>
        <w:rPr>
          <w:rFonts w:asciiTheme="minorHAnsi" w:hAnsiTheme="minorHAnsi"/>
          <w:sz w:val="24"/>
          <w:szCs w:val="24"/>
        </w:rPr>
      </w:pPr>
      <w:r w:rsidRPr="00352694">
        <w:rPr>
          <w:rFonts w:asciiTheme="minorHAnsi" w:hAnsiTheme="minorHAnsi"/>
          <w:sz w:val="24"/>
          <w:szCs w:val="24"/>
        </w:rPr>
        <w:t xml:space="preserve">The </w:t>
      </w:r>
      <w:r w:rsidR="007A39FE" w:rsidRPr="00352694">
        <w:rPr>
          <w:rFonts w:asciiTheme="minorHAnsi" w:hAnsiTheme="minorHAnsi"/>
          <w:sz w:val="24"/>
          <w:szCs w:val="24"/>
        </w:rPr>
        <w:t xml:space="preserve">minor </w:t>
      </w:r>
      <w:r w:rsidRPr="00352694">
        <w:rPr>
          <w:rFonts w:asciiTheme="minorHAnsi" w:hAnsiTheme="minorHAnsi"/>
          <w:sz w:val="24"/>
          <w:szCs w:val="24"/>
        </w:rPr>
        <w:t xml:space="preserve">resubmission requested a Section 100 (Highly Specialised Drug Program) Authority </w:t>
      </w:r>
      <w:proofErr w:type="gramStart"/>
      <w:r w:rsidRPr="00352694">
        <w:rPr>
          <w:rFonts w:asciiTheme="minorHAnsi" w:hAnsiTheme="minorHAnsi"/>
          <w:sz w:val="24"/>
          <w:szCs w:val="24"/>
        </w:rPr>
        <w:t>Required</w:t>
      </w:r>
      <w:proofErr w:type="gramEnd"/>
      <w:r w:rsidRPr="00352694">
        <w:rPr>
          <w:rFonts w:asciiTheme="minorHAnsi" w:hAnsiTheme="minorHAnsi"/>
          <w:sz w:val="24"/>
          <w:szCs w:val="24"/>
        </w:rPr>
        <w:t xml:space="preserve"> listing for the treatment of Fabry disease.</w:t>
      </w:r>
    </w:p>
    <w:p w:rsidR="00EF44A0" w:rsidRPr="00F36CCB" w:rsidRDefault="00EF44A0" w:rsidP="00C27B58">
      <w:pPr>
        <w:pStyle w:val="NoSpacing"/>
        <w:rPr>
          <w:rFonts w:asciiTheme="minorHAnsi" w:hAnsiTheme="minorHAnsi"/>
        </w:rPr>
      </w:pPr>
    </w:p>
    <w:p w:rsidR="00962223" w:rsidRPr="00352694" w:rsidRDefault="006A12A5" w:rsidP="008A50F1">
      <w:pPr>
        <w:pStyle w:val="PBACHeading1"/>
        <w:rPr>
          <w:rFonts w:asciiTheme="minorHAnsi" w:hAnsiTheme="minorHAnsi"/>
          <w:sz w:val="28"/>
          <w:szCs w:val="28"/>
        </w:rPr>
      </w:pPr>
      <w:r w:rsidRPr="00352694">
        <w:rPr>
          <w:rFonts w:asciiTheme="minorHAnsi" w:hAnsiTheme="minorHAnsi"/>
          <w:sz w:val="28"/>
          <w:szCs w:val="28"/>
        </w:rPr>
        <w:t>Requested listing</w:t>
      </w:r>
    </w:p>
    <w:p w:rsidR="006A12A5" w:rsidRPr="00B926E0" w:rsidRDefault="006A12A5" w:rsidP="00882085">
      <w:pPr>
        <w:jc w:val="both"/>
        <w:rPr>
          <w:rFonts w:asciiTheme="minorHAnsi" w:hAnsiTheme="minorHAnsi"/>
          <w:sz w:val="22"/>
          <w:szCs w:val="22"/>
        </w:rPr>
      </w:pPr>
    </w:p>
    <w:p w:rsidR="00826F6D" w:rsidRPr="00352694" w:rsidRDefault="00EF44A0" w:rsidP="008A50F1">
      <w:pPr>
        <w:pStyle w:val="ListParagraph"/>
        <w:numPr>
          <w:ilvl w:val="1"/>
          <w:numId w:val="5"/>
        </w:numPr>
        <w:rPr>
          <w:rFonts w:asciiTheme="minorHAnsi" w:hAnsiTheme="minorHAnsi"/>
          <w:sz w:val="24"/>
          <w:szCs w:val="24"/>
        </w:rPr>
      </w:pPr>
      <w:r w:rsidRPr="00352694">
        <w:rPr>
          <w:rFonts w:asciiTheme="minorHAnsi" w:hAnsiTheme="minorHAnsi"/>
          <w:sz w:val="24"/>
          <w:szCs w:val="24"/>
        </w:rPr>
        <w:t xml:space="preserve">The </w:t>
      </w:r>
      <w:r w:rsidR="00631F18" w:rsidRPr="00352694">
        <w:rPr>
          <w:rFonts w:asciiTheme="minorHAnsi" w:hAnsiTheme="minorHAnsi"/>
          <w:sz w:val="24"/>
          <w:szCs w:val="24"/>
        </w:rPr>
        <w:t xml:space="preserve">minor </w:t>
      </w:r>
      <w:r w:rsidR="0011718E" w:rsidRPr="00352694">
        <w:rPr>
          <w:rFonts w:asciiTheme="minorHAnsi" w:hAnsiTheme="minorHAnsi"/>
          <w:sz w:val="24"/>
          <w:szCs w:val="24"/>
        </w:rPr>
        <w:t>re</w:t>
      </w:r>
      <w:r w:rsidRPr="00352694">
        <w:rPr>
          <w:rFonts w:asciiTheme="minorHAnsi" w:hAnsiTheme="minorHAnsi"/>
          <w:sz w:val="24"/>
          <w:szCs w:val="24"/>
        </w:rPr>
        <w:t xml:space="preserve">submission </w:t>
      </w:r>
      <w:r w:rsidR="0076420C" w:rsidRPr="00352694">
        <w:rPr>
          <w:rFonts w:asciiTheme="minorHAnsi" w:hAnsiTheme="minorHAnsi"/>
          <w:sz w:val="24"/>
          <w:szCs w:val="24"/>
        </w:rPr>
        <w:t>propose</w:t>
      </w:r>
      <w:r w:rsidR="007F31C9" w:rsidRPr="00352694">
        <w:rPr>
          <w:rFonts w:asciiTheme="minorHAnsi" w:hAnsiTheme="minorHAnsi"/>
          <w:sz w:val="24"/>
          <w:szCs w:val="24"/>
        </w:rPr>
        <w:t>d</w:t>
      </w:r>
      <w:r w:rsidR="0076420C" w:rsidRPr="00352694">
        <w:rPr>
          <w:rFonts w:asciiTheme="minorHAnsi" w:hAnsiTheme="minorHAnsi"/>
          <w:sz w:val="24"/>
          <w:szCs w:val="24"/>
        </w:rPr>
        <w:t xml:space="preserve"> no</w:t>
      </w:r>
      <w:r w:rsidR="009A5765" w:rsidRPr="00352694">
        <w:rPr>
          <w:rFonts w:asciiTheme="minorHAnsi" w:hAnsiTheme="minorHAnsi"/>
          <w:sz w:val="24"/>
          <w:szCs w:val="24"/>
        </w:rPr>
        <w:t xml:space="preserve"> changes to the</w:t>
      </w:r>
      <w:r w:rsidR="00A7593E" w:rsidRPr="00352694">
        <w:rPr>
          <w:rFonts w:asciiTheme="minorHAnsi" w:hAnsiTheme="minorHAnsi"/>
          <w:sz w:val="24"/>
          <w:szCs w:val="24"/>
        </w:rPr>
        <w:t xml:space="preserve"> </w:t>
      </w:r>
      <w:r w:rsidR="0011718E" w:rsidRPr="00352694">
        <w:rPr>
          <w:rFonts w:asciiTheme="minorHAnsi" w:hAnsiTheme="minorHAnsi"/>
          <w:sz w:val="24"/>
          <w:szCs w:val="24"/>
        </w:rPr>
        <w:t xml:space="preserve">requested </w:t>
      </w:r>
      <w:r w:rsidR="00A7593E" w:rsidRPr="00352694">
        <w:rPr>
          <w:rFonts w:asciiTheme="minorHAnsi" w:hAnsiTheme="minorHAnsi"/>
          <w:sz w:val="24"/>
          <w:szCs w:val="24"/>
        </w:rPr>
        <w:t>listing</w:t>
      </w:r>
      <w:r w:rsidR="007F31C9" w:rsidRPr="00352694">
        <w:rPr>
          <w:rFonts w:asciiTheme="minorHAnsi" w:hAnsiTheme="minorHAnsi"/>
          <w:sz w:val="24"/>
          <w:szCs w:val="24"/>
        </w:rPr>
        <w:t xml:space="preserve"> provided in the March 2017 submission</w:t>
      </w:r>
      <w:r w:rsidR="00A7593E" w:rsidRPr="00352694">
        <w:rPr>
          <w:rFonts w:asciiTheme="minorHAnsi" w:hAnsiTheme="minorHAnsi"/>
          <w:sz w:val="24"/>
          <w:szCs w:val="24"/>
        </w:rPr>
        <w:t>.</w:t>
      </w:r>
    </w:p>
    <w:p w:rsidR="00826F6D" w:rsidRPr="00F36CCB" w:rsidRDefault="00826F6D" w:rsidP="00C27B58">
      <w:pPr>
        <w:pStyle w:val="NoSpacing"/>
        <w:rPr>
          <w:rFonts w:asciiTheme="minorHAnsi" w:hAnsiTheme="minorHAnsi"/>
        </w:rPr>
      </w:pPr>
    </w:p>
    <w:p w:rsidR="00CE10C4" w:rsidRPr="00352694" w:rsidRDefault="00CE10C4" w:rsidP="008A50F1">
      <w:pPr>
        <w:pStyle w:val="PBACHeading1"/>
        <w:rPr>
          <w:rFonts w:asciiTheme="minorHAnsi" w:hAnsiTheme="minorHAnsi"/>
          <w:sz w:val="28"/>
          <w:szCs w:val="28"/>
        </w:rPr>
      </w:pPr>
      <w:r w:rsidRPr="00352694">
        <w:rPr>
          <w:rFonts w:asciiTheme="minorHAnsi" w:hAnsiTheme="minorHAnsi"/>
          <w:sz w:val="28"/>
          <w:szCs w:val="28"/>
        </w:rPr>
        <w:t>Background</w:t>
      </w:r>
    </w:p>
    <w:p w:rsidR="00C603D4" w:rsidRPr="007A39FE" w:rsidRDefault="00C603D4" w:rsidP="00C603D4">
      <w:pPr>
        <w:rPr>
          <w:rFonts w:asciiTheme="minorHAnsi" w:hAnsiTheme="minorHAnsi"/>
          <w:sz w:val="22"/>
          <w:szCs w:val="22"/>
        </w:rPr>
      </w:pPr>
    </w:p>
    <w:p w:rsidR="00561E3D" w:rsidRPr="00352694" w:rsidRDefault="00561E3D" w:rsidP="00561E3D">
      <w:pPr>
        <w:pStyle w:val="ListParagraph"/>
        <w:numPr>
          <w:ilvl w:val="1"/>
          <w:numId w:val="5"/>
        </w:numPr>
        <w:rPr>
          <w:rFonts w:asciiTheme="minorHAnsi" w:hAnsiTheme="minorHAnsi"/>
          <w:sz w:val="24"/>
          <w:szCs w:val="24"/>
        </w:rPr>
      </w:pPr>
      <w:r w:rsidRPr="00352694">
        <w:rPr>
          <w:rFonts w:asciiTheme="minorHAnsi" w:hAnsiTheme="minorHAnsi"/>
          <w:sz w:val="24"/>
          <w:szCs w:val="24"/>
        </w:rPr>
        <w:t>At the time of PBAC consideration, m</w:t>
      </w:r>
      <w:r w:rsidR="00715D5A" w:rsidRPr="00352694">
        <w:rPr>
          <w:rFonts w:asciiTheme="minorHAnsi" w:hAnsiTheme="minorHAnsi"/>
          <w:sz w:val="24"/>
          <w:szCs w:val="24"/>
        </w:rPr>
        <w:t xml:space="preserve">igalastat </w:t>
      </w:r>
      <w:r w:rsidRPr="00352694">
        <w:rPr>
          <w:rFonts w:asciiTheme="minorHAnsi" w:hAnsiTheme="minorHAnsi"/>
          <w:sz w:val="24"/>
          <w:szCs w:val="24"/>
        </w:rPr>
        <w:t>was</w:t>
      </w:r>
      <w:r w:rsidR="00715D5A" w:rsidRPr="00352694">
        <w:rPr>
          <w:rFonts w:asciiTheme="minorHAnsi" w:hAnsiTheme="minorHAnsi"/>
          <w:sz w:val="24"/>
          <w:szCs w:val="24"/>
        </w:rPr>
        <w:t xml:space="preserve"> not yet registered by the TGA</w:t>
      </w:r>
      <w:r w:rsidRPr="00352694">
        <w:rPr>
          <w:rFonts w:asciiTheme="minorHAnsi" w:hAnsiTheme="minorHAnsi"/>
          <w:sz w:val="24"/>
          <w:szCs w:val="24"/>
        </w:rPr>
        <w:t>. Available to the Committee was a</w:t>
      </w:r>
      <w:r w:rsidR="00715D5A" w:rsidRPr="00352694">
        <w:rPr>
          <w:rFonts w:asciiTheme="minorHAnsi" w:hAnsiTheme="minorHAnsi"/>
          <w:sz w:val="24"/>
          <w:szCs w:val="24"/>
        </w:rPr>
        <w:t xml:space="preserve"> positive TGA Delegate’s Overview </w:t>
      </w:r>
      <w:r w:rsidRPr="00352694">
        <w:rPr>
          <w:rFonts w:asciiTheme="minorHAnsi" w:hAnsiTheme="minorHAnsi"/>
          <w:sz w:val="24"/>
          <w:szCs w:val="24"/>
        </w:rPr>
        <w:t>and the</w:t>
      </w:r>
      <w:r w:rsidR="00715D5A" w:rsidRPr="00352694">
        <w:rPr>
          <w:rFonts w:asciiTheme="minorHAnsi" w:hAnsiTheme="minorHAnsi"/>
          <w:sz w:val="24"/>
          <w:szCs w:val="24"/>
        </w:rPr>
        <w:t xml:space="preserve"> Advisory Committee on Medicine</w:t>
      </w:r>
      <w:r w:rsidR="007A39FE" w:rsidRPr="00352694">
        <w:rPr>
          <w:rFonts w:asciiTheme="minorHAnsi" w:hAnsiTheme="minorHAnsi"/>
          <w:sz w:val="24"/>
          <w:szCs w:val="24"/>
        </w:rPr>
        <w:t>’</w:t>
      </w:r>
      <w:r w:rsidR="00715D5A" w:rsidRPr="00352694">
        <w:rPr>
          <w:rFonts w:asciiTheme="minorHAnsi" w:hAnsiTheme="minorHAnsi"/>
          <w:sz w:val="24"/>
          <w:szCs w:val="24"/>
        </w:rPr>
        <w:t>s (ACM</w:t>
      </w:r>
      <w:r w:rsidR="007A39FE" w:rsidRPr="00352694">
        <w:rPr>
          <w:rFonts w:asciiTheme="minorHAnsi" w:hAnsiTheme="minorHAnsi"/>
          <w:sz w:val="24"/>
          <w:szCs w:val="24"/>
        </w:rPr>
        <w:t>’s</w:t>
      </w:r>
      <w:r w:rsidR="00715D5A" w:rsidRPr="00352694">
        <w:rPr>
          <w:rFonts w:asciiTheme="minorHAnsi" w:hAnsiTheme="minorHAnsi"/>
          <w:sz w:val="24"/>
          <w:szCs w:val="24"/>
        </w:rPr>
        <w:t>)</w:t>
      </w:r>
      <w:r w:rsidRPr="00352694">
        <w:rPr>
          <w:rFonts w:asciiTheme="minorHAnsi" w:hAnsiTheme="minorHAnsi"/>
          <w:sz w:val="24"/>
          <w:szCs w:val="24"/>
        </w:rPr>
        <w:t xml:space="preserve"> resolution</w:t>
      </w:r>
      <w:r w:rsidR="00715D5A" w:rsidRPr="00352694">
        <w:rPr>
          <w:rFonts w:asciiTheme="minorHAnsi" w:hAnsiTheme="minorHAnsi"/>
          <w:sz w:val="24"/>
          <w:szCs w:val="24"/>
        </w:rPr>
        <w:t xml:space="preserve"> </w:t>
      </w:r>
      <w:r w:rsidRPr="00352694">
        <w:rPr>
          <w:rFonts w:asciiTheme="minorHAnsi" w:hAnsiTheme="minorHAnsi"/>
          <w:sz w:val="24"/>
          <w:szCs w:val="24"/>
        </w:rPr>
        <w:t>from</w:t>
      </w:r>
      <w:r w:rsidR="00715D5A" w:rsidRPr="00352694">
        <w:rPr>
          <w:rFonts w:asciiTheme="minorHAnsi" w:hAnsiTheme="minorHAnsi"/>
          <w:sz w:val="24"/>
          <w:szCs w:val="24"/>
        </w:rPr>
        <w:t xml:space="preserve"> its Jun</w:t>
      </w:r>
      <w:r w:rsidR="0011718E" w:rsidRPr="00352694">
        <w:rPr>
          <w:rFonts w:asciiTheme="minorHAnsi" w:hAnsiTheme="minorHAnsi"/>
          <w:sz w:val="24"/>
          <w:szCs w:val="24"/>
        </w:rPr>
        <w:t>e</w:t>
      </w:r>
      <w:r w:rsidR="00B926E0" w:rsidRPr="00352694">
        <w:rPr>
          <w:rFonts w:asciiTheme="minorHAnsi" w:hAnsiTheme="minorHAnsi"/>
          <w:sz w:val="24"/>
          <w:szCs w:val="24"/>
        </w:rPr>
        <w:t xml:space="preserve"> 2017 meeting.</w:t>
      </w:r>
    </w:p>
    <w:p w:rsidR="00561E3D" w:rsidRPr="00352694" w:rsidRDefault="00561E3D" w:rsidP="00561E3D">
      <w:pPr>
        <w:rPr>
          <w:rFonts w:asciiTheme="minorHAnsi" w:hAnsiTheme="minorHAnsi"/>
        </w:rPr>
      </w:pPr>
    </w:p>
    <w:p w:rsidR="00326E79" w:rsidRPr="00352694" w:rsidRDefault="00E23271" w:rsidP="008A50F1">
      <w:pPr>
        <w:pStyle w:val="ListParagraph"/>
        <w:numPr>
          <w:ilvl w:val="1"/>
          <w:numId w:val="5"/>
        </w:numPr>
        <w:rPr>
          <w:rFonts w:asciiTheme="minorHAnsi" w:hAnsiTheme="minorHAnsi"/>
          <w:sz w:val="24"/>
          <w:szCs w:val="24"/>
        </w:rPr>
      </w:pPr>
      <w:r w:rsidRPr="00352694">
        <w:rPr>
          <w:rFonts w:asciiTheme="minorHAnsi" w:hAnsiTheme="minorHAnsi"/>
          <w:sz w:val="24"/>
          <w:szCs w:val="24"/>
        </w:rPr>
        <w:t>Migalastat was considered by the PBAC at its March 2017 meeting. The PBAC deferred making a recommendation on the listing of migalastat for Fabry Disease pending the outcome of the TGA evaluation.</w:t>
      </w:r>
    </w:p>
    <w:p w:rsidR="00F66BB0" w:rsidRPr="00352694" w:rsidRDefault="00F66BB0" w:rsidP="00F66BB0">
      <w:pPr>
        <w:rPr>
          <w:rFonts w:asciiTheme="minorHAnsi" w:hAnsiTheme="minorHAnsi"/>
        </w:rPr>
      </w:pPr>
    </w:p>
    <w:p w:rsidR="00F66BB0" w:rsidRPr="00352694" w:rsidRDefault="00F66BB0" w:rsidP="00F66BB0">
      <w:pPr>
        <w:pStyle w:val="ListParagraph"/>
        <w:numPr>
          <w:ilvl w:val="1"/>
          <w:numId w:val="5"/>
        </w:numPr>
        <w:rPr>
          <w:rFonts w:asciiTheme="minorHAnsi" w:hAnsiTheme="minorHAnsi"/>
          <w:sz w:val="24"/>
          <w:szCs w:val="24"/>
        </w:rPr>
      </w:pPr>
      <w:r w:rsidRPr="00352694">
        <w:rPr>
          <w:rFonts w:asciiTheme="minorHAnsi" w:hAnsiTheme="minorHAnsi"/>
          <w:sz w:val="24"/>
          <w:szCs w:val="24"/>
        </w:rPr>
        <w:t>The minor resubmission sought to address the concerns arising from the PBAC’s consideration of the major submission at the March 2017 meeting, including:</w:t>
      </w:r>
    </w:p>
    <w:p w:rsidR="00F66BB0" w:rsidRPr="00352694" w:rsidRDefault="00F66BB0" w:rsidP="005B3B2B">
      <w:pPr>
        <w:pStyle w:val="ListParagraph"/>
        <w:numPr>
          <w:ilvl w:val="2"/>
          <w:numId w:val="5"/>
        </w:numPr>
        <w:ind w:left="1418" w:hanging="425"/>
        <w:rPr>
          <w:rFonts w:asciiTheme="minorHAnsi" w:hAnsiTheme="minorHAnsi"/>
          <w:sz w:val="24"/>
          <w:szCs w:val="24"/>
        </w:rPr>
      </w:pPr>
      <w:r w:rsidRPr="00352694">
        <w:rPr>
          <w:rFonts w:asciiTheme="minorHAnsi" w:hAnsiTheme="minorHAnsi"/>
          <w:sz w:val="24"/>
          <w:szCs w:val="24"/>
        </w:rPr>
        <w:t>The role of the GLP-HEK assay in determining the amenability of GLA mutations;</w:t>
      </w:r>
    </w:p>
    <w:p w:rsidR="00F66BB0" w:rsidRPr="00352694" w:rsidRDefault="00F66BB0" w:rsidP="005B3B2B">
      <w:pPr>
        <w:pStyle w:val="ListParagraph"/>
        <w:numPr>
          <w:ilvl w:val="2"/>
          <w:numId w:val="5"/>
        </w:numPr>
        <w:ind w:left="1418" w:hanging="425"/>
        <w:rPr>
          <w:rFonts w:asciiTheme="minorHAnsi" w:hAnsiTheme="minorHAnsi"/>
          <w:sz w:val="24"/>
          <w:szCs w:val="24"/>
        </w:rPr>
      </w:pPr>
      <w:r w:rsidRPr="00352694">
        <w:rPr>
          <w:rFonts w:asciiTheme="minorHAnsi" w:hAnsiTheme="minorHAnsi"/>
          <w:sz w:val="24"/>
          <w:szCs w:val="24"/>
        </w:rPr>
        <w:t xml:space="preserve">The claim of non-inferior effectiveness versus the main comparator, enzyme replacement therapy (ERT); </w:t>
      </w:r>
    </w:p>
    <w:p w:rsidR="00F66BB0" w:rsidRPr="00352694" w:rsidRDefault="00F66BB0" w:rsidP="005B3B2B">
      <w:pPr>
        <w:pStyle w:val="ListParagraph"/>
        <w:numPr>
          <w:ilvl w:val="2"/>
          <w:numId w:val="5"/>
        </w:numPr>
        <w:ind w:left="1418" w:hanging="425"/>
        <w:rPr>
          <w:rFonts w:asciiTheme="minorHAnsi" w:hAnsiTheme="minorHAnsi"/>
          <w:sz w:val="24"/>
          <w:szCs w:val="24"/>
        </w:rPr>
      </w:pPr>
      <w:r w:rsidRPr="00352694">
        <w:rPr>
          <w:rFonts w:asciiTheme="minorHAnsi" w:hAnsiTheme="minorHAnsi"/>
          <w:sz w:val="24"/>
          <w:szCs w:val="24"/>
        </w:rPr>
        <w:t>The economic and budget implications of migalastat to the government</w:t>
      </w:r>
      <w:r w:rsidR="00A742D6" w:rsidRPr="00352694">
        <w:rPr>
          <w:rFonts w:asciiTheme="minorHAnsi" w:hAnsiTheme="minorHAnsi"/>
          <w:sz w:val="24"/>
          <w:szCs w:val="24"/>
        </w:rPr>
        <w:t>; and</w:t>
      </w:r>
    </w:p>
    <w:p w:rsidR="00F66BB0" w:rsidRPr="00352694" w:rsidRDefault="00F66BB0" w:rsidP="005B3B2B">
      <w:pPr>
        <w:pStyle w:val="ListParagraph"/>
        <w:numPr>
          <w:ilvl w:val="2"/>
          <w:numId w:val="5"/>
        </w:numPr>
        <w:ind w:left="1418" w:hanging="425"/>
        <w:rPr>
          <w:rFonts w:asciiTheme="minorHAnsi" w:hAnsiTheme="minorHAnsi"/>
          <w:sz w:val="24"/>
          <w:szCs w:val="24"/>
        </w:rPr>
      </w:pPr>
      <w:r w:rsidRPr="00352694">
        <w:rPr>
          <w:rFonts w:asciiTheme="minorHAnsi" w:hAnsiTheme="minorHAnsi"/>
          <w:sz w:val="24"/>
          <w:szCs w:val="24"/>
        </w:rPr>
        <w:t>An update on the TGA’s evaluation of migalastat.</w:t>
      </w:r>
    </w:p>
    <w:p w:rsidR="00F574A6" w:rsidRPr="00352694" w:rsidRDefault="00F574A6" w:rsidP="00B926E0">
      <w:pPr>
        <w:rPr>
          <w:rFonts w:asciiTheme="minorHAnsi" w:hAnsiTheme="minorHAnsi"/>
        </w:rPr>
      </w:pPr>
    </w:p>
    <w:p w:rsidR="00F574A6" w:rsidRPr="00352694" w:rsidRDefault="00F574A6" w:rsidP="008A50F1">
      <w:pPr>
        <w:pStyle w:val="ListParagraph"/>
        <w:numPr>
          <w:ilvl w:val="1"/>
          <w:numId w:val="5"/>
        </w:numPr>
        <w:rPr>
          <w:rFonts w:asciiTheme="minorHAnsi" w:hAnsiTheme="minorHAnsi"/>
          <w:sz w:val="24"/>
          <w:szCs w:val="24"/>
        </w:rPr>
      </w:pPr>
      <w:r w:rsidRPr="00352694">
        <w:rPr>
          <w:rFonts w:asciiTheme="minorHAnsi" w:hAnsiTheme="minorHAnsi"/>
          <w:sz w:val="24"/>
          <w:szCs w:val="24"/>
        </w:rPr>
        <w:t xml:space="preserve">A summary of the previous and current submissions is </w:t>
      </w:r>
      <w:r w:rsidR="0011718E" w:rsidRPr="00352694">
        <w:rPr>
          <w:rFonts w:asciiTheme="minorHAnsi" w:hAnsiTheme="minorHAnsi"/>
          <w:sz w:val="24"/>
          <w:szCs w:val="24"/>
        </w:rPr>
        <w:t xml:space="preserve">provided </w:t>
      </w:r>
      <w:r w:rsidRPr="00352694">
        <w:rPr>
          <w:rFonts w:asciiTheme="minorHAnsi" w:hAnsiTheme="minorHAnsi"/>
          <w:sz w:val="24"/>
          <w:szCs w:val="24"/>
        </w:rPr>
        <w:t>in Table 1.</w:t>
      </w:r>
    </w:p>
    <w:p w:rsidR="00F574A6" w:rsidRPr="007A39FE" w:rsidRDefault="00F574A6" w:rsidP="00F574A6">
      <w:pPr>
        <w:rPr>
          <w:rFonts w:asciiTheme="minorHAnsi" w:hAnsiTheme="minorHAnsi"/>
          <w:sz w:val="22"/>
          <w:szCs w:val="22"/>
        </w:rPr>
      </w:pPr>
    </w:p>
    <w:p w:rsidR="00F574A6" w:rsidRDefault="00F574A6" w:rsidP="00F574A6">
      <w:pPr>
        <w:pStyle w:val="Caption"/>
        <w:keepNext/>
        <w:widowControl/>
      </w:pPr>
      <w:r w:rsidRPr="00F34FF2">
        <w:lastRenderedPageBreak/>
        <w:t xml:space="preserve">Table </w:t>
      </w:r>
      <w:r w:rsidR="00C4442E">
        <w:rPr>
          <w:noProof/>
        </w:rPr>
        <w:t>1</w:t>
      </w:r>
      <w:r w:rsidRPr="00F34FF2">
        <w:t xml:space="preserve">: Summary of the previous submission and current </w:t>
      </w:r>
      <w:r w:rsidR="00631F18">
        <w:t xml:space="preserve">minor </w:t>
      </w:r>
      <w:r w:rsidRPr="00F34FF2">
        <w:t>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304"/>
        <w:gridCol w:w="4536"/>
        <w:gridCol w:w="3242"/>
      </w:tblGrid>
      <w:tr w:rsidR="00F574A6" w:rsidRPr="00F16087" w:rsidTr="00D27B29">
        <w:trPr>
          <w:cantSplit/>
          <w:trHeight w:val="220"/>
          <w:tblHeader/>
        </w:trPr>
        <w:tc>
          <w:tcPr>
            <w:tcW w:w="718" w:type="pct"/>
          </w:tcPr>
          <w:p w:rsidR="00F574A6" w:rsidRPr="00BB7C9F" w:rsidRDefault="00F574A6" w:rsidP="00F574A6">
            <w:pPr>
              <w:keepNext/>
              <w:rPr>
                <w:rFonts w:ascii="Arial Narrow" w:hAnsi="Arial Narrow"/>
                <w:sz w:val="20"/>
                <w:szCs w:val="20"/>
              </w:rPr>
            </w:pPr>
          </w:p>
        </w:tc>
        <w:tc>
          <w:tcPr>
            <w:tcW w:w="2497" w:type="pct"/>
            <w:vAlign w:val="center"/>
          </w:tcPr>
          <w:p w:rsidR="00F574A6" w:rsidRPr="00BB7C9F" w:rsidRDefault="00F574A6" w:rsidP="00F574A6">
            <w:pPr>
              <w:keepNext/>
              <w:jc w:val="center"/>
              <w:rPr>
                <w:rFonts w:ascii="Arial Narrow" w:hAnsi="Arial Narrow"/>
                <w:b/>
                <w:sz w:val="20"/>
                <w:szCs w:val="20"/>
              </w:rPr>
            </w:pPr>
            <w:r w:rsidRPr="00BB7C9F">
              <w:rPr>
                <w:rFonts w:ascii="Arial Narrow" w:hAnsi="Arial Narrow"/>
                <w:b/>
                <w:sz w:val="20"/>
                <w:szCs w:val="20"/>
              </w:rPr>
              <w:t>March 201</w:t>
            </w:r>
            <w:r>
              <w:rPr>
                <w:rFonts w:ascii="Arial Narrow" w:hAnsi="Arial Narrow"/>
                <w:b/>
                <w:sz w:val="20"/>
                <w:szCs w:val="20"/>
              </w:rPr>
              <w:t>7</w:t>
            </w:r>
            <w:r w:rsidRPr="00BB7C9F">
              <w:rPr>
                <w:rFonts w:ascii="Arial Narrow" w:hAnsi="Arial Narrow"/>
                <w:b/>
                <w:sz w:val="20"/>
                <w:szCs w:val="20"/>
              </w:rPr>
              <w:t xml:space="preserve"> submission</w:t>
            </w:r>
          </w:p>
        </w:tc>
        <w:tc>
          <w:tcPr>
            <w:tcW w:w="1785" w:type="pct"/>
          </w:tcPr>
          <w:p w:rsidR="00F574A6" w:rsidRPr="00BB7C9F" w:rsidRDefault="00F574A6" w:rsidP="00F574A6">
            <w:pPr>
              <w:keepNext/>
              <w:jc w:val="center"/>
              <w:rPr>
                <w:rFonts w:ascii="Arial Narrow" w:hAnsi="Arial Narrow"/>
                <w:b/>
                <w:sz w:val="20"/>
                <w:szCs w:val="20"/>
              </w:rPr>
            </w:pPr>
            <w:r w:rsidRPr="00BB7C9F">
              <w:rPr>
                <w:rFonts w:ascii="Arial Narrow" w:hAnsi="Arial Narrow"/>
                <w:b/>
                <w:sz w:val="20"/>
                <w:szCs w:val="20"/>
              </w:rPr>
              <w:t xml:space="preserve">Current </w:t>
            </w:r>
            <w:r w:rsidR="00631F18">
              <w:rPr>
                <w:rFonts w:ascii="Arial Narrow" w:hAnsi="Arial Narrow"/>
                <w:b/>
                <w:sz w:val="20"/>
                <w:szCs w:val="20"/>
              </w:rPr>
              <w:t xml:space="preserve">minor </w:t>
            </w:r>
            <w:r w:rsidRPr="00BB7C9F">
              <w:rPr>
                <w:rFonts w:ascii="Arial Narrow" w:hAnsi="Arial Narrow"/>
                <w:b/>
                <w:sz w:val="20"/>
                <w:szCs w:val="20"/>
              </w:rPr>
              <w:t>resubmission</w:t>
            </w:r>
          </w:p>
        </w:tc>
      </w:tr>
      <w:tr w:rsidR="00F574A6" w:rsidRPr="00F16087" w:rsidTr="00D27B29">
        <w:trPr>
          <w:cantSplit/>
          <w:trHeight w:val="525"/>
        </w:trPr>
        <w:tc>
          <w:tcPr>
            <w:tcW w:w="718" w:type="pct"/>
            <w:shd w:val="clear" w:color="auto" w:fill="auto"/>
          </w:tcPr>
          <w:p w:rsidR="00F574A6" w:rsidRPr="00BB7C9F" w:rsidRDefault="00F574A6" w:rsidP="00F574A6">
            <w:pPr>
              <w:rPr>
                <w:rFonts w:ascii="Arial Narrow" w:hAnsi="Arial Narrow"/>
                <w:sz w:val="20"/>
                <w:szCs w:val="20"/>
              </w:rPr>
            </w:pPr>
            <w:r w:rsidRPr="00BB7C9F">
              <w:rPr>
                <w:rFonts w:ascii="Arial Narrow" w:hAnsi="Arial Narrow"/>
                <w:sz w:val="20"/>
                <w:szCs w:val="20"/>
              </w:rPr>
              <w:t>Requested PBS listing</w:t>
            </w:r>
          </w:p>
        </w:tc>
        <w:tc>
          <w:tcPr>
            <w:tcW w:w="2497" w:type="pct"/>
            <w:shd w:val="clear" w:color="auto" w:fill="auto"/>
          </w:tcPr>
          <w:p w:rsidR="00F574A6" w:rsidRPr="00BB7C9F" w:rsidRDefault="00F574A6" w:rsidP="00F574A6">
            <w:pPr>
              <w:rPr>
                <w:rFonts w:ascii="Arial Narrow" w:hAnsi="Arial Narrow"/>
                <w:sz w:val="20"/>
                <w:szCs w:val="20"/>
              </w:rPr>
            </w:pPr>
            <w:r>
              <w:rPr>
                <w:rFonts w:ascii="Arial Narrow" w:hAnsi="Arial Narrow"/>
                <w:sz w:val="20"/>
                <w:szCs w:val="20"/>
              </w:rPr>
              <w:t>Section 100 (Highly Specialised Drug Program) Authority Required listing for the treatment of Fabry Disease in patients aged 16 and over who have an amenable mutation. Other drugs subsidised for treatment of Fabry disease are not listed on the PBS and are listed on the Life Saving Drugs Program (LSDP).</w:t>
            </w:r>
          </w:p>
        </w:tc>
        <w:tc>
          <w:tcPr>
            <w:tcW w:w="1785" w:type="pct"/>
          </w:tcPr>
          <w:p w:rsidR="00F574A6" w:rsidRPr="00BB7C9F" w:rsidRDefault="00F574A6" w:rsidP="00F574A6">
            <w:pPr>
              <w:rPr>
                <w:rFonts w:ascii="Arial Narrow" w:hAnsi="Arial Narrow"/>
                <w:sz w:val="20"/>
                <w:szCs w:val="20"/>
              </w:rPr>
            </w:pPr>
            <w:r>
              <w:rPr>
                <w:rFonts w:ascii="Arial Narrow" w:hAnsi="Arial Narrow"/>
                <w:sz w:val="20"/>
                <w:szCs w:val="20"/>
              </w:rPr>
              <w:t>Unchanged</w:t>
            </w:r>
          </w:p>
        </w:tc>
      </w:tr>
      <w:tr w:rsidR="00F574A6" w:rsidRPr="00F16087" w:rsidTr="00D27B29">
        <w:trPr>
          <w:cantSplit/>
          <w:trHeight w:val="422"/>
        </w:trPr>
        <w:tc>
          <w:tcPr>
            <w:tcW w:w="718" w:type="pct"/>
          </w:tcPr>
          <w:p w:rsidR="00F574A6" w:rsidRPr="00BB7C9F" w:rsidRDefault="00F574A6" w:rsidP="00F574A6">
            <w:pPr>
              <w:rPr>
                <w:rFonts w:ascii="Arial Narrow" w:hAnsi="Arial Narrow"/>
                <w:sz w:val="20"/>
                <w:szCs w:val="20"/>
              </w:rPr>
            </w:pPr>
            <w:r>
              <w:rPr>
                <w:rFonts w:ascii="Arial Narrow" w:hAnsi="Arial Narrow"/>
                <w:sz w:val="20"/>
                <w:szCs w:val="20"/>
              </w:rPr>
              <w:t>Requested price per patient per year</w:t>
            </w:r>
          </w:p>
        </w:tc>
        <w:tc>
          <w:tcPr>
            <w:tcW w:w="2497" w:type="pct"/>
          </w:tcPr>
          <w:p w:rsidR="00F574A6" w:rsidRPr="00722D02" w:rsidRDefault="00F574A6" w:rsidP="00B926E0">
            <w:pPr>
              <w:rPr>
                <w:rFonts w:ascii="Arial Narrow" w:hAnsi="Arial Narrow"/>
                <w:sz w:val="20"/>
              </w:rPr>
            </w:pPr>
            <w:r>
              <w:rPr>
                <w:rFonts w:ascii="Arial Narrow" w:hAnsi="Arial Narrow"/>
                <w:sz w:val="20"/>
              </w:rPr>
              <w:t>$</w:t>
            </w:r>
            <w:r w:rsidR="00DE0D17">
              <w:rPr>
                <w:rFonts w:ascii="Arial Narrow" w:hAnsi="Arial Narrow"/>
                <w:noProof/>
                <w:color w:val="000000"/>
                <w:sz w:val="20"/>
                <w:highlight w:val="black"/>
              </w:rPr>
              <w:t>''''''''''''''''''</w:t>
            </w:r>
          </w:p>
        </w:tc>
        <w:tc>
          <w:tcPr>
            <w:tcW w:w="1785" w:type="pct"/>
          </w:tcPr>
          <w:p w:rsidR="00F574A6" w:rsidRDefault="00F574A6" w:rsidP="00F574A6">
            <w:pPr>
              <w:rPr>
                <w:rFonts w:ascii="Arial Narrow" w:hAnsi="Arial Narrow"/>
                <w:sz w:val="20"/>
              </w:rPr>
            </w:pPr>
            <w:r w:rsidRPr="00562D65">
              <w:rPr>
                <w:rFonts w:ascii="Arial Narrow" w:hAnsi="Arial Narrow"/>
                <w:sz w:val="20"/>
              </w:rPr>
              <w:t>$</w:t>
            </w:r>
            <w:r w:rsidR="00DE0D17">
              <w:rPr>
                <w:rFonts w:ascii="Arial Narrow" w:hAnsi="Arial Narrow"/>
                <w:noProof/>
                <w:color w:val="000000"/>
                <w:sz w:val="20"/>
                <w:highlight w:val="black"/>
              </w:rPr>
              <w:t>''''''''''''''''''</w:t>
            </w:r>
          </w:p>
          <w:p w:rsidR="00F574A6" w:rsidRPr="00562D65" w:rsidRDefault="00F574A6" w:rsidP="00B926E0">
            <w:pPr>
              <w:rPr>
                <w:rFonts w:ascii="Arial Narrow" w:hAnsi="Arial Narrow"/>
                <w:sz w:val="20"/>
              </w:rPr>
            </w:pPr>
            <w:r>
              <w:rPr>
                <w:rFonts w:ascii="Arial Narrow" w:hAnsi="Arial Narrow"/>
                <w:sz w:val="20"/>
              </w:rPr>
              <w:t xml:space="preserve">This is a </w:t>
            </w:r>
            <w:r w:rsidR="00DE0D17">
              <w:rPr>
                <w:rFonts w:ascii="Arial Narrow" w:hAnsi="Arial Narrow"/>
                <w:noProof/>
                <w:color w:val="000000"/>
                <w:sz w:val="20"/>
                <w:highlight w:val="black"/>
              </w:rPr>
              <w:t>''''</w:t>
            </w:r>
            <w:r>
              <w:rPr>
                <w:rFonts w:ascii="Arial Narrow" w:hAnsi="Arial Narrow"/>
                <w:sz w:val="20"/>
              </w:rPr>
              <w:t>% reduction on the price proposed in the main submission</w:t>
            </w:r>
            <w:r w:rsidR="00BE6428">
              <w:rPr>
                <w:rFonts w:ascii="Arial Narrow" w:hAnsi="Arial Narrow"/>
                <w:sz w:val="20"/>
              </w:rPr>
              <w:t>.</w:t>
            </w:r>
          </w:p>
        </w:tc>
      </w:tr>
      <w:tr w:rsidR="00F574A6" w:rsidRPr="00F16087" w:rsidTr="00D27B29">
        <w:trPr>
          <w:cantSplit/>
          <w:trHeight w:val="860"/>
        </w:trPr>
        <w:tc>
          <w:tcPr>
            <w:tcW w:w="718" w:type="pct"/>
          </w:tcPr>
          <w:p w:rsidR="00F574A6" w:rsidRPr="00BB7C9F" w:rsidRDefault="00F574A6" w:rsidP="00F574A6">
            <w:pPr>
              <w:rPr>
                <w:rFonts w:ascii="Arial Narrow" w:hAnsi="Arial Narrow"/>
                <w:sz w:val="20"/>
                <w:szCs w:val="20"/>
              </w:rPr>
            </w:pPr>
            <w:r w:rsidRPr="00BB7C9F">
              <w:rPr>
                <w:rFonts w:ascii="Arial Narrow" w:hAnsi="Arial Narrow"/>
                <w:sz w:val="20"/>
                <w:szCs w:val="20"/>
              </w:rPr>
              <w:t>Comparator</w:t>
            </w:r>
          </w:p>
        </w:tc>
        <w:tc>
          <w:tcPr>
            <w:tcW w:w="2497" w:type="pct"/>
          </w:tcPr>
          <w:p w:rsidR="00F574A6" w:rsidRPr="000371CB" w:rsidRDefault="00F574A6" w:rsidP="005B3B2B">
            <w:pPr>
              <w:pStyle w:val="ListParagraph"/>
              <w:widowControl/>
              <w:numPr>
                <w:ilvl w:val="0"/>
                <w:numId w:val="16"/>
              </w:numPr>
              <w:ind w:left="397" w:hanging="218"/>
              <w:jc w:val="left"/>
              <w:rPr>
                <w:rFonts w:ascii="Arial Narrow" w:hAnsi="Arial Narrow"/>
                <w:sz w:val="20"/>
              </w:rPr>
            </w:pPr>
            <w:r w:rsidRPr="000371CB">
              <w:rPr>
                <w:rFonts w:ascii="Arial Narrow" w:hAnsi="Arial Narrow"/>
                <w:sz w:val="20"/>
              </w:rPr>
              <w:t>Agalsidase alfa and agalsidase beta</w:t>
            </w:r>
          </w:p>
          <w:p w:rsidR="00F574A6" w:rsidRPr="002561B3" w:rsidRDefault="00F574A6" w:rsidP="00F574A6">
            <w:pPr>
              <w:rPr>
                <w:rFonts w:ascii="Arial Narrow" w:hAnsi="Arial Narrow"/>
                <w:sz w:val="20"/>
                <w:szCs w:val="20"/>
              </w:rPr>
            </w:pPr>
            <w:r w:rsidRPr="002561B3">
              <w:rPr>
                <w:rFonts w:ascii="Arial Narrow" w:hAnsi="Arial Narrow"/>
                <w:b/>
                <w:sz w:val="20"/>
                <w:szCs w:val="20"/>
              </w:rPr>
              <w:t>PBAC comment:</w:t>
            </w:r>
            <w:r w:rsidRPr="002561B3">
              <w:rPr>
                <w:rFonts w:ascii="Arial Narrow" w:hAnsi="Arial Narrow"/>
                <w:sz w:val="20"/>
                <w:szCs w:val="20"/>
              </w:rPr>
              <w:t xml:space="preserve"> The PBAC recognised that agalsidase alfa and agalsidase beta are not listed on the PBS and have not been considered to be cost-effective for listing on the PBS, but agreed that these two treatments were the appropriate comparators (para 7.2).</w:t>
            </w:r>
          </w:p>
        </w:tc>
        <w:tc>
          <w:tcPr>
            <w:tcW w:w="1785" w:type="pct"/>
          </w:tcPr>
          <w:p w:rsidR="00F574A6" w:rsidRPr="009E21D2" w:rsidRDefault="00F574A6" w:rsidP="00F574A6">
            <w:pPr>
              <w:rPr>
                <w:rFonts w:ascii="Arial Narrow" w:hAnsi="Arial Narrow"/>
                <w:sz w:val="20"/>
              </w:rPr>
            </w:pPr>
            <w:r w:rsidRPr="009E21D2">
              <w:rPr>
                <w:rFonts w:ascii="Arial Narrow" w:hAnsi="Arial Narrow"/>
                <w:sz w:val="20"/>
              </w:rPr>
              <w:t>Unchanged</w:t>
            </w:r>
          </w:p>
        </w:tc>
      </w:tr>
      <w:tr w:rsidR="00F574A6" w:rsidRPr="00F16087" w:rsidTr="00D27B29">
        <w:trPr>
          <w:cantSplit/>
          <w:trHeight w:val="860"/>
        </w:trPr>
        <w:tc>
          <w:tcPr>
            <w:tcW w:w="718" w:type="pct"/>
          </w:tcPr>
          <w:p w:rsidR="00F574A6" w:rsidRPr="00BB7C9F" w:rsidRDefault="00F574A6" w:rsidP="00F574A6">
            <w:pPr>
              <w:rPr>
                <w:rFonts w:ascii="Arial Narrow" w:hAnsi="Arial Narrow"/>
                <w:sz w:val="20"/>
                <w:szCs w:val="20"/>
                <w:highlight w:val="yellow"/>
              </w:rPr>
            </w:pPr>
            <w:r w:rsidRPr="00BB7C9F">
              <w:rPr>
                <w:rFonts w:ascii="Arial Narrow" w:hAnsi="Arial Narrow"/>
                <w:sz w:val="20"/>
                <w:szCs w:val="20"/>
              </w:rPr>
              <w:t>Clinical evidence</w:t>
            </w:r>
          </w:p>
        </w:tc>
        <w:tc>
          <w:tcPr>
            <w:tcW w:w="2497" w:type="pct"/>
          </w:tcPr>
          <w:p w:rsidR="00F574A6" w:rsidRDefault="00F574A6" w:rsidP="005B3B2B">
            <w:pPr>
              <w:pStyle w:val="ListParagraph"/>
              <w:widowControl/>
              <w:numPr>
                <w:ilvl w:val="0"/>
                <w:numId w:val="16"/>
              </w:numPr>
              <w:ind w:left="397" w:hanging="218"/>
              <w:jc w:val="left"/>
              <w:rPr>
                <w:rFonts w:ascii="Arial Narrow" w:hAnsi="Arial Narrow"/>
                <w:sz w:val="20"/>
              </w:rPr>
            </w:pPr>
            <w:r>
              <w:rPr>
                <w:rFonts w:ascii="Arial Narrow" w:hAnsi="Arial Narrow"/>
                <w:sz w:val="20"/>
              </w:rPr>
              <w:t>ATTRACT: head-to-head trial comparing migalastat to ERT in treatment-experienced patients.</w:t>
            </w:r>
            <w:r w:rsidR="005B3B73">
              <w:rPr>
                <w:rFonts w:ascii="Arial Narrow" w:hAnsi="Arial Narrow"/>
                <w:sz w:val="20"/>
              </w:rPr>
              <w:t xml:space="preserve"> </w:t>
            </w:r>
            <w:r w:rsidR="005B3B73" w:rsidRPr="005B3B73">
              <w:rPr>
                <w:rFonts w:ascii="Arial Narrow" w:hAnsi="Arial Narrow"/>
                <w:sz w:val="20"/>
              </w:rPr>
              <w:t>(ITT, n=60; mITT amenable, n=52)</w:t>
            </w:r>
          </w:p>
          <w:p w:rsidR="00F574A6" w:rsidRDefault="00F574A6" w:rsidP="005B3B2B">
            <w:pPr>
              <w:pStyle w:val="ListParagraph"/>
              <w:widowControl/>
              <w:numPr>
                <w:ilvl w:val="0"/>
                <w:numId w:val="16"/>
              </w:numPr>
              <w:ind w:left="397" w:hanging="218"/>
              <w:jc w:val="left"/>
              <w:rPr>
                <w:rFonts w:ascii="Arial Narrow" w:hAnsi="Arial Narrow"/>
                <w:sz w:val="20"/>
              </w:rPr>
            </w:pPr>
            <w:r>
              <w:rPr>
                <w:rFonts w:ascii="Arial Narrow" w:hAnsi="Arial Narrow"/>
                <w:sz w:val="20"/>
              </w:rPr>
              <w:t>FACETS: head-to-head trial comparing migalastat to placebo in treatment-naïve patients</w:t>
            </w:r>
            <w:r w:rsidR="005B3B73">
              <w:rPr>
                <w:rFonts w:ascii="Arial Narrow" w:hAnsi="Arial Narrow"/>
                <w:sz w:val="20"/>
              </w:rPr>
              <w:t xml:space="preserve"> </w:t>
            </w:r>
            <w:r w:rsidR="005B3B73" w:rsidRPr="005B3B73">
              <w:rPr>
                <w:rFonts w:ascii="Arial Narrow" w:hAnsi="Arial Narrow"/>
                <w:sz w:val="20"/>
              </w:rPr>
              <w:t>(ITT, n=67; mITT amenable, n=50)</w:t>
            </w:r>
            <w:r>
              <w:rPr>
                <w:rFonts w:ascii="Arial Narrow" w:hAnsi="Arial Narrow"/>
                <w:sz w:val="20"/>
              </w:rPr>
              <w:t>.</w:t>
            </w:r>
          </w:p>
          <w:p w:rsidR="00F574A6" w:rsidRDefault="00F574A6" w:rsidP="00F574A6">
            <w:pPr>
              <w:rPr>
                <w:rFonts w:ascii="Arial Narrow" w:hAnsi="Arial Narrow"/>
                <w:sz w:val="20"/>
                <w:szCs w:val="20"/>
              </w:rPr>
            </w:pPr>
            <w:r w:rsidRPr="009E21D2">
              <w:rPr>
                <w:rFonts w:ascii="Arial Narrow" w:hAnsi="Arial Narrow"/>
                <w:b/>
                <w:sz w:val="20"/>
                <w:szCs w:val="20"/>
              </w:rPr>
              <w:t>PBAC comment:</w:t>
            </w:r>
            <w:r>
              <w:rPr>
                <w:rFonts w:ascii="Arial Narrow" w:hAnsi="Arial Narrow"/>
                <w:sz w:val="20"/>
                <w:szCs w:val="20"/>
              </w:rPr>
              <w:t xml:space="preserve"> the PBAC noted the concerns raised by ESC (small sample size, post-hoc analyses, variability in baseline disease characteristics) but recognised that Fabry disease is a rare condition leading to difficulties undertaking clinical trials in this patient population (para 7.3).</w:t>
            </w:r>
          </w:p>
          <w:p w:rsidR="00F574A6" w:rsidRPr="002561B3" w:rsidRDefault="00F574A6" w:rsidP="007A39FE">
            <w:pPr>
              <w:rPr>
                <w:rFonts w:ascii="Arial Narrow" w:hAnsi="Arial Narrow"/>
                <w:sz w:val="20"/>
                <w:szCs w:val="20"/>
              </w:rPr>
            </w:pPr>
            <w:r w:rsidRPr="002C307B">
              <w:rPr>
                <w:rFonts w:ascii="Arial Narrow" w:hAnsi="Arial Narrow"/>
                <w:sz w:val="20"/>
                <w:szCs w:val="20"/>
              </w:rPr>
              <w:t>The PBAC noted the planned outcomes of on-going Open-Label Extension Study of the Long-Term Effects of Migalastat HCL in Patients With Fabry Disease (ClinicalTrials.gov Identifier: NCT02194985)</w:t>
            </w:r>
            <w:r>
              <w:rPr>
                <w:rFonts w:ascii="Arial Narrow" w:hAnsi="Arial Narrow"/>
                <w:sz w:val="20"/>
                <w:szCs w:val="20"/>
              </w:rPr>
              <w:t xml:space="preserve"> (para 7.13).</w:t>
            </w:r>
          </w:p>
        </w:tc>
        <w:tc>
          <w:tcPr>
            <w:tcW w:w="1785" w:type="pct"/>
          </w:tcPr>
          <w:p w:rsidR="00F574A6" w:rsidRDefault="00F574A6" w:rsidP="00F574A6">
            <w:pPr>
              <w:rPr>
                <w:rFonts w:ascii="Arial Narrow" w:hAnsi="Arial Narrow"/>
                <w:sz w:val="20"/>
                <w:szCs w:val="20"/>
              </w:rPr>
            </w:pPr>
            <w:r w:rsidRPr="009E21D2">
              <w:rPr>
                <w:rFonts w:ascii="Arial Narrow" w:hAnsi="Arial Narrow"/>
                <w:sz w:val="20"/>
                <w:szCs w:val="20"/>
              </w:rPr>
              <w:t>No additional clinical evidence presented</w:t>
            </w:r>
            <w:r>
              <w:rPr>
                <w:rFonts w:ascii="Arial Narrow" w:hAnsi="Arial Narrow"/>
                <w:sz w:val="20"/>
                <w:szCs w:val="20"/>
              </w:rPr>
              <w:t xml:space="preserve"> </w:t>
            </w:r>
            <w:r w:rsidRPr="00D21915">
              <w:rPr>
                <w:rFonts w:ascii="Arial Narrow" w:hAnsi="Arial Narrow"/>
                <w:sz w:val="20"/>
                <w:szCs w:val="20"/>
              </w:rPr>
              <w:t>for the use of migalastat in Fabry disease</w:t>
            </w:r>
            <w:r w:rsidRPr="009E21D2">
              <w:rPr>
                <w:rFonts w:ascii="Arial Narrow" w:hAnsi="Arial Narrow"/>
                <w:sz w:val="20"/>
                <w:szCs w:val="20"/>
              </w:rPr>
              <w:t>.</w:t>
            </w:r>
          </w:p>
          <w:p w:rsidR="00F574A6" w:rsidRDefault="00F574A6" w:rsidP="00F574A6">
            <w:pPr>
              <w:rPr>
                <w:rFonts w:ascii="Arial Narrow" w:hAnsi="Arial Narrow"/>
                <w:sz w:val="20"/>
                <w:szCs w:val="20"/>
              </w:rPr>
            </w:pPr>
          </w:p>
          <w:p w:rsidR="00F574A6" w:rsidRPr="009E21D2" w:rsidRDefault="00F574A6" w:rsidP="00F574A6">
            <w:pPr>
              <w:rPr>
                <w:rFonts w:ascii="Arial Narrow" w:hAnsi="Arial Narrow"/>
                <w:sz w:val="20"/>
                <w:szCs w:val="20"/>
              </w:rPr>
            </w:pPr>
            <w:r>
              <w:rPr>
                <w:rFonts w:ascii="Arial Narrow" w:hAnsi="Arial Narrow"/>
                <w:sz w:val="20"/>
                <w:szCs w:val="20"/>
              </w:rPr>
              <w:t xml:space="preserve">The submission states </w:t>
            </w:r>
            <w:r w:rsidRPr="00D21915">
              <w:rPr>
                <w:rFonts w:ascii="Arial Narrow" w:hAnsi="Arial Narrow"/>
                <w:sz w:val="20"/>
                <w:szCs w:val="20"/>
              </w:rPr>
              <w:t>the trial NCT02194985 is ongoing and is not due to complete until October 2019</w:t>
            </w:r>
            <w:r>
              <w:rPr>
                <w:rFonts w:ascii="Arial Narrow" w:hAnsi="Arial Narrow"/>
                <w:sz w:val="20"/>
                <w:szCs w:val="20"/>
              </w:rPr>
              <w:t>…</w:t>
            </w:r>
            <w:r w:rsidRPr="00D21915">
              <w:rPr>
                <w:rFonts w:ascii="Arial Narrow" w:hAnsi="Arial Narrow"/>
                <w:sz w:val="20"/>
                <w:szCs w:val="20"/>
              </w:rPr>
              <w:t>it is not expected that the trial outcomes will differ greatly to those already presented for the pivotal trials in the major submission given that the purpose of migalastat is to stabilise disease and all patients in the trial receive migalastat (i.e. there is no control arm in these trials).</w:t>
            </w:r>
          </w:p>
        </w:tc>
      </w:tr>
      <w:tr w:rsidR="00F574A6" w:rsidRPr="00F16087" w:rsidTr="00D27B29">
        <w:trPr>
          <w:cantSplit/>
          <w:trHeight w:val="860"/>
        </w:trPr>
        <w:tc>
          <w:tcPr>
            <w:tcW w:w="718" w:type="pct"/>
          </w:tcPr>
          <w:p w:rsidR="00F574A6" w:rsidRPr="00BB7C9F" w:rsidRDefault="00F574A6" w:rsidP="00F574A6">
            <w:pPr>
              <w:rPr>
                <w:rFonts w:ascii="Arial Narrow" w:hAnsi="Arial Narrow"/>
                <w:sz w:val="20"/>
                <w:szCs w:val="20"/>
                <w:highlight w:val="yellow"/>
              </w:rPr>
            </w:pPr>
            <w:r w:rsidRPr="00BB7C9F">
              <w:rPr>
                <w:rFonts w:ascii="Arial Narrow" w:hAnsi="Arial Narrow"/>
                <w:sz w:val="20"/>
                <w:szCs w:val="20"/>
              </w:rPr>
              <w:t>Key effectiveness data</w:t>
            </w:r>
          </w:p>
        </w:tc>
        <w:tc>
          <w:tcPr>
            <w:tcW w:w="2497" w:type="pct"/>
          </w:tcPr>
          <w:p w:rsidR="00F574A6" w:rsidRDefault="00F574A6" w:rsidP="005B3B2B">
            <w:pPr>
              <w:pStyle w:val="ListParagraph"/>
              <w:widowControl/>
              <w:numPr>
                <w:ilvl w:val="0"/>
                <w:numId w:val="17"/>
              </w:numPr>
              <w:ind w:left="397" w:hanging="218"/>
              <w:jc w:val="left"/>
              <w:rPr>
                <w:rFonts w:ascii="Arial Narrow" w:hAnsi="Arial Narrow"/>
                <w:sz w:val="20"/>
              </w:rPr>
            </w:pPr>
            <w:r>
              <w:rPr>
                <w:rFonts w:ascii="Arial Narrow" w:hAnsi="Arial Narrow"/>
                <w:sz w:val="20"/>
              </w:rPr>
              <w:t>ATTRACT: annualised rate of change in GFR over 18 month treatment period.</w:t>
            </w:r>
          </w:p>
          <w:p w:rsidR="00F574A6" w:rsidRPr="003310C6" w:rsidRDefault="00F574A6" w:rsidP="005B3B2B">
            <w:pPr>
              <w:pStyle w:val="ListParagraph"/>
              <w:widowControl/>
              <w:numPr>
                <w:ilvl w:val="0"/>
                <w:numId w:val="17"/>
              </w:numPr>
              <w:ind w:left="397" w:hanging="218"/>
              <w:jc w:val="left"/>
              <w:rPr>
                <w:rFonts w:ascii="Arial Narrow" w:hAnsi="Arial Narrow"/>
                <w:b/>
                <w:sz w:val="20"/>
              </w:rPr>
            </w:pPr>
            <w:r>
              <w:rPr>
                <w:rFonts w:ascii="Arial Narrow" w:hAnsi="Arial Narrow"/>
                <w:sz w:val="20"/>
              </w:rPr>
              <w:t>FACETS: proportion of patients who achieved a more than 50% reduction in GL3 inclusions per kidney IC at month 6.</w:t>
            </w:r>
          </w:p>
          <w:p w:rsidR="00F574A6" w:rsidRPr="003310C6" w:rsidRDefault="00F574A6" w:rsidP="00F574A6">
            <w:pPr>
              <w:rPr>
                <w:rFonts w:ascii="Arial Narrow" w:hAnsi="Arial Narrow"/>
                <w:sz w:val="20"/>
                <w:szCs w:val="20"/>
              </w:rPr>
            </w:pPr>
            <w:r w:rsidRPr="003310C6">
              <w:rPr>
                <w:rFonts w:ascii="Arial Narrow" w:hAnsi="Arial Narrow"/>
                <w:b/>
                <w:sz w:val="20"/>
                <w:szCs w:val="20"/>
              </w:rPr>
              <w:t>PBAC comment:</w:t>
            </w:r>
            <w:r>
              <w:rPr>
                <w:rFonts w:ascii="Arial Narrow" w:hAnsi="Arial Narrow"/>
                <w:b/>
                <w:sz w:val="20"/>
                <w:szCs w:val="20"/>
              </w:rPr>
              <w:t xml:space="preserve"> </w:t>
            </w:r>
            <w:r>
              <w:rPr>
                <w:rFonts w:ascii="Arial Narrow" w:hAnsi="Arial Narrow"/>
                <w:sz w:val="20"/>
                <w:szCs w:val="20"/>
              </w:rPr>
              <w:t>The PBAC considered that change in GFR is a reliable marker of long-term kidney outcome, but that the non-inferiority criterion had not been fully justified (para 7.4). The PBAC noted that the magnitude of any benefit for the FACETS outcome compared to placebo was very imprecise and consistent with no effect (para 7.6).</w:t>
            </w:r>
          </w:p>
        </w:tc>
        <w:tc>
          <w:tcPr>
            <w:tcW w:w="1785" w:type="pct"/>
          </w:tcPr>
          <w:p w:rsidR="00F574A6" w:rsidRPr="005A5764" w:rsidRDefault="00C241F6" w:rsidP="00D27B29">
            <w:pPr>
              <w:rPr>
                <w:rFonts w:ascii="Arial Narrow" w:hAnsi="Arial Narrow"/>
                <w:sz w:val="20"/>
              </w:rPr>
            </w:pPr>
            <w:r w:rsidRPr="009E21D2">
              <w:rPr>
                <w:rFonts w:ascii="Arial Narrow" w:hAnsi="Arial Narrow"/>
                <w:sz w:val="20"/>
                <w:szCs w:val="20"/>
              </w:rPr>
              <w:t>No additional clinical evidence presented</w:t>
            </w:r>
            <w:r>
              <w:rPr>
                <w:rFonts w:ascii="Arial Narrow" w:hAnsi="Arial Narrow"/>
                <w:sz w:val="20"/>
                <w:szCs w:val="20"/>
              </w:rPr>
              <w:t xml:space="preserve"> </w:t>
            </w:r>
            <w:r w:rsidRPr="00D21915">
              <w:rPr>
                <w:rFonts w:ascii="Arial Narrow" w:hAnsi="Arial Narrow"/>
                <w:sz w:val="20"/>
                <w:szCs w:val="20"/>
              </w:rPr>
              <w:t>for the use of migalastat in Fabry disease</w:t>
            </w:r>
            <w:r w:rsidRPr="009E21D2">
              <w:rPr>
                <w:rFonts w:ascii="Arial Narrow" w:hAnsi="Arial Narrow"/>
                <w:sz w:val="20"/>
                <w:szCs w:val="20"/>
              </w:rPr>
              <w:t>.</w:t>
            </w:r>
          </w:p>
        </w:tc>
      </w:tr>
      <w:tr w:rsidR="00F574A6" w:rsidRPr="00F16087" w:rsidTr="00D27B29">
        <w:trPr>
          <w:cantSplit/>
          <w:trHeight w:val="860"/>
        </w:trPr>
        <w:tc>
          <w:tcPr>
            <w:tcW w:w="718" w:type="pct"/>
          </w:tcPr>
          <w:p w:rsidR="00F574A6" w:rsidRPr="00BB7C9F" w:rsidRDefault="00F574A6" w:rsidP="00F574A6">
            <w:pPr>
              <w:rPr>
                <w:rFonts w:ascii="Arial Narrow" w:hAnsi="Arial Narrow"/>
                <w:sz w:val="20"/>
                <w:szCs w:val="20"/>
              </w:rPr>
            </w:pPr>
            <w:r w:rsidRPr="00BB7C9F">
              <w:rPr>
                <w:rFonts w:ascii="Arial Narrow" w:hAnsi="Arial Narrow"/>
                <w:sz w:val="20"/>
                <w:szCs w:val="20"/>
              </w:rPr>
              <w:lastRenderedPageBreak/>
              <w:t>Clinical claim</w:t>
            </w:r>
          </w:p>
        </w:tc>
        <w:tc>
          <w:tcPr>
            <w:tcW w:w="2497" w:type="pct"/>
          </w:tcPr>
          <w:p w:rsidR="00F574A6" w:rsidRDefault="00F574A6" w:rsidP="00F574A6">
            <w:pPr>
              <w:rPr>
                <w:rFonts w:ascii="Arial Narrow" w:hAnsi="Arial Narrow"/>
                <w:sz w:val="20"/>
                <w:szCs w:val="20"/>
              </w:rPr>
            </w:pPr>
            <w:r>
              <w:rPr>
                <w:rFonts w:ascii="Arial Narrow" w:hAnsi="Arial Narrow"/>
                <w:sz w:val="20"/>
                <w:szCs w:val="20"/>
              </w:rPr>
              <w:t>Non-inferior comparative effectiveness and safety over enzyme replacement therapy (ERT</w:t>
            </w:r>
            <w:r w:rsidR="00184A48">
              <w:rPr>
                <w:rFonts w:ascii="Arial Narrow" w:hAnsi="Arial Narrow"/>
                <w:sz w:val="20"/>
                <w:szCs w:val="20"/>
              </w:rPr>
              <w:t>)</w:t>
            </w:r>
            <w:r>
              <w:rPr>
                <w:rFonts w:ascii="Arial Narrow" w:hAnsi="Arial Narrow"/>
                <w:sz w:val="20"/>
                <w:szCs w:val="20"/>
              </w:rPr>
              <w:t xml:space="preserve"> based on surrogate biomarker outcomes.</w:t>
            </w:r>
          </w:p>
          <w:p w:rsidR="00F574A6" w:rsidRDefault="00F574A6" w:rsidP="00F574A6">
            <w:pPr>
              <w:rPr>
                <w:rFonts w:ascii="Arial Narrow" w:hAnsi="Arial Narrow"/>
                <w:sz w:val="20"/>
                <w:szCs w:val="20"/>
              </w:rPr>
            </w:pPr>
            <w:r w:rsidRPr="000371CB">
              <w:rPr>
                <w:rFonts w:ascii="Arial Narrow" w:hAnsi="Arial Narrow"/>
                <w:b/>
                <w:sz w:val="20"/>
                <w:szCs w:val="20"/>
              </w:rPr>
              <w:t>PBAC comment:</w:t>
            </w:r>
            <w:r>
              <w:rPr>
                <w:rFonts w:ascii="Arial Narrow" w:hAnsi="Arial Narrow"/>
                <w:b/>
                <w:sz w:val="20"/>
                <w:szCs w:val="20"/>
              </w:rPr>
              <w:t xml:space="preserve"> </w:t>
            </w:r>
            <w:r w:rsidRPr="000371CB">
              <w:rPr>
                <w:rFonts w:ascii="Arial Narrow" w:hAnsi="Arial Narrow"/>
                <w:sz w:val="20"/>
                <w:szCs w:val="20"/>
              </w:rPr>
              <w:t>The PBAC did not accept the submission’s claim of non-inferiority compared with ERT (para 7.11)</w:t>
            </w:r>
            <w:r>
              <w:rPr>
                <w:rFonts w:ascii="Arial Narrow" w:hAnsi="Arial Narrow"/>
                <w:sz w:val="20"/>
                <w:szCs w:val="20"/>
              </w:rPr>
              <w:t>, as the non-inferiority criterion had not been fully justified…</w:t>
            </w:r>
            <w:r w:rsidRPr="00F413D8">
              <w:rPr>
                <w:rFonts w:ascii="Arial Narrow" w:hAnsi="Arial Narrow"/>
                <w:sz w:val="20"/>
                <w:szCs w:val="20"/>
              </w:rPr>
              <w:t xml:space="preserve">the relative effectiveness of ERT and migalastat is uncertain </w:t>
            </w:r>
            <w:r>
              <w:rPr>
                <w:rFonts w:ascii="Arial Narrow" w:hAnsi="Arial Narrow"/>
                <w:sz w:val="20"/>
                <w:szCs w:val="20"/>
              </w:rPr>
              <w:t>(para 7.4).</w:t>
            </w:r>
          </w:p>
          <w:p w:rsidR="00F574A6" w:rsidRDefault="00F574A6" w:rsidP="00F574A6">
            <w:pPr>
              <w:rPr>
                <w:rFonts w:ascii="Arial Narrow" w:hAnsi="Arial Narrow"/>
                <w:sz w:val="20"/>
                <w:szCs w:val="20"/>
              </w:rPr>
            </w:pPr>
            <w:r w:rsidRPr="00F413D8">
              <w:rPr>
                <w:rFonts w:ascii="Arial Narrow" w:hAnsi="Arial Narrow"/>
                <w:sz w:val="20"/>
                <w:szCs w:val="20"/>
              </w:rPr>
              <w:t xml:space="preserve">The PBAC noted that </w:t>
            </w:r>
            <w:r>
              <w:rPr>
                <w:rFonts w:ascii="Arial Narrow" w:hAnsi="Arial Narrow"/>
                <w:sz w:val="20"/>
                <w:szCs w:val="20"/>
              </w:rPr>
              <w:t xml:space="preserve">the </w:t>
            </w:r>
            <w:r w:rsidRPr="00F413D8">
              <w:rPr>
                <w:rFonts w:ascii="Arial Narrow" w:hAnsi="Arial Narrow"/>
                <w:sz w:val="20"/>
                <w:szCs w:val="20"/>
              </w:rPr>
              <w:t>primary outcome in FACETS was the proportion of pa</w:t>
            </w:r>
            <w:r>
              <w:rPr>
                <w:rFonts w:ascii="Arial Narrow" w:hAnsi="Arial Narrow"/>
                <w:sz w:val="20"/>
                <w:szCs w:val="20"/>
              </w:rPr>
              <w:t>tients who achieved a response…</w:t>
            </w:r>
            <w:r w:rsidRPr="00F413D8">
              <w:rPr>
                <w:rFonts w:ascii="Arial Narrow" w:hAnsi="Arial Narrow"/>
                <w:sz w:val="20"/>
                <w:szCs w:val="20"/>
              </w:rPr>
              <w:t>but that the magnitude of any benefit for this outcome, compared to placebo, was very imprecise and consistent with no effect [in treatment-naïve patients] (para 7.6).</w:t>
            </w:r>
          </w:p>
          <w:p w:rsidR="00F574A6" w:rsidRPr="00F413D8" w:rsidRDefault="00F574A6" w:rsidP="00F574A6">
            <w:pPr>
              <w:rPr>
                <w:rFonts w:ascii="Arial Narrow" w:hAnsi="Arial Narrow"/>
                <w:sz w:val="20"/>
                <w:szCs w:val="20"/>
              </w:rPr>
            </w:pPr>
            <w:r>
              <w:rPr>
                <w:rFonts w:ascii="Arial Narrow" w:hAnsi="Arial Narrow"/>
                <w:sz w:val="20"/>
                <w:szCs w:val="20"/>
              </w:rPr>
              <w:t xml:space="preserve">The </w:t>
            </w:r>
            <w:r w:rsidRPr="00736CB3">
              <w:rPr>
                <w:rFonts w:ascii="Arial Narrow" w:hAnsi="Arial Narrow"/>
                <w:sz w:val="20"/>
                <w:szCs w:val="20"/>
              </w:rPr>
              <w:t>PBAC considered with the currently available evidence in treatment naïve patients and in treatment experienced or switch patients, it was reasonable to accept the claim of non-inferior comparative safety compared to ERT</w:t>
            </w:r>
            <w:r>
              <w:rPr>
                <w:rFonts w:ascii="Arial Narrow" w:hAnsi="Arial Narrow"/>
                <w:sz w:val="20"/>
                <w:szCs w:val="20"/>
              </w:rPr>
              <w:t xml:space="preserve"> (para 7.8). </w:t>
            </w:r>
          </w:p>
        </w:tc>
        <w:tc>
          <w:tcPr>
            <w:tcW w:w="1785" w:type="pct"/>
          </w:tcPr>
          <w:p w:rsidR="00F574A6" w:rsidRPr="00BB7C9F" w:rsidRDefault="00F574A6" w:rsidP="00B926E0">
            <w:pPr>
              <w:rPr>
                <w:rFonts w:ascii="Arial Narrow" w:hAnsi="Arial Narrow"/>
                <w:sz w:val="20"/>
                <w:szCs w:val="20"/>
              </w:rPr>
            </w:pPr>
            <w:r>
              <w:rPr>
                <w:rFonts w:ascii="Arial Narrow" w:hAnsi="Arial Narrow"/>
                <w:sz w:val="20"/>
                <w:szCs w:val="20"/>
              </w:rPr>
              <w:t>No change.</w:t>
            </w:r>
          </w:p>
        </w:tc>
      </w:tr>
      <w:tr w:rsidR="00F574A6" w:rsidRPr="00F16087" w:rsidTr="00D27B29">
        <w:trPr>
          <w:cantSplit/>
          <w:trHeight w:val="860"/>
        </w:trPr>
        <w:tc>
          <w:tcPr>
            <w:tcW w:w="718" w:type="pct"/>
          </w:tcPr>
          <w:p w:rsidR="00F574A6" w:rsidRPr="00BB7C9F" w:rsidRDefault="00F574A6" w:rsidP="00F574A6">
            <w:pPr>
              <w:rPr>
                <w:rFonts w:ascii="Arial Narrow" w:hAnsi="Arial Narrow"/>
                <w:sz w:val="20"/>
                <w:szCs w:val="20"/>
                <w:highlight w:val="yellow"/>
              </w:rPr>
            </w:pPr>
            <w:r w:rsidRPr="00BB7C9F">
              <w:rPr>
                <w:rFonts w:ascii="Arial Narrow" w:hAnsi="Arial Narrow"/>
                <w:sz w:val="20"/>
                <w:szCs w:val="20"/>
              </w:rPr>
              <w:t>Economic evaluation</w:t>
            </w:r>
          </w:p>
        </w:tc>
        <w:tc>
          <w:tcPr>
            <w:tcW w:w="2497" w:type="pct"/>
          </w:tcPr>
          <w:p w:rsidR="00F574A6" w:rsidRPr="00BB7C9F" w:rsidRDefault="00F574A6" w:rsidP="00F574A6">
            <w:pPr>
              <w:rPr>
                <w:rFonts w:ascii="Arial Narrow" w:hAnsi="Arial Narrow"/>
                <w:sz w:val="20"/>
                <w:szCs w:val="20"/>
              </w:rPr>
            </w:pPr>
            <w:r>
              <w:rPr>
                <w:rFonts w:ascii="Arial Narrow" w:hAnsi="Arial Narrow"/>
                <w:sz w:val="20"/>
                <w:szCs w:val="20"/>
              </w:rPr>
              <w:t>Cost-minimisation against agalsidase alfa and agalsidase beta, weighted according to market share.</w:t>
            </w:r>
          </w:p>
        </w:tc>
        <w:tc>
          <w:tcPr>
            <w:tcW w:w="1785" w:type="pct"/>
          </w:tcPr>
          <w:p w:rsidR="00F574A6" w:rsidRPr="00BB7C9F" w:rsidRDefault="00F574A6" w:rsidP="000F39EC">
            <w:pPr>
              <w:rPr>
                <w:rFonts w:ascii="Arial Narrow" w:hAnsi="Arial Narrow"/>
                <w:sz w:val="20"/>
                <w:szCs w:val="20"/>
              </w:rPr>
            </w:pPr>
            <w:r>
              <w:rPr>
                <w:rFonts w:ascii="Arial Narrow" w:hAnsi="Arial Narrow"/>
                <w:sz w:val="20"/>
                <w:szCs w:val="20"/>
              </w:rPr>
              <w:t xml:space="preserve">The new proposed price is weighted according to the proportions of ERT products used in </w:t>
            </w:r>
            <w:r w:rsidR="000F39EC">
              <w:rPr>
                <w:rFonts w:ascii="Arial Narrow" w:hAnsi="Arial Narrow"/>
                <w:sz w:val="20"/>
                <w:szCs w:val="20"/>
              </w:rPr>
              <w:t xml:space="preserve">the </w:t>
            </w:r>
            <w:r>
              <w:rPr>
                <w:rFonts w:ascii="Arial Narrow" w:hAnsi="Arial Narrow"/>
                <w:sz w:val="20"/>
                <w:szCs w:val="20"/>
              </w:rPr>
              <w:t>ATTRACT</w:t>
            </w:r>
            <w:r w:rsidR="000F39EC">
              <w:rPr>
                <w:rFonts w:ascii="Arial Narrow" w:hAnsi="Arial Narrow"/>
                <w:sz w:val="20"/>
                <w:szCs w:val="20"/>
              </w:rPr>
              <w:t xml:space="preserve"> trial</w:t>
            </w:r>
            <w:r>
              <w:rPr>
                <w:rFonts w:ascii="Arial Narrow" w:hAnsi="Arial Narrow"/>
                <w:sz w:val="20"/>
                <w:szCs w:val="20"/>
              </w:rPr>
              <w:t>.</w:t>
            </w:r>
            <w:r w:rsidR="000F39EC">
              <w:rPr>
                <w:rFonts w:ascii="Arial Narrow" w:hAnsi="Arial Narrow"/>
                <w:sz w:val="20"/>
                <w:szCs w:val="20"/>
              </w:rPr>
              <w:t xml:space="preserve"> </w:t>
            </w:r>
            <w:r w:rsidR="000F39EC" w:rsidRPr="000F39EC">
              <w:rPr>
                <w:rFonts w:ascii="Arial Narrow" w:hAnsi="Arial Narrow"/>
                <w:sz w:val="20"/>
                <w:szCs w:val="20"/>
              </w:rPr>
              <w:t xml:space="preserve">The pre-PBAC response proposed that certain factors could be considered in determining the price of migalastat, including the cost of therapy in patients who receive migalastat but do not demonstrate a </w:t>
            </w:r>
            <w:r w:rsidR="00E964F6">
              <w:rPr>
                <w:rFonts w:ascii="Arial Narrow" w:hAnsi="Arial Narrow"/>
                <w:sz w:val="20"/>
                <w:szCs w:val="20"/>
              </w:rPr>
              <w:t xml:space="preserve">response </w:t>
            </w:r>
            <w:r w:rsidR="000F39EC" w:rsidRPr="000F39EC">
              <w:rPr>
                <w:rFonts w:ascii="Arial Narrow" w:hAnsi="Arial Narrow"/>
                <w:sz w:val="20"/>
                <w:szCs w:val="20"/>
              </w:rPr>
              <w:t>at 6 months and any additional costs of monitoring and of initiating treatment</w:t>
            </w:r>
            <w:r w:rsidR="00D27B29">
              <w:rPr>
                <w:rFonts w:ascii="Arial Narrow" w:hAnsi="Arial Narrow"/>
                <w:sz w:val="20"/>
                <w:szCs w:val="20"/>
              </w:rPr>
              <w:t>.</w:t>
            </w:r>
          </w:p>
        </w:tc>
      </w:tr>
      <w:tr w:rsidR="00F574A6" w:rsidRPr="00F16087" w:rsidTr="00D27B29">
        <w:trPr>
          <w:cantSplit/>
          <w:trHeight w:val="416"/>
        </w:trPr>
        <w:tc>
          <w:tcPr>
            <w:tcW w:w="718" w:type="pct"/>
          </w:tcPr>
          <w:p w:rsidR="00F574A6" w:rsidRPr="00BB7C9F" w:rsidRDefault="00F574A6" w:rsidP="00F574A6">
            <w:pPr>
              <w:rPr>
                <w:rFonts w:ascii="Arial Narrow" w:hAnsi="Arial Narrow"/>
                <w:sz w:val="20"/>
                <w:szCs w:val="20"/>
              </w:rPr>
            </w:pPr>
            <w:r w:rsidRPr="00BB7C9F">
              <w:rPr>
                <w:rFonts w:ascii="Arial Narrow" w:hAnsi="Arial Narrow"/>
                <w:sz w:val="20"/>
                <w:szCs w:val="20"/>
              </w:rPr>
              <w:t>Risk sharing arrangement</w:t>
            </w:r>
          </w:p>
        </w:tc>
        <w:tc>
          <w:tcPr>
            <w:tcW w:w="2497" w:type="pct"/>
          </w:tcPr>
          <w:p w:rsidR="00F574A6" w:rsidRPr="00BB7C9F" w:rsidRDefault="00F574A6" w:rsidP="00F574A6">
            <w:pPr>
              <w:jc w:val="both"/>
              <w:rPr>
                <w:rFonts w:ascii="Arial Narrow" w:hAnsi="Arial Narrow"/>
                <w:sz w:val="20"/>
                <w:szCs w:val="20"/>
              </w:rPr>
            </w:pPr>
            <w:r w:rsidRPr="003A3EE0">
              <w:rPr>
                <w:rFonts w:ascii="Arial Narrow" w:hAnsi="Arial Narrow"/>
                <w:sz w:val="20"/>
                <w:szCs w:val="20"/>
              </w:rPr>
              <w:t>The submission stated that the sponsor is “willing to discuss the negotiation of an agreement, at the appropriate time, to facilitate the listing of migalastat”. The submission does not present any details of the proposed risk share arrangement. The ESC noted that a cap on the total costs of Fabry disease treatment could be considered to share the risk of the uncertain population size</w:t>
            </w:r>
            <w:r>
              <w:rPr>
                <w:rFonts w:ascii="Arial Narrow" w:hAnsi="Arial Narrow"/>
                <w:sz w:val="20"/>
                <w:szCs w:val="20"/>
              </w:rPr>
              <w:t xml:space="preserve"> (para 6.36).</w:t>
            </w:r>
          </w:p>
        </w:tc>
        <w:tc>
          <w:tcPr>
            <w:tcW w:w="1785" w:type="pct"/>
          </w:tcPr>
          <w:p w:rsidR="00F574A6" w:rsidRPr="00BB7C9F" w:rsidRDefault="000F39EC" w:rsidP="000F39EC">
            <w:pPr>
              <w:rPr>
                <w:rFonts w:ascii="Arial Narrow" w:hAnsi="Arial Narrow"/>
                <w:sz w:val="20"/>
                <w:szCs w:val="20"/>
              </w:rPr>
            </w:pPr>
            <w:r>
              <w:rPr>
                <w:rFonts w:ascii="Arial Narrow" w:hAnsi="Arial Narrow"/>
                <w:sz w:val="20"/>
                <w:szCs w:val="20"/>
              </w:rPr>
              <w:t>The pre-PBAC response discussed various mechanisms to mitigate against risks.</w:t>
            </w:r>
          </w:p>
        </w:tc>
      </w:tr>
      <w:tr w:rsidR="00F574A6" w:rsidRPr="00F16087" w:rsidTr="00D27B29">
        <w:trPr>
          <w:cantSplit/>
          <w:trHeight w:val="860"/>
        </w:trPr>
        <w:tc>
          <w:tcPr>
            <w:tcW w:w="718" w:type="pct"/>
          </w:tcPr>
          <w:p w:rsidR="00F574A6" w:rsidRPr="00BB7C9F" w:rsidRDefault="00F574A6" w:rsidP="00F574A6">
            <w:pPr>
              <w:rPr>
                <w:rFonts w:ascii="Arial Narrow" w:hAnsi="Arial Narrow"/>
                <w:sz w:val="20"/>
                <w:szCs w:val="20"/>
                <w:highlight w:val="yellow"/>
              </w:rPr>
            </w:pPr>
            <w:r w:rsidRPr="00BB7C9F">
              <w:rPr>
                <w:rFonts w:ascii="Arial Narrow" w:hAnsi="Arial Narrow"/>
                <w:sz w:val="20"/>
                <w:szCs w:val="20"/>
                <w:highlight w:val="yellow"/>
              </w:rPr>
              <w:br w:type="page"/>
            </w:r>
            <w:r w:rsidRPr="00BB7C9F">
              <w:rPr>
                <w:rFonts w:ascii="Arial Narrow" w:hAnsi="Arial Narrow"/>
                <w:sz w:val="20"/>
                <w:szCs w:val="20"/>
              </w:rPr>
              <w:t>PBAC decision</w:t>
            </w:r>
          </w:p>
        </w:tc>
        <w:tc>
          <w:tcPr>
            <w:tcW w:w="2497" w:type="pct"/>
          </w:tcPr>
          <w:p w:rsidR="00F574A6" w:rsidRPr="00BB7C9F" w:rsidRDefault="00F574A6" w:rsidP="00F574A6">
            <w:pPr>
              <w:rPr>
                <w:rFonts w:ascii="Arial Narrow" w:hAnsi="Arial Narrow"/>
                <w:bCs/>
                <w:sz w:val="20"/>
                <w:szCs w:val="20"/>
              </w:rPr>
            </w:pPr>
            <w:r>
              <w:rPr>
                <w:rFonts w:ascii="Arial Narrow" w:hAnsi="Arial Narrow"/>
                <w:bCs/>
                <w:sz w:val="20"/>
                <w:szCs w:val="20"/>
              </w:rPr>
              <w:t>Defer.</w:t>
            </w:r>
          </w:p>
          <w:p w:rsidR="00F574A6" w:rsidRPr="00BB7C9F" w:rsidRDefault="00F574A6" w:rsidP="00F574A6">
            <w:pPr>
              <w:rPr>
                <w:rFonts w:ascii="Arial Narrow" w:hAnsi="Arial Narrow"/>
                <w:sz w:val="20"/>
                <w:szCs w:val="20"/>
              </w:rPr>
            </w:pPr>
            <w:r w:rsidRPr="00BB7C9F">
              <w:rPr>
                <w:rFonts w:ascii="Arial Narrow" w:hAnsi="Arial Narrow"/>
                <w:b/>
                <w:sz w:val="20"/>
                <w:szCs w:val="20"/>
              </w:rPr>
              <w:t>PBAC Comment:</w:t>
            </w:r>
            <w:r w:rsidRPr="00BB7C9F">
              <w:rPr>
                <w:rFonts w:ascii="Arial Narrow" w:hAnsi="Arial Narrow"/>
                <w:sz w:val="20"/>
                <w:szCs w:val="20"/>
              </w:rPr>
              <w:t xml:space="preserve"> (para 7.1) The PBAC </w:t>
            </w:r>
            <w:r>
              <w:rPr>
                <w:rFonts w:ascii="Arial Narrow" w:hAnsi="Arial Narrow"/>
                <w:sz w:val="20"/>
                <w:szCs w:val="20"/>
              </w:rPr>
              <w:t>deferred making a recommendation on the listing of migalastat for Fabry Disease pending the outcome of the TGA evaluation.</w:t>
            </w:r>
          </w:p>
        </w:tc>
        <w:tc>
          <w:tcPr>
            <w:tcW w:w="1785" w:type="pct"/>
          </w:tcPr>
          <w:p w:rsidR="00F574A6" w:rsidRPr="00BB7C9F" w:rsidRDefault="00F574A6" w:rsidP="007A39FE">
            <w:pPr>
              <w:rPr>
                <w:rFonts w:ascii="Arial Narrow" w:hAnsi="Arial Narrow"/>
                <w:sz w:val="20"/>
                <w:szCs w:val="20"/>
              </w:rPr>
            </w:pPr>
            <w:r>
              <w:rPr>
                <w:rFonts w:ascii="Arial Narrow" w:hAnsi="Arial Narrow"/>
                <w:sz w:val="20"/>
                <w:szCs w:val="20"/>
              </w:rPr>
              <w:t>N/A.</w:t>
            </w:r>
          </w:p>
        </w:tc>
      </w:tr>
    </w:tbl>
    <w:p w:rsidR="00F574A6" w:rsidRPr="00B926E0" w:rsidRDefault="00F574A6" w:rsidP="005276AD">
      <w:pPr>
        <w:rPr>
          <w:rFonts w:ascii="Calibri" w:hAnsi="Calibri"/>
          <w:sz w:val="22"/>
        </w:rPr>
      </w:pPr>
    </w:p>
    <w:p w:rsidR="00C7356F" w:rsidRPr="00D53A41" w:rsidRDefault="00C7356F" w:rsidP="00B926E0">
      <w:pPr>
        <w:ind w:left="709"/>
        <w:rPr>
          <w:sz w:val="22"/>
        </w:rPr>
      </w:pPr>
      <w:r w:rsidRPr="00D53A41">
        <w:rPr>
          <w:rFonts w:asciiTheme="minorHAnsi" w:hAnsiTheme="minorHAnsi"/>
          <w:i/>
          <w:sz w:val="22"/>
        </w:rPr>
        <w:t xml:space="preserve">For more detail on PBAC’s view, see section </w:t>
      </w:r>
      <w:r w:rsidR="00D53A41" w:rsidRPr="00D53A41">
        <w:rPr>
          <w:rFonts w:asciiTheme="minorHAnsi" w:hAnsiTheme="minorHAnsi"/>
          <w:i/>
          <w:sz w:val="22"/>
        </w:rPr>
        <w:t>5</w:t>
      </w:r>
      <w:r w:rsidRPr="00D53A41">
        <w:rPr>
          <w:rFonts w:asciiTheme="minorHAnsi" w:hAnsiTheme="minorHAnsi"/>
          <w:i/>
          <w:sz w:val="22"/>
        </w:rPr>
        <w:t xml:space="preserve"> “PBAC outcome.”</w:t>
      </w:r>
    </w:p>
    <w:p w:rsidR="00C7356F" w:rsidRPr="00B926E0" w:rsidRDefault="00C7356F" w:rsidP="005276AD">
      <w:pPr>
        <w:rPr>
          <w:rFonts w:asciiTheme="minorHAnsi" w:hAnsiTheme="minorHAnsi"/>
          <w:sz w:val="22"/>
          <w:szCs w:val="22"/>
        </w:rPr>
      </w:pPr>
    </w:p>
    <w:p w:rsidR="000B558D" w:rsidRPr="00352694" w:rsidRDefault="008D7A41" w:rsidP="008A50F1">
      <w:pPr>
        <w:pStyle w:val="PBACHeading1"/>
        <w:rPr>
          <w:rFonts w:asciiTheme="minorHAnsi" w:hAnsiTheme="minorHAnsi"/>
          <w:sz w:val="28"/>
          <w:szCs w:val="28"/>
        </w:rPr>
      </w:pPr>
      <w:r w:rsidRPr="00352694">
        <w:rPr>
          <w:rFonts w:asciiTheme="minorHAnsi" w:hAnsiTheme="minorHAnsi"/>
          <w:sz w:val="28"/>
          <w:szCs w:val="28"/>
        </w:rPr>
        <w:t>C</w:t>
      </w:r>
      <w:r w:rsidR="00D84934" w:rsidRPr="00352694">
        <w:rPr>
          <w:rFonts w:asciiTheme="minorHAnsi" w:hAnsiTheme="minorHAnsi"/>
          <w:sz w:val="28"/>
          <w:szCs w:val="28"/>
        </w:rPr>
        <w:t>onsideration of the evidence</w:t>
      </w:r>
    </w:p>
    <w:p w:rsidR="00937C33" w:rsidRPr="00B926E0" w:rsidRDefault="00352694" w:rsidP="00352694">
      <w:pPr>
        <w:tabs>
          <w:tab w:val="left" w:pos="2730"/>
        </w:tabs>
        <w:rPr>
          <w:rFonts w:asciiTheme="minorHAnsi" w:hAnsiTheme="minorHAnsi"/>
          <w:sz w:val="22"/>
          <w:szCs w:val="22"/>
        </w:rPr>
      </w:pPr>
      <w:r>
        <w:rPr>
          <w:rFonts w:asciiTheme="minorHAnsi" w:hAnsiTheme="minorHAnsi"/>
          <w:sz w:val="22"/>
          <w:szCs w:val="22"/>
        </w:rPr>
        <w:tab/>
      </w:r>
    </w:p>
    <w:p w:rsidR="00C7356F" w:rsidRPr="00352694" w:rsidRDefault="00B926E0" w:rsidP="00C7356F">
      <w:pPr>
        <w:pStyle w:val="Heading2"/>
        <w:rPr>
          <w:rFonts w:asciiTheme="minorHAnsi" w:hAnsiTheme="minorHAnsi"/>
          <w:sz w:val="24"/>
        </w:rPr>
      </w:pPr>
      <w:r w:rsidRPr="00352694">
        <w:rPr>
          <w:rFonts w:asciiTheme="minorHAnsi" w:hAnsiTheme="minorHAnsi"/>
          <w:sz w:val="24"/>
        </w:rPr>
        <w:t>Sponsor hearing</w:t>
      </w:r>
    </w:p>
    <w:p w:rsidR="00C7356F" w:rsidRPr="00352694" w:rsidRDefault="00C7356F" w:rsidP="005276AD">
      <w:pPr>
        <w:rPr>
          <w:rFonts w:asciiTheme="minorHAnsi" w:hAnsiTheme="minorHAnsi"/>
        </w:rPr>
      </w:pPr>
    </w:p>
    <w:p w:rsidR="00C7356F" w:rsidRPr="00352694" w:rsidRDefault="00C7356F" w:rsidP="00C7356F">
      <w:pPr>
        <w:widowControl w:val="0"/>
        <w:numPr>
          <w:ilvl w:val="1"/>
          <w:numId w:val="14"/>
        </w:numPr>
        <w:jc w:val="both"/>
        <w:rPr>
          <w:rFonts w:asciiTheme="minorHAnsi" w:hAnsiTheme="minorHAnsi"/>
        </w:rPr>
      </w:pPr>
      <w:r w:rsidRPr="00352694">
        <w:rPr>
          <w:rFonts w:asciiTheme="minorHAnsi" w:hAnsiTheme="minorHAnsi"/>
        </w:rPr>
        <w:t>There was no hearing for this ite</w:t>
      </w:r>
      <w:r w:rsidR="00B926E0" w:rsidRPr="00352694">
        <w:rPr>
          <w:rFonts w:asciiTheme="minorHAnsi" w:hAnsiTheme="minorHAnsi"/>
        </w:rPr>
        <w:t>m as it was a minor submission.</w:t>
      </w:r>
    </w:p>
    <w:p w:rsidR="00C7356F" w:rsidRPr="00352694" w:rsidRDefault="00C7356F" w:rsidP="005276AD">
      <w:pPr>
        <w:rPr>
          <w:rFonts w:asciiTheme="minorHAnsi" w:hAnsiTheme="minorHAnsi"/>
        </w:rPr>
      </w:pPr>
    </w:p>
    <w:p w:rsidR="00C7356F" w:rsidRPr="00352694" w:rsidRDefault="00B926E0" w:rsidP="008F7AC2">
      <w:pPr>
        <w:pStyle w:val="Heading2"/>
        <w:rPr>
          <w:rFonts w:asciiTheme="minorHAnsi" w:hAnsiTheme="minorHAnsi"/>
          <w:sz w:val="24"/>
        </w:rPr>
      </w:pPr>
      <w:r w:rsidRPr="00352694">
        <w:rPr>
          <w:rFonts w:asciiTheme="minorHAnsi" w:hAnsiTheme="minorHAnsi"/>
          <w:sz w:val="24"/>
        </w:rPr>
        <w:t>Consumer comments</w:t>
      </w:r>
    </w:p>
    <w:p w:rsidR="00C7356F" w:rsidRPr="00352694" w:rsidRDefault="00C7356F" w:rsidP="008F7AC2">
      <w:pPr>
        <w:keepNext/>
        <w:rPr>
          <w:rFonts w:asciiTheme="minorHAnsi" w:hAnsiTheme="minorHAnsi"/>
        </w:rPr>
      </w:pPr>
    </w:p>
    <w:p w:rsidR="00C7356F" w:rsidRPr="00352694" w:rsidRDefault="00E3665F" w:rsidP="009E233A">
      <w:pPr>
        <w:widowControl w:val="0"/>
        <w:numPr>
          <w:ilvl w:val="1"/>
          <w:numId w:val="14"/>
        </w:numPr>
        <w:jc w:val="both"/>
        <w:rPr>
          <w:rFonts w:asciiTheme="minorHAnsi" w:hAnsiTheme="minorHAnsi" w:cs="Arial"/>
          <w:bCs/>
          <w:snapToGrid w:val="0"/>
        </w:rPr>
      </w:pPr>
      <w:r w:rsidRPr="00352694">
        <w:rPr>
          <w:rFonts w:asciiTheme="minorHAnsi" w:hAnsiTheme="minorHAnsi" w:cs="Arial"/>
          <w:bCs/>
          <w:snapToGrid w:val="0"/>
        </w:rPr>
        <w:t>The PBAC noted and welcomed the input from individuals (</w:t>
      </w:r>
      <w:r w:rsidR="009F5100" w:rsidRPr="00352694">
        <w:rPr>
          <w:rFonts w:asciiTheme="minorHAnsi" w:hAnsiTheme="minorHAnsi" w:cs="Arial"/>
          <w:bCs/>
          <w:snapToGrid w:val="0"/>
        </w:rPr>
        <w:t>11</w:t>
      </w:r>
      <w:r w:rsidR="0004410B" w:rsidRPr="00352694">
        <w:rPr>
          <w:rFonts w:asciiTheme="minorHAnsi" w:hAnsiTheme="minorHAnsi" w:cs="Arial"/>
          <w:bCs/>
          <w:snapToGrid w:val="0"/>
        </w:rPr>
        <w:t xml:space="preserve">), </w:t>
      </w:r>
      <w:r w:rsidR="0004410B" w:rsidRPr="00352694">
        <w:rPr>
          <w:rFonts w:asciiTheme="minorHAnsi" w:hAnsiTheme="minorHAnsi" w:cs="Arial"/>
        </w:rPr>
        <w:t>Rare Voices Australia</w:t>
      </w:r>
      <w:r w:rsidRPr="00352694">
        <w:rPr>
          <w:rFonts w:asciiTheme="minorHAnsi" w:hAnsiTheme="minorHAnsi" w:cs="Arial"/>
          <w:bCs/>
          <w:snapToGrid w:val="0"/>
        </w:rPr>
        <w:t xml:space="preserve"> </w:t>
      </w:r>
      <w:r w:rsidR="0004410B" w:rsidRPr="00352694">
        <w:rPr>
          <w:rFonts w:asciiTheme="minorHAnsi" w:hAnsiTheme="minorHAnsi" w:cs="Arial"/>
          <w:bCs/>
          <w:snapToGrid w:val="0"/>
        </w:rPr>
        <w:t xml:space="preserve">and </w:t>
      </w:r>
      <w:r w:rsidR="0004410B" w:rsidRPr="00352694">
        <w:rPr>
          <w:rFonts w:asciiTheme="minorHAnsi" w:hAnsiTheme="minorHAnsi" w:cs="ArialMT"/>
        </w:rPr>
        <w:t xml:space="preserve">Fabry Australia </w:t>
      </w:r>
      <w:r w:rsidRPr="00352694">
        <w:rPr>
          <w:rFonts w:asciiTheme="minorHAnsi" w:hAnsiTheme="minorHAnsi" w:cs="Arial"/>
          <w:bCs/>
          <w:snapToGrid w:val="0"/>
        </w:rPr>
        <w:t xml:space="preserve">via the Consumer Comments facility on the PBS website.  The comments described </w:t>
      </w:r>
      <w:r w:rsidR="009E233A" w:rsidRPr="00352694">
        <w:rPr>
          <w:rFonts w:asciiTheme="minorHAnsi" w:hAnsiTheme="minorHAnsi" w:cs="Arial"/>
          <w:bCs/>
          <w:snapToGrid w:val="0"/>
        </w:rPr>
        <w:t>the</w:t>
      </w:r>
      <w:r w:rsidRPr="00352694">
        <w:rPr>
          <w:rFonts w:asciiTheme="minorHAnsi" w:hAnsiTheme="minorHAnsi" w:cs="Arial"/>
          <w:bCs/>
          <w:snapToGrid w:val="0"/>
        </w:rPr>
        <w:t xml:space="preserve"> benefits of treatment with </w:t>
      </w:r>
      <w:r w:rsidR="009E233A" w:rsidRPr="00352694">
        <w:rPr>
          <w:rFonts w:asciiTheme="minorHAnsi" w:hAnsiTheme="minorHAnsi" w:cs="Arial"/>
          <w:bCs/>
          <w:snapToGrid w:val="0"/>
        </w:rPr>
        <w:t>a tablet</w:t>
      </w:r>
      <w:r w:rsidR="0004410B" w:rsidRPr="00352694">
        <w:rPr>
          <w:rFonts w:asciiTheme="minorHAnsi" w:hAnsiTheme="minorHAnsi" w:cs="Arial"/>
          <w:bCs/>
          <w:snapToGrid w:val="0"/>
        </w:rPr>
        <w:t xml:space="preserve"> compared to the current treatments</w:t>
      </w:r>
      <w:r w:rsidRPr="00352694">
        <w:rPr>
          <w:rFonts w:asciiTheme="minorHAnsi" w:hAnsiTheme="minorHAnsi" w:cs="Arial"/>
          <w:bCs/>
          <w:snapToGrid w:val="0"/>
        </w:rPr>
        <w:t xml:space="preserve"> </w:t>
      </w:r>
      <w:r w:rsidR="009E233A" w:rsidRPr="00352694">
        <w:rPr>
          <w:rFonts w:asciiTheme="minorHAnsi" w:hAnsiTheme="minorHAnsi" w:cs="Arial"/>
          <w:bCs/>
          <w:snapToGrid w:val="0"/>
        </w:rPr>
        <w:t>such as</w:t>
      </w:r>
      <w:r w:rsidRPr="00352694">
        <w:rPr>
          <w:rFonts w:asciiTheme="minorHAnsi" w:hAnsiTheme="minorHAnsi" w:cs="Arial"/>
          <w:bCs/>
          <w:snapToGrid w:val="0"/>
        </w:rPr>
        <w:t xml:space="preserve"> </w:t>
      </w:r>
      <w:r w:rsidR="009E233A" w:rsidRPr="00352694">
        <w:rPr>
          <w:rFonts w:asciiTheme="minorHAnsi" w:hAnsiTheme="minorHAnsi" w:cs="Arial"/>
          <w:bCs/>
          <w:snapToGrid w:val="0"/>
        </w:rPr>
        <w:t>avoiding the physical and time burden</w:t>
      </w:r>
      <w:r w:rsidRPr="00352694">
        <w:rPr>
          <w:rFonts w:asciiTheme="minorHAnsi" w:hAnsiTheme="minorHAnsi" w:cs="Arial"/>
          <w:bCs/>
          <w:snapToGrid w:val="0"/>
        </w:rPr>
        <w:t xml:space="preserve"> of </w:t>
      </w:r>
      <w:r w:rsidR="00735F45" w:rsidRPr="00352694">
        <w:rPr>
          <w:rFonts w:asciiTheme="minorHAnsi" w:hAnsiTheme="minorHAnsi" w:cs="Arial"/>
          <w:bCs/>
          <w:snapToGrid w:val="0"/>
        </w:rPr>
        <w:t>fortnightly intravenous infusion</w:t>
      </w:r>
      <w:r w:rsidRPr="00352694">
        <w:rPr>
          <w:rFonts w:asciiTheme="minorHAnsi" w:hAnsiTheme="minorHAnsi" w:cs="Arial"/>
          <w:bCs/>
          <w:snapToGrid w:val="0"/>
        </w:rPr>
        <w:t xml:space="preserve">, </w:t>
      </w:r>
      <w:r w:rsidR="009E233A" w:rsidRPr="00352694">
        <w:rPr>
          <w:rFonts w:asciiTheme="minorHAnsi" w:hAnsiTheme="minorHAnsi" w:cs="Arial"/>
          <w:bCs/>
          <w:snapToGrid w:val="0"/>
        </w:rPr>
        <w:t xml:space="preserve">which would </w:t>
      </w:r>
      <w:r w:rsidR="00735F45" w:rsidRPr="00352694">
        <w:rPr>
          <w:rFonts w:asciiTheme="minorHAnsi" w:hAnsiTheme="minorHAnsi" w:cs="Arial"/>
          <w:bCs/>
          <w:snapToGrid w:val="0"/>
        </w:rPr>
        <w:t>improve people's quality of life</w:t>
      </w:r>
      <w:r w:rsidR="00B926E0" w:rsidRPr="00352694">
        <w:rPr>
          <w:rFonts w:asciiTheme="minorHAnsi" w:hAnsiTheme="minorHAnsi" w:cs="Arial"/>
          <w:bCs/>
          <w:snapToGrid w:val="0"/>
        </w:rPr>
        <w:t>.</w:t>
      </w:r>
    </w:p>
    <w:p w:rsidR="00E3665F" w:rsidRPr="00352694" w:rsidRDefault="00E3665F" w:rsidP="00735F45">
      <w:pPr>
        <w:widowControl w:val="0"/>
        <w:jc w:val="both"/>
        <w:rPr>
          <w:rFonts w:asciiTheme="minorHAnsi" w:hAnsiTheme="minorHAnsi"/>
        </w:rPr>
      </w:pPr>
    </w:p>
    <w:p w:rsidR="00735F45" w:rsidRPr="00352694" w:rsidRDefault="00735F45" w:rsidP="00735F45">
      <w:pPr>
        <w:pStyle w:val="Heading2"/>
        <w:rPr>
          <w:rFonts w:asciiTheme="minorHAnsi" w:hAnsiTheme="minorHAnsi"/>
          <w:sz w:val="24"/>
        </w:rPr>
      </w:pPr>
      <w:r w:rsidRPr="00352694">
        <w:rPr>
          <w:rFonts w:asciiTheme="minorHAnsi" w:hAnsiTheme="minorHAnsi"/>
          <w:sz w:val="24"/>
        </w:rPr>
        <w:t xml:space="preserve">Consideration of </w:t>
      </w:r>
      <w:r w:rsidR="007A39FE" w:rsidRPr="00352694">
        <w:rPr>
          <w:rFonts w:asciiTheme="minorHAnsi" w:hAnsiTheme="minorHAnsi"/>
          <w:sz w:val="24"/>
        </w:rPr>
        <w:t xml:space="preserve">the </w:t>
      </w:r>
      <w:r w:rsidR="00631F18" w:rsidRPr="00352694">
        <w:rPr>
          <w:rFonts w:asciiTheme="minorHAnsi" w:hAnsiTheme="minorHAnsi"/>
          <w:sz w:val="24"/>
        </w:rPr>
        <w:t xml:space="preserve">minor </w:t>
      </w:r>
      <w:r w:rsidR="007A39FE" w:rsidRPr="00352694">
        <w:rPr>
          <w:rFonts w:asciiTheme="minorHAnsi" w:hAnsiTheme="minorHAnsi"/>
          <w:sz w:val="24"/>
        </w:rPr>
        <w:t>re</w:t>
      </w:r>
      <w:r w:rsidRPr="00352694">
        <w:rPr>
          <w:rFonts w:asciiTheme="minorHAnsi" w:hAnsiTheme="minorHAnsi"/>
          <w:sz w:val="24"/>
        </w:rPr>
        <w:t>submission</w:t>
      </w:r>
    </w:p>
    <w:p w:rsidR="00C7356F" w:rsidRPr="00352694" w:rsidRDefault="00C7356F" w:rsidP="005276AD">
      <w:pPr>
        <w:rPr>
          <w:rFonts w:asciiTheme="minorHAnsi" w:hAnsiTheme="minorHAnsi"/>
        </w:rPr>
      </w:pPr>
    </w:p>
    <w:p w:rsidR="00937C33" w:rsidRPr="00352694" w:rsidRDefault="00937C33" w:rsidP="00352694">
      <w:pPr>
        <w:widowControl w:val="0"/>
        <w:numPr>
          <w:ilvl w:val="1"/>
          <w:numId w:val="14"/>
        </w:numPr>
        <w:jc w:val="both"/>
        <w:rPr>
          <w:rFonts w:asciiTheme="minorHAnsi" w:hAnsiTheme="minorHAnsi"/>
        </w:rPr>
      </w:pPr>
      <w:r w:rsidRPr="00352694">
        <w:rPr>
          <w:rFonts w:asciiTheme="minorHAnsi" w:hAnsiTheme="minorHAnsi"/>
        </w:rPr>
        <w:t xml:space="preserve">The concerns </w:t>
      </w:r>
      <w:proofErr w:type="gramStart"/>
      <w:r w:rsidRPr="00352694">
        <w:rPr>
          <w:rFonts w:asciiTheme="minorHAnsi" w:hAnsiTheme="minorHAnsi"/>
        </w:rPr>
        <w:t>raised</w:t>
      </w:r>
      <w:proofErr w:type="gramEnd"/>
      <w:r w:rsidRPr="00352694">
        <w:rPr>
          <w:rFonts w:asciiTheme="minorHAnsi" w:hAnsiTheme="minorHAnsi"/>
        </w:rPr>
        <w:t xml:space="preserve"> in the PBAC’s previous consideration of migalastat, and the current </w:t>
      </w:r>
      <w:r w:rsidR="00631F18" w:rsidRPr="00352694">
        <w:rPr>
          <w:rFonts w:asciiTheme="minorHAnsi" w:hAnsiTheme="minorHAnsi"/>
        </w:rPr>
        <w:t xml:space="preserve">minor </w:t>
      </w:r>
      <w:r w:rsidR="007A39FE" w:rsidRPr="00352694">
        <w:rPr>
          <w:rFonts w:asciiTheme="minorHAnsi" w:hAnsiTheme="minorHAnsi"/>
        </w:rPr>
        <w:t>re</w:t>
      </w:r>
      <w:r w:rsidRPr="00352694">
        <w:rPr>
          <w:rFonts w:asciiTheme="minorHAnsi" w:hAnsiTheme="minorHAnsi"/>
        </w:rPr>
        <w:t>submission’s attempts to address those concerns, are summarised in Table 2.</w:t>
      </w:r>
    </w:p>
    <w:p w:rsidR="001A7DBF" w:rsidRDefault="001A7DBF" w:rsidP="005276AD">
      <w:pPr>
        <w:rPr>
          <w:rFonts w:asciiTheme="minorHAnsi" w:hAnsiTheme="minorHAnsi"/>
          <w:sz w:val="22"/>
          <w:szCs w:val="22"/>
        </w:rPr>
      </w:pPr>
    </w:p>
    <w:p w:rsidR="00C4442E" w:rsidRDefault="00C4442E" w:rsidP="00C4442E">
      <w:pPr>
        <w:pStyle w:val="Caption"/>
        <w:keepNext/>
      </w:pPr>
      <w:r>
        <w:t xml:space="preserve">Table </w:t>
      </w:r>
      <w:r>
        <w:rPr>
          <w:noProof/>
        </w:rPr>
        <w:t>2</w:t>
      </w:r>
      <w:r w:rsidRPr="00643F65">
        <w:t xml:space="preserve">: The minor resubmission’s attempts to address the PBAC’s concerns regarding </w:t>
      </w:r>
      <w:proofErr w:type="spellStart"/>
      <w:r w:rsidRPr="00643F65">
        <w:t>migalastat</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496"/>
        <w:gridCol w:w="4586"/>
      </w:tblGrid>
      <w:tr w:rsidR="00937C33" w:rsidRPr="00ED0F04" w:rsidTr="00937C33">
        <w:trPr>
          <w:trHeight w:val="240"/>
        </w:trPr>
        <w:tc>
          <w:tcPr>
            <w:tcW w:w="2475" w:type="pct"/>
            <w:shd w:val="clear" w:color="auto" w:fill="auto"/>
          </w:tcPr>
          <w:p w:rsidR="00937C33" w:rsidRPr="00ED0F04" w:rsidRDefault="00937C33" w:rsidP="00937C33">
            <w:pPr>
              <w:keepNext/>
              <w:rPr>
                <w:rFonts w:ascii="Arial Narrow" w:hAnsi="Arial Narrow"/>
                <w:b/>
                <w:sz w:val="20"/>
              </w:rPr>
            </w:pPr>
            <w:r w:rsidRPr="00ED0F04">
              <w:rPr>
                <w:rFonts w:ascii="Arial Narrow" w:hAnsi="Arial Narrow"/>
                <w:b/>
                <w:sz w:val="20"/>
              </w:rPr>
              <w:t>Matters of concern</w:t>
            </w:r>
          </w:p>
        </w:tc>
        <w:tc>
          <w:tcPr>
            <w:tcW w:w="2525" w:type="pct"/>
            <w:shd w:val="clear" w:color="auto" w:fill="auto"/>
          </w:tcPr>
          <w:p w:rsidR="00937C33" w:rsidRPr="00ED0F04" w:rsidRDefault="00937C33" w:rsidP="00937C33">
            <w:pPr>
              <w:keepNext/>
              <w:jc w:val="center"/>
              <w:rPr>
                <w:rFonts w:ascii="Arial Narrow" w:hAnsi="Arial Narrow"/>
                <w:b/>
                <w:sz w:val="20"/>
              </w:rPr>
            </w:pPr>
            <w:r>
              <w:rPr>
                <w:rFonts w:ascii="Arial Narrow" w:hAnsi="Arial Narrow"/>
                <w:b/>
                <w:sz w:val="20"/>
              </w:rPr>
              <w:t xml:space="preserve">How the </w:t>
            </w:r>
            <w:r w:rsidR="00631F18">
              <w:rPr>
                <w:rFonts w:ascii="Arial Narrow" w:hAnsi="Arial Narrow"/>
                <w:b/>
                <w:sz w:val="20"/>
              </w:rPr>
              <w:t xml:space="preserve">minor </w:t>
            </w:r>
            <w:r>
              <w:rPr>
                <w:rFonts w:ascii="Arial Narrow" w:hAnsi="Arial Narrow"/>
                <w:b/>
                <w:sz w:val="20"/>
              </w:rPr>
              <w:t>re</w:t>
            </w:r>
            <w:r w:rsidRPr="00ED0F04">
              <w:rPr>
                <w:rFonts w:ascii="Arial Narrow" w:hAnsi="Arial Narrow"/>
                <w:b/>
                <w:sz w:val="20"/>
              </w:rPr>
              <w:t>submission addresses it</w:t>
            </w:r>
          </w:p>
        </w:tc>
      </w:tr>
      <w:tr w:rsidR="00937C33" w:rsidRPr="00ED0F04" w:rsidTr="00937C33">
        <w:trPr>
          <w:trHeight w:val="788"/>
        </w:trPr>
        <w:tc>
          <w:tcPr>
            <w:tcW w:w="2475" w:type="pct"/>
            <w:shd w:val="clear" w:color="auto" w:fill="auto"/>
          </w:tcPr>
          <w:p w:rsidR="00937C33" w:rsidRPr="00D30236" w:rsidRDefault="00937C33" w:rsidP="00937C33">
            <w:pPr>
              <w:keepNext/>
              <w:rPr>
                <w:rFonts w:ascii="Arial Narrow" w:hAnsi="Arial Narrow"/>
                <w:sz w:val="20"/>
              </w:rPr>
            </w:pPr>
            <w:r>
              <w:rPr>
                <w:rFonts w:ascii="Arial Narrow" w:hAnsi="Arial Narrow"/>
                <w:sz w:val="20"/>
              </w:rPr>
              <w:t>“</w:t>
            </w:r>
            <w:r w:rsidRPr="00130A02">
              <w:rPr>
                <w:rFonts w:ascii="Arial Narrow" w:hAnsi="Arial Narrow"/>
                <w:sz w:val="20"/>
              </w:rPr>
              <w:t>The PBAC considered that the non-inferiority criterion had not been fully justified.</w:t>
            </w:r>
            <w:r>
              <w:rPr>
                <w:rFonts w:ascii="Arial Narrow" w:hAnsi="Arial Narrow"/>
                <w:sz w:val="20"/>
              </w:rPr>
              <w:t>” (para 7.4).</w:t>
            </w:r>
            <w:r w:rsidRPr="00130A02">
              <w:rPr>
                <w:rFonts w:ascii="Arial Narrow" w:hAnsi="Arial Narrow"/>
                <w:sz w:val="20"/>
              </w:rPr>
              <w:t xml:space="preserve"> </w:t>
            </w:r>
          </w:p>
        </w:tc>
        <w:tc>
          <w:tcPr>
            <w:tcW w:w="2525" w:type="pct"/>
            <w:shd w:val="clear" w:color="auto" w:fill="auto"/>
          </w:tcPr>
          <w:p w:rsidR="00937C33" w:rsidRPr="00D30236" w:rsidRDefault="00937C33" w:rsidP="00937C33">
            <w:pPr>
              <w:keepNext/>
              <w:rPr>
                <w:rFonts w:ascii="Arial Narrow" w:hAnsi="Arial Narrow"/>
                <w:sz w:val="20"/>
              </w:rPr>
            </w:pPr>
            <w:r>
              <w:rPr>
                <w:rFonts w:ascii="Arial Narrow" w:hAnsi="Arial Narrow"/>
                <w:sz w:val="20"/>
              </w:rPr>
              <w:t>The sponsor has provided an argument for the robustness of the non-inferiority criterion, includin</w:t>
            </w:r>
            <w:r w:rsidRPr="002C56F1">
              <w:rPr>
                <w:rFonts w:ascii="Arial Narrow" w:hAnsi="Arial Narrow"/>
                <w:sz w:val="20"/>
              </w:rPr>
              <w:t>g advice from the European Medicines Agency</w:t>
            </w:r>
            <w:r>
              <w:rPr>
                <w:rFonts w:ascii="Arial Narrow" w:hAnsi="Arial Narrow"/>
                <w:sz w:val="20"/>
              </w:rPr>
              <w:t xml:space="preserve"> on the study design and comparability criteria of the trials. No new data provided.</w:t>
            </w:r>
          </w:p>
        </w:tc>
      </w:tr>
      <w:tr w:rsidR="00937C33" w:rsidRPr="00ED0F04" w:rsidTr="00937C33">
        <w:trPr>
          <w:trHeight w:val="487"/>
        </w:trPr>
        <w:tc>
          <w:tcPr>
            <w:tcW w:w="2475" w:type="pct"/>
            <w:shd w:val="clear" w:color="auto" w:fill="auto"/>
          </w:tcPr>
          <w:p w:rsidR="00937C33" w:rsidRPr="00130A02" w:rsidRDefault="00937C33" w:rsidP="00937C33">
            <w:pPr>
              <w:jc w:val="both"/>
              <w:rPr>
                <w:rFonts w:ascii="Arial Narrow" w:hAnsi="Arial Narrow"/>
                <w:sz w:val="20"/>
              </w:rPr>
            </w:pPr>
            <w:r>
              <w:rPr>
                <w:rFonts w:ascii="Arial Narrow" w:hAnsi="Arial Narrow"/>
                <w:sz w:val="20"/>
              </w:rPr>
              <w:t>“</w:t>
            </w:r>
            <w:r w:rsidRPr="00130A02">
              <w:rPr>
                <w:rFonts w:ascii="Arial Narrow" w:hAnsi="Arial Narrow"/>
                <w:sz w:val="20"/>
              </w:rPr>
              <w:t>The PBAC also noted that there was considerable variability in GFR relative to any observed treatment effect (making identification of responders problematic). The PBAC considered, given the wide confidence intervals in the difference between migalastat and ERT, that the relative effectiveness of ERT and migalastat is uncertain.</w:t>
            </w:r>
            <w:r>
              <w:rPr>
                <w:rFonts w:ascii="Arial Narrow" w:hAnsi="Arial Narrow"/>
                <w:sz w:val="20"/>
              </w:rPr>
              <w:t>” (para 7.4).</w:t>
            </w:r>
          </w:p>
        </w:tc>
        <w:tc>
          <w:tcPr>
            <w:tcW w:w="2525" w:type="pct"/>
            <w:shd w:val="clear" w:color="auto" w:fill="auto"/>
          </w:tcPr>
          <w:p w:rsidR="00937C33" w:rsidRPr="00D30236" w:rsidRDefault="00937C33" w:rsidP="00937C33">
            <w:pPr>
              <w:keepNext/>
              <w:rPr>
                <w:rFonts w:ascii="Arial Narrow" w:hAnsi="Arial Narrow"/>
                <w:sz w:val="20"/>
              </w:rPr>
            </w:pPr>
            <w:r>
              <w:rPr>
                <w:rFonts w:ascii="Arial Narrow" w:hAnsi="Arial Narrow"/>
                <w:sz w:val="20"/>
              </w:rPr>
              <w:t>The sponsor claims that variability in GFR has been observed in a number of studies apart from FACETS and ATTRACT, and states that the eGFR results are more meaningful than the mGFR as more frequent results are available. The confidence intervals for eGFR are narrower than for mGFR.</w:t>
            </w:r>
          </w:p>
        </w:tc>
      </w:tr>
      <w:tr w:rsidR="00937C33" w:rsidRPr="00ED0F04" w:rsidTr="00937C33">
        <w:trPr>
          <w:trHeight w:val="487"/>
        </w:trPr>
        <w:tc>
          <w:tcPr>
            <w:tcW w:w="2475" w:type="pct"/>
            <w:shd w:val="clear" w:color="auto" w:fill="auto"/>
          </w:tcPr>
          <w:p w:rsidR="00937C33" w:rsidRPr="00D30236" w:rsidRDefault="00937C33" w:rsidP="00937C33">
            <w:pPr>
              <w:jc w:val="both"/>
              <w:rPr>
                <w:rFonts w:ascii="Arial Narrow" w:hAnsi="Arial Narrow"/>
                <w:sz w:val="20"/>
              </w:rPr>
            </w:pPr>
            <w:r w:rsidRPr="00130A02">
              <w:rPr>
                <w:rFonts w:ascii="Arial Narrow" w:hAnsi="Arial Narrow"/>
                <w:sz w:val="20"/>
              </w:rPr>
              <w:t>“</w:t>
            </w:r>
            <w:r>
              <w:rPr>
                <w:rFonts w:ascii="Arial Narrow" w:hAnsi="Arial Narrow"/>
                <w:sz w:val="20"/>
              </w:rPr>
              <w:t>…</w:t>
            </w:r>
            <w:r w:rsidRPr="00130A02">
              <w:rPr>
                <w:rFonts w:ascii="Arial Narrow" w:hAnsi="Arial Narrow"/>
                <w:sz w:val="20"/>
              </w:rPr>
              <w:t xml:space="preserve">the PBAC did not accept the submission’s claim that, based on the change in left ventricular mass index (LVMI), migalastat was superior to ERT in </w:t>
            </w:r>
            <w:r>
              <w:rPr>
                <w:rFonts w:ascii="Arial Narrow" w:hAnsi="Arial Narrow"/>
                <w:sz w:val="20"/>
              </w:rPr>
              <w:t>reducing LVMI in Fabry patients” (para 7.5).</w:t>
            </w:r>
            <w:r w:rsidRPr="00130A02">
              <w:rPr>
                <w:rFonts w:ascii="Arial Narrow" w:hAnsi="Arial Narrow"/>
                <w:sz w:val="20"/>
              </w:rPr>
              <w:t xml:space="preserve"> </w:t>
            </w:r>
          </w:p>
        </w:tc>
        <w:tc>
          <w:tcPr>
            <w:tcW w:w="2525" w:type="pct"/>
            <w:shd w:val="clear" w:color="auto" w:fill="auto"/>
          </w:tcPr>
          <w:p w:rsidR="00937C33" w:rsidRPr="00D30236" w:rsidRDefault="00937C33" w:rsidP="00937C33">
            <w:pPr>
              <w:keepNext/>
              <w:rPr>
                <w:rFonts w:ascii="Arial Narrow" w:hAnsi="Arial Narrow"/>
                <w:sz w:val="20"/>
              </w:rPr>
            </w:pPr>
            <w:r>
              <w:rPr>
                <w:rFonts w:ascii="Arial Narrow" w:hAnsi="Arial Narrow"/>
                <w:sz w:val="20"/>
              </w:rPr>
              <w:t>The sponsor acknowledges that the evidence is not strong enough to support a superiority claim, but maintains it is adequate for a non-inferiority claim.</w:t>
            </w:r>
          </w:p>
        </w:tc>
      </w:tr>
      <w:tr w:rsidR="00937C33" w:rsidRPr="00ED0F04" w:rsidTr="00937C33">
        <w:trPr>
          <w:trHeight w:val="487"/>
        </w:trPr>
        <w:tc>
          <w:tcPr>
            <w:tcW w:w="2475" w:type="pct"/>
            <w:shd w:val="clear" w:color="auto" w:fill="auto"/>
          </w:tcPr>
          <w:p w:rsidR="00937C33" w:rsidRPr="00130A02" w:rsidRDefault="00937C33" w:rsidP="00937C33">
            <w:pPr>
              <w:jc w:val="both"/>
              <w:rPr>
                <w:rFonts w:ascii="Arial Narrow" w:hAnsi="Arial Narrow"/>
                <w:sz w:val="20"/>
              </w:rPr>
            </w:pPr>
            <w:r>
              <w:rPr>
                <w:rFonts w:ascii="Arial Narrow" w:hAnsi="Arial Narrow"/>
                <w:sz w:val="20"/>
              </w:rPr>
              <w:t>“</w:t>
            </w:r>
            <w:r w:rsidRPr="00130A02">
              <w:rPr>
                <w:rFonts w:ascii="Arial Narrow" w:hAnsi="Arial Narrow"/>
                <w:sz w:val="20"/>
              </w:rPr>
              <w:t>The PBAC recalled that it has previously considered the clinical relevance of left ventricular mass as an outcome in Fabry patients to be uncertain.” (para 7.5).</w:t>
            </w:r>
          </w:p>
        </w:tc>
        <w:tc>
          <w:tcPr>
            <w:tcW w:w="2525" w:type="pct"/>
            <w:shd w:val="clear" w:color="auto" w:fill="auto"/>
          </w:tcPr>
          <w:p w:rsidR="00937C33" w:rsidRDefault="00937C33" w:rsidP="00937C33">
            <w:pPr>
              <w:keepNext/>
              <w:rPr>
                <w:rFonts w:ascii="Arial Narrow" w:hAnsi="Arial Narrow"/>
                <w:sz w:val="20"/>
              </w:rPr>
            </w:pPr>
            <w:r>
              <w:rPr>
                <w:rFonts w:ascii="Arial Narrow" w:hAnsi="Arial Narrow"/>
                <w:sz w:val="20"/>
              </w:rPr>
              <w:t>The sponsor has provided an argument for the clinical relevance of left ventricular hypertension in Fabry patients, supported by studies of the natural history of the disease and by data from ATTRACT.</w:t>
            </w:r>
          </w:p>
        </w:tc>
      </w:tr>
      <w:tr w:rsidR="00937C33" w:rsidRPr="00ED0F04" w:rsidTr="00937C33">
        <w:trPr>
          <w:trHeight w:val="930"/>
        </w:trPr>
        <w:tc>
          <w:tcPr>
            <w:tcW w:w="2475" w:type="pct"/>
            <w:shd w:val="clear" w:color="auto" w:fill="auto"/>
          </w:tcPr>
          <w:p w:rsidR="00937C33" w:rsidRPr="006153ED" w:rsidRDefault="00937C33" w:rsidP="00937C33">
            <w:pPr>
              <w:jc w:val="both"/>
              <w:rPr>
                <w:rFonts w:ascii="Arial Narrow" w:hAnsi="Arial Narrow"/>
                <w:sz w:val="20"/>
              </w:rPr>
            </w:pPr>
            <w:r w:rsidRPr="009A1D10">
              <w:rPr>
                <w:rFonts w:ascii="Arial Narrow" w:hAnsi="Arial Narrow"/>
                <w:sz w:val="20"/>
              </w:rPr>
              <w:t>“The PBAC noted that primary outcome in FACETS was the proportion of patients who achieved a response, defined as more than a 50% reduction in GL3 inclusions per kidney IC at Month 6, but that the magnitude of any benefit for this outcome, compared to placebo, was very imprecise and consistent with no effect.</w:t>
            </w:r>
            <w:r>
              <w:rPr>
                <w:rFonts w:ascii="Arial Narrow" w:hAnsi="Arial Narrow"/>
                <w:sz w:val="20"/>
              </w:rPr>
              <w:t>” (para 7.6).</w:t>
            </w:r>
          </w:p>
        </w:tc>
        <w:tc>
          <w:tcPr>
            <w:tcW w:w="2525" w:type="pct"/>
            <w:shd w:val="clear" w:color="auto" w:fill="auto"/>
          </w:tcPr>
          <w:p w:rsidR="00937C33" w:rsidRPr="00B11CE3" w:rsidRDefault="00576E89" w:rsidP="00D27B29">
            <w:pPr>
              <w:keepNext/>
              <w:rPr>
                <w:rFonts w:ascii="Arial Narrow" w:hAnsi="Arial Narrow"/>
                <w:sz w:val="20"/>
                <w:highlight w:val="yellow"/>
              </w:rPr>
            </w:pPr>
            <w:r>
              <w:rPr>
                <w:rFonts w:ascii="Arial Narrow" w:hAnsi="Arial Narrow"/>
                <w:sz w:val="20"/>
              </w:rPr>
              <w:t xml:space="preserve"> The pre-PBAC response discussed the ITT, pre-specified and post-hoc analyses of the FACETS trial.</w:t>
            </w:r>
          </w:p>
        </w:tc>
      </w:tr>
      <w:tr w:rsidR="005B3B2B" w:rsidRPr="00ED0F04" w:rsidTr="00937C33">
        <w:trPr>
          <w:trHeight w:val="930"/>
        </w:trPr>
        <w:tc>
          <w:tcPr>
            <w:tcW w:w="2475" w:type="pct"/>
            <w:shd w:val="clear" w:color="auto" w:fill="auto"/>
          </w:tcPr>
          <w:p w:rsidR="005B3B2B" w:rsidRPr="00B11CE3" w:rsidRDefault="005B3B2B" w:rsidP="00E964F6">
            <w:pPr>
              <w:keepNext/>
              <w:rPr>
                <w:rFonts w:ascii="Arial Narrow" w:hAnsi="Arial Narrow"/>
                <w:sz w:val="20"/>
                <w:highlight w:val="yellow"/>
              </w:rPr>
            </w:pPr>
            <w:r w:rsidRPr="006153ED">
              <w:rPr>
                <w:rFonts w:ascii="Arial Narrow" w:hAnsi="Arial Narrow"/>
                <w:sz w:val="20"/>
              </w:rPr>
              <w:t xml:space="preserve">“…the PBAC raised concerns that the analytical and clinical validity of the test requirements for determining eligibility to migalastat, and particularly the GLP-HEK assay in informing the </w:t>
            </w:r>
            <w:r w:rsidRPr="00033375">
              <w:rPr>
                <w:rFonts w:ascii="Arial Narrow" w:hAnsi="Arial Narrow"/>
                <w:sz w:val="20"/>
              </w:rPr>
              <w:t xml:space="preserve">Galafold Amenability Table </w:t>
            </w:r>
            <w:r>
              <w:rPr>
                <w:rFonts w:ascii="Arial Narrow" w:hAnsi="Arial Narrow"/>
                <w:sz w:val="20"/>
              </w:rPr>
              <w:t>(</w:t>
            </w:r>
            <w:r w:rsidRPr="006153ED">
              <w:rPr>
                <w:rFonts w:ascii="Arial Narrow" w:hAnsi="Arial Narrow"/>
                <w:sz w:val="20"/>
              </w:rPr>
              <w:t>GAT</w:t>
            </w:r>
            <w:r>
              <w:rPr>
                <w:rFonts w:ascii="Arial Narrow" w:hAnsi="Arial Narrow"/>
                <w:sz w:val="20"/>
              </w:rPr>
              <w:t>)</w:t>
            </w:r>
            <w:r w:rsidRPr="006153ED">
              <w:rPr>
                <w:rFonts w:ascii="Arial Narrow" w:hAnsi="Arial Narrow"/>
                <w:sz w:val="20"/>
              </w:rPr>
              <w:t>, has not been assessed in the context of Australian standard genetic testing.” (para 7.10).</w:t>
            </w:r>
          </w:p>
        </w:tc>
        <w:tc>
          <w:tcPr>
            <w:tcW w:w="2525" w:type="pct"/>
            <w:shd w:val="clear" w:color="auto" w:fill="auto"/>
          </w:tcPr>
          <w:p w:rsidR="005B3B2B" w:rsidRPr="00B11CE3" w:rsidRDefault="005B3B2B" w:rsidP="00E964F6">
            <w:pPr>
              <w:keepNext/>
              <w:rPr>
                <w:rFonts w:ascii="Arial Narrow" w:hAnsi="Arial Narrow"/>
                <w:sz w:val="20"/>
                <w:highlight w:val="yellow"/>
              </w:rPr>
            </w:pPr>
            <w:r>
              <w:rPr>
                <w:rFonts w:ascii="Arial Narrow" w:hAnsi="Arial Narrow"/>
                <w:sz w:val="20"/>
              </w:rPr>
              <w:t>The submission clarifies</w:t>
            </w:r>
            <w:r w:rsidRPr="00C323ED">
              <w:rPr>
                <w:rFonts w:ascii="Arial Narrow" w:hAnsi="Arial Narrow"/>
                <w:sz w:val="20"/>
              </w:rPr>
              <w:t xml:space="preserve"> the role and accuracy of the GLP-HEK assay</w:t>
            </w:r>
            <w:r>
              <w:rPr>
                <w:rFonts w:ascii="Arial Narrow" w:hAnsi="Arial Narrow"/>
                <w:sz w:val="20"/>
              </w:rPr>
              <w:t>, including how the GLP-HEK assay has been validated and improved since it was used to recruit patients to FACETS and ATTRACT. The pre-PBAC response provided more information on the assay.</w:t>
            </w:r>
          </w:p>
        </w:tc>
      </w:tr>
      <w:tr w:rsidR="005B3B2B" w:rsidRPr="00ED0F04" w:rsidTr="00937C33">
        <w:trPr>
          <w:trHeight w:val="930"/>
        </w:trPr>
        <w:tc>
          <w:tcPr>
            <w:tcW w:w="2475" w:type="pct"/>
            <w:shd w:val="clear" w:color="auto" w:fill="auto"/>
          </w:tcPr>
          <w:p w:rsidR="005B3B2B" w:rsidRPr="006153ED" w:rsidRDefault="005B3B2B" w:rsidP="00937C33">
            <w:pPr>
              <w:keepNext/>
              <w:rPr>
                <w:rFonts w:ascii="Arial Narrow" w:hAnsi="Arial Narrow"/>
                <w:sz w:val="20"/>
              </w:rPr>
            </w:pPr>
            <w:r>
              <w:rPr>
                <w:rFonts w:ascii="Arial Narrow" w:hAnsi="Arial Narrow"/>
                <w:sz w:val="20"/>
              </w:rPr>
              <w:t>“</w:t>
            </w:r>
            <w:r w:rsidRPr="001F4FED">
              <w:rPr>
                <w:rFonts w:ascii="Arial Narrow" w:hAnsi="Arial Narrow"/>
                <w:sz w:val="20"/>
              </w:rPr>
              <w:t>The PBAC considered seeking the advice of the Medical Services Advisory Committee on the analytical and clinical validity of these requirements, and agreed that this should occur if, following future PBAC considerations, the PBAC were ever of a mind to advise the Minister of a favourable judgement regarding the comparative clinical effectiveness and safety of migalastat to ERT and placebo.</w:t>
            </w:r>
            <w:r>
              <w:rPr>
                <w:rFonts w:ascii="Arial Narrow" w:hAnsi="Arial Narrow"/>
                <w:sz w:val="20"/>
              </w:rPr>
              <w:t>” (para 7.10).</w:t>
            </w:r>
          </w:p>
        </w:tc>
        <w:tc>
          <w:tcPr>
            <w:tcW w:w="2525" w:type="pct"/>
            <w:shd w:val="clear" w:color="auto" w:fill="auto"/>
          </w:tcPr>
          <w:p w:rsidR="005B3B2B" w:rsidRPr="005B3B73" w:rsidRDefault="005B3B2B" w:rsidP="005B3B73">
            <w:pPr>
              <w:keepNext/>
              <w:rPr>
                <w:rFonts w:ascii="Arial Narrow" w:hAnsi="Arial Narrow"/>
                <w:sz w:val="20"/>
              </w:rPr>
            </w:pPr>
            <w:r>
              <w:rPr>
                <w:rFonts w:ascii="Arial Narrow" w:hAnsi="Arial Narrow"/>
                <w:sz w:val="20"/>
              </w:rPr>
              <w:t>The minor resubmission</w:t>
            </w:r>
            <w:r w:rsidRPr="005B3B73">
              <w:rPr>
                <w:rFonts w:ascii="Arial Narrow" w:hAnsi="Arial Narrow"/>
                <w:sz w:val="20"/>
              </w:rPr>
              <w:t xml:space="preserve"> stated that MSAC consideration of the assay is not warranted, as:</w:t>
            </w:r>
          </w:p>
          <w:p w:rsidR="005B3B2B" w:rsidRPr="005B3B73" w:rsidRDefault="005B3B2B" w:rsidP="005B3B2B">
            <w:pPr>
              <w:pStyle w:val="ListParagraph"/>
              <w:widowControl/>
              <w:numPr>
                <w:ilvl w:val="0"/>
                <w:numId w:val="17"/>
              </w:numPr>
              <w:ind w:left="466" w:hanging="287"/>
              <w:jc w:val="left"/>
              <w:rPr>
                <w:rFonts w:ascii="Arial Narrow" w:hAnsi="Arial Narrow"/>
                <w:sz w:val="20"/>
              </w:rPr>
            </w:pPr>
            <w:r w:rsidRPr="005B3B73">
              <w:rPr>
                <w:rFonts w:ascii="Arial Narrow" w:hAnsi="Arial Narrow"/>
                <w:sz w:val="20"/>
              </w:rPr>
              <w:t>the accuracy, accessibility and reimbursement of the process by which a patient’s GLA mutation is determined has been established; and</w:t>
            </w:r>
          </w:p>
          <w:p w:rsidR="005B3B2B" w:rsidRDefault="005B3B2B" w:rsidP="005B3B2B">
            <w:pPr>
              <w:pStyle w:val="ListParagraph"/>
              <w:widowControl/>
              <w:numPr>
                <w:ilvl w:val="0"/>
                <w:numId w:val="17"/>
              </w:numPr>
              <w:ind w:left="466" w:hanging="287"/>
              <w:jc w:val="left"/>
              <w:rPr>
                <w:rFonts w:ascii="Arial Narrow" w:hAnsi="Arial Narrow"/>
                <w:sz w:val="20"/>
              </w:rPr>
            </w:pPr>
            <w:r w:rsidRPr="005B3B73">
              <w:rPr>
                <w:rFonts w:ascii="Arial Narrow" w:hAnsi="Arial Narrow"/>
                <w:sz w:val="20"/>
              </w:rPr>
              <w:t xml:space="preserve">the assessment of the mutation against the Galafold Amenability Table will be completely undertaken by the sponsor, and </w:t>
            </w:r>
            <w:r>
              <w:rPr>
                <w:rFonts w:ascii="Arial Narrow" w:hAnsi="Arial Narrow"/>
                <w:sz w:val="20"/>
              </w:rPr>
              <w:t xml:space="preserve">so </w:t>
            </w:r>
            <w:r w:rsidRPr="005B3B73">
              <w:rPr>
                <w:rFonts w:ascii="Arial Narrow" w:hAnsi="Arial Narrow"/>
                <w:sz w:val="20"/>
              </w:rPr>
              <w:t>there are no implications for the MBS.</w:t>
            </w:r>
          </w:p>
        </w:tc>
      </w:tr>
      <w:tr w:rsidR="005B3B2B" w:rsidRPr="00ED0F04" w:rsidTr="00937C33">
        <w:trPr>
          <w:trHeight w:val="259"/>
        </w:trPr>
        <w:tc>
          <w:tcPr>
            <w:tcW w:w="2475" w:type="pct"/>
            <w:shd w:val="clear" w:color="auto" w:fill="auto"/>
          </w:tcPr>
          <w:p w:rsidR="005B3B2B" w:rsidRPr="003A195D" w:rsidRDefault="005B3B2B" w:rsidP="00937C33">
            <w:pPr>
              <w:widowControl w:val="0"/>
              <w:jc w:val="both"/>
              <w:rPr>
                <w:rFonts w:ascii="Arial Narrow" w:hAnsi="Arial Narrow"/>
                <w:sz w:val="20"/>
              </w:rPr>
            </w:pPr>
            <w:r>
              <w:rPr>
                <w:rFonts w:ascii="Arial Narrow" w:hAnsi="Arial Narrow"/>
                <w:sz w:val="20"/>
              </w:rPr>
              <w:t>“…</w:t>
            </w:r>
            <w:r w:rsidRPr="001F4FED">
              <w:rPr>
                <w:rFonts w:ascii="Arial Narrow" w:hAnsi="Arial Narrow"/>
                <w:sz w:val="20"/>
              </w:rPr>
              <w:t>the PBAC did not accept the submission’s clinical claim of non-inferiority versus ERT and therefore the basis for determining the equi-effective doses and a cost-minimisation analysis was inadequate. Given that the PBAC had previously considered the comparators not adequately cost-effective to allow listing on the PBS, the PBAC were of a mind to consider that migalastat would also not be adequately cost-effective to recommend listing on the PBS based on the evidence presented thus far.</w:t>
            </w:r>
            <w:r>
              <w:rPr>
                <w:rFonts w:ascii="Arial Narrow" w:hAnsi="Arial Narrow"/>
                <w:sz w:val="20"/>
              </w:rPr>
              <w:t>” (para 7.11).</w:t>
            </w:r>
          </w:p>
        </w:tc>
        <w:tc>
          <w:tcPr>
            <w:tcW w:w="2525" w:type="pct"/>
            <w:shd w:val="clear" w:color="auto" w:fill="auto"/>
          </w:tcPr>
          <w:p w:rsidR="005B3B2B" w:rsidRPr="000431F0" w:rsidRDefault="005B3B2B" w:rsidP="00937C33">
            <w:pPr>
              <w:widowControl w:val="0"/>
              <w:jc w:val="both"/>
            </w:pPr>
            <w:r>
              <w:rPr>
                <w:rFonts w:ascii="Arial Narrow" w:hAnsi="Arial Narrow"/>
                <w:sz w:val="20"/>
              </w:rPr>
              <w:t xml:space="preserve">The sponsor </w:t>
            </w:r>
            <w:r w:rsidRPr="000431F0">
              <w:rPr>
                <w:rFonts w:ascii="Arial Narrow" w:hAnsi="Arial Narrow"/>
                <w:sz w:val="20"/>
              </w:rPr>
              <w:t>agree</w:t>
            </w:r>
            <w:r>
              <w:rPr>
                <w:rFonts w:ascii="Arial Narrow" w:hAnsi="Arial Narrow"/>
                <w:sz w:val="20"/>
              </w:rPr>
              <w:t>d</w:t>
            </w:r>
            <w:r w:rsidRPr="000431F0">
              <w:rPr>
                <w:rFonts w:ascii="Arial Narrow" w:hAnsi="Arial Narrow"/>
                <w:sz w:val="20"/>
              </w:rPr>
              <w:t xml:space="preserve"> with the PBAC’s advice from the original major submission that migalastat cannot be considered acceptably cost-effective for PBS listing because the comparator of ERT treatments themselves are not cost-effective</w:t>
            </w:r>
            <w:r>
              <w:rPr>
                <w:rFonts w:ascii="Arial Narrow" w:hAnsi="Arial Narrow"/>
                <w:sz w:val="20"/>
              </w:rPr>
              <w:t>.</w:t>
            </w:r>
          </w:p>
        </w:tc>
      </w:tr>
      <w:tr w:rsidR="005B3B2B" w:rsidRPr="00ED0F04" w:rsidTr="00937C33">
        <w:trPr>
          <w:trHeight w:val="259"/>
        </w:trPr>
        <w:tc>
          <w:tcPr>
            <w:tcW w:w="2475" w:type="pct"/>
            <w:shd w:val="clear" w:color="auto" w:fill="auto"/>
          </w:tcPr>
          <w:p w:rsidR="005B3B2B" w:rsidRPr="003A195D" w:rsidRDefault="005B3B2B" w:rsidP="00937C33">
            <w:pPr>
              <w:widowControl w:val="0"/>
              <w:jc w:val="both"/>
              <w:rPr>
                <w:bCs/>
                <w:lang w:val="en-GB"/>
              </w:rPr>
            </w:pPr>
            <w:r w:rsidRPr="003A195D">
              <w:rPr>
                <w:rFonts w:ascii="Arial Narrow" w:hAnsi="Arial Narrow"/>
                <w:sz w:val="20"/>
              </w:rPr>
              <w:t>“The PBAC considered that there may be a risk of migalastat being used in combination with, rather than instead of, ERT, given their</w:t>
            </w:r>
            <w:r>
              <w:rPr>
                <w:rFonts w:ascii="Arial Narrow" w:hAnsi="Arial Narrow"/>
                <w:sz w:val="20"/>
              </w:rPr>
              <w:t xml:space="preserve"> different mechanisms of action</w:t>
            </w:r>
            <w:r w:rsidRPr="003A195D">
              <w:rPr>
                <w:rFonts w:ascii="Arial Narrow" w:hAnsi="Arial Narrow"/>
                <w:sz w:val="20"/>
              </w:rPr>
              <w:t>, and that migalastat may be used after ‘failure’ of ERT. The PBAC considered that the claims of cost-neutrality are therefore questionable.” (para 7.12).</w:t>
            </w:r>
          </w:p>
        </w:tc>
        <w:tc>
          <w:tcPr>
            <w:tcW w:w="2525" w:type="pct"/>
            <w:shd w:val="clear" w:color="auto" w:fill="auto"/>
          </w:tcPr>
          <w:p w:rsidR="005B3B2B" w:rsidRPr="00D30236" w:rsidRDefault="005B3B2B" w:rsidP="005A5764">
            <w:pPr>
              <w:rPr>
                <w:rFonts w:ascii="Arial Narrow" w:hAnsi="Arial Narrow"/>
                <w:sz w:val="20"/>
              </w:rPr>
            </w:pPr>
            <w:r>
              <w:rPr>
                <w:rFonts w:ascii="Arial Narrow" w:hAnsi="Arial Narrow"/>
                <w:sz w:val="20"/>
              </w:rPr>
              <w:t xml:space="preserve">The pre-PBAC response stated the sponsor does </w:t>
            </w:r>
            <w:r w:rsidRPr="003675D6">
              <w:rPr>
                <w:rFonts w:ascii="Arial Narrow" w:hAnsi="Arial Narrow"/>
                <w:sz w:val="20"/>
              </w:rPr>
              <w:t>not consider combinatio</w:t>
            </w:r>
            <w:r>
              <w:rPr>
                <w:rFonts w:ascii="Arial Narrow" w:hAnsi="Arial Narrow"/>
                <w:sz w:val="20"/>
              </w:rPr>
              <w:t>n use to be a significant risk, as combination use is contraindicated in the PI and</w:t>
            </w:r>
            <w:r w:rsidRPr="003675D6">
              <w:rPr>
                <w:rFonts w:ascii="Arial Narrow" w:hAnsi="Arial Narrow"/>
                <w:sz w:val="20"/>
              </w:rPr>
              <w:t xml:space="preserve"> eligibility criteria to ensure migalastat is not used in combination with ERTs</w:t>
            </w:r>
            <w:r>
              <w:rPr>
                <w:rFonts w:ascii="Arial Narrow" w:hAnsi="Arial Narrow"/>
                <w:sz w:val="20"/>
              </w:rPr>
              <w:t xml:space="preserve"> can be developed.</w:t>
            </w:r>
          </w:p>
        </w:tc>
      </w:tr>
    </w:tbl>
    <w:p w:rsidR="00AD744D" w:rsidRDefault="00AD744D" w:rsidP="005A5764">
      <w:pPr>
        <w:jc w:val="both"/>
        <w:rPr>
          <w:rFonts w:asciiTheme="minorHAnsi" w:hAnsiTheme="minorHAnsi"/>
          <w:sz w:val="22"/>
          <w:szCs w:val="22"/>
        </w:rPr>
      </w:pPr>
    </w:p>
    <w:p w:rsidR="005A3173" w:rsidRPr="00352694" w:rsidRDefault="005A3173" w:rsidP="00B1059E">
      <w:pPr>
        <w:pStyle w:val="Heading2"/>
        <w:rPr>
          <w:rFonts w:asciiTheme="minorHAnsi" w:hAnsiTheme="minorHAnsi"/>
          <w:sz w:val="24"/>
        </w:rPr>
      </w:pPr>
      <w:r w:rsidRPr="00352694">
        <w:rPr>
          <w:rFonts w:asciiTheme="minorHAnsi" w:hAnsiTheme="minorHAnsi"/>
          <w:sz w:val="24"/>
        </w:rPr>
        <w:t>Estimated PBS usage &amp; financial implications</w:t>
      </w:r>
    </w:p>
    <w:p w:rsidR="005A3173" w:rsidRPr="00352694" w:rsidRDefault="005A3173" w:rsidP="00882085">
      <w:pPr>
        <w:ind w:left="720" w:hanging="720"/>
        <w:jc w:val="both"/>
        <w:rPr>
          <w:rFonts w:asciiTheme="minorHAnsi" w:hAnsiTheme="minorHAnsi"/>
        </w:rPr>
      </w:pPr>
    </w:p>
    <w:p w:rsidR="00BB7EC3" w:rsidRPr="00352694" w:rsidRDefault="005224B4" w:rsidP="00E71EF9">
      <w:pPr>
        <w:pStyle w:val="ListParagraph"/>
        <w:numPr>
          <w:ilvl w:val="1"/>
          <w:numId w:val="14"/>
        </w:numPr>
        <w:rPr>
          <w:rFonts w:asciiTheme="minorHAnsi" w:hAnsiTheme="minorHAnsi"/>
          <w:sz w:val="24"/>
          <w:szCs w:val="24"/>
        </w:rPr>
      </w:pPr>
      <w:r w:rsidRPr="00352694">
        <w:rPr>
          <w:rFonts w:asciiTheme="minorHAnsi" w:hAnsiTheme="minorHAnsi"/>
          <w:sz w:val="24"/>
          <w:szCs w:val="24"/>
        </w:rPr>
        <w:t xml:space="preserve">The major submission assumed that the increased cost of funding migalastat will be equal to the reduced market share of the two ERTs, resulting in zero net cost to </w:t>
      </w:r>
      <w:r w:rsidR="009D0C2E" w:rsidRPr="00352694">
        <w:rPr>
          <w:rFonts w:asciiTheme="minorHAnsi" w:hAnsiTheme="minorHAnsi"/>
          <w:sz w:val="24"/>
          <w:szCs w:val="24"/>
        </w:rPr>
        <w:t>Government</w:t>
      </w:r>
      <w:r w:rsidRPr="00352694">
        <w:rPr>
          <w:rFonts w:asciiTheme="minorHAnsi" w:hAnsiTheme="minorHAnsi"/>
          <w:sz w:val="24"/>
          <w:szCs w:val="24"/>
        </w:rPr>
        <w:t xml:space="preserve">, based on the </w:t>
      </w:r>
      <w:r w:rsidR="009D0C2E" w:rsidRPr="00352694">
        <w:rPr>
          <w:rFonts w:asciiTheme="minorHAnsi" w:hAnsiTheme="minorHAnsi"/>
          <w:sz w:val="24"/>
          <w:szCs w:val="24"/>
        </w:rPr>
        <w:t>origina</w:t>
      </w:r>
      <w:r w:rsidR="00AE015D" w:rsidRPr="00352694">
        <w:rPr>
          <w:rFonts w:asciiTheme="minorHAnsi" w:hAnsiTheme="minorHAnsi"/>
          <w:sz w:val="24"/>
          <w:szCs w:val="24"/>
        </w:rPr>
        <w:t xml:space="preserve">l </w:t>
      </w:r>
      <w:proofErr w:type="spellStart"/>
      <w:r w:rsidR="00AE015D" w:rsidRPr="00352694">
        <w:rPr>
          <w:rFonts w:asciiTheme="minorHAnsi" w:hAnsiTheme="minorHAnsi"/>
          <w:sz w:val="24"/>
          <w:szCs w:val="24"/>
        </w:rPr>
        <w:t>migalastat</w:t>
      </w:r>
      <w:proofErr w:type="spellEnd"/>
      <w:r w:rsidR="00AE015D" w:rsidRPr="00352694">
        <w:rPr>
          <w:rFonts w:asciiTheme="minorHAnsi" w:hAnsiTheme="minorHAnsi"/>
          <w:sz w:val="24"/>
          <w:szCs w:val="24"/>
        </w:rPr>
        <w:t xml:space="preserve"> price ($</w:t>
      </w:r>
      <w:r w:rsidR="00DE0D17">
        <w:rPr>
          <w:rFonts w:asciiTheme="minorHAnsi" w:hAnsiTheme="minorHAnsi"/>
          <w:noProof/>
          <w:color w:val="000000"/>
          <w:sz w:val="24"/>
          <w:szCs w:val="24"/>
          <w:highlight w:val="black"/>
        </w:rPr>
        <w:t>''''''''''''''''</w:t>
      </w:r>
      <w:r w:rsidR="00AE015D" w:rsidRPr="00352694">
        <w:rPr>
          <w:rFonts w:asciiTheme="minorHAnsi" w:hAnsiTheme="minorHAnsi"/>
          <w:sz w:val="24"/>
          <w:szCs w:val="24"/>
        </w:rPr>
        <w:t xml:space="preserve">). </w:t>
      </w:r>
      <w:r w:rsidR="009D0C2E" w:rsidRPr="00352694">
        <w:rPr>
          <w:rFonts w:asciiTheme="minorHAnsi" w:hAnsiTheme="minorHAnsi"/>
          <w:sz w:val="24"/>
          <w:szCs w:val="24"/>
        </w:rPr>
        <w:t xml:space="preserve">The minor resubmission claimed that the new proposed price would result in a cost saving of </w:t>
      </w:r>
      <w:r w:rsidR="00E71EF9" w:rsidRPr="00352694">
        <w:rPr>
          <w:rFonts w:asciiTheme="minorHAnsi" w:hAnsiTheme="minorHAnsi"/>
          <w:sz w:val="24"/>
          <w:szCs w:val="24"/>
        </w:rPr>
        <w:t xml:space="preserve">less than $10 million </w:t>
      </w:r>
      <w:r w:rsidR="009D0C2E" w:rsidRPr="00352694">
        <w:rPr>
          <w:rFonts w:asciiTheme="minorHAnsi" w:hAnsiTheme="minorHAnsi"/>
          <w:sz w:val="24"/>
          <w:szCs w:val="24"/>
        </w:rPr>
        <w:t>over 5</w:t>
      </w:r>
      <w:r w:rsidR="00AD0A02" w:rsidRPr="00352694">
        <w:rPr>
          <w:rFonts w:asciiTheme="minorHAnsi" w:hAnsiTheme="minorHAnsi"/>
          <w:sz w:val="24"/>
          <w:szCs w:val="24"/>
        </w:rPr>
        <w:t> </w:t>
      </w:r>
      <w:r w:rsidR="009D0C2E" w:rsidRPr="00352694">
        <w:rPr>
          <w:rFonts w:asciiTheme="minorHAnsi" w:hAnsiTheme="minorHAnsi"/>
          <w:sz w:val="24"/>
          <w:szCs w:val="24"/>
        </w:rPr>
        <w:t>years</w:t>
      </w:r>
      <w:r w:rsidR="00F55B06" w:rsidRPr="00352694">
        <w:rPr>
          <w:rFonts w:asciiTheme="minorHAnsi" w:hAnsiTheme="minorHAnsi"/>
          <w:sz w:val="24"/>
          <w:szCs w:val="24"/>
        </w:rPr>
        <w:t>. T</w:t>
      </w:r>
      <w:r w:rsidR="009D0C2E" w:rsidRPr="00352694">
        <w:rPr>
          <w:rFonts w:asciiTheme="minorHAnsi" w:hAnsiTheme="minorHAnsi"/>
          <w:sz w:val="24"/>
          <w:szCs w:val="24"/>
        </w:rPr>
        <w:t>he estimated value of the cost-offset of the ERTs w</w:t>
      </w:r>
      <w:r w:rsidR="00E407E1" w:rsidRPr="00352694">
        <w:rPr>
          <w:rFonts w:asciiTheme="minorHAnsi" w:hAnsiTheme="minorHAnsi"/>
          <w:sz w:val="24"/>
          <w:szCs w:val="24"/>
        </w:rPr>
        <w:t>as</w:t>
      </w:r>
      <w:r w:rsidR="009D0C2E" w:rsidRPr="00352694">
        <w:rPr>
          <w:rFonts w:asciiTheme="minorHAnsi" w:hAnsiTheme="minorHAnsi"/>
          <w:sz w:val="24"/>
          <w:szCs w:val="24"/>
        </w:rPr>
        <w:t xml:space="preserve"> the same in both submissions.</w:t>
      </w:r>
    </w:p>
    <w:p w:rsidR="00E01E85" w:rsidRPr="00352694" w:rsidRDefault="00E01E85" w:rsidP="008122B1">
      <w:pPr>
        <w:rPr>
          <w:rFonts w:asciiTheme="minorHAnsi" w:hAnsiTheme="minorHAnsi"/>
        </w:rPr>
      </w:pPr>
    </w:p>
    <w:p w:rsidR="00381803" w:rsidRPr="00352694" w:rsidRDefault="00FE20A9" w:rsidP="00381803">
      <w:pPr>
        <w:pStyle w:val="ListParagraph"/>
        <w:numPr>
          <w:ilvl w:val="1"/>
          <w:numId w:val="14"/>
        </w:numPr>
        <w:rPr>
          <w:rFonts w:asciiTheme="minorHAnsi" w:hAnsiTheme="minorHAnsi"/>
          <w:sz w:val="24"/>
          <w:szCs w:val="24"/>
        </w:rPr>
      </w:pPr>
      <w:r w:rsidRPr="00352694">
        <w:rPr>
          <w:rFonts w:asciiTheme="minorHAnsi" w:hAnsiTheme="minorHAnsi"/>
          <w:sz w:val="24"/>
          <w:szCs w:val="24"/>
        </w:rPr>
        <w:t xml:space="preserve">The major submission calculated the total number of migalastat eligible patients by multiplying the amenability proportion (45%) by the </w:t>
      </w:r>
      <w:r w:rsidR="00DE0D17">
        <w:rPr>
          <w:rFonts w:asciiTheme="minorHAnsi" w:hAnsiTheme="minorHAnsi"/>
          <w:noProof/>
          <w:color w:val="000000"/>
          <w:sz w:val="24"/>
          <w:szCs w:val="24"/>
          <w:highlight w:val="black"/>
        </w:rPr>
        <w:t>'''''</w:t>
      </w:r>
      <w:r w:rsidRPr="00352694">
        <w:rPr>
          <w:rFonts w:asciiTheme="minorHAnsi" w:hAnsiTheme="minorHAnsi"/>
          <w:sz w:val="24"/>
          <w:szCs w:val="24"/>
        </w:rPr>
        <w:t xml:space="preserve"> patients currently receiving ERT and the </w:t>
      </w:r>
      <w:r w:rsidR="00DE0D17">
        <w:rPr>
          <w:rFonts w:asciiTheme="minorHAnsi" w:hAnsiTheme="minorHAnsi"/>
          <w:noProof/>
          <w:color w:val="000000"/>
          <w:sz w:val="24"/>
          <w:szCs w:val="24"/>
          <w:highlight w:val="black"/>
        </w:rPr>
        <w:t>'''</w:t>
      </w:r>
      <w:r w:rsidRPr="00352694">
        <w:rPr>
          <w:rFonts w:asciiTheme="minorHAnsi" w:hAnsiTheme="minorHAnsi"/>
          <w:sz w:val="24"/>
          <w:szCs w:val="24"/>
        </w:rPr>
        <w:t xml:space="preserve"> grandfathered patients in Year 1. The grandfathered patients should all have amenable mutations (100%) and hence this underestimates the number of eligible patients. Similarly, the market share (30%) was applied to the </w:t>
      </w:r>
      <w:r w:rsidR="00DE0D17">
        <w:rPr>
          <w:rFonts w:asciiTheme="minorHAnsi" w:hAnsiTheme="minorHAnsi"/>
          <w:noProof/>
          <w:color w:val="000000"/>
          <w:sz w:val="24"/>
          <w:szCs w:val="24"/>
          <w:highlight w:val="black"/>
        </w:rPr>
        <w:t>'''</w:t>
      </w:r>
      <w:r w:rsidRPr="00352694">
        <w:rPr>
          <w:rFonts w:asciiTheme="minorHAnsi" w:hAnsiTheme="minorHAnsi"/>
          <w:sz w:val="24"/>
          <w:szCs w:val="24"/>
        </w:rPr>
        <w:t xml:space="preserve"> grandfathered patients in Year 1, which underestimated the uptake by new patients. The sponsor</w:t>
      </w:r>
      <w:r w:rsidR="000B7641" w:rsidRPr="00352694">
        <w:rPr>
          <w:rFonts w:asciiTheme="minorHAnsi" w:hAnsiTheme="minorHAnsi"/>
          <w:sz w:val="24"/>
          <w:szCs w:val="24"/>
        </w:rPr>
        <w:t>,</w:t>
      </w:r>
      <w:r w:rsidRPr="00352694">
        <w:rPr>
          <w:rFonts w:asciiTheme="minorHAnsi" w:hAnsiTheme="minorHAnsi"/>
          <w:sz w:val="24"/>
          <w:szCs w:val="24"/>
        </w:rPr>
        <w:t xml:space="preserve"> in </w:t>
      </w:r>
      <w:r w:rsidR="000B7641" w:rsidRPr="00352694">
        <w:rPr>
          <w:rFonts w:asciiTheme="minorHAnsi" w:hAnsiTheme="minorHAnsi"/>
          <w:sz w:val="24"/>
          <w:szCs w:val="24"/>
        </w:rPr>
        <w:t>its</w:t>
      </w:r>
      <w:r w:rsidRPr="00352694">
        <w:rPr>
          <w:rFonts w:asciiTheme="minorHAnsi" w:hAnsiTheme="minorHAnsi"/>
          <w:sz w:val="24"/>
          <w:szCs w:val="24"/>
        </w:rPr>
        <w:t xml:space="preserve"> </w:t>
      </w:r>
      <w:r w:rsidR="00381803" w:rsidRPr="00352694">
        <w:rPr>
          <w:rFonts w:asciiTheme="minorHAnsi" w:hAnsiTheme="minorHAnsi"/>
          <w:sz w:val="24"/>
          <w:szCs w:val="24"/>
        </w:rPr>
        <w:t>Pre-Sub-Committee Response</w:t>
      </w:r>
      <w:r w:rsidRPr="00352694">
        <w:rPr>
          <w:rFonts w:asciiTheme="minorHAnsi" w:hAnsiTheme="minorHAnsi"/>
          <w:sz w:val="24"/>
          <w:szCs w:val="24"/>
        </w:rPr>
        <w:t xml:space="preserve"> and pre-PBAC response</w:t>
      </w:r>
      <w:r w:rsidR="00381803" w:rsidRPr="00352694">
        <w:rPr>
          <w:rFonts w:asciiTheme="minorHAnsi" w:hAnsiTheme="minorHAnsi"/>
          <w:sz w:val="24"/>
          <w:szCs w:val="24"/>
        </w:rPr>
        <w:t xml:space="preserve"> </w:t>
      </w:r>
      <w:r w:rsidR="00631F18" w:rsidRPr="00352694">
        <w:rPr>
          <w:rFonts w:asciiTheme="minorHAnsi" w:hAnsiTheme="minorHAnsi"/>
          <w:sz w:val="24"/>
          <w:szCs w:val="24"/>
        </w:rPr>
        <w:t xml:space="preserve">considered </w:t>
      </w:r>
      <w:r w:rsidR="00381803" w:rsidRPr="00352694">
        <w:rPr>
          <w:rFonts w:asciiTheme="minorHAnsi" w:hAnsiTheme="minorHAnsi"/>
          <w:sz w:val="24"/>
          <w:szCs w:val="24"/>
        </w:rPr>
        <w:t>in March 2017</w:t>
      </w:r>
      <w:r w:rsidR="00160BDA" w:rsidRPr="00352694">
        <w:rPr>
          <w:rFonts w:asciiTheme="minorHAnsi" w:hAnsiTheme="minorHAnsi"/>
          <w:sz w:val="24"/>
          <w:szCs w:val="24"/>
        </w:rPr>
        <w:t>,</w:t>
      </w:r>
      <w:r w:rsidR="00381803" w:rsidRPr="00352694">
        <w:rPr>
          <w:rFonts w:asciiTheme="minorHAnsi" w:hAnsiTheme="minorHAnsi"/>
          <w:sz w:val="24"/>
          <w:szCs w:val="24"/>
        </w:rPr>
        <w:t xml:space="preserve"> and in the pre-PBAC response for this </w:t>
      </w:r>
      <w:r w:rsidR="00631F18" w:rsidRPr="00352694">
        <w:rPr>
          <w:rFonts w:asciiTheme="minorHAnsi" w:hAnsiTheme="minorHAnsi"/>
          <w:sz w:val="24"/>
          <w:szCs w:val="24"/>
        </w:rPr>
        <w:t xml:space="preserve">minor </w:t>
      </w:r>
      <w:r w:rsidR="00381803" w:rsidRPr="00352694">
        <w:rPr>
          <w:rFonts w:asciiTheme="minorHAnsi" w:hAnsiTheme="minorHAnsi"/>
          <w:sz w:val="24"/>
          <w:szCs w:val="24"/>
        </w:rPr>
        <w:t>resubmission</w:t>
      </w:r>
      <w:r w:rsidR="000B7641" w:rsidRPr="00352694">
        <w:rPr>
          <w:rFonts w:asciiTheme="minorHAnsi" w:hAnsiTheme="minorHAnsi"/>
          <w:sz w:val="24"/>
          <w:szCs w:val="24"/>
        </w:rPr>
        <w:t>,</w:t>
      </w:r>
      <w:r w:rsidRPr="00352694">
        <w:rPr>
          <w:rFonts w:asciiTheme="minorHAnsi" w:hAnsiTheme="minorHAnsi"/>
          <w:sz w:val="24"/>
          <w:szCs w:val="24"/>
        </w:rPr>
        <w:t xml:space="preserve"> stated </w:t>
      </w:r>
      <w:r w:rsidR="000B7641" w:rsidRPr="00352694">
        <w:rPr>
          <w:rFonts w:asciiTheme="minorHAnsi" w:hAnsiTheme="minorHAnsi"/>
          <w:sz w:val="24"/>
          <w:szCs w:val="24"/>
        </w:rPr>
        <w:t xml:space="preserve">that </w:t>
      </w:r>
      <w:r w:rsidRPr="00352694">
        <w:rPr>
          <w:rFonts w:asciiTheme="minorHAnsi" w:hAnsiTheme="minorHAnsi"/>
          <w:sz w:val="24"/>
          <w:szCs w:val="24"/>
        </w:rPr>
        <w:t xml:space="preserve">to exclude </w:t>
      </w:r>
      <w:proofErr w:type="gramStart"/>
      <w:r w:rsidRPr="00352694">
        <w:rPr>
          <w:rFonts w:asciiTheme="minorHAnsi" w:hAnsiTheme="minorHAnsi"/>
          <w:sz w:val="24"/>
          <w:szCs w:val="24"/>
        </w:rPr>
        <w:t>patients</w:t>
      </w:r>
      <w:proofErr w:type="gramEnd"/>
      <w:r w:rsidRPr="00352694">
        <w:rPr>
          <w:rFonts w:asciiTheme="minorHAnsi" w:hAnsiTheme="minorHAnsi"/>
          <w:sz w:val="24"/>
          <w:szCs w:val="24"/>
        </w:rPr>
        <w:t xml:space="preserve"> already receiving migalastat would have over-estimated the number of eligible patients. </w:t>
      </w:r>
    </w:p>
    <w:p w:rsidR="00381803" w:rsidRPr="00352694" w:rsidRDefault="00381803" w:rsidP="00381803">
      <w:pPr>
        <w:rPr>
          <w:rFonts w:asciiTheme="minorHAnsi" w:hAnsiTheme="minorHAnsi"/>
        </w:rPr>
      </w:pPr>
    </w:p>
    <w:p w:rsidR="008C2F4D" w:rsidRPr="00352694" w:rsidRDefault="008C2F4D" w:rsidP="00381803">
      <w:pPr>
        <w:pStyle w:val="ListParagraph"/>
        <w:numPr>
          <w:ilvl w:val="1"/>
          <w:numId w:val="14"/>
        </w:numPr>
        <w:rPr>
          <w:rFonts w:asciiTheme="minorHAnsi" w:hAnsiTheme="minorHAnsi"/>
          <w:sz w:val="24"/>
          <w:szCs w:val="24"/>
        </w:rPr>
      </w:pPr>
      <w:r w:rsidRPr="00352694">
        <w:rPr>
          <w:rFonts w:asciiTheme="minorHAnsi" w:hAnsiTheme="minorHAnsi"/>
          <w:sz w:val="24"/>
          <w:szCs w:val="24"/>
        </w:rPr>
        <w:t xml:space="preserve">The </w:t>
      </w:r>
      <w:r w:rsidR="00631F18" w:rsidRPr="00352694">
        <w:rPr>
          <w:rFonts w:asciiTheme="minorHAnsi" w:hAnsiTheme="minorHAnsi"/>
          <w:sz w:val="24"/>
          <w:szCs w:val="24"/>
        </w:rPr>
        <w:t xml:space="preserve">minor </w:t>
      </w:r>
      <w:r w:rsidRPr="00352694">
        <w:rPr>
          <w:rFonts w:asciiTheme="minorHAnsi" w:hAnsiTheme="minorHAnsi"/>
          <w:sz w:val="24"/>
          <w:szCs w:val="24"/>
        </w:rPr>
        <w:t>resubmission</w:t>
      </w:r>
      <w:r w:rsidR="007B7396" w:rsidRPr="00352694">
        <w:rPr>
          <w:rFonts w:asciiTheme="minorHAnsi" w:hAnsiTheme="minorHAnsi"/>
          <w:sz w:val="24"/>
          <w:szCs w:val="24"/>
        </w:rPr>
        <w:t xml:space="preserve"> claimed, in addition,</w:t>
      </w:r>
      <w:r w:rsidRPr="00352694">
        <w:rPr>
          <w:rFonts w:asciiTheme="minorHAnsi" w:hAnsiTheme="minorHAnsi"/>
          <w:sz w:val="24"/>
          <w:szCs w:val="24"/>
        </w:rPr>
        <w:t xml:space="preserve"> </w:t>
      </w:r>
      <w:r w:rsidR="000B7641" w:rsidRPr="00352694">
        <w:rPr>
          <w:rFonts w:asciiTheme="minorHAnsi" w:hAnsiTheme="minorHAnsi"/>
          <w:sz w:val="24"/>
          <w:szCs w:val="24"/>
        </w:rPr>
        <w:t xml:space="preserve">that </w:t>
      </w:r>
      <w:r w:rsidRPr="00352694">
        <w:rPr>
          <w:rFonts w:asciiTheme="minorHAnsi" w:hAnsiTheme="minorHAnsi"/>
          <w:sz w:val="24"/>
          <w:szCs w:val="24"/>
        </w:rPr>
        <w:t>cost savings would have accrued from the reduction in the administration of ERT infusions and associated adverse events. The submission does not quantify these potential savings</w:t>
      </w:r>
      <w:r w:rsidR="00814D9F" w:rsidRPr="00352694">
        <w:rPr>
          <w:rFonts w:asciiTheme="minorHAnsi" w:hAnsiTheme="minorHAnsi"/>
          <w:sz w:val="24"/>
          <w:szCs w:val="24"/>
        </w:rPr>
        <w:t xml:space="preserve"> to Government</w:t>
      </w:r>
      <w:r w:rsidRPr="00352694">
        <w:rPr>
          <w:rFonts w:asciiTheme="minorHAnsi" w:hAnsiTheme="minorHAnsi"/>
          <w:sz w:val="24"/>
          <w:szCs w:val="24"/>
        </w:rPr>
        <w:t xml:space="preserve">. </w:t>
      </w:r>
      <w:r w:rsidR="006D0065" w:rsidRPr="00352694">
        <w:rPr>
          <w:rFonts w:asciiTheme="minorHAnsi" w:hAnsiTheme="minorHAnsi"/>
          <w:sz w:val="24"/>
          <w:szCs w:val="24"/>
        </w:rPr>
        <w:t>The pre-PBAC response stated that any reduction in hospital based infusions due to the uptake of migalastat will be cost-saving to hospital and state government budgets.</w:t>
      </w:r>
    </w:p>
    <w:p w:rsidR="00F64CC1" w:rsidRPr="00352694" w:rsidRDefault="00F64CC1" w:rsidP="00E372CC">
      <w:pPr>
        <w:rPr>
          <w:rFonts w:asciiTheme="minorHAnsi" w:hAnsiTheme="minorHAnsi"/>
        </w:rPr>
      </w:pPr>
    </w:p>
    <w:p w:rsidR="00821533" w:rsidRPr="00352694" w:rsidRDefault="00C7356F" w:rsidP="00D27B29">
      <w:pPr>
        <w:ind w:left="709"/>
        <w:jc w:val="both"/>
        <w:rPr>
          <w:rFonts w:asciiTheme="minorHAnsi" w:hAnsiTheme="minorHAnsi"/>
          <w:i/>
        </w:rPr>
      </w:pPr>
      <w:r w:rsidRPr="00352694">
        <w:rPr>
          <w:rFonts w:asciiTheme="minorHAnsi" w:hAnsiTheme="minorHAnsi"/>
          <w:i/>
        </w:rPr>
        <w:t xml:space="preserve">For more detail on PBAC’s view, see section </w:t>
      </w:r>
      <w:r w:rsidR="00D53A41" w:rsidRPr="00352694">
        <w:rPr>
          <w:rFonts w:asciiTheme="minorHAnsi" w:hAnsiTheme="minorHAnsi"/>
          <w:i/>
        </w:rPr>
        <w:t>5</w:t>
      </w:r>
      <w:r w:rsidRPr="00352694">
        <w:rPr>
          <w:rFonts w:asciiTheme="minorHAnsi" w:hAnsiTheme="minorHAnsi"/>
          <w:i/>
        </w:rPr>
        <w:t xml:space="preserve"> “PBAC outcome.”</w:t>
      </w:r>
    </w:p>
    <w:p w:rsidR="007B635A" w:rsidRPr="00497F5B" w:rsidRDefault="007B635A" w:rsidP="00E372CC">
      <w:pPr>
        <w:rPr>
          <w:rFonts w:asciiTheme="minorHAnsi" w:hAnsiTheme="minorHAnsi"/>
          <w:sz w:val="22"/>
          <w:szCs w:val="22"/>
        </w:rPr>
      </w:pPr>
    </w:p>
    <w:p w:rsidR="00C7356F" w:rsidRPr="00352694" w:rsidRDefault="00C7356F" w:rsidP="00C7356F">
      <w:pPr>
        <w:pStyle w:val="PBACHeading1"/>
        <w:rPr>
          <w:rFonts w:asciiTheme="minorHAnsi" w:hAnsiTheme="minorHAnsi"/>
          <w:sz w:val="28"/>
        </w:rPr>
      </w:pPr>
      <w:r w:rsidRPr="00352694">
        <w:rPr>
          <w:rFonts w:asciiTheme="minorHAnsi" w:hAnsiTheme="minorHAnsi"/>
          <w:sz w:val="28"/>
        </w:rPr>
        <w:t>PBAC Outcome</w:t>
      </w:r>
    </w:p>
    <w:p w:rsidR="00C7356F" w:rsidRDefault="00C7356F" w:rsidP="00E372CC">
      <w:pPr>
        <w:rPr>
          <w:rFonts w:asciiTheme="minorHAnsi" w:hAnsiTheme="minorHAnsi"/>
          <w:sz w:val="22"/>
          <w:szCs w:val="22"/>
        </w:rPr>
      </w:pPr>
    </w:p>
    <w:p w:rsidR="00C7356F" w:rsidRPr="00352694" w:rsidRDefault="00C7356F" w:rsidP="00B926E0">
      <w:pPr>
        <w:widowControl w:val="0"/>
        <w:numPr>
          <w:ilvl w:val="1"/>
          <w:numId w:val="5"/>
        </w:numPr>
        <w:jc w:val="both"/>
        <w:rPr>
          <w:rFonts w:asciiTheme="minorHAnsi" w:hAnsiTheme="minorHAnsi" w:cs="Arial"/>
          <w:bCs/>
          <w:snapToGrid w:val="0"/>
          <w:lang w:val="en-GB" w:eastAsia="en-US"/>
        </w:rPr>
      </w:pPr>
      <w:r w:rsidRPr="00352694">
        <w:rPr>
          <w:rFonts w:asciiTheme="minorHAnsi" w:hAnsiTheme="minorHAnsi" w:cs="Arial"/>
          <w:bCs/>
          <w:snapToGrid w:val="0"/>
          <w:lang w:val="en-GB" w:eastAsia="en-US"/>
        </w:rPr>
        <w:t xml:space="preserve">The PBAC </w:t>
      </w:r>
      <w:r w:rsidR="00B05585" w:rsidRPr="00352694">
        <w:rPr>
          <w:rFonts w:asciiTheme="minorHAnsi" w:hAnsiTheme="minorHAnsi" w:cs="Arial"/>
          <w:bCs/>
          <w:snapToGrid w:val="0"/>
          <w:lang w:val="en-GB" w:eastAsia="en-US"/>
        </w:rPr>
        <w:t>did not recommend</w:t>
      </w:r>
      <w:r w:rsidRPr="00352694">
        <w:rPr>
          <w:rFonts w:asciiTheme="minorHAnsi" w:hAnsiTheme="minorHAnsi" w:cs="Arial"/>
          <w:bCs/>
          <w:snapToGrid w:val="0"/>
          <w:lang w:val="en-GB" w:eastAsia="en-US"/>
        </w:rPr>
        <w:t xml:space="preserve"> the </w:t>
      </w:r>
      <w:r w:rsidR="00627501" w:rsidRPr="00352694">
        <w:rPr>
          <w:rFonts w:asciiTheme="minorHAnsi" w:hAnsiTheme="minorHAnsi" w:cs="Arial"/>
          <w:bCs/>
          <w:snapToGrid w:val="0"/>
          <w:lang w:val="en-GB" w:eastAsia="en-US"/>
        </w:rPr>
        <w:t xml:space="preserve">Section 100 (Highly Specialised Drug Program) Authority </w:t>
      </w:r>
      <w:proofErr w:type="gramStart"/>
      <w:r w:rsidR="00627501" w:rsidRPr="00352694">
        <w:rPr>
          <w:rFonts w:asciiTheme="minorHAnsi" w:hAnsiTheme="minorHAnsi" w:cs="Arial"/>
          <w:bCs/>
          <w:snapToGrid w:val="0"/>
          <w:lang w:val="en-GB" w:eastAsia="en-US"/>
        </w:rPr>
        <w:t>Required</w:t>
      </w:r>
      <w:proofErr w:type="gramEnd"/>
      <w:r w:rsidR="00627501" w:rsidRPr="00352694">
        <w:rPr>
          <w:rFonts w:asciiTheme="minorHAnsi" w:hAnsiTheme="minorHAnsi" w:cs="Arial"/>
          <w:bCs/>
          <w:snapToGrid w:val="0"/>
          <w:lang w:val="en-GB" w:eastAsia="en-US"/>
        </w:rPr>
        <w:t xml:space="preserve"> listing</w:t>
      </w:r>
      <w:r w:rsidRPr="00352694">
        <w:rPr>
          <w:rFonts w:asciiTheme="minorHAnsi" w:hAnsiTheme="minorHAnsi" w:cs="Arial"/>
          <w:bCs/>
          <w:snapToGrid w:val="0"/>
          <w:lang w:val="en-GB" w:eastAsia="en-US"/>
        </w:rPr>
        <w:t xml:space="preserve"> of </w:t>
      </w:r>
      <w:r w:rsidR="00B05585" w:rsidRPr="00352694">
        <w:rPr>
          <w:rFonts w:asciiTheme="minorHAnsi" w:hAnsiTheme="minorHAnsi" w:cs="Arial"/>
          <w:bCs/>
          <w:snapToGrid w:val="0"/>
          <w:lang w:val="en-GB" w:eastAsia="en-US"/>
        </w:rPr>
        <w:t>migalastat</w:t>
      </w:r>
      <w:r w:rsidR="00627501" w:rsidRPr="00352694">
        <w:rPr>
          <w:rFonts w:asciiTheme="minorHAnsi" w:hAnsiTheme="minorHAnsi" w:cs="Arial"/>
          <w:bCs/>
          <w:snapToGrid w:val="0"/>
          <w:lang w:val="en-GB" w:eastAsia="en-US"/>
        </w:rPr>
        <w:t xml:space="preserve"> for the treatment of Fabry disease. In making this decision, the PBAC </w:t>
      </w:r>
      <w:r w:rsidR="00E04CE1" w:rsidRPr="00352694">
        <w:rPr>
          <w:rFonts w:asciiTheme="minorHAnsi" w:hAnsiTheme="minorHAnsi" w:cs="Arial"/>
          <w:bCs/>
          <w:snapToGrid w:val="0"/>
          <w:lang w:val="en-GB" w:eastAsia="en-US"/>
        </w:rPr>
        <w:t xml:space="preserve">was uncertain about the submission’s clinical claim </w:t>
      </w:r>
      <w:r w:rsidR="00FD2747" w:rsidRPr="00352694">
        <w:rPr>
          <w:rFonts w:asciiTheme="minorHAnsi" w:hAnsiTheme="minorHAnsi" w:cs="Arial"/>
          <w:bCs/>
          <w:snapToGrid w:val="0"/>
          <w:lang w:val="en-GB" w:eastAsia="en-US"/>
        </w:rPr>
        <w:t>of non</w:t>
      </w:r>
      <w:r w:rsidR="00E04CE1" w:rsidRPr="00352694">
        <w:rPr>
          <w:rFonts w:asciiTheme="minorHAnsi" w:hAnsiTheme="minorHAnsi" w:cs="Arial"/>
          <w:bCs/>
          <w:snapToGrid w:val="0"/>
          <w:lang w:val="en-GB" w:eastAsia="en-US"/>
        </w:rPr>
        <w:t xml:space="preserve">-inferior comparative effectiveness </w:t>
      </w:r>
      <w:r w:rsidR="00B926E0" w:rsidRPr="00352694">
        <w:rPr>
          <w:rFonts w:asciiTheme="minorHAnsi" w:hAnsiTheme="minorHAnsi" w:cs="Arial"/>
          <w:bCs/>
          <w:snapToGrid w:val="0"/>
          <w:lang w:val="en-GB" w:eastAsia="en-US"/>
        </w:rPr>
        <w:t>compared with</w:t>
      </w:r>
      <w:r w:rsidR="00E04CE1" w:rsidRPr="00352694">
        <w:rPr>
          <w:rFonts w:asciiTheme="minorHAnsi" w:hAnsiTheme="minorHAnsi" w:cs="Arial"/>
          <w:bCs/>
          <w:snapToGrid w:val="0"/>
          <w:lang w:val="en-GB" w:eastAsia="en-US"/>
        </w:rPr>
        <w:t xml:space="preserve"> enzyme replacement therapy</w:t>
      </w:r>
      <w:r w:rsidR="00AC7BDB" w:rsidRPr="00352694">
        <w:rPr>
          <w:rFonts w:asciiTheme="minorHAnsi" w:hAnsiTheme="minorHAnsi" w:cs="Arial"/>
          <w:bCs/>
          <w:snapToGrid w:val="0"/>
          <w:lang w:val="en-GB" w:eastAsia="en-US"/>
        </w:rPr>
        <w:t xml:space="preserve"> (ERT)</w:t>
      </w:r>
      <w:r w:rsidR="00E04CE1" w:rsidRPr="00352694">
        <w:rPr>
          <w:rFonts w:asciiTheme="minorHAnsi" w:hAnsiTheme="minorHAnsi" w:cs="Arial"/>
          <w:bCs/>
          <w:snapToGrid w:val="0"/>
          <w:lang w:val="en-GB" w:eastAsia="en-US"/>
        </w:rPr>
        <w:t>.</w:t>
      </w:r>
    </w:p>
    <w:p w:rsidR="00B926E0" w:rsidRPr="00352694" w:rsidRDefault="00B926E0" w:rsidP="00B926E0">
      <w:pPr>
        <w:widowControl w:val="0"/>
        <w:jc w:val="both"/>
        <w:rPr>
          <w:rFonts w:asciiTheme="minorHAnsi" w:hAnsiTheme="minorHAnsi" w:cs="Arial"/>
          <w:bCs/>
          <w:snapToGrid w:val="0"/>
          <w:lang w:val="en-GB" w:eastAsia="en-US"/>
        </w:rPr>
      </w:pPr>
    </w:p>
    <w:p w:rsidR="00582660" w:rsidRPr="00352694" w:rsidRDefault="00582660" w:rsidP="00582660">
      <w:pPr>
        <w:pStyle w:val="ListParagraph"/>
        <w:numPr>
          <w:ilvl w:val="1"/>
          <w:numId w:val="5"/>
        </w:numPr>
        <w:rPr>
          <w:rFonts w:asciiTheme="minorHAnsi" w:hAnsiTheme="minorHAnsi"/>
          <w:bCs/>
          <w:sz w:val="24"/>
          <w:szCs w:val="24"/>
          <w:lang w:val="en-GB"/>
        </w:rPr>
      </w:pPr>
      <w:r w:rsidRPr="00352694">
        <w:rPr>
          <w:rFonts w:asciiTheme="minorHAnsi" w:hAnsiTheme="minorHAnsi"/>
          <w:bCs/>
          <w:sz w:val="24"/>
          <w:szCs w:val="24"/>
          <w:lang w:val="en-GB"/>
        </w:rPr>
        <w:t xml:space="preserve">The PBAC reiterated that agalsidase alfa and agalsidase beta </w:t>
      </w:r>
      <w:r w:rsidR="00AC7BDB" w:rsidRPr="00352694">
        <w:rPr>
          <w:rFonts w:asciiTheme="minorHAnsi" w:hAnsiTheme="minorHAnsi"/>
          <w:bCs/>
          <w:sz w:val="24"/>
          <w:szCs w:val="24"/>
          <w:lang w:val="en-GB"/>
        </w:rPr>
        <w:t xml:space="preserve">(used in ERT) </w:t>
      </w:r>
      <w:r w:rsidRPr="00352694">
        <w:rPr>
          <w:rFonts w:asciiTheme="minorHAnsi" w:hAnsiTheme="minorHAnsi"/>
          <w:bCs/>
          <w:sz w:val="24"/>
          <w:szCs w:val="24"/>
          <w:lang w:val="en-GB"/>
        </w:rPr>
        <w:t>were the appropriate comparators for migalastat. These two treatments are not listed on the PBS and have not been considered to be cost-effective f</w:t>
      </w:r>
      <w:r w:rsidR="00B926E0" w:rsidRPr="00352694">
        <w:rPr>
          <w:rFonts w:asciiTheme="minorHAnsi" w:hAnsiTheme="minorHAnsi"/>
          <w:bCs/>
          <w:sz w:val="24"/>
          <w:szCs w:val="24"/>
          <w:lang w:val="en-GB"/>
        </w:rPr>
        <w:t>or listing on the PBS.</w:t>
      </w:r>
    </w:p>
    <w:p w:rsidR="009A3D08" w:rsidRPr="00352694" w:rsidRDefault="009A3D08" w:rsidP="009A3D08">
      <w:pPr>
        <w:rPr>
          <w:rFonts w:asciiTheme="minorHAnsi" w:hAnsiTheme="minorHAnsi"/>
          <w:bCs/>
          <w:lang w:val="en-GB"/>
        </w:rPr>
      </w:pPr>
    </w:p>
    <w:p w:rsidR="003B77F6" w:rsidRDefault="009A3D08" w:rsidP="00A5357B">
      <w:pPr>
        <w:widowControl w:val="0"/>
        <w:numPr>
          <w:ilvl w:val="1"/>
          <w:numId w:val="5"/>
        </w:numPr>
        <w:jc w:val="both"/>
        <w:rPr>
          <w:rFonts w:asciiTheme="minorHAnsi" w:hAnsiTheme="minorHAnsi"/>
          <w:bCs/>
          <w:lang w:val="en-GB"/>
        </w:rPr>
      </w:pPr>
      <w:r w:rsidRPr="00352694">
        <w:rPr>
          <w:rFonts w:asciiTheme="minorHAnsi" w:hAnsiTheme="minorHAnsi"/>
          <w:bCs/>
          <w:lang w:val="en-GB"/>
        </w:rPr>
        <w:t>The PBAC c</w:t>
      </w:r>
      <w:r w:rsidR="00AC7BDB" w:rsidRPr="00352694">
        <w:rPr>
          <w:rFonts w:asciiTheme="minorHAnsi" w:hAnsiTheme="minorHAnsi"/>
          <w:bCs/>
          <w:lang w:val="en-GB"/>
        </w:rPr>
        <w:t>onsidered that the arguments</w:t>
      </w:r>
      <w:r w:rsidRPr="00352694">
        <w:rPr>
          <w:rFonts w:asciiTheme="minorHAnsi" w:hAnsiTheme="minorHAnsi"/>
          <w:bCs/>
          <w:lang w:val="en-GB"/>
        </w:rPr>
        <w:t xml:space="preserve"> presented in the </w:t>
      </w:r>
      <w:r w:rsidR="00631F18" w:rsidRPr="00352694">
        <w:rPr>
          <w:rFonts w:asciiTheme="minorHAnsi" w:hAnsiTheme="minorHAnsi"/>
          <w:bCs/>
          <w:lang w:val="en-GB"/>
        </w:rPr>
        <w:t xml:space="preserve">minor </w:t>
      </w:r>
      <w:r w:rsidRPr="00352694">
        <w:rPr>
          <w:rFonts w:asciiTheme="minorHAnsi" w:hAnsiTheme="minorHAnsi"/>
          <w:bCs/>
          <w:lang w:val="en-GB"/>
        </w:rPr>
        <w:t xml:space="preserve">resubmission </w:t>
      </w:r>
      <w:r w:rsidR="008A0FEC" w:rsidRPr="00352694">
        <w:rPr>
          <w:rFonts w:asciiTheme="minorHAnsi" w:hAnsiTheme="minorHAnsi"/>
          <w:bCs/>
          <w:lang w:val="en-GB"/>
        </w:rPr>
        <w:t>supporting</w:t>
      </w:r>
      <w:r w:rsidRPr="00352694">
        <w:rPr>
          <w:rFonts w:asciiTheme="minorHAnsi" w:hAnsiTheme="minorHAnsi"/>
          <w:bCs/>
          <w:lang w:val="en-GB"/>
        </w:rPr>
        <w:t xml:space="preserve"> the </w:t>
      </w:r>
      <w:r w:rsidRPr="00352694">
        <w:rPr>
          <w:rFonts w:asciiTheme="minorHAnsi" w:hAnsiTheme="minorHAnsi"/>
        </w:rPr>
        <w:t>claim of non-inferior effectiveness versus the main comparator</w:t>
      </w:r>
      <w:r w:rsidRPr="00352694">
        <w:rPr>
          <w:rFonts w:asciiTheme="minorHAnsi" w:hAnsiTheme="minorHAnsi"/>
          <w:bCs/>
          <w:lang w:val="en-GB"/>
        </w:rPr>
        <w:t xml:space="preserve"> did not change the view of the Committee </w:t>
      </w:r>
      <w:r w:rsidR="008A0FEC" w:rsidRPr="00352694">
        <w:rPr>
          <w:rFonts w:asciiTheme="minorHAnsi" w:hAnsiTheme="minorHAnsi"/>
          <w:bCs/>
          <w:lang w:val="en-GB"/>
        </w:rPr>
        <w:t xml:space="preserve">formed </w:t>
      </w:r>
      <w:r w:rsidRPr="00352694">
        <w:rPr>
          <w:rFonts w:asciiTheme="minorHAnsi" w:hAnsiTheme="minorHAnsi"/>
          <w:bCs/>
          <w:lang w:val="en-GB"/>
        </w:rPr>
        <w:t>at the March 2017 meeting. The PBAC reiterated that the outcomes of the trials did not provide confidence in</w:t>
      </w:r>
      <w:r w:rsidR="00E87376" w:rsidRPr="00352694">
        <w:rPr>
          <w:rFonts w:asciiTheme="minorHAnsi" w:hAnsiTheme="minorHAnsi"/>
          <w:bCs/>
          <w:lang w:val="en-GB"/>
        </w:rPr>
        <w:t xml:space="preserve"> either</w:t>
      </w:r>
      <w:r w:rsidRPr="00352694">
        <w:rPr>
          <w:rFonts w:asciiTheme="minorHAnsi" w:hAnsiTheme="minorHAnsi"/>
          <w:bCs/>
          <w:lang w:val="en-GB"/>
        </w:rPr>
        <w:t xml:space="preserve"> the superior </w:t>
      </w:r>
      <w:r w:rsidR="00886D03" w:rsidRPr="00352694">
        <w:rPr>
          <w:rFonts w:asciiTheme="minorHAnsi" w:hAnsiTheme="minorHAnsi"/>
          <w:bCs/>
          <w:lang w:val="en-GB"/>
        </w:rPr>
        <w:t xml:space="preserve">clinical </w:t>
      </w:r>
      <w:r w:rsidRPr="00352694">
        <w:rPr>
          <w:rFonts w:asciiTheme="minorHAnsi" w:hAnsiTheme="minorHAnsi"/>
          <w:bCs/>
          <w:lang w:val="en-GB"/>
        </w:rPr>
        <w:t xml:space="preserve">effectiveness of migalastat </w:t>
      </w:r>
      <w:r w:rsidR="00E87376" w:rsidRPr="00352694">
        <w:rPr>
          <w:rFonts w:asciiTheme="minorHAnsi" w:hAnsiTheme="minorHAnsi"/>
          <w:bCs/>
          <w:lang w:val="en-GB"/>
        </w:rPr>
        <w:t xml:space="preserve">over </w:t>
      </w:r>
      <w:r w:rsidRPr="00352694">
        <w:rPr>
          <w:rFonts w:asciiTheme="minorHAnsi" w:hAnsiTheme="minorHAnsi"/>
          <w:bCs/>
          <w:lang w:val="en-GB"/>
        </w:rPr>
        <w:t xml:space="preserve">placebo or </w:t>
      </w:r>
      <w:r w:rsidR="00E87376" w:rsidRPr="00352694">
        <w:rPr>
          <w:rFonts w:asciiTheme="minorHAnsi" w:hAnsiTheme="minorHAnsi"/>
          <w:bCs/>
          <w:lang w:val="en-GB"/>
        </w:rPr>
        <w:t>the non-inferior</w:t>
      </w:r>
      <w:r w:rsidR="00886D03" w:rsidRPr="00352694">
        <w:rPr>
          <w:rFonts w:asciiTheme="minorHAnsi" w:hAnsiTheme="minorHAnsi"/>
          <w:bCs/>
          <w:lang w:val="en-GB"/>
        </w:rPr>
        <w:t xml:space="preserve"> clinical</w:t>
      </w:r>
      <w:r w:rsidRPr="00352694">
        <w:rPr>
          <w:rFonts w:asciiTheme="minorHAnsi" w:hAnsiTheme="minorHAnsi"/>
          <w:bCs/>
          <w:lang w:val="en-GB"/>
        </w:rPr>
        <w:t xml:space="preserve"> effectiveness of migalastat compared to ERT. </w:t>
      </w:r>
      <w:r w:rsidR="00A5357B" w:rsidRPr="00352694">
        <w:rPr>
          <w:rFonts w:asciiTheme="minorHAnsi" w:hAnsiTheme="minorHAnsi"/>
          <w:bCs/>
          <w:lang w:val="en-GB"/>
        </w:rPr>
        <w:t>The PBAC recognised that Fabry disease is a rare condition leading to difficulties undertaking clinical trials in this patient population, and considered annualised change in GFR was a reliable marker of long-term kidney outcome. However, t</w:t>
      </w:r>
      <w:r w:rsidR="00E87376" w:rsidRPr="00352694">
        <w:rPr>
          <w:rFonts w:asciiTheme="minorHAnsi" w:hAnsiTheme="minorHAnsi"/>
          <w:bCs/>
          <w:lang w:val="en-GB"/>
        </w:rPr>
        <w:t xml:space="preserve">he PBAC expressed concerns over the nature and the patient relevance of the outcome measured in the submitted evidence, the short duration over which these measures were followed up, and lack of clarity over the minimal clinically important difference in and statistical significance of the results presented. </w:t>
      </w:r>
      <w:r w:rsidRPr="00352694">
        <w:rPr>
          <w:rFonts w:asciiTheme="minorHAnsi" w:hAnsiTheme="minorHAnsi"/>
          <w:bCs/>
          <w:lang w:val="en-GB"/>
        </w:rPr>
        <w:t xml:space="preserve">Therefore, the PBAC could not accept the clinical claim of </w:t>
      </w:r>
      <w:r w:rsidR="007A39FE" w:rsidRPr="00352694">
        <w:rPr>
          <w:rFonts w:asciiTheme="minorHAnsi" w:hAnsiTheme="minorHAnsi"/>
          <w:bCs/>
          <w:lang w:val="en-GB"/>
        </w:rPr>
        <w:t xml:space="preserve">non-inferior </w:t>
      </w:r>
      <w:r w:rsidRPr="00352694">
        <w:rPr>
          <w:rFonts w:asciiTheme="minorHAnsi" w:hAnsiTheme="minorHAnsi"/>
          <w:bCs/>
          <w:lang w:val="en-GB"/>
        </w:rPr>
        <w:t xml:space="preserve">effectiveness </w:t>
      </w:r>
      <w:r w:rsidR="007A39FE" w:rsidRPr="00352694">
        <w:rPr>
          <w:rFonts w:asciiTheme="minorHAnsi" w:hAnsiTheme="minorHAnsi"/>
          <w:bCs/>
          <w:lang w:val="en-GB"/>
        </w:rPr>
        <w:t>compared with</w:t>
      </w:r>
      <w:r w:rsidRPr="00352694">
        <w:rPr>
          <w:rFonts w:asciiTheme="minorHAnsi" w:hAnsiTheme="minorHAnsi"/>
          <w:bCs/>
          <w:lang w:val="en-GB"/>
        </w:rPr>
        <w:t xml:space="preserve"> the primary comparator</w:t>
      </w:r>
      <w:r w:rsidR="007A39FE" w:rsidRPr="00352694">
        <w:rPr>
          <w:rFonts w:asciiTheme="minorHAnsi" w:hAnsiTheme="minorHAnsi"/>
          <w:bCs/>
          <w:lang w:val="en-GB"/>
        </w:rPr>
        <w:t xml:space="preserve"> of</w:t>
      </w:r>
      <w:r w:rsidRPr="00352694">
        <w:rPr>
          <w:rFonts w:asciiTheme="minorHAnsi" w:hAnsiTheme="minorHAnsi"/>
          <w:bCs/>
          <w:lang w:val="en-GB"/>
        </w:rPr>
        <w:t xml:space="preserve"> ERT</w:t>
      </w:r>
      <w:r w:rsidR="007A39FE" w:rsidRPr="00352694">
        <w:rPr>
          <w:rFonts w:asciiTheme="minorHAnsi" w:hAnsiTheme="minorHAnsi"/>
          <w:bCs/>
          <w:lang w:val="en-GB"/>
        </w:rPr>
        <w:t>,</w:t>
      </w:r>
      <w:r w:rsidRPr="00352694">
        <w:rPr>
          <w:rFonts w:asciiTheme="minorHAnsi" w:hAnsiTheme="minorHAnsi"/>
          <w:bCs/>
          <w:lang w:val="en-GB"/>
        </w:rPr>
        <w:t xml:space="preserve"> in </w:t>
      </w:r>
      <w:r w:rsidR="007A39FE" w:rsidRPr="00352694">
        <w:rPr>
          <w:rFonts w:asciiTheme="minorHAnsi" w:hAnsiTheme="minorHAnsi"/>
          <w:bCs/>
          <w:lang w:val="en-GB"/>
        </w:rPr>
        <w:t xml:space="preserve">either </w:t>
      </w:r>
      <w:r w:rsidRPr="00352694">
        <w:rPr>
          <w:rFonts w:asciiTheme="minorHAnsi" w:hAnsiTheme="minorHAnsi"/>
          <w:bCs/>
          <w:lang w:val="en-GB"/>
        </w:rPr>
        <w:t xml:space="preserve">treatment naïve patients </w:t>
      </w:r>
      <w:r w:rsidR="007A39FE" w:rsidRPr="00352694">
        <w:rPr>
          <w:rFonts w:asciiTheme="minorHAnsi" w:hAnsiTheme="minorHAnsi"/>
          <w:bCs/>
          <w:lang w:val="en-GB"/>
        </w:rPr>
        <w:t xml:space="preserve">or </w:t>
      </w:r>
      <w:r w:rsidRPr="00352694">
        <w:rPr>
          <w:rFonts w:asciiTheme="minorHAnsi" w:hAnsiTheme="minorHAnsi"/>
          <w:bCs/>
          <w:lang w:val="en-GB"/>
        </w:rPr>
        <w:t xml:space="preserve">in treatment </w:t>
      </w:r>
      <w:r w:rsidR="00B926E0" w:rsidRPr="00352694">
        <w:rPr>
          <w:rFonts w:asciiTheme="minorHAnsi" w:hAnsiTheme="minorHAnsi"/>
          <w:bCs/>
          <w:lang w:val="en-GB"/>
        </w:rPr>
        <w:t>experienced or switch patients.</w:t>
      </w:r>
    </w:p>
    <w:p w:rsidR="008240AA" w:rsidRPr="00352694" w:rsidRDefault="008240AA" w:rsidP="00627501">
      <w:pPr>
        <w:rPr>
          <w:rFonts w:asciiTheme="minorHAnsi" w:hAnsiTheme="minorHAnsi"/>
          <w:bCs/>
          <w:lang w:val="en-GB"/>
        </w:rPr>
      </w:pPr>
      <w:bookmarkStart w:id="0" w:name="_GoBack"/>
      <w:bookmarkEnd w:id="0"/>
    </w:p>
    <w:p w:rsidR="000F338A" w:rsidRPr="00352694" w:rsidRDefault="000F338A" w:rsidP="000F338A">
      <w:pPr>
        <w:pStyle w:val="ListParagraph"/>
        <w:numPr>
          <w:ilvl w:val="1"/>
          <w:numId w:val="5"/>
        </w:numPr>
        <w:rPr>
          <w:rFonts w:asciiTheme="minorHAnsi" w:hAnsiTheme="minorHAnsi"/>
          <w:sz w:val="24"/>
          <w:szCs w:val="24"/>
        </w:rPr>
      </w:pPr>
      <w:r w:rsidRPr="00352694">
        <w:rPr>
          <w:rFonts w:asciiTheme="minorHAnsi" w:hAnsiTheme="minorHAnsi"/>
          <w:sz w:val="24"/>
          <w:szCs w:val="24"/>
        </w:rPr>
        <w:t>The PBAC recalled that</w:t>
      </w:r>
      <w:r w:rsidR="00B926E0" w:rsidRPr="00352694">
        <w:rPr>
          <w:rFonts w:asciiTheme="minorHAnsi" w:hAnsiTheme="minorHAnsi"/>
          <w:sz w:val="24"/>
          <w:szCs w:val="24"/>
        </w:rPr>
        <w:t>,</w:t>
      </w:r>
      <w:r w:rsidRPr="00352694">
        <w:rPr>
          <w:rFonts w:asciiTheme="minorHAnsi" w:hAnsiTheme="minorHAnsi"/>
          <w:sz w:val="24"/>
          <w:szCs w:val="24"/>
        </w:rPr>
        <w:t xml:space="preserve"> at its March 2017 meeting, it considered </w:t>
      </w:r>
      <w:r w:rsidR="00BC3161" w:rsidRPr="00352694">
        <w:rPr>
          <w:rFonts w:asciiTheme="minorHAnsi" w:hAnsiTheme="minorHAnsi"/>
          <w:sz w:val="24"/>
          <w:szCs w:val="24"/>
        </w:rPr>
        <w:t xml:space="preserve">that </w:t>
      </w:r>
      <w:r w:rsidRPr="00352694">
        <w:rPr>
          <w:rFonts w:asciiTheme="minorHAnsi" w:hAnsiTheme="minorHAnsi"/>
          <w:sz w:val="24"/>
          <w:szCs w:val="24"/>
        </w:rPr>
        <w:t>with the currently available evidence in treatment naïve patients and in treatment experienced or switch patients, it was reasonable to accept the claim of non-inferior comparative safety</w:t>
      </w:r>
      <w:r w:rsidR="00B926E0" w:rsidRPr="00352694">
        <w:rPr>
          <w:rFonts w:asciiTheme="minorHAnsi" w:hAnsiTheme="minorHAnsi"/>
          <w:sz w:val="24"/>
          <w:szCs w:val="24"/>
        </w:rPr>
        <w:t xml:space="preserve"> of migalastat compared to ERT.</w:t>
      </w:r>
    </w:p>
    <w:p w:rsidR="00627501" w:rsidRPr="00352694" w:rsidRDefault="00627501" w:rsidP="00627501">
      <w:pPr>
        <w:rPr>
          <w:rFonts w:asciiTheme="minorHAnsi" w:hAnsiTheme="minorHAnsi"/>
        </w:rPr>
      </w:pPr>
    </w:p>
    <w:p w:rsidR="00627501" w:rsidRPr="00352694" w:rsidRDefault="00627501" w:rsidP="00627501">
      <w:pPr>
        <w:pStyle w:val="ListParagraph"/>
        <w:numPr>
          <w:ilvl w:val="1"/>
          <w:numId w:val="5"/>
        </w:numPr>
        <w:rPr>
          <w:rFonts w:asciiTheme="minorHAnsi" w:hAnsiTheme="minorHAnsi"/>
          <w:bCs/>
          <w:sz w:val="24"/>
          <w:szCs w:val="24"/>
          <w:lang w:val="en-GB"/>
        </w:rPr>
      </w:pPr>
      <w:r w:rsidRPr="00352694">
        <w:rPr>
          <w:rFonts w:asciiTheme="minorHAnsi" w:hAnsiTheme="minorHAnsi"/>
          <w:bCs/>
          <w:sz w:val="24"/>
          <w:szCs w:val="24"/>
          <w:lang w:val="en-GB"/>
        </w:rPr>
        <w:t xml:space="preserve">The PBAC noted that the </w:t>
      </w:r>
      <w:r w:rsidR="00631F18" w:rsidRPr="00352694">
        <w:rPr>
          <w:rFonts w:asciiTheme="minorHAnsi" w:hAnsiTheme="minorHAnsi"/>
          <w:bCs/>
          <w:sz w:val="24"/>
          <w:szCs w:val="24"/>
          <w:lang w:val="en-GB"/>
        </w:rPr>
        <w:t xml:space="preserve">minor </w:t>
      </w:r>
      <w:r w:rsidR="005A5764" w:rsidRPr="00352694">
        <w:rPr>
          <w:rFonts w:asciiTheme="minorHAnsi" w:hAnsiTheme="minorHAnsi"/>
          <w:bCs/>
          <w:sz w:val="24"/>
          <w:szCs w:val="24"/>
          <w:lang w:val="en-GB"/>
        </w:rPr>
        <w:t>re</w:t>
      </w:r>
      <w:r w:rsidRPr="00352694">
        <w:rPr>
          <w:rFonts w:asciiTheme="minorHAnsi" w:hAnsiTheme="minorHAnsi"/>
          <w:bCs/>
          <w:sz w:val="24"/>
          <w:szCs w:val="24"/>
          <w:lang w:val="en-GB"/>
        </w:rPr>
        <w:t xml:space="preserve">submission and the comments from </w:t>
      </w:r>
      <w:r w:rsidR="001D4485" w:rsidRPr="00352694">
        <w:rPr>
          <w:rFonts w:asciiTheme="minorHAnsi" w:hAnsiTheme="minorHAnsi"/>
          <w:bCs/>
          <w:sz w:val="24"/>
          <w:szCs w:val="24"/>
          <w:lang w:val="en-GB"/>
        </w:rPr>
        <w:t>c</w:t>
      </w:r>
      <w:r w:rsidRPr="00352694">
        <w:rPr>
          <w:rFonts w:asciiTheme="minorHAnsi" w:hAnsiTheme="minorHAnsi"/>
          <w:bCs/>
          <w:sz w:val="24"/>
          <w:szCs w:val="24"/>
          <w:lang w:val="en-GB"/>
        </w:rPr>
        <w:t xml:space="preserve">onsumers discussed the advantages of an oral treatment option compared </w:t>
      </w:r>
      <w:r w:rsidR="007A39FE" w:rsidRPr="00352694">
        <w:rPr>
          <w:rFonts w:asciiTheme="minorHAnsi" w:hAnsiTheme="minorHAnsi"/>
          <w:bCs/>
          <w:sz w:val="24"/>
          <w:szCs w:val="24"/>
          <w:lang w:val="en-GB"/>
        </w:rPr>
        <w:t>with</w:t>
      </w:r>
      <w:r w:rsidRPr="00352694">
        <w:rPr>
          <w:rFonts w:asciiTheme="minorHAnsi" w:hAnsiTheme="minorHAnsi"/>
          <w:bCs/>
          <w:sz w:val="24"/>
          <w:szCs w:val="24"/>
          <w:lang w:val="en-GB"/>
        </w:rPr>
        <w:t xml:space="preserve"> the current infusible treatments. </w:t>
      </w:r>
      <w:r w:rsidR="005A5764" w:rsidRPr="00352694">
        <w:rPr>
          <w:rFonts w:asciiTheme="minorHAnsi" w:hAnsiTheme="minorHAnsi"/>
          <w:bCs/>
          <w:sz w:val="24"/>
          <w:szCs w:val="24"/>
          <w:lang w:val="en-GB"/>
        </w:rPr>
        <w:t>However, t</w:t>
      </w:r>
      <w:r w:rsidRPr="00352694">
        <w:rPr>
          <w:rFonts w:asciiTheme="minorHAnsi" w:hAnsiTheme="minorHAnsi"/>
          <w:bCs/>
          <w:sz w:val="24"/>
          <w:szCs w:val="24"/>
          <w:lang w:val="en-GB"/>
        </w:rPr>
        <w:t>he PBAC noted that the submission</w:t>
      </w:r>
      <w:r w:rsidR="005A5764" w:rsidRPr="00352694">
        <w:rPr>
          <w:rFonts w:asciiTheme="minorHAnsi" w:hAnsiTheme="minorHAnsi"/>
          <w:bCs/>
          <w:sz w:val="24"/>
          <w:szCs w:val="24"/>
          <w:lang w:val="en-GB"/>
        </w:rPr>
        <w:t xml:space="preserve"> had not formally analyse</w:t>
      </w:r>
      <w:r w:rsidR="00B926E0" w:rsidRPr="00352694">
        <w:rPr>
          <w:rFonts w:asciiTheme="minorHAnsi" w:hAnsiTheme="minorHAnsi"/>
          <w:bCs/>
          <w:sz w:val="24"/>
          <w:szCs w:val="24"/>
          <w:lang w:val="en-GB"/>
        </w:rPr>
        <w:t>d</w:t>
      </w:r>
      <w:r w:rsidRPr="00352694">
        <w:rPr>
          <w:rFonts w:asciiTheme="minorHAnsi" w:hAnsiTheme="minorHAnsi"/>
          <w:bCs/>
          <w:sz w:val="24"/>
          <w:szCs w:val="24"/>
          <w:lang w:val="en-GB"/>
        </w:rPr>
        <w:t xml:space="preserve"> any associated benefits to patients using migalastat rather than ERT.</w:t>
      </w:r>
    </w:p>
    <w:p w:rsidR="003B77F6" w:rsidRPr="00352694" w:rsidRDefault="003B77F6" w:rsidP="00627501">
      <w:pPr>
        <w:rPr>
          <w:rFonts w:asciiTheme="minorHAnsi" w:hAnsiTheme="minorHAnsi"/>
          <w:bCs/>
          <w:lang w:val="en-GB"/>
        </w:rPr>
      </w:pPr>
    </w:p>
    <w:p w:rsidR="003B77F6" w:rsidRPr="00352694" w:rsidRDefault="00710CDB" w:rsidP="00F62C59">
      <w:pPr>
        <w:pStyle w:val="ListParagraph"/>
        <w:numPr>
          <w:ilvl w:val="1"/>
          <w:numId w:val="5"/>
        </w:numPr>
        <w:rPr>
          <w:rFonts w:asciiTheme="minorHAnsi" w:hAnsiTheme="minorHAnsi"/>
          <w:bCs/>
          <w:sz w:val="24"/>
          <w:szCs w:val="24"/>
          <w:lang w:val="en-GB"/>
        </w:rPr>
      </w:pPr>
      <w:r w:rsidRPr="00352694">
        <w:rPr>
          <w:rFonts w:asciiTheme="minorHAnsi" w:hAnsiTheme="minorHAnsi"/>
          <w:bCs/>
          <w:sz w:val="24"/>
          <w:szCs w:val="24"/>
          <w:lang w:val="en-GB"/>
        </w:rPr>
        <w:t xml:space="preserve">The PBAC noted that </w:t>
      </w:r>
      <w:r w:rsidR="008240AA" w:rsidRPr="00352694">
        <w:rPr>
          <w:rFonts w:asciiTheme="minorHAnsi" w:hAnsiTheme="minorHAnsi"/>
          <w:bCs/>
          <w:sz w:val="24"/>
          <w:szCs w:val="24"/>
          <w:lang w:val="en-GB"/>
        </w:rPr>
        <w:t xml:space="preserve">the minor </w:t>
      </w:r>
      <w:r w:rsidR="009A3D08" w:rsidRPr="00352694">
        <w:rPr>
          <w:rFonts w:asciiTheme="minorHAnsi" w:hAnsiTheme="minorHAnsi"/>
          <w:bCs/>
          <w:sz w:val="24"/>
          <w:szCs w:val="24"/>
          <w:lang w:val="en-GB"/>
        </w:rPr>
        <w:t>re</w:t>
      </w:r>
      <w:r w:rsidR="008240AA" w:rsidRPr="00352694">
        <w:rPr>
          <w:rFonts w:asciiTheme="minorHAnsi" w:hAnsiTheme="minorHAnsi"/>
          <w:bCs/>
          <w:sz w:val="24"/>
          <w:szCs w:val="24"/>
          <w:lang w:val="en-GB"/>
        </w:rPr>
        <w:t xml:space="preserve">submission and the pre-PBAC response provided further information </w:t>
      </w:r>
      <w:r w:rsidR="007F7374" w:rsidRPr="00352694">
        <w:rPr>
          <w:rFonts w:asciiTheme="minorHAnsi" w:hAnsiTheme="minorHAnsi"/>
          <w:bCs/>
          <w:sz w:val="24"/>
          <w:szCs w:val="24"/>
          <w:lang w:val="en-GB"/>
        </w:rPr>
        <w:t xml:space="preserve">on the </w:t>
      </w:r>
      <w:r w:rsidR="00E46CFB" w:rsidRPr="00352694">
        <w:rPr>
          <w:rFonts w:asciiTheme="minorHAnsi" w:hAnsiTheme="minorHAnsi"/>
          <w:sz w:val="24"/>
          <w:szCs w:val="24"/>
        </w:rPr>
        <w:t xml:space="preserve">GLP-HEK assay </w:t>
      </w:r>
      <w:r w:rsidR="007F7374" w:rsidRPr="00352694">
        <w:rPr>
          <w:rFonts w:asciiTheme="minorHAnsi" w:hAnsiTheme="minorHAnsi"/>
          <w:bCs/>
          <w:sz w:val="24"/>
          <w:szCs w:val="24"/>
          <w:lang w:val="en-GB"/>
        </w:rPr>
        <w:t xml:space="preserve">assay and the Galafold Amenability Table (GAT) used to determine if a mutation is amenable to treatment with migalastat. </w:t>
      </w:r>
      <w:r w:rsidR="001D4485" w:rsidRPr="00352694">
        <w:rPr>
          <w:rFonts w:asciiTheme="minorHAnsi" w:hAnsiTheme="minorHAnsi"/>
          <w:bCs/>
          <w:sz w:val="24"/>
          <w:szCs w:val="24"/>
          <w:lang w:val="en-GB"/>
        </w:rPr>
        <w:t>T</w:t>
      </w:r>
      <w:r w:rsidR="00354392" w:rsidRPr="00352694">
        <w:rPr>
          <w:rFonts w:asciiTheme="minorHAnsi" w:hAnsiTheme="minorHAnsi"/>
          <w:bCs/>
          <w:sz w:val="24"/>
          <w:szCs w:val="24"/>
          <w:lang w:val="en-GB"/>
        </w:rPr>
        <w:t>he TGA’s ACM noted that there is a mechanism for removing from the list any mutations subsequently determined not to be amenable</w:t>
      </w:r>
      <w:r w:rsidR="00290AA4" w:rsidRPr="00352694">
        <w:rPr>
          <w:rFonts w:asciiTheme="minorHAnsi" w:hAnsiTheme="minorHAnsi"/>
          <w:bCs/>
          <w:sz w:val="24"/>
          <w:szCs w:val="24"/>
          <w:lang w:val="en-GB"/>
        </w:rPr>
        <w:t>;</w:t>
      </w:r>
      <w:r w:rsidR="00354392" w:rsidRPr="00352694">
        <w:rPr>
          <w:rFonts w:asciiTheme="minorHAnsi" w:hAnsiTheme="minorHAnsi"/>
          <w:bCs/>
          <w:sz w:val="24"/>
          <w:szCs w:val="24"/>
          <w:lang w:val="en-GB"/>
        </w:rPr>
        <w:t xml:space="preserve"> </w:t>
      </w:r>
      <w:r w:rsidR="00290AA4" w:rsidRPr="00352694">
        <w:rPr>
          <w:rFonts w:asciiTheme="minorHAnsi" w:hAnsiTheme="minorHAnsi"/>
          <w:bCs/>
          <w:sz w:val="24"/>
          <w:szCs w:val="24"/>
          <w:lang w:val="en-GB"/>
        </w:rPr>
        <w:t>t</w:t>
      </w:r>
      <w:r w:rsidR="00354392" w:rsidRPr="00352694">
        <w:rPr>
          <w:rFonts w:asciiTheme="minorHAnsi" w:hAnsiTheme="minorHAnsi"/>
          <w:bCs/>
          <w:sz w:val="24"/>
          <w:szCs w:val="24"/>
          <w:lang w:val="en-GB"/>
        </w:rPr>
        <w:t xml:space="preserve">his was not raised in the minor </w:t>
      </w:r>
      <w:r w:rsidR="009A3D08" w:rsidRPr="00352694">
        <w:rPr>
          <w:rFonts w:asciiTheme="minorHAnsi" w:hAnsiTheme="minorHAnsi"/>
          <w:bCs/>
          <w:sz w:val="24"/>
          <w:szCs w:val="24"/>
          <w:lang w:val="en-GB"/>
        </w:rPr>
        <w:t>re</w:t>
      </w:r>
      <w:r w:rsidR="00354392" w:rsidRPr="00352694">
        <w:rPr>
          <w:rFonts w:asciiTheme="minorHAnsi" w:hAnsiTheme="minorHAnsi"/>
          <w:bCs/>
          <w:sz w:val="24"/>
          <w:szCs w:val="24"/>
          <w:lang w:val="en-GB"/>
        </w:rPr>
        <w:t xml:space="preserve">submission. Overall, </w:t>
      </w:r>
      <w:r w:rsidR="00886D03" w:rsidRPr="00352694">
        <w:rPr>
          <w:rFonts w:asciiTheme="minorHAnsi" w:hAnsiTheme="minorHAnsi"/>
          <w:bCs/>
          <w:sz w:val="24"/>
          <w:szCs w:val="24"/>
          <w:lang w:val="en-GB"/>
        </w:rPr>
        <w:t xml:space="preserve">although </w:t>
      </w:r>
      <w:r w:rsidR="00354392" w:rsidRPr="00352694">
        <w:rPr>
          <w:rFonts w:asciiTheme="minorHAnsi" w:hAnsiTheme="minorHAnsi"/>
          <w:bCs/>
          <w:sz w:val="24"/>
          <w:szCs w:val="24"/>
          <w:lang w:val="en-GB"/>
        </w:rPr>
        <w:t>t</w:t>
      </w:r>
      <w:r w:rsidRPr="00352694">
        <w:rPr>
          <w:rFonts w:asciiTheme="minorHAnsi" w:hAnsiTheme="minorHAnsi"/>
          <w:bCs/>
          <w:sz w:val="24"/>
          <w:szCs w:val="24"/>
          <w:lang w:val="en-GB"/>
        </w:rPr>
        <w:t xml:space="preserve">he </w:t>
      </w:r>
      <w:r w:rsidR="007F7374" w:rsidRPr="00352694">
        <w:rPr>
          <w:rFonts w:asciiTheme="minorHAnsi" w:hAnsiTheme="minorHAnsi"/>
          <w:bCs/>
          <w:sz w:val="24"/>
          <w:szCs w:val="24"/>
          <w:lang w:val="en-GB"/>
        </w:rPr>
        <w:t xml:space="preserve">concerns of the Committee </w:t>
      </w:r>
      <w:r w:rsidR="000B3A18" w:rsidRPr="00352694">
        <w:rPr>
          <w:rFonts w:asciiTheme="minorHAnsi" w:hAnsiTheme="minorHAnsi"/>
          <w:bCs/>
          <w:sz w:val="24"/>
          <w:szCs w:val="24"/>
          <w:lang w:val="en-GB"/>
        </w:rPr>
        <w:t>regarding</w:t>
      </w:r>
      <w:r w:rsidR="00593CF8" w:rsidRPr="00352694">
        <w:rPr>
          <w:rFonts w:asciiTheme="minorHAnsi" w:hAnsiTheme="minorHAnsi"/>
          <w:bCs/>
          <w:sz w:val="24"/>
          <w:szCs w:val="24"/>
          <w:lang w:val="en-GB"/>
        </w:rPr>
        <w:t xml:space="preserve"> determining eligibility to migalastat </w:t>
      </w:r>
      <w:r w:rsidR="007F7374" w:rsidRPr="00352694">
        <w:rPr>
          <w:rFonts w:asciiTheme="minorHAnsi" w:hAnsiTheme="minorHAnsi"/>
          <w:bCs/>
          <w:sz w:val="24"/>
          <w:szCs w:val="24"/>
          <w:lang w:val="en-GB"/>
        </w:rPr>
        <w:t>remained from the March 2017 consideration</w:t>
      </w:r>
      <w:r w:rsidR="00886D03" w:rsidRPr="00352694">
        <w:rPr>
          <w:rFonts w:asciiTheme="minorHAnsi" w:hAnsiTheme="minorHAnsi"/>
          <w:bCs/>
          <w:sz w:val="24"/>
          <w:szCs w:val="24"/>
          <w:lang w:val="en-GB"/>
        </w:rPr>
        <w:t>,</w:t>
      </w:r>
      <w:r w:rsidR="00354392" w:rsidRPr="00352694">
        <w:rPr>
          <w:rFonts w:asciiTheme="minorHAnsi" w:hAnsiTheme="minorHAnsi"/>
          <w:bCs/>
          <w:sz w:val="24"/>
          <w:szCs w:val="24"/>
          <w:lang w:val="en-GB"/>
        </w:rPr>
        <w:t xml:space="preserve"> the PBAC did not consider it </w:t>
      </w:r>
      <w:r w:rsidR="00BC3161" w:rsidRPr="00352694">
        <w:rPr>
          <w:rFonts w:asciiTheme="minorHAnsi" w:hAnsiTheme="minorHAnsi"/>
          <w:bCs/>
          <w:sz w:val="24"/>
          <w:szCs w:val="24"/>
          <w:lang w:val="en-GB"/>
        </w:rPr>
        <w:t>necessary</w:t>
      </w:r>
      <w:r w:rsidR="00354392" w:rsidRPr="00352694">
        <w:rPr>
          <w:rFonts w:asciiTheme="minorHAnsi" w:hAnsiTheme="minorHAnsi"/>
          <w:bCs/>
          <w:sz w:val="24"/>
          <w:szCs w:val="24"/>
          <w:lang w:val="en-GB"/>
        </w:rPr>
        <w:t xml:space="preserve"> to assess codependent testing</w:t>
      </w:r>
      <w:r w:rsidR="00103A46" w:rsidRPr="00352694">
        <w:rPr>
          <w:rFonts w:asciiTheme="minorHAnsi" w:hAnsiTheme="minorHAnsi"/>
          <w:bCs/>
          <w:sz w:val="24"/>
          <w:szCs w:val="24"/>
          <w:lang w:val="en-GB"/>
        </w:rPr>
        <w:t xml:space="preserve"> </w:t>
      </w:r>
      <w:r w:rsidR="00E46CFB" w:rsidRPr="00352694">
        <w:rPr>
          <w:rFonts w:asciiTheme="minorHAnsi" w:hAnsiTheme="minorHAnsi"/>
          <w:bCs/>
          <w:sz w:val="24"/>
          <w:szCs w:val="24"/>
          <w:lang w:val="en-GB"/>
        </w:rPr>
        <w:t>for</w:t>
      </w:r>
      <w:r w:rsidR="00103A46" w:rsidRPr="00352694">
        <w:rPr>
          <w:rFonts w:asciiTheme="minorHAnsi" w:hAnsiTheme="minorHAnsi"/>
          <w:bCs/>
          <w:sz w:val="24"/>
          <w:szCs w:val="24"/>
          <w:lang w:val="en-GB"/>
        </w:rPr>
        <w:t xml:space="preserve"> the MBS</w:t>
      </w:r>
      <w:r w:rsidR="00354392" w:rsidRPr="00352694">
        <w:rPr>
          <w:rFonts w:asciiTheme="minorHAnsi" w:hAnsiTheme="minorHAnsi"/>
          <w:bCs/>
          <w:sz w:val="24"/>
          <w:szCs w:val="24"/>
          <w:lang w:val="en-GB"/>
        </w:rPr>
        <w:t xml:space="preserve"> in the context of any Commonwealth subsidy of this medicine</w:t>
      </w:r>
      <w:r w:rsidR="00D27B29" w:rsidRPr="00352694">
        <w:rPr>
          <w:rFonts w:asciiTheme="minorHAnsi" w:hAnsiTheme="minorHAnsi"/>
          <w:bCs/>
          <w:sz w:val="24"/>
          <w:szCs w:val="24"/>
          <w:lang w:val="en-GB"/>
        </w:rPr>
        <w:t>.</w:t>
      </w:r>
    </w:p>
    <w:p w:rsidR="00361E75" w:rsidRPr="00352694" w:rsidRDefault="00361E75" w:rsidP="003B77F6">
      <w:pPr>
        <w:pStyle w:val="ListParagraph"/>
        <w:ind w:hanging="720"/>
        <w:rPr>
          <w:sz w:val="24"/>
          <w:szCs w:val="24"/>
          <w:lang w:val="en-GB"/>
        </w:rPr>
      </w:pPr>
    </w:p>
    <w:p w:rsidR="003B77F6" w:rsidRPr="00352694" w:rsidRDefault="003B77F6" w:rsidP="003B77F6">
      <w:pPr>
        <w:pStyle w:val="ListParagraph"/>
        <w:numPr>
          <w:ilvl w:val="1"/>
          <w:numId w:val="5"/>
        </w:numPr>
        <w:rPr>
          <w:rFonts w:asciiTheme="minorHAnsi" w:hAnsiTheme="minorHAnsi"/>
          <w:bCs/>
          <w:sz w:val="24"/>
          <w:szCs w:val="24"/>
          <w:lang w:val="en-GB"/>
        </w:rPr>
      </w:pPr>
      <w:r w:rsidRPr="00352694">
        <w:rPr>
          <w:rFonts w:asciiTheme="minorHAnsi" w:hAnsiTheme="minorHAnsi"/>
          <w:bCs/>
          <w:sz w:val="24"/>
          <w:szCs w:val="24"/>
          <w:lang w:val="en-GB"/>
        </w:rPr>
        <w:t xml:space="preserve">The PBAC </w:t>
      </w:r>
      <w:r w:rsidR="000F39EC" w:rsidRPr="00352694">
        <w:rPr>
          <w:rFonts w:asciiTheme="minorHAnsi" w:hAnsiTheme="minorHAnsi"/>
          <w:bCs/>
          <w:sz w:val="24"/>
          <w:szCs w:val="24"/>
          <w:lang w:val="en-GB"/>
        </w:rPr>
        <w:t xml:space="preserve">recalled that it had </w:t>
      </w:r>
      <w:r w:rsidRPr="00352694">
        <w:rPr>
          <w:rFonts w:asciiTheme="minorHAnsi" w:hAnsiTheme="minorHAnsi"/>
          <w:bCs/>
          <w:sz w:val="24"/>
          <w:szCs w:val="24"/>
          <w:lang w:val="en-GB"/>
        </w:rPr>
        <w:t xml:space="preserve">agreed that a cost-minimisation </w:t>
      </w:r>
      <w:r w:rsidR="00886D03" w:rsidRPr="00352694">
        <w:rPr>
          <w:rFonts w:asciiTheme="minorHAnsi" w:hAnsiTheme="minorHAnsi"/>
          <w:bCs/>
          <w:sz w:val="24"/>
          <w:szCs w:val="24"/>
          <w:lang w:val="en-GB"/>
        </w:rPr>
        <w:t>approach would be</w:t>
      </w:r>
      <w:r w:rsidR="001D4485" w:rsidRPr="00352694">
        <w:rPr>
          <w:rFonts w:asciiTheme="minorHAnsi" w:hAnsiTheme="minorHAnsi"/>
          <w:bCs/>
          <w:sz w:val="24"/>
          <w:szCs w:val="24"/>
          <w:lang w:val="en-GB"/>
        </w:rPr>
        <w:t xml:space="preserve"> the</w:t>
      </w:r>
      <w:r w:rsidRPr="00352694">
        <w:rPr>
          <w:rFonts w:asciiTheme="minorHAnsi" w:hAnsiTheme="minorHAnsi"/>
          <w:bCs/>
          <w:sz w:val="24"/>
          <w:szCs w:val="24"/>
          <w:lang w:val="en-GB"/>
        </w:rPr>
        <w:t xml:space="preserve"> appropriate economic comparison based on the submission’s clinical claim of non-inferiority compared with ERT. However, as noted above, the PBAC did not accept the submission’s clinical claim of non-inferiority versus ERT and therefore the basis for determining the equi-effective doses and </w:t>
      </w:r>
      <w:r w:rsidR="00290AA4" w:rsidRPr="00352694">
        <w:rPr>
          <w:rFonts w:asciiTheme="minorHAnsi" w:hAnsiTheme="minorHAnsi"/>
          <w:bCs/>
          <w:sz w:val="24"/>
          <w:szCs w:val="24"/>
          <w:lang w:val="en-GB"/>
        </w:rPr>
        <w:t>the</w:t>
      </w:r>
      <w:r w:rsidRPr="00352694">
        <w:rPr>
          <w:rFonts w:asciiTheme="minorHAnsi" w:hAnsiTheme="minorHAnsi"/>
          <w:bCs/>
          <w:sz w:val="24"/>
          <w:szCs w:val="24"/>
          <w:lang w:val="en-GB"/>
        </w:rPr>
        <w:t xml:space="preserve"> cost-minimisation </w:t>
      </w:r>
      <w:r w:rsidR="00886D03" w:rsidRPr="00352694">
        <w:rPr>
          <w:rFonts w:asciiTheme="minorHAnsi" w:hAnsiTheme="minorHAnsi"/>
          <w:bCs/>
          <w:sz w:val="24"/>
          <w:szCs w:val="24"/>
          <w:lang w:val="en-GB"/>
        </w:rPr>
        <w:t>approach</w:t>
      </w:r>
      <w:r w:rsidR="00631F18" w:rsidRPr="00352694">
        <w:rPr>
          <w:rFonts w:asciiTheme="minorHAnsi" w:hAnsiTheme="minorHAnsi"/>
          <w:bCs/>
          <w:sz w:val="24"/>
          <w:szCs w:val="24"/>
          <w:lang w:val="en-GB"/>
        </w:rPr>
        <w:t xml:space="preserve"> was also</w:t>
      </w:r>
      <w:r w:rsidRPr="00352694">
        <w:rPr>
          <w:rFonts w:asciiTheme="minorHAnsi" w:hAnsiTheme="minorHAnsi"/>
          <w:bCs/>
          <w:sz w:val="24"/>
          <w:szCs w:val="24"/>
          <w:lang w:val="en-GB"/>
        </w:rPr>
        <w:t xml:space="preserve"> </w:t>
      </w:r>
      <w:r w:rsidR="00743B6E" w:rsidRPr="00352694">
        <w:rPr>
          <w:rFonts w:asciiTheme="minorHAnsi" w:hAnsiTheme="minorHAnsi"/>
          <w:bCs/>
          <w:sz w:val="24"/>
          <w:szCs w:val="24"/>
          <w:lang w:val="en-GB"/>
        </w:rPr>
        <w:t xml:space="preserve">not </w:t>
      </w:r>
      <w:r w:rsidR="00631F18" w:rsidRPr="00352694">
        <w:rPr>
          <w:rFonts w:asciiTheme="minorHAnsi" w:hAnsiTheme="minorHAnsi"/>
          <w:bCs/>
          <w:sz w:val="24"/>
          <w:szCs w:val="24"/>
          <w:lang w:val="en-GB"/>
        </w:rPr>
        <w:t>accepted</w:t>
      </w:r>
      <w:r w:rsidR="00886D03" w:rsidRPr="00352694">
        <w:rPr>
          <w:rFonts w:asciiTheme="minorHAnsi" w:hAnsiTheme="minorHAnsi"/>
          <w:bCs/>
          <w:sz w:val="24"/>
          <w:szCs w:val="24"/>
          <w:lang w:val="en-GB"/>
        </w:rPr>
        <w:t>.</w:t>
      </w:r>
    </w:p>
    <w:p w:rsidR="0064289D" w:rsidRPr="00352694" w:rsidRDefault="0064289D" w:rsidP="009A29A0">
      <w:pPr>
        <w:rPr>
          <w:rFonts w:asciiTheme="minorHAnsi" w:hAnsiTheme="minorHAnsi"/>
          <w:bCs/>
          <w:lang w:val="en-GB"/>
        </w:rPr>
      </w:pPr>
    </w:p>
    <w:p w:rsidR="00103A46" w:rsidRPr="00B401A8" w:rsidRDefault="0064289D" w:rsidP="0064289D">
      <w:pPr>
        <w:pStyle w:val="ListParagraph"/>
        <w:numPr>
          <w:ilvl w:val="1"/>
          <w:numId w:val="5"/>
        </w:numPr>
        <w:rPr>
          <w:rFonts w:asciiTheme="minorHAnsi" w:hAnsiTheme="minorHAnsi"/>
          <w:sz w:val="24"/>
          <w:szCs w:val="24"/>
        </w:rPr>
      </w:pPr>
      <w:r w:rsidRPr="00B401A8">
        <w:rPr>
          <w:rFonts w:asciiTheme="minorHAnsi" w:hAnsiTheme="minorHAnsi"/>
          <w:sz w:val="24"/>
          <w:szCs w:val="24"/>
        </w:rPr>
        <w:t xml:space="preserve">The </w:t>
      </w:r>
      <w:r w:rsidR="00123918" w:rsidRPr="00B401A8">
        <w:rPr>
          <w:rFonts w:asciiTheme="minorHAnsi" w:hAnsiTheme="minorHAnsi"/>
          <w:sz w:val="24"/>
          <w:szCs w:val="24"/>
        </w:rPr>
        <w:t>minor re</w:t>
      </w:r>
      <w:r w:rsidRPr="00B401A8">
        <w:rPr>
          <w:rFonts w:asciiTheme="minorHAnsi" w:hAnsiTheme="minorHAnsi"/>
          <w:sz w:val="24"/>
          <w:szCs w:val="24"/>
        </w:rPr>
        <w:t>submission claimed that there would a cost saving to Government by subsidising migalastat. The PBAC noted that the cost of migalastat was different to agalsidase alfa and agalsidase beta</w:t>
      </w:r>
      <w:r w:rsidR="008F7AC2" w:rsidRPr="00B401A8">
        <w:rPr>
          <w:rFonts w:asciiTheme="minorHAnsi" w:hAnsiTheme="minorHAnsi"/>
          <w:sz w:val="24"/>
          <w:szCs w:val="24"/>
        </w:rPr>
        <w:t>.</w:t>
      </w:r>
      <w:r w:rsidRPr="00B401A8">
        <w:rPr>
          <w:rFonts w:asciiTheme="minorHAnsi" w:hAnsiTheme="minorHAnsi"/>
          <w:sz w:val="24"/>
          <w:szCs w:val="24"/>
        </w:rPr>
        <w:t xml:space="preserve"> The PBAC noted that the size of potential savings to Government depend</w:t>
      </w:r>
      <w:r w:rsidR="00123918" w:rsidRPr="00B401A8">
        <w:rPr>
          <w:rFonts w:asciiTheme="minorHAnsi" w:hAnsiTheme="minorHAnsi"/>
          <w:sz w:val="24"/>
          <w:szCs w:val="24"/>
        </w:rPr>
        <w:t>s</w:t>
      </w:r>
      <w:r w:rsidRPr="00B401A8">
        <w:rPr>
          <w:rFonts w:asciiTheme="minorHAnsi" w:hAnsiTheme="minorHAnsi"/>
          <w:sz w:val="24"/>
          <w:szCs w:val="24"/>
        </w:rPr>
        <w:t xml:space="preserve"> on the method</w:t>
      </w:r>
      <w:r w:rsidR="00631F18" w:rsidRPr="00B401A8">
        <w:rPr>
          <w:rFonts w:asciiTheme="minorHAnsi" w:hAnsiTheme="minorHAnsi"/>
          <w:sz w:val="24"/>
          <w:szCs w:val="24"/>
        </w:rPr>
        <w:t>s</w:t>
      </w:r>
      <w:r w:rsidRPr="00B401A8">
        <w:rPr>
          <w:rFonts w:asciiTheme="minorHAnsi" w:hAnsiTheme="minorHAnsi"/>
          <w:sz w:val="24"/>
          <w:szCs w:val="24"/>
        </w:rPr>
        <w:t xml:space="preserve"> by which the patient numbers </w:t>
      </w:r>
      <w:r w:rsidR="00F45179" w:rsidRPr="00B401A8">
        <w:rPr>
          <w:rFonts w:asciiTheme="minorHAnsi" w:hAnsiTheme="minorHAnsi"/>
          <w:sz w:val="24"/>
          <w:szCs w:val="24"/>
        </w:rPr>
        <w:t xml:space="preserve">and market share of ERTs </w:t>
      </w:r>
      <w:r w:rsidRPr="00B401A8">
        <w:rPr>
          <w:rFonts w:asciiTheme="minorHAnsi" w:hAnsiTheme="minorHAnsi"/>
          <w:sz w:val="24"/>
          <w:szCs w:val="24"/>
        </w:rPr>
        <w:t xml:space="preserve">are calculated. In addition, </w:t>
      </w:r>
      <w:r w:rsidR="00103A46" w:rsidRPr="00B401A8">
        <w:rPr>
          <w:rFonts w:asciiTheme="minorHAnsi" w:hAnsiTheme="minorHAnsi"/>
          <w:sz w:val="24"/>
          <w:szCs w:val="24"/>
        </w:rPr>
        <w:t xml:space="preserve">the PBAC remained concerned </w:t>
      </w:r>
      <w:r w:rsidR="00F45179" w:rsidRPr="00B401A8">
        <w:rPr>
          <w:rFonts w:asciiTheme="minorHAnsi" w:hAnsiTheme="minorHAnsi"/>
          <w:sz w:val="24"/>
          <w:szCs w:val="24"/>
        </w:rPr>
        <w:t>that risks which may impact on the financial cost include</w:t>
      </w:r>
      <w:r w:rsidR="00103A46" w:rsidRPr="00B401A8">
        <w:rPr>
          <w:rFonts w:asciiTheme="minorHAnsi" w:hAnsiTheme="minorHAnsi"/>
          <w:sz w:val="24"/>
          <w:szCs w:val="24"/>
        </w:rPr>
        <w:t>:</w:t>
      </w:r>
    </w:p>
    <w:p w:rsidR="005B3B2B" w:rsidRPr="00B401A8" w:rsidRDefault="00123918" w:rsidP="005B3B2B">
      <w:pPr>
        <w:pStyle w:val="ListParagraph"/>
        <w:numPr>
          <w:ilvl w:val="2"/>
          <w:numId w:val="5"/>
        </w:numPr>
        <w:ind w:left="1418" w:hanging="425"/>
        <w:rPr>
          <w:rFonts w:asciiTheme="minorHAnsi" w:hAnsiTheme="minorHAnsi"/>
          <w:sz w:val="24"/>
          <w:szCs w:val="24"/>
        </w:rPr>
      </w:pPr>
      <w:r w:rsidRPr="00B401A8">
        <w:rPr>
          <w:rFonts w:asciiTheme="minorHAnsi" w:hAnsiTheme="minorHAnsi"/>
          <w:sz w:val="24"/>
          <w:szCs w:val="24"/>
          <w:lang w:val="en-US"/>
        </w:rPr>
        <w:t xml:space="preserve">the </w:t>
      </w:r>
      <w:r w:rsidR="00627501" w:rsidRPr="00B401A8">
        <w:rPr>
          <w:rFonts w:asciiTheme="minorHAnsi" w:hAnsiTheme="minorHAnsi"/>
          <w:sz w:val="24"/>
          <w:szCs w:val="24"/>
          <w:lang w:val="en-US"/>
        </w:rPr>
        <w:t>p</w:t>
      </w:r>
      <w:r w:rsidR="00103A46" w:rsidRPr="00B401A8">
        <w:rPr>
          <w:rFonts w:asciiTheme="minorHAnsi" w:hAnsiTheme="minorHAnsi"/>
          <w:sz w:val="24"/>
          <w:szCs w:val="24"/>
          <w:lang w:val="en-US"/>
        </w:rPr>
        <w:t xml:space="preserve">otential for unintended use in patients with non-amenable mutations, related to the Committee’s </w:t>
      </w:r>
      <w:r w:rsidR="00886D03" w:rsidRPr="00B401A8">
        <w:rPr>
          <w:rFonts w:asciiTheme="minorHAnsi" w:hAnsiTheme="minorHAnsi"/>
          <w:sz w:val="24"/>
          <w:szCs w:val="24"/>
          <w:lang w:val="en-US"/>
        </w:rPr>
        <w:t xml:space="preserve">earlier </w:t>
      </w:r>
      <w:r w:rsidR="00103A46" w:rsidRPr="00B401A8">
        <w:rPr>
          <w:rFonts w:asciiTheme="minorHAnsi" w:hAnsiTheme="minorHAnsi"/>
          <w:sz w:val="24"/>
          <w:szCs w:val="24"/>
          <w:lang w:val="en-US"/>
        </w:rPr>
        <w:t>concern</w:t>
      </w:r>
      <w:r w:rsidR="00886D03" w:rsidRPr="00B401A8">
        <w:rPr>
          <w:rFonts w:asciiTheme="minorHAnsi" w:hAnsiTheme="minorHAnsi"/>
          <w:sz w:val="24"/>
          <w:szCs w:val="24"/>
          <w:lang w:val="en-US"/>
        </w:rPr>
        <w:t>s</w:t>
      </w:r>
      <w:r w:rsidR="00103A46" w:rsidRPr="00B401A8">
        <w:rPr>
          <w:rFonts w:asciiTheme="minorHAnsi" w:hAnsiTheme="minorHAnsi"/>
          <w:sz w:val="24"/>
          <w:szCs w:val="24"/>
          <w:lang w:val="en-US"/>
        </w:rPr>
        <w:t xml:space="preserve"> about the </w:t>
      </w:r>
      <w:r w:rsidR="00886D03" w:rsidRPr="00B401A8">
        <w:rPr>
          <w:rFonts w:asciiTheme="minorHAnsi" w:hAnsiTheme="minorHAnsi"/>
          <w:sz w:val="24"/>
          <w:szCs w:val="24"/>
          <w:lang w:val="en-US"/>
        </w:rPr>
        <w:t xml:space="preserve">performance of </w:t>
      </w:r>
      <w:r w:rsidR="00103A46" w:rsidRPr="00B401A8">
        <w:rPr>
          <w:rFonts w:asciiTheme="minorHAnsi" w:hAnsiTheme="minorHAnsi"/>
          <w:sz w:val="24"/>
          <w:szCs w:val="24"/>
          <w:lang w:val="en-US"/>
        </w:rPr>
        <w:t>testing</w:t>
      </w:r>
      <w:r w:rsidRPr="00B401A8">
        <w:rPr>
          <w:rFonts w:asciiTheme="minorHAnsi" w:hAnsiTheme="minorHAnsi"/>
          <w:sz w:val="24"/>
          <w:szCs w:val="24"/>
          <w:lang w:val="en-US"/>
        </w:rPr>
        <w:t>; and</w:t>
      </w:r>
    </w:p>
    <w:p w:rsidR="00627501" w:rsidRPr="00B401A8" w:rsidRDefault="00103A46" w:rsidP="005B3B2B">
      <w:pPr>
        <w:pStyle w:val="ListParagraph"/>
        <w:numPr>
          <w:ilvl w:val="2"/>
          <w:numId w:val="5"/>
        </w:numPr>
        <w:ind w:left="1418" w:hanging="425"/>
        <w:rPr>
          <w:rFonts w:asciiTheme="minorHAnsi" w:hAnsiTheme="minorHAnsi"/>
          <w:sz w:val="24"/>
          <w:szCs w:val="24"/>
        </w:rPr>
      </w:pPr>
      <w:proofErr w:type="gramStart"/>
      <w:r w:rsidRPr="00B401A8">
        <w:rPr>
          <w:rFonts w:asciiTheme="minorHAnsi" w:hAnsiTheme="minorHAnsi"/>
          <w:sz w:val="24"/>
          <w:szCs w:val="24"/>
        </w:rPr>
        <w:t>migalastat</w:t>
      </w:r>
      <w:proofErr w:type="gramEnd"/>
      <w:r w:rsidRPr="00B401A8">
        <w:rPr>
          <w:rFonts w:asciiTheme="minorHAnsi" w:hAnsiTheme="minorHAnsi"/>
          <w:sz w:val="24"/>
          <w:szCs w:val="24"/>
        </w:rPr>
        <w:t xml:space="preserve"> being used in combination with, rather than instead of, ERT, given their different mechanisms of action</w:t>
      </w:r>
      <w:r w:rsidR="00627501" w:rsidRPr="00B401A8">
        <w:rPr>
          <w:rFonts w:asciiTheme="minorHAnsi" w:hAnsiTheme="minorHAnsi"/>
          <w:sz w:val="24"/>
          <w:szCs w:val="24"/>
        </w:rPr>
        <w:t xml:space="preserve">, as discussed </w:t>
      </w:r>
      <w:r w:rsidR="00886D03" w:rsidRPr="00B401A8">
        <w:rPr>
          <w:rFonts w:asciiTheme="minorHAnsi" w:hAnsiTheme="minorHAnsi"/>
          <w:sz w:val="24"/>
          <w:szCs w:val="24"/>
        </w:rPr>
        <w:t xml:space="preserve">in the </w:t>
      </w:r>
      <w:r w:rsidR="00627501" w:rsidRPr="00B401A8">
        <w:rPr>
          <w:rFonts w:asciiTheme="minorHAnsi" w:hAnsiTheme="minorHAnsi"/>
          <w:sz w:val="24"/>
          <w:szCs w:val="24"/>
        </w:rPr>
        <w:t xml:space="preserve">March 2017 </w:t>
      </w:r>
      <w:r w:rsidR="00886D03" w:rsidRPr="00B401A8">
        <w:rPr>
          <w:rFonts w:asciiTheme="minorHAnsi" w:hAnsiTheme="minorHAnsi"/>
          <w:sz w:val="24"/>
          <w:szCs w:val="24"/>
        </w:rPr>
        <w:t xml:space="preserve">PBAC </w:t>
      </w:r>
      <w:r w:rsidR="00627501" w:rsidRPr="00B401A8">
        <w:rPr>
          <w:rFonts w:asciiTheme="minorHAnsi" w:hAnsiTheme="minorHAnsi"/>
          <w:sz w:val="24"/>
          <w:szCs w:val="24"/>
        </w:rPr>
        <w:t>meeting</w:t>
      </w:r>
      <w:r w:rsidR="00886D03" w:rsidRPr="00B401A8">
        <w:rPr>
          <w:rFonts w:asciiTheme="minorHAnsi" w:hAnsiTheme="minorHAnsi"/>
          <w:sz w:val="24"/>
          <w:szCs w:val="24"/>
        </w:rPr>
        <w:t>.</w:t>
      </w:r>
    </w:p>
    <w:p w:rsidR="0064289D" w:rsidRPr="00B401A8" w:rsidRDefault="00103A46" w:rsidP="00627501">
      <w:pPr>
        <w:pStyle w:val="ListParagraph"/>
        <w:rPr>
          <w:rFonts w:asciiTheme="minorHAnsi" w:hAnsiTheme="minorHAnsi"/>
          <w:sz w:val="24"/>
          <w:szCs w:val="24"/>
        </w:rPr>
      </w:pPr>
      <w:r w:rsidRPr="00B401A8">
        <w:rPr>
          <w:rFonts w:asciiTheme="minorHAnsi" w:hAnsiTheme="minorHAnsi"/>
          <w:sz w:val="24"/>
          <w:szCs w:val="24"/>
        </w:rPr>
        <w:t>Overall, a</w:t>
      </w:r>
      <w:r w:rsidR="009A29A0" w:rsidRPr="00B401A8">
        <w:rPr>
          <w:rFonts w:asciiTheme="minorHAnsi" w:hAnsiTheme="minorHAnsi"/>
          <w:sz w:val="24"/>
          <w:szCs w:val="24"/>
        </w:rPr>
        <w:t>t the price proposed in the submission, t</w:t>
      </w:r>
      <w:r w:rsidR="0064289D" w:rsidRPr="00B401A8">
        <w:rPr>
          <w:rFonts w:asciiTheme="minorHAnsi" w:hAnsiTheme="minorHAnsi"/>
          <w:sz w:val="24"/>
          <w:szCs w:val="24"/>
        </w:rPr>
        <w:t xml:space="preserve">he PBAC considered that the claims of </w:t>
      </w:r>
      <w:r w:rsidR="009A29A0" w:rsidRPr="00B401A8">
        <w:rPr>
          <w:rFonts w:asciiTheme="minorHAnsi" w:hAnsiTheme="minorHAnsi"/>
          <w:sz w:val="24"/>
          <w:szCs w:val="24"/>
        </w:rPr>
        <w:t>cost saving</w:t>
      </w:r>
      <w:r w:rsidR="00886D03" w:rsidRPr="00B401A8">
        <w:rPr>
          <w:rFonts w:asciiTheme="minorHAnsi" w:hAnsiTheme="minorHAnsi"/>
          <w:sz w:val="24"/>
          <w:szCs w:val="24"/>
        </w:rPr>
        <w:t>,</w:t>
      </w:r>
      <w:r w:rsidR="009A29A0" w:rsidRPr="00B401A8">
        <w:rPr>
          <w:rFonts w:asciiTheme="minorHAnsi" w:hAnsiTheme="minorHAnsi"/>
          <w:sz w:val="24"/>
          <w:szCs w:val="24"/>
        </w:rPr>
        <w:t xml:space="preserve"> or even </w:t>
      </w:r>
      <w:r w:rsidR="0064289D" w:rsidRPr="00B401A8">
        <w:rPr>
          <w:rFonts w:asciiTheme="minorHAnsi" w:hAnsiTheme="minorHAnsi"/>
          <w:sz w:val="24"/>
          <w:szCs w:val="24"/>
        </w:rPr>
        <w:t>cost-neutrality</w:t>
      </w:r>
      <w:r w:rsidR="00886D03" w:rsidRPr="00B401A8">
        <w:rPr>
          <w:rFonts w:asciiTheme="minorHAnsi" w:hAnsiTheme="minorHAnsi"/>
          <w:sz w:val="24"/>
          <w:szCs w:val="24"/>
        </w:rPr>
        <w:t>,</w:t>
      </w:r>
      <w:r w:rsidR="0064289D" w:rsidRPr="00B401A8">
        <w:rPr>
          <w:rFonts w:asciiTheme="minorHAnsi" w:hAnsiTheme="minorHAnsi"/>
          <w:sz w:val="24"/>
          <w:szCs w:val="24"/>
        </w:rPr>
        <w:t xml:space="preserve"> </w:t>
      </w:r>
      <w:r w:rsidR="009A29A0" w:rsidRPr="00B401A8">
        <w:rPr>
          <w:rFonts w:asciiTheme="minorHAnsi" w:hAnsiTheme="minorHAnsi"/>
          <w:sz w:val="24"/>
          <w:szCs w:val="24"/>
        </w:rPr>
        <w:t>may not be realised</w:t>
      </w:r>
      <w:r w:rsidR="0064289D" w:rsidRPr="00B401A8">
        <w:rPr>
          <w:rFonts w:asciiTheme="minorHAnsi" w:hAnsiTheme="minorHAnsi"/>
          <w:sz w:val="24"/>
          <w:szCs w:val="24"/>
        </w:rPr>
        <w:t>.</w:t>
      </w:r>
    </w:p>
    <w:p w:rsidR="0064289D" w:rsidRPr="00B401A8" w:rsidRDefault="0064289D" w:rsidP="00D27B29">
      <w:pPr>
        <w:rPr>
          <w:rFonts w:asciiTheme="minorHAnsi" w:hAnsiTheme="minorHAnsi"/>
        </w:rPr>
      </w:pPr>
    </w:p>
    <w:p w:rsidR="00B05585" w:rsidRPr="00B401A8" w:rsidRDefault="00C7356F" w:rsidP="00B05585">
      <w:pPr>
        <w:widowControl w:val="0"/>
        <w:numPr>
          <w:ilvl w:val="1"/>
          <w:numId w:val="5"/>
        </w:numPr>
        <w:spacing w:after="120"/>
        <w:jc w:val="both"/>
        <w:rPr>
          <w:rFonts w:asciiTheme="minorHAnsi" w:hAnsiTheme="minorHAnsi" w:cs="Arial"/>
          <w:bCs/>
          <w:snapToGrid w:val="0"/>
          <w:lang w:val="en-GB" w:eastAsia="en-US"/>
        </w:rPr>
      </w:pPr>
      <w:r w:rsidRPr="00B401A8">
        <w:rPr>
          <w:rFonts w:asciiTheme="minorHAnsi" w:hAnsiTheme="minorHAnsi" w:cs="Arial"/>
          <w:bCs/>
          <w:snapToGrid w:val="0"/>
          <w:lang w:val="en-GB" w:eastAsia="en-US"/>
        </w:rPr>
        <w:t>The PBAC note</w:t>
      </w:r>
      <w:r w:rsidR="00B05585" w:rsidRPr="00B401A8">
        <w:rPr>
          <w:rFonts w:asciiTheme="minorHAnsi" w:hAnsiTheme="minorHAnsi" w:cs="Arial"/>
          <w:bCs/>
          <w:snapToGrid w:val="0"/>
          <w:lang w:val="en-GB" w:eastAsia="en-US"/>
        </w:rPr>
        <w:t>d that this submission is</w:t>
      </w:r>
      <w:r w:rsidRPr="00B401A8">
        <w:rPr>
          <w:rFonts w:asciiTheme="minorHAnsi" w:hAnsiTheme="minorHAnsi" w:cs="Arial"/>
          <w:bCs/>
          <w:snapToGrid w:val="0"/>
          <w:lang w:val="en-GB" w:eastAsia="en-US"/>
        </w:rPr>
        <w:t xml:space="preserve"> elig</w:t>
      </w:r>
      <w:r w:rsidR="00D27B29" w:rsidRPr="00B401A8">
        <w:rPr>
          <w:rFonts w:asciiTheme="minorHAnsi" w:hAnsiTheme="minorHAnsi" w:cs="Arial"/>
          <w:bCs/>
          <w:snapToGrid w:val="0"/>
          <w:lang w:val="en-GB" w:eastAsia="en-US"/>
        </w:rPr>
        <w:t>ible for an Independent Review.</w:t>
      </w:r>
    </w:p>
    <w:p w:rsidR="00C7356F" w:rsidRPr="00B401A8" w:rsidRDefault="00C7356F" w:rsidP="00B05585">
      <w:pPr>
        <w:widowControl w:val="0"/>
        <w:spacing w:after="120"/>
        <w:jc w:val="both"/>
        <w:rPr>
          <w:rFonts w:asciiTheme="minorHAnsi" w:hAnsiTheme="minorHAnsi" w:cs="Arial"/>
          <w:b/>
          <w:bCs/>
          <w:snapToGrid w:val="0"/>
          <w:sz w:val="28"/>
          <w:lang w:val="en-GB" w:eastAsia="en-US"/>
        </w:rPr>
      </w:pPr>
      <w:r w:rsidRPr="00B401A8">
        <w:rPr>
          <w:rFonts w:asciiTheme="minorHAnsi" w:hAnsiTheme="minorHAnsi" w:cs="Arial"/>
          <w:b/>
          <w:bCs/>
          <w:snapToGrid w:val="0"/>
          <w:sz w:val="28"/>
          <w:lang w:val="en-GB" w:eastAsia="en-US"/>
        </w:rPr>
        <w:t>Outcome:</w:t>
      </w:r>
    </w:p>
    <w:p w:rsidR="00C7356F" w:rsidRPr="00B401A8" w:rsidRDefault="00C7356F" w:rsidP="00C7356F">
      <w:pPr>
        <w:spacing w:after="120"/>
        <w:jc w:val="both"/>
        <w:rPr>
          <w:rFonts w:asciiTheme="minorHAnsi" w:hAnsiTheme="minorHAnsi" w:cs="Arial"/>
          <w:bCs/>
          <w:snapToGrid w:val="0"/>
          <w:lang w:val="en-GB" w:eastAsia="en-US"/>
        </w:rPr>
      </w:pPr>
      <w:r w:rsidRPr="00B401A8">
        <w:rPr>
          <w:rFonts w:asciiTheme="minorHAnsi" w:hAnsiTheme="minorHAnsi" w:cs="Arial"/>
          <w:bCs/>
          <w:snapToGrid w:val="0"/>
          <w:lang w:val="en-GB" w:eastAsia="en-US"/>
        </w:rPr>
        <w:t xml:space="preserve">Rejected </w:t>
      </w:r>
    </w:p>
    <w:p w:rsidR="00C7356F" w:rsidRPr="008F7AC2" w:rsidRDefault="00C7356F" w:rsidP="00C7356F">
      <w:pPr>
        <w:widowControl w:val="0"/>
        <w:spacing w:after="120"/>
        <w:jc w:val="both"/>
        <w:rPr>
          <w:rFonts w:asciiTheme="minorHAnsi" w:hAnsiTheme="minorHAnsi" w:cs="Arial"/>
          <w:b/>
          <w:bCs/>
          <w:snapToGrid w:val="0"/>
          <w:sz w:val="22"/>
          <w:lang w:eastAsia="en-US"/>
        </w:rPr>
      </w:pPr>
    </w:p>
    <w:p w:rsidR="00FE37DF" w:rsidRPr="00B401A8" w:rsidRDefault="00FE37DF" w:rsidP="00FE37DF">
      <w:pPr>
        <w:pStyle w:val="PBACHeading1"/>
        <w:rPr>
          <w:rFonts w:asciiTheme="minorHAnsi" w:eastAsiaTheme="minorHAnsi" w:hAnsiTheme="minorHAnsi" w:cstheme="minorBidi"/>
          <w:sz w:val="28"/>
          <w:szCs w:val="24"/>
        </w:rPr>
      </w:pPr>
      <w:r w:rsidRPr="00B401A8">
        <w:rPr>
          <w:rFonts w:asciiTheme="minorHAnsi" w:eastAsiaTheme="minorHAnsi" w:hAnsiTheme="minorHAnsi" w:cstheme="minorBidi"/>
          <w:sz w:val="28"/>
          <w:szCs w:val="24"/>
        </w:rPr>
        <w:t>Context for Decision</w:t>
      </w:r>
    </w:p>
    <w:p w:rsidR="00FE37DF" w:rsidRPr="00E71EF9" w:rsidRDefault="00FE37DF" w:rsidP="00FE37DF">
      <w:pPr>
        <w:spacing w:line="276" w:lineRule="auto"/>
        <w:ind w:left="426"/>
        <w:jc w:val="both"/>
        <w:rPr>
          <w:rFonts w:asciiTheme="minorHAnsi" w:eastAsiaTheme="minorHAnsi" w:hAnsiTheme="minorHAnsi" w:cs="Arial"/>
          <w:lang w:eastAsia="en-US"/>
        </w:rPr>
      </w:pPr>
    </w:p>
    <w:p w:rsidR="00FE37DF" w:rsidRPr="00E71EF9" w:rsidRDefault="00FE37DF" w:rsidP="00FE37DF">
      <w:pPr>
        <w:spacing w:line="276" w:lineRule="auto"/>
        <w:ind w:left="426"/>
        <w:jc w:val="both"/>
        <w:rPr>
          <w:rFonts w:asciiTheme="minorHAnsi" w:eastAsiaTheme="minorHAnsi" w:hAnsiTheme="minorHAnsi" w:cs="Arial"/>
          <w:lang w:eastAsia="en-US"/>
        </w:rPr>
      </w:pPr>
      <w:r w:rsidRPr="00E71EF9">
        <w:rPr>
          <w:rFonts w:asciiTheme="minorHAnsi" w:eastAsiaTheme="minorHAnsi" w:hAnsiTheme="minorHAnsi" w:cs="Arial"/>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FE37DF" w:rsidRPr="00E71EF9" w:rsidRDefault="00FE37DF" w:rsidP="00FE37DF">
      <w:pPr>
        <w:spacing w:after="200" w:line="276" w:lineRule="auto"/>
        <w:ind w:left="426"/>
        <w:jc w:val="both"/>
        <w:rPr>
          <w:rFonts w:asciiTheme="minorHAnsi" w:eastAsiaTheme="minorHAnsi" w:hAnsiTheme="minorHAnsi" w:cs="Arial"/>
          <w:lang w:eastAsia="en-US"/>
        </w:rPr>
      </w:pPr>
    </w:p>
    <w:p w:rsidR="00FE37DF" w:rsidRPr="00B401A8" w:rsidRDefault="00FE37DF" w:rsidP="00FE37DF">
      <w:pPr>
        <w:pStyle w:val="PBACHeading1"/>
        <w:rPr>
          <w:rFonts w:asciiTheme="minorHAnsi" w:eastAsiaTheme="minorHAnsi" w:hAnsiTheme="minorHAnsi" w:cstheme="minorBidi"/>
          <w:sz w:val="28"/>
          <w:szCs w:val="24"/>
        </w:rPr>
      </w:pPr>
      <w:r w:rsidRPr="00B401A8">
        <w:rPr>
          <w:rFonts w:asciiTheme="minorHAnsi" w:eastAsiaTheme="minorHAnsi" w:hAnsiTheme="minorHAnsi" w:cstheme="minorBidi"/>
          <w:sz w:val="28"/>
          <w:szCs w:val="24"/>
        </w:rPr>
        <w:t>Sponsor’s Comment</w:t>
      </w:r>
    </w:p>
    <w:p w:rsidR="00FE37DF" w:rsidRPr="00E71EF9" w:rsidRDefault="00FE37DF" w:rsidP="00FE37DF">
      <w:pPr>
        <w:spacing w:line="276" w:lineRule="auto"/>
        <w:ind w:left="426"/>
        <w:jc w:val="both"/>
        <w:rPr>
          <w:rFonts w:asciiTheme="minorHAnsi" w:eastAsiaTheme="minorHAnsi" w:hAnsiTheme="minorHAnsi" w:cs="Arial"/>
          <w:bCs/>
          <w:highlight w:val="yellow"/>
          <w:lang w:val="en-GB" w:eastAsia="en-US"/>
        </w:rPr>
      </w:pPr>
    </w:p>
    <w:p w:rsidR="007B635A" w:rsidRPr="00C7356F" w:rsidRDefault="002738BB" w:rsidP="00C7356F">
      <w:pPr>
        <w:rPr>
          <w:rFonts w:asciiTheme="minorHAnsi" w:hAnsiTheme="minorHAnsi"/>
          <w:sz w:val="20"/>
          <w:szCs w:val="22"/>
        </w:rPr>
      </w:pPr>
      <w:r w:rsidRPr="00C96958">
        <w:rPr>
          <w:rFonts w:asciiTheme="minorHAnsi" w:eastAsiaTheme="minorHAnsi" w:hAnsiTheme="minorHAnsi" w:cs="Arial"/>
          <w:bCs/>
          <w:lang w:val="en-GB" w:eastAsia="en-US"/>
        </w:rPr>
        <w:t xml:space="preserve">Amicus continues to work with the PBAC to ensure that </w:t>
      </w:r>
      <w:proofErr w:type="spellStart"/>
      <w:r w:rsidRPr="00C96958">
        <w:rPr>
          <w:rFonts w:asciiTheme="minorHAnsi" w:eastAsiaTheme="minorHAnsi" w:hAnsiTheme="minorHAnsi" w:cs="Arial"/>
          <w:bCs/>
          <w:lang w:val="en-GB" w:eastAsia="en-US"/>
        </w:rPr>
        <w:t>migalastat</w:t>
      </w:r>
      <w:proofErr w:type="spellEnd"/>
      <w:r w:rsidRPr="00C96958">
        <w:rPr>
          <w:rFonts w:asciiTheme="minorHAnsi" w:eastAsiaTheme="minorHAnsi" w:hAnsiTheme="minorHAnsi" w:cs="Arial"/>
          <w:bCs/>
          <w:lang w:val="en-GB" w:eastAsia="en-US"/>
        </w:rPr>
        <w:t xml:space="preserve"> is made available to Australian patients diagnosed with </w:t>
      </w:r>
      <w:proofErr w:type="spellStart"/>
      <w:r w:rsidRPr="00C96958">
        <w:rPr>
          <w:rFonts w:asciiTheme="minorHAnsi" w:eastAsiaTheme="minorHAnsi" w:hAnsiTheme="minorHAnsi" w:cs="Arial"/>
          <w:bCs/>
          <w:lang w:val="en-GB" w:eastAsia="en-US"/>
        </w:rPr>
        <w:t>Fabry</w:t>
      </w:r>
      <w:proofErr w:type="spellEnd"/>
      <w:r w:rsidRPr="00C96958">
        <w:rPr>
          <w:rFonts w:asciiTheme="minorHAnsi" w:eastAsiaTheme="minorHAnsi" w:hAnsiTheme="minorHAnsi" w:cs="Arial"/>
          <w:bCs/>
          <w:lang w:val="en-GB" w:eastAsia="en-US"/>
        </w:rPr>
        <w:t xml:space="preserve"> Disease who have an amenable mutation.</w:t>
      </w:r>
    </w:p>
    <w:sectPr w:rsidR="007B635A" w:rsidRPr="00C7356F"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D17" w:rsidRDefault="00DE0D17">
      <w:r>
        <w:separator/>
      </w:r>
    </w:p>
    <w:p w:rsidR="00DE0D17" w:rsidRDefault="00DE0D17"/>
  </w:endnote>
  <w:endnote w:type="continuationSeparator" w:id="0">
    <w:p w:rsidR="00DE0D17" w:rsidRDefault="00DE0D17">
      <w:r>
        <w:continuationSeparator/>
      </w:r>
    </w:p>
    <w:p w:rsidR="00DE0D17" w:rsidRDefault="00DE0D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75D2F" w:rsidTr="005A3173">
      <w:trPr>
        <w:trHeight w:val="151"/>
      </w:trPr>
      <w:tc>
        <w:tcPr>
          <w:tcW w:w="2250" w:type="pct"/>
          <w:tcBorders>
            <w:top w:val="nil"/>
            <w:left w:val="nil"/>
            <w:bottom w:val="single" w:sz="4" w:space="0" w:color="4F81BD"/>
            <w:right w:val="nil"/>
          </w:tcBorders>
        </w:tcPr>
        <w:p w:rsidR="00D75D2F" w:rsidRPr="005A3173" w:rsidRDefault="00D75D2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75D2F" w:rsidRPr="005A3173" w:rsidRDefault="00D75D2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75D2F" w:rsidRPr="005A3173" w:rsidRDefault="00D75D2F" w:rsidP="005A3173">
          <w:pPr>
            <w:pStyle w:val="Header"/>
            <w:spacing w:line="276" w:lineRule="auto"/>
            <w:rPr>
              <w:rFonts w:ascii="Calibri" w:eastAsia="MS Gothic" w:hAnsi="Calibri"/>
              <w:b/>
              <w:bCs/>
              <w:color w:val="4F81BD"/>
            </w:rPr>
          </w:pPr>
        </w:p>
      </w:tc>
    </w:tr>
    <w:tr w:rsidR="00D75D2F" w:rsidTr="005A3173">
      <w:trPr>
        <w:trHeight w:val="150"/>
      </w:trPr>
      <w:tc>
        <w:tcPr>
          <w:tcW w:w="2250" w:type="pct"/>
          <w:tcBorders>
            <w:top w:val="single" w:sz="4" w:space="0" w:color="4F81BD"/>
            <w:left w:val="nil"/>
            <w:bottom w:val="nil"/>
            <w:right w:val="nil"/>
          </w:tcBorders>
        </w:tcPr>
        <w:p w:rsidR="00D75D2F" w:rsidRPr="005A3173" w:rsidRDefault="00D75D2F" w:rsidP="005A3173">
          <w:pPr>
            <w:pStyle w:val="Header"/>
            <w:spacing w:line="276" w:lineRule="auto"/>
            <w:rPr>
              <w:rFonts w:ascii="Calibri" w:eastAsia="MS Gothic" w:hAnsi="Calibri"/>
              <w:b/>
              <w:bCs/>
              <w:color w:val="4F81BD"/>
            </w:rPr>
          </w:pPr>
        </w:p>
      </w:tc>
      <w:tc>
        <w:tcPr>
          <w:tcW w:w="0" w:type="auto"/>
          <w:vMerge/>
          <w:vAlign w:val="center"/>
          <w:hideMark/>
        </w:tcPr>
        <w:p w:rsidR="00D75D2F" w:rsidRPr="005A3173" w:rsidRDefault="00D75D2F" w:rsidP="005A3173">
          <w:pPr>
            <w:rPr>
              <w:rFonts w:ascii="Calibri" w:hAnsi="Calibri"/>
              <w:color w:val="365F91"/>
              <w:sz w:val="22"/>
              <w:szCs w:val="22"/>
            </w:rPr>
          </w:pPr>
        </w:p>
      </w:tc>
      <w:tc>
        <w:tcPr>
          <w:tcW w:w="2250" w:type="pct"/>
          <w:tcBorders>
            <w:top w:val="single" w:sz="4" w:space="0" w:color="4F81BD"/>
            <w:left w:val="nil"/>
            <w:bottom w:val="nil"/>
            <w:right w:val="nil"/>
          </w:tcBorders>
        </w:tcPr>
        <w:p w:rsidR="00D75D2F" w:rsidRPr="005A3173" w:rsidRDefault="00D75D2F" w:rsidP="005A3173">
          <w:pPr>
            <w:pStyle w:val="Header"/>
            <w:spacing w:line="276" w:lineRule="auto"/>
            <w:rPr>
              <w:rFonts w:ascii="Calibri" w:eastAsia="MS Gothic" w:hAnsi="Calibri"/>
              <w:b/>
              <w:bCs/>
              <w:color w:val="4F81BD"/>
            </w:rPr>
          </w:pPr>
        </w:p>
      </w:tc>
    </w:tr>
  </w:tbl>
  <w:p w:rsidR="00D75D2F" w:rsidRDefault="00D75D2F"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75D2F" w:rsidRDefault="00D75D2F">
    <w:pPr>
      <w:pStyle w:val="Footer"/>
    </w:pPr>
  </w:p>
  <w:p w:rsidR="00D75D2F" w:rsidRDefault="00D75D2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2F" w:rsidRDefault="00D75D2F" w:rsidP="00EF44A0">
    <w:pPr>
      <w:pStyle w:val="Footer"/>
      <w:jc w:val="center"/>
      <w:rPr>
        <w:rFonts w:ascii="Arial" w:hAnsi="Arial" w:cs="Arial"/>
        <w:b/>
        <w:sz w:val="20"/>
        <w:szCs w:val="20"/>
      </w:rPr>
    </w:pPr>
  </w:p>
  <w:p w:rsidR="00D75D2F" w:rsidRPr="00C7356F" w:rsidRDefault="00D75D2F" w:rsidP="00C7356F">
    <w:pPr>
      <w:tabs>
        <w:tab w:val="center" w:pos="4153"/>
        <w:tab w:val="right" w:pos="8306"/>
      </w:tabs>
      <w:spacing w:after="120"/>
      <w:ind w:left="360"/>
      <w:jc w:val="center"/>
      <w:rPr>
        <w:rFonts w:asciiTheme="minorHAnsi" w:hAnsiTheme="minorHAnsi" w:cs="Arial"/>
        <w:lang w:eastAsia="en-US"/>
      </w:rPr>
    </w:pPr>
    <w:r w:rsidRPr="00C7356F">
      <w:rPr>
        <w:rFonts w:asciiTheme="minorHAnsi" w:hAnsiTheme="minorHAnsi" w:cs="Arial"/>
        <w:lang w:eastAsia="en-US"/>
      </w:rPr>
      <w:fldChar w:fldCharType="begin"/>
    </w:r>
    <w:r w:rsidRPr="00C7356F">
      <w:rPr>
        <w:rFonts w:asciiTheme="minorHAnsi" w:hAnsiTheme="minorHAnsi" w:cs="Arial"/>
        <w:lang w:eastAsia="en-US"/>
      </w:rPr>
      <w:instrText xml:space="preserve"> PAGE   \* MERGEFORMAT </w:instrText>
    </w:r>
    <w:r w:rsidRPr="00C7356F">
      <w:rPr>
        <w:rFonts w:asciiTheme="minorHAnsi" w:hAnsiTheme="minorHAnsi" w:cs="Arial"/>
        <w:lang w:eastAsia="en-US"/>
      </w:rPr>
      <w:fldChar w:fldCharType="separate"/>
    </w:r>
    <w:r w:rsidR="0035523A">
      <w:rPr>
        <w:rFonts w:asciiTheme="minorHAnsi" w:hAnsiTheme="minorHAnsi" w:cs="Arial"/>
        <w:noProof/>
        <w:lang w:eastAsia="en-US"/>
      </w:rPr>
      <w:t>7</w:t>
    </w:r>
    <w:r w:rsidRPr="00C7356F">
      <w:rPr>
        <w:rFonts w:asciiTheme="minorHAnsi" w:hAnsiTheme="minorHAnsi" w:cs="Arial"/>
        <w:noProof/>
        <w:lang w:eastAsia="en-US"/>
      </w:rPr>
      <w:fldChar w:fldCharType="end"/>
    </w:r>
  </w:p>
  <w:p w:rsidR="00D75D2F" w:rsidRDefault="00D75D2F" w:rsidP="00C7356F">
    <w:pPr>
      <w:pStyle w:val="Footer"/>
      <w:jc w:val="center"/>
      <w:rPr>
        <w:rFonts w:ascii="Arial" w:hAnsi="Arial" w:cs="Arial"/>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D75D2F" w:rsidTr="005A3173">
      <w:trPr>
        <w:trHeight w:val="151"/>
      </w:trPr>
      <w:tc>
        <w:tcPr>
          <w:tcW w:w="2250" w:type="pct"/>
          <w:tcBorders>
            <w:top w:val="nil"/>
            <w:left w:val="nil"/>
            <w:bottom w:val="single" w:sz="4" w:space="0" w:color="4F81BD"/>
            <w:right w:val="nil"/>
          </w:tcBorders>
        </w:tcPr>
        <w:p w:rsidR="00D75D2F" w:rsidRPr="005A3173" w:rsidRDefault="00D75D2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75D2F" w:rsidRPr="005A3173" w:rsidRDefault="00D75D2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75D2F" w:rsidRPr="005A3173" w:rsidRDefault="00D75D2F" w:rsidP="005A3173">
          <w:pPr>
            <w:pStyle w:val="Header"/>
            <w:spacing w:line="276" w:lineRule="auto"/>
            <w:rPr>
              <w:rFonts w:ascii="Calibri" w:eastAsia="MS Gothic" w:hAnsi="Calibri"/>
              <w:b/>
              <w:bCs/>
              <w:color w:val="4F81BD"/>
            </w:rPr>
          </w:pPr>
        </w:p>
      </w:tc>
    </w:tr>
    <w:tr w:rsidR="00D75D2F" w:rsidTr="005A3173">
      <w:trPr>
        <w:trHeight w:val="150"/>
      </w:trPr>
      <w:tc>
        <w:tcPr>
          <w:tcW w:w="2250" w:type="pct"/>
          <w:tcBorders>
            <w:top w:val="single" w:sz="4" w:space="0" w:color="4F81BD"/>
            <w:left w:val="nil"/>
            <w:bottom w:val="nil"/>
            <w:right w:val="nil"/>
          </w:tcBorders>
        </w:tcPr>
        <w:p w:rsidR="00D75D2F" w:rsidRPr="005A3173" w:rsidRDefault="00D75D2F" w:rsidP="005A3173">
          <w:pPr>
            <w:pStyle w:val="Header"/>
            <w:spacing w:line="276" w:lineRule="auto"/>
            <w:rPr>
              <w:rFonts w:ascii="Calibri" w:eastAsia="MS Gothic" w:hAnsi="Calibri"/>
              <w:b/>
              <w:bCs/>
              <w:color w:val="4F81BD"/>
            </w:rPr>
          </w:pPr>
        </w:p>
      </w:tc>
      <w:tc>
        <w:tcPr>
          <w:tcW w:w="0" w:type="auto"/>
          <w:vMerge/>
          <w:vAlign w:val="center"/>
          <w:hideMark/>
        </w:tcPr>
        <w:p w:rsidR="00D75D2F" w:rsidRPr="005A3173" w:rsidRDefault="00D75D2F" w:rsidP="005A3173">
          <w:pPr>
            <w:rPr>
              <w:rFonts w:ascii="Calibri" w:hAnsi="Calibri"/>
              <w:color w:val="365F91"/>
              <w:sz w:val="22"/>
              <w:szCs w:val="22"/>
            </w:rPr>
          </w:pPr>
        </w:p>
      </w:tc>
      <w:tc>
        <w:tcPr>
          <w:tcW w:w="2250" w:type="pct"/>
          <w:tcBorders>
            <w:top w:val="single" w:sz="4" w:space="0" w:color="4F81BD"/>
            <w:left w:val="nil"/>
            <w:bottom w:val="nil"/>
            <w:right w:val="nil"/>
          </w:tcBorders>
        </w:tcPr>
        <w:p w:rsidR="00D75D2F" w:rsidRPr="005A3173" w:rsidRDefault="00D75D2F"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75D2F" w:rsidTr="005A3173">
      <w:trPr>
        <w:trHeight w:val="151"/>
      </w:trPr>
      <w:tc>
        <w:tcPr>
          <w:tcW w:w="2250" w:type="pct"/>
          <w:tcBorders>
            <w:top w:val="nil"/>
            <w:left w:val="nil"/>
            <w:bottom w:val="single" w:sz="4" w:space="0" w:color="4F81BD"/>
            <w:right w:val="nil"/>
          </w:tcBorders>
        </w:tcPr>
        <w:p w:rsidR="00D75D2F" w:rsidRPr="005A3173" w:rsidRDefault="00D75D2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75D2F" w:rsidRPr="005A3173" w:rsidRDefault="00D75D2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75D2F" w:rsidRPr="005A3173" w:rsidRDefault="00D75D2F" w:rsidP="005A3173">
          <w:pPr>
            <w:pStyle w:val="Header"/>
            <w:spacing w:line="276" w:lineRule="auto"/>
            <w:rPr>
              <w:rFonts w:ascii="Calibri" w:eastAsia="MS Gothic" w:hAnsi="Calibri"/>
              <w:b/>
              <w:bCs/>
              <w:color w:val="4F81BD"/>
            </w:rPr>
          </w:pPr>
        </w:p>
      </w:tc>
    </w:tr>
    <w:tr w:rsidR="00D75D2F" w:rsidTr="005A3173">
      <w:trPr>
        <w:trHeight w:val="150"/>
      </w:trPr>
      <w:tc>
        <w:tcPr>
          <w:tcW w:w="2250" w:type="pct"/>
          <w:tcBorders>
            <w:top w:val="single" w:sz="4" w:space="0" w:color="4F81BD"/>
            <w:left w:val="nil"/>
            <w:bottom w:val="nil"/>
            <w:right w:val="nil"/>
          </w:tcBorders>
        </w:tcPr>
        <w:p w:rsidR="00D75D2F" w:rsidRPr="005A3173" w:rsidRDefault="00D75D2F" w:rsidP="005A3173">
          <w:pPr>
            <w:pStyle w:val="Header"/>
            <w:spacing w:line="276" w:lineRule="auto"/>
            <w:rPr>
              <w:rFonts w:ascii="Calibri" w:eastAsia="MS Gothic" w:hAnsi="Calibri"/>
              <w:b/>
              <w:bCs/>
              <w:color w:val="4F81BD"/>
            </w:rPr>
          </w:pPr>
        </w:p>
      </w:tc>
      <w:tc>
        <w:tcPr>
          <w:tcW w:w="0" w:type="auto"/>
          <w:vMerge/>
          <w:vAlign w:val="center"/>
          <w:hideMark/>
        </w:tcPr>
        <w:p w:rsidR="00D75D2F" w:rsidRPr="005A3173" w:rsidRDefault="00D75D2F" w:rsidP="005A3173">
          <w:pPr>
            <w:rPr>
              <w:rFonts w:ascii="Calibri" w:hAnsi="Calibri"/>
              <w:color w:val="365F91"/>
              <w:sz w:val="22"/>
              <w:szCs w:val="22"/>
            </w:rPr>
          </w:pPr>
        </w:p>
      </w:tc>
      <w:tc>
        <w:tcPr>
          <w:tcW w:w="2250" w:type="pct"/>
          <w:tcBorders>
            <w:top w:val="single" w:sz="4" w:space="0" w:color="4F81BD"/>
            <w:left w:val="nil"/>
            <w:bottom w:val="nil"/>
            <w:right w:val="nil"/>
          </w:tcBorders>
        </w:tcPr>
        <w:p w:rsidR="00D75D2F" w:rsidRPr="005A3173" w:rsidRDefault="00D75D2F" w:rsidP="005A3173">
          <w:pPr>
            <w:pStyle w:val="Header"/>
            <w:spacing w:line="276" w:lineRule="auto"/>
            <w:rPr>
              <w:rFonts w:ascii="Calibri" w:eastAsia="MS Gothic" w:hAnsi="Calibri"/>
              <w:b/>
              <w:bCs/>
              <w:color w:val="4F81BD"/>
            </w:rPr>
          </w:pPr>
        </w:p>
      </w:tc>
    </w:tr>
  </w:tbl>
  <w:p w:rsidR="00D75D2F" w:rsidRPr="007C0F57" w:rsidRDefault="00D75D2F"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D75D2F" w:rsidRPr="007C0F57" w:rsidRDefault="00D75D2F" w:rsidP="007C0F57">
    <w:pPr>
      <w:pStyle w:val="Footer"/>
      <w:jc w:val="center"/>
      <w:rPr>
        <w:b/>
        <w:i/>
        <w:sz w:val="20"/>
        <w:szCs w:val="20"/>
      </w:rPr>
    </w:pPr>
    <w:r w:rsidRPr="007C0F57">
      <w:rPr>
        <w:b/>
        <w:i/>
        <w:sz w:val="20"/>
        <w:szCs w:val="20"/>
      </w:rPr>
      <w:t>Commercial-in-Confidence</w:t>
    </w:r>
  </w:p>
  <w:p w:rsidR="00D75D2F" w:rsidRDefault="00D75D2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D17" w:rsidRDefault="00DE0D17">
      <w:r>
        <w:separator/>
      </w:r>
    </w:p>
    <w:p w:rsidR="00DE0D17" w:rsidRDefault="00DE0D17"/>
  </w:footnote>
  <w:footnote w:type="continuationSeparator" w:id="0">
    <w:p w:rsidR="00DE0D17" w:rsidRDefault="00DE0D17">
      <w:r>
        <w:continuationSeparator/>
      </w:r>
    </w:p>
    <w:p w:rsidR="00DE0D17" w:rsidRDefault="00DE0D1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D75D2F" w:rsidRPr="008E0D90" w:rsidTr="00A06225">
      <w:trPr>
        <w:trHeight w:val="151"/>
      </w:trPr>
      <w:tc>
        <w:tcPr>
          <w:tcW w:w="2389" w:type="pct"/>
          <w:tcBorders>
            <w:top w:val="nil"/>
            <w:left w:val="nil"/>
            <w:bottom w:val="single" w:sz="4" w:space="0" w:color="4F81BD"/>
            <w:right w:val="nil"/>
          </w:tcBorders>
        </w:tcPr>
        <w:p w:rsidR="00D75D2F" w:rsidRPr="00A06225" w:rsidRDefault="00D75D2F">
          <w:pPr>
            <w:pStyle w:val="Header"/>
            <w:spacing w:line="276" w:lineRule="auto"/>
            <w:rPr>
              <w:rFonts w:ascii="Cambria" w:eastAsia="MS Gothic" w:hAnsi="Cambria"/>
              <w:b/>
              <w:bCs/>
              <w:color w:val="4F81BD"/>
            </w:rPr>
          </w:pPr>
        </w:p>
      </w:tc>
      <w:tc>
        <w:tcPr>
          <w:tcW w:w="333" w:type="pct"/>
          <w:vMerge w:val="restart"/>
          <w:noWrap/>
          <w:vAlign w:val="center"/>
          <w:hideMark/>
        </w:tcPr>
        <w:p w:rsidR="00D75D2F" w:rsidRPr="00A06225" w:rsidRDefault="00D75D2F"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D75D2F" w:rsidRPr="00A06225" w:rsidRDefault="00D75D2F">
          <w:pPr>
            <w:pStyle w:val="Header"/>
            <w:spacing w:line="276" w:lineRule="auto"/>
            <w:rPr>
              <w:rFonts w:ascii="Cambria" w:eastAsia="MS Gothic" w:hAnsi="Cambria"/>
              <w:b/>
              <w:bCs/>
              <w:color w:val="4F81BD"/>
            </w:rPr>
          </w:pPr>
        </w:p>
      </w:tc>
    </w:tr>
    <w:tr w:rsidR="00D75D2F" w:rsidRPr="008E0D90" w:rsidTr="00A06225">
      <w:trPr>
        <w:trHeight w:val="150"/>
      </w:trPr>
      <w:tc>
        <w:tcPr>
          <w:tcW w:w="2389" w:type="pct"/>
          <w:tcBorders>
            <w:top w:val="single" w:sz="4" w:space="0" w:color="4F81BD"/>
            <w:left w:val="nil"/>
            <w:bottom w:val="nil"/>
            <w:right w:val="nil"/>
          </w:tcBorders>
        </w:tcPr>
        <w:p w:rsidR="00D75D2F" w:rsidRPr="00A06225" w:rsidRDefault="00D75D2F">
          <w:pPr>
            <w:pStyle w:val="Header"/>
            <w:spacing w:line="276" w:lineRule="auto"/>
            <w:rPr>
              <w:rFonts w:ascii="Cambria" w:eastAsia="MS Gothic" w:hAnsi="Cambria"/>
              <w:b/>
              <w:bCs/>
              <w:color w:val="4F81BD"/>
            </w:rPr>
          </w:pPr>
        </w:p>
      </w:tc>
      <w:tc>
        <w:tcPr>
          <w:tcW w:w="0" w:type="auto"/>
          <w:vMerge/>
          <w:vAlign w:val="center"/>
          <w:hideMark/>
        </w:tcPr>
        <w:p w:rsidR="00D75D2F" w:rsidRPr="00A06225" w:rsidRDefault="00D75D2F">
          <w:pPr>
            <w:rPr>
              <w:rFonts w:ascii="Cambria" w:hAnsi="Cambria"/>
              <w:color w:val="4F81BD"/>
              <w:sz w:val="22"/>
              <w:szCs w:val="22"/>
            </w:rPr>
          </w:pPr>
        </w:p>
      </w:tc>
      <w:tc>
        <w:tcPr>
          <w:tcW w:w="2278" w:type="pct"/>
          <w:tcBorders>
            <w:top w:val="single" w:sz="4" w:space="0" w:color="4F81BD"/>
            <w:left w:val="nil"/>
            <w:bottom w:val="nil"/>
            <w:right w:val="nil"/>
          </w:tcBorders>
        </w:tcPr>
        <w:p w:rsidR="00D75D2F" w:rsidRPr="00A06225" w:rsidRDefault="00D75D2F">
          <w:pPr>
            <w:pStyle w:val="Header"/>
            <w:spacing w:line="276" w:lineRule="auto"/>
            <w:rPr>
              <w:rFonts w:ascii="Cambria" w:eastAsia="MS Gothic" w:hAnsi="Cambria"/>
              <w:b/>
              <w:bCs/>
              <w:color w:val="4F81BD"/>
            </w:rPr>
          </w:pPr>
        </w:p>
      </w:tc>
    </w:tr>
  </w:tbl>
  <w:p w:rsidR="00D75D2F" w:rsidRDefault="00D75D2F">
    <w:pPr>
      <w:pStyle w:val="Header"/>
    </w:pPr>
  </w:p>
  <w:p w:rsidR="00D75D2F" w:rsidRDefault="00D75D2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2F" w:rsidRPr="00C7356F" w:rsidRDefault="00FE37DF" w:rsidP="00C7356F">
    <w:pPr>
      <w:tabs>
        <w:tab w:val="center" w:pos="4153"/>
        <w:tab w:val="right" w:pos="8306"/>
      </w:tabs>
      <w:spacing w:after="120"/>
      <w:ind w:left="360"/>
      <w:jc w:val="center"/>
      <w:rPr>
        <w:rFonts w:asciiTheme="minorHAnsi" w:hAnsiTheme="minorHAnsi" w:cs="Arial"/>
        <w:i/>
        <w:color w:val="808080"/>
        <w:lang w:eastAsia="en-US"/>
      </w:rPr>
    </w:pPr>
    <w:r>
      <w:rPr>
        <w:rFonts w:asciiTheme="minorHAnsi" w:hAnsiTheme="minorHAnsi" w:cs="Arial"/>
        <w:i/>
        <w:color w:val="808080"/>
        <w:lang w:eastAsia="en-US"/>
      </w:rPr>
      <w:t>Public Summary Document</w:t>
    </w:r>
    <w:r w:rsidR="00D75D2F" w:rsidRPr="00C7356F">
      <w:rPr>
        <w:rFonts w:asciiTheme="minorHAnsi" w:hAnsiTheme="minorHAnsi" w:cs="Arial"/>
        <w:i/>
        <w:color w:val="808080"/>
        <w:lang w:eastAsia="en-US"/>
      </w:rPr>
      <w:t xml:space="preserve"> – </w:t>
    </w:r>
    <w:r w:rsidR="00D75D2F">
      <w:rPr>
        <w:rFonts w:asciiTheme="minorHAnsi" w:hAnsiTheme="minorHAnsi" w:cs="Arial"/>
        <w:i/>
        <w:color w:val="808080"/>
        <w:lang w:eastAsia="en-US"/>
      </w:rPr>
      <w:t>July 2017</w:t>
    </w:r>
    <w:r w:rsidR="00D75D2F" w:rsidRPr="00C7356F">
      <w:rPr>
        <w:rFonts w:asciiTheme="minorHAnsi" w:hAnsiTheme="minorHAnsi" w:cs="Arial"/>
        <w:i/>
        <w:color w:val="808080"/>
        <w:lang w:eastAsia="en-US"/>
      </w:rPr>
      <w:t xml:space="preserve"> PBAC Meeting</w:t>
    </w:r>
  </w:p>
  <w:p w:rsidR="00D75D2F" w:rsidRDefault="00D75D2F"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D17" w:rsidRDefault="00DE0D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pStyle w:val="Heading1"/>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E2C5D25"/>
    <w:multiLevelType w:val="hybridMultilevel"/>
    <w:tmpl w:val="4AA64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nsid w:val="14215FBC"/>
    <w:multiLevelType w:val="hybridMultilevel"/>
    <w:tmpl w:val="1382C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1">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B7C34E2"/>
    <w:multiLevelType w:val="hybridMultilevel"/>
    <w:tmpl w:val="51E89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58C51E1"/>
    <w:multiLevelType w:val="multilevel"/>
    <w:tmpl w:val="945AC1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469B6AB5"/>
    <w:multiLevelType w:val="hybridMultilevel"/>
    <w:tmpl w:val="062E56B8"/>
    <w:lvl w:ilvl="0" w:tplc="59384E9A">
      <w:start w:val="1"/>
      <w:numFmt w:val="decimal"/>
      <w:lvlText w:val="%1."/>
      <w:lvlJc w:val="left"/>
      <w:pPr>
        <w:ind w:left="1080" w:hanging="360"/>
      </w:pPr>
      <w:rPr>
        <w:b w:val="0"/>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8E26907"/>
    <w:multiLevelType w:val="hybridMultilevel"/>
    <w:tmpl w:val="01D8FA80"/>
    <w:lvl w:ilvl="0" w:tplc="57861676">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2">
    <w:nsid w:val="784D033C"/>
    <w:multiLevelType w:val="multilevel"/>
    <w:tmpl w:val="3DC4D2B2"/>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7C727AA4"/>
    <w:multiLevelType w:val="hybridMultilevel"/>
    <w:tmpl w:val="74627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FBB7156"/>
    <w:multiLevelType w:val="multilevel"/>
    <w:tmpl w:val="945AC1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7FEB3BE5"/>
    <w:multiLevelType w:val="hybridMultilevel"/>
    <w:tmpl w:val="FF5286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7"/>
  </w:num>
  <w:num w:numId="4">
    <w:abstractNumId w:val="19"/>
  </w:num>
  <w:num w:numId="5">
    <w:abstractNumId w:val="22"/>
  </w:num>
  <w:num w:numId="6">
    <w:abstractNumId w:val="9"/>
  </w:num>
  <w:num w:numId="7">
    <w:abstractNumId w:val="15"/>
  </w:num>
  <w:num w:numId="8">
    <w:abstractNumId w:val="4"/>
  </w:num>
  <w:num w:numId="9">
    <w:abstractNumId w:val="14"/>
  </w:num>
  <w:num w:numId="10">
    <w:abstractNumId w:val="13"/>
  </w:num>
  <w:num w:numId="11">
    <w:abstractNumId w:val="12"/>
  </w:num>
  <w:num w:numId="12">
    <w:abstractNumId w:val="1"/>
  </w:num>
  <w:num w:numId="13">
    <w:abstractNumId w:val="0"/>
  </w:num>
  <w:num w:numId="14">
    <w:abstractNumId w:val="22"/>
  </w:num>
  <w:num w:numId="15">
    <w:abstractNumId w:val="24"/>
  </w:num>
  <w:num w:numId="16">
    <w:abstractNumId w:val="6"/>
  </w:num>
  <w:num w:numId="17">
    <w:abstractNumId w:val="8"/>
  </w:num>
  <w:num w:numId="18">
    <w:abstractNumId w:val="23"/>
  </w:num>
  <w:num w:numId="19">
    <w:abstractNumId w:val="17"/>
  </w:num>
  <w:num w:numId="20">
    <w:abstractNumId w:val="16"/>
  </w:num>
  <w:num w:numId="21">
    <w:abstractNumId w:val="18"/>
  </w:num>
  <w:num w:numId="22">
    <w:abstractNumId w:val="21"/>
  </w:num>
  <w:num w:numId="23">
    <w:abstractNumId w:val="22"/>
  </w:num>
  <w:num w:numId="24">
    <w:abstractNumId w:val="20"/>
  </w:num>
  <w:num w:numId="25">
    <w:abstractNumId w:val="5"/>
  </w:num>
  <w:num w:numId="26">
    <w:abstractNumId w:val="2"/>
  </w:num>
  <w:num w:numId="27">
    <w:abstractNumId w:val="11"/>
  </w:num>
  <w:num w:numId="28">
    <w:abstractNumId w:val="25"/>
  </w:num>
  <w:num w:numId="29">
    <w:abstractNumId w:val="22"/>
  </w:num>
  <w:num w:numId="30">
    <w:abstractNumId w:val="22"/>
  </w:num>
  <w:num w:numId="31">
    <w:abstractNumId w:val="22"/>
  </w:num>
  <w:num w:numId="32">
    <w:abstractNumId w:val="22"/>
  </w:num>
  <w:num w:numId="33">
    <w:abstractNumId w:val="22"/>
  </w:num>
  <w:num w:numId="34">
    <w:abstractNumId w:val="22"/>
  </w:num>
  <w:num w:numId="35">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07BD"/>
    <w:rsid w:val="0002464A"/>
    <w:rsid w:val="0003106B"/>
    <w:rsid w:val="00033375"/>
    <w:rsid w:val="00035987"/>
    <w:rsid w:val="000421A1"/>
    <w:rsid w:val="0004240E"/>
    <w:rsid w:val="0004410B"/>
    <w:rsid w:val="00045E26"/>
    <w:rsid w:val="000514B5"/>
    <w:rsid w:val="00060E64"/>
    <w:rsid w:val="00066755"/>
    <w:rsid w:val="00077143"/>
    <w:rsid w:val="00090819"/>
    <w:rsid w:val="00093728"/>
    <w:rsid w:val="000969AD"/>
    <w:rsid w:val="000B3A18"/>
    <w:rsid w:val="000B558D"/>
    <w:rsid w:val="000B7641"/>
    <w:rsid w:val="000C6996"/>
    <w:rsid w:val="000D23BA"/>
    <w:rsid w:val="000E023E"/>
    <w:rsid w:val="000E48F0"/>
    <w:rsid w:val="000E681E"/>
    <w:rsid w:val="000F338A"/>
    <w:rsid w:val="000F39EC"/>
    <w:rsid w:val="000F4E6A"/>
    <w:rsid w:val="00103A46"/>
    <w:rsid w:val="001107BF"/>
    <w:rsid w:val="001126D2"/>
    <w:rsid w:val="00114FCB"/>
    <w:rsid w:val="0011718E"/>
    <w:rsid w:val="00123918"/>
    <w:rsid w:val="0012417C"/>
    <w:rsid w:val="00142395"/>
    <w:rsid w:val="00142714"/>
    <w:rsid w:val="001452ED"/>
    <w:rsid w:val="00160BDA"/>
    <w:rsid w:val="001828EB"/>
    <w:rsid w:val="001830CE"/>
    <w:rsid w:val="001832FA"/>
    <w:rsid w:val="00184A48"/>
    <w:rsid w:val="0018643B"/>
    <w:rsid w:val="00196307"/>
    <w:rsid w:val="001A33EA"/>
    <w:rsid w:val="001A7DBF"/>
    <w:rsid w:val="001B017F"/>
    <w:rsid w:val="001B5129"/>
    <w:rsid w:val="001C1195"/>
    <w:rsid w:val="001D4485"/>
    <w:rsid w:val="001F161C"/>
    <w:rsid w:val="001F5C5A"/>
    <w:rsid w:val="00201E2C"/>
    <w:rsid w:val="00213CFB"/>
    <w:rsid w:val="002473D7"/>
    <w:rsid w:val="00262251"/>
    <w:rsid w:val="00271BA1"/>
    <w:rsid w:val="002738BB"/>
    <w:rsid w:val="002762FA"/>
    <w:rsid w:val="00277505"/>
    <w:rsid w:val="00290AA4"/>
    <w:rsid w:val="0029458F"/>
    <w:rsid w:val="002A104C"/>
    <w:rsid w:val="002A4960"/>
    <w:rsid w:val="002B1AE6"/>
    <w:rsid w:val="002B30F8"/>
    <w:rsid w:val="002B41D6"/>
    <w:rsid w:val="002C212F"/>
    <w:rsid w:val="002D35F4"/>
    <w:rsid w:val="002E3153"/>
    <w:rsid w:val="002E72CA"/>
    <w:rsid w:val="00300AD6"/>
    <w:rsid w:val="003241EF"/>
    <w:rsid w:val="003252FA"/>
    <w:rsid w:val="00326E79"/>
    <w:rsid w:val="003367EF"/>
    <w:rsid w:val="00341AE4"/>
    <w:rsid w:val="00352694"/>
    <w:rsid w:val="00354392"/>
    <w:rsid w:val="0035523A"/>
    <w:rsid w:val="00361E75"/>
    <w:rsid w:val="003675D6"/>
    <w:rsid w:val="00381803"/>
    <w:rsid w:val="003872CF"/>
    <w:rsid w:val="0039628C"/>
    <w:rsid w:val="0039782C"/>
    <w:rsid w:val="003A5B4A"/>
    <w:rsid w:val="003B0F46"/>
    <w:rsid w:val="003B23C5"/>
    <w:rsid w:val="003B2A75"/>
    <w:rsid w:val="003B77F6"/>
    <w:rsid w:val="003D4AC4"/>
    <w:rsid w:val="003D63B7"/>
    <w:rsid w:val="003D7FCE"/>
    <w:rsid w:val="003E468B"/>
    <w:rsid w:val="003E5B0F"/>
    <w:rsid w:val="003F5C8C"/>
    <w:rsid w:val="00425636"/>
    <w:rsid w:val="0044625F"/>
    <w:rsid w:val="004465BD"/>
    <w:rsid w:val="00456481"/>
    <w:rsid w:val="00466ADA"/>
    <w:rsid w:val="00476245"/>
    <w:rsid w:val="00476613"/>
    <w:rsid w:val="00485940"/>
    <w:rsid w:val="00497F5B"/>
    <w:rsid w:val="004A2484"/>
    <w:rsid w:val="004A5A85"/>
    <w:rsid w:val="004B5640"/>
    <w:rsid w:val="004C1BD7"/>
    <w:rsid w:val="004C691D"/>
    <w:rsid w:val="004E5DEC"/>
    <w:rsid w:val="004E692D"/>
    <w:rsid w:val="004F25FE"/>
    <w:rsid w:val="00501554"/>
    <w:rsid w:val="00503E24"/>
    <w:rsid w:val="00506D50"/>
    <w:rsid w:val="00514CD7"/>
    <w:rsid w:val="00516D33"/>
    <w:rsid w:val="005224B4"/>
    <w:rsid w:val="005276AD"/>
    <w:rsid w:val="005319B2"/>
    <w:rsid w:val="00532C74"/>
    <w:rsid w:val="00534E2E"/>
    <w:rsid w:val="00544552"/>
    <w:rsid w:val="00553433"/>
    <w:rsid w:val="005552E0"/>
    <w:rsid w:val="00561E3D"/>
    <w:rsid w:val="005719B9"/>
    <w:rsid w:val="00576E89"/>
    <w:rsid w:val="00581932"/>
    <w:rsid w:val="00582660"/>
    <w:rsid w:val="00593CF8"/>
    <w:rsid w:val="005963BB"/>
    <w:rsid w:val="005A1246"/>
    <w:rsid w:val="005A3173"/>
    <w:rsid w:val="005A3223"/>
    <w:rsid w:val="005A3C76"/>
    <w:rsid w:val="005A3DA3"/>
    <w:rsid w:val="005A5248"/>
    <w:rsid w:val="005A52C4"/>
    <w:rsid w:val="005A5764"/>
    <w:rsid w:val="005B0420"/>
    <w:rsid w:val="005B3B2B"/>
    <w:rsid w:val="005B3B73"/>
    <w:rsid w:val="005D03AB"/>
    <w:rsid w:val="005D5017"/>
    <w:rsid w:val="00601A91"/>
    <w:rsid w:val="00602BA3"/>
    <w:rsid w:val="006131EE"/>
    <w:rsid w:val="00614159"/>
    <w:rsid w:val="00617C00"/>
    <w:rsid w:val="006263BF"/>
    <w:rsid w:val="0062748A"/>
    <w:rsid w:val="00627501"/>
    <w:rsid w:val="00630A2C"/>
    <w:rsid w:val="00631F18"/>
    <w:rsid w:val="0064289D"/>
    <w:rsid w:val="006436CD"/>
    <w:rsid w:val="00644420"/>
    <w:rsid w:val="00646256"/>
    <w:rsid w:val="00651169"/>
    <w:rsid w:val="00653D69"/>
    <w:rsid w:val="00670A76"/>
    <w:rsid w:val="006711AA"/>
    <w:rsid w:val="00671E35"/>
    <w:rsid w:val="00672B57"/>
    <w:rsid w:val="00674CD1"/>
    <w:rsid w:val="00675622"/>
    <w:rsid w:val="006906DB"/>
    <w:rsid w:val="006A12A5"/>
    <w:rsid w:val="006B0D94"/>
    <w:rsid w:val="006B485D"/>
    <w:rsid w:val="006C708E"/>
    <w:rsid w:val="006D0065"/>
    <w:rsid w:val="006D6EC7"/>
    <w:rsid w:val="006F5125"/>
    <w:rsid w:val="00710CDB"/>
    <w:rsid w:val="00715D5A"/>
    <w:rsid w:val="007174BB"/>
    <w:rsid w:val="0072185B"/>
    <w:rsid w:val="00721D89"/>
    <w:rsid w:val="0073281E"/>
    <w:rsid w:val="00735F45"/>
    <w:rsid w:val="0074028F"/>
    <w:rsid w:val="00743B6E"/>
    <w:rsid w:val="0076420C"/>
    <w:rsid w:val="00765D8F"/>
    <w:rsid w:val="007753C2"/>
    <w:rsid w:val="007838B8"/>
    <w:rsid w:val="007926A0"/>
    <w:rsid w:val="007A39FE"/>
    <w:rsid w:val="007A42F7"/>
    <w:rsid w:val="007B635A"/>
    <w:rsid w:val="007B7396"/>
    <w:rsid w:val="007C0F57"/>
    <w:rsid w:val="007C40B6"/>
    <w:rsid w:val="007C729F"/>
    <w:rsid w:val="007E1D28"/>
    <w:rsid w:val="007F2641"/>
    <w:rsid w:val="007F31C9"/>
    <w:rsid w:val="007F36F6"/>
    <w:rsid w:val="007F7374"/>
    <w:rsid w:val="007F7C36"/>
    <w:rsid w:val="00806796"/>
    <w:rsid w:val="008122B1"/>
    <w:rsid w:val="00814D9F"/>
    <w:rsid w:val="008151D6"/>
    <w:rsid w:val="00821533"/>
    <w:rsid w:val="008240AA"/>
    <w:rsid w:val="00826F6D"/>
    <w:rsid w:val="008345E2"/>
    <w:rsid w:val="00835259"/>
    <w:rsid w:val="00856DDD"/>
    <w:rsid w:val="00863E68"/>
    <w:rsid w:val="00882085"/>
    <w:rsid w:val="00883188"/>
    <w:rsid w:val="00886D03"/>
    <w:rsid w:val="00897D58"/>
    <w:rsid w:val="008A0FEC"/>
    <w:rsid w:val="008A1956"/>
    <w:rsid w:val="008A4937"/>
    <w:rsid w:val="008A50F1"/>
    <w:rsid w:val="008C22A0"/>
    <w:rsid w:val="008C2F4D"/>
    <w:rsid w:val="008C3C6A"/>
    <w:rsid w:val="008D1B5C"/>
    <w:rsid w:val="008D21FF"/>
    <w:rsid w:val="008D3C82"/>
    <w:rsid w:val="008D447E"/>
    <w:rsid w:val="008D668F"/>
    <w:rsid w:val="008D7A41"/>
    <w:rsid w:val="008E3680"/>
    <w:rsid w:val="008E5870"/>
    <w:rsid w:val="008F1434"/>
    <w:rsid w:val="008F7355"/>
    <w:rsid w:val="008F7AC2"/>
    <w:rsid w:val="008F7D7A"/>
    <w:rsid w:val="009067B7"/>
    <w:rsid w:val="00927BC3"/>
    <w:rsid w:val="00930937"/>
    <w:rsid w:val="00933E6C"/>
    <w:rsid w:val="00937C33"/>
    <w:rsid w:val="00942160"/>
    <w:rsid w:val="0095146F"/>
    <w:rsid w:val="00957812"/>
    <w:rsid w:val="009602C5"/>
    <w:rsid w:val="00962223"/>
    <w:rsid w:val="00974C21"/>
    <w:rsid w:val="009A10A6"/>
    <w:rsid w:val="009A29A0"/>
    <w:rsid w:val="009A3D08"/>
    <w:rsid w:val="009A5765"/>
    <w:rsid w:val="009B0F67"/>
    <w:rsid w:val="009B19EA"/>
    <w:rsid w:val="009C703C"/>
    <w:rsid w:val="009D0C2E"/>
    <w:rsid w:val="009D3CAA"/>
    <w:rsid w:val="009D7A7B"/>
    <w:rsid w:val="009E10D0"/>
    <w:rsid w:val="009E233A"/>
    <w:rsid w:val="009F4E46"/>
    <w:rsid w:val="009F5100"/>
    <w:rsid w:val="009F5B65"/>
    <w:rsid w:val="009F5F2E"/>
    <w:rsid w:val="00A06225"/>
    <w:rsid w:val="00A128E6"/>
    <w:rsid w:val="00A37C8D"/>
    <w:rsid w:val="00A5273B"/>
    <w:rsid w:val="00A5357B"/>
    <w:rsid w:val="00A53A9D"/>
    <w:rsid w:val="00A55CD8"/>
    <w:rsid w:val="00A55FEE"/>
    <w:rsid w:val="00A62C1A"/>
    <w:rsid w:val="00A6426D"/>
    <w:rsid w:val="00A70622"/>
    <w:rsid w:val="00A70977"/>
    <w:rsid w:val="00A742D6"/>
    <w:rsid w:val="00A7593E"/>
    <w:rsid w:val="00A77613"/>
    <w:rsid w:val="00A810F5"/>
    <w:rsid w:val="00A8390C"/>
    <w:rsid w:val="00A91F4C"/>
    <w:rsid w:val="00A928BD"/>
    <w:rsid w:val="00AA4D1C"/>
    <w:rsid w:val="00AB0202"/>
    <w:rsid w:val="00AC17D3"/>
    <w:rsid w:val="00AC193C"/>
    <w:rsid w:val="00AC46DF"/>
    <w:rsid w:val="00AC5206"/>
    <w:rsid w:val="00AC7BDB"/>
    <w:rsid w:val="00AD0A02"/>
    <w:rsid w:val="00AD744D"/>
    <w:rsid w:val="00AE015D"/>
    <w:rsid w:val="00AE11A5"/>
    <w:rsid w:val="00AE13E2"/>
    <w:rsid w:val="00AF68CC"/>
    <w:rsid w:val="00B05585"/>
    <w:rsid w:val="00B1059E"/>
    <w:rsid w:val="00B13C91"/>
    <w:rsid w:val="00B15074"/>
    <w:rsid w:val="00B205AA"/>
    <w:rsid w:val="00B22E84"/>
    <w:rsid w:val="00B25F75"/>
    <w:rsid w:val="00B27AEB"/>
    <w:rsid w:val="00B30172"/>
    <w:rsid w:val="00B401A8"/>
    <w:rsid w:val="00B43E90"/>
    <w:rsid w:val="00B467DC"/>
    <w:rsid w:val="00B56118"/>
    <w:rsid w:val="00B65225"/>
    <w:rsid w:val="00B66E3C"/>
    <w:rsid w:val="00B6773F"/>
    <w:rsid w:val="00B801BA"/>
    <w:rsid w:val="00B906BE"/>
    <w:rsid w:val="00B926E0"/>
    <w:rsid w:val="00BB69F5"/>
    <w:rsid w:val="00BB7EC3"/>
    <w:rsid w:val="00BC3161"/>
    <w:rsid w:val="00BC4B9A"/>
    <w:rsid w:val="00BD3F8E"/>
    <w:rsid w:val="00BD442B"/>
    <w:rsid w:val="00BD784C"/>
    <w:rsid w:val="00BE6428"/>
    <w:rsid w:val="00BF3B7F"/>
    <w:rsid w:val="00BF4CB6"/>
    <w:rsid w:val="00C00DA7"/>
    <w:rsid w:val="00C12768"/>
    <w:rsid w:val="00C20D5E"/>
    <w:rsid w:val="00C241F6"/>
    <w:rsid w:val="00C24C51"/>
    <w:rsid w:val="00C26DA5"/>
    <w:rsid w:val="00C27B58"/>
    <w:rsid w:val="00C35996"/>
    <w:rsid w:val="00C4442E"/>
    <w:rsid w:val="00C46F2F"/>
    <w:rsid w:val="00C5342C"/>
    <w:rsid w:val="00C603D4"/>
    <w:rsid w:val="00C609C8"/>
    <w:rsid w:val="00C6256A"/>
    <w:rsid w:val="00C7356F"/>
    <w:rsid w:val="00C8353F"/>
    <w:rsid w:val="00C91449"/>
    <w:rsid w:val="00C92D10"/>
    <w:rsid w:val="00C93170"/>
    <w:rsid w:val="00C96958"/>
    <w:rsid w:val="00CB16E7"/>
    <w:rsid w:val="00CC4A4F"/>
    <w:rsid w:val="00CD1CDC"/>
    <w:rsid w:val="00CE10C4"/>
    <w:rsid w:val="00CE27B5"/>
    <w:rsid w:val="00CF5D4B"/>
    <w:rsid w:val="00CF646A"/>
    <w:rsid w:val="00D0321E"/>
    <w:rsid w:val="00D1020D"/>
    <w:rsid w:val="00D1455A"/>
    <w:rsid w:val="00D17B2B"/>
    <w:rsid w:val="00D27B29"/>
    <w:rsid w:val="00D3138B"/>
    <w:rsid w:val="00D3280C"/>
    <w:rsid w:val="00D33AF8"/>
    <w:rsid w:val="00D3406A"/>
    <w:rsid w:val="00D469B2"/>
    <w:rsid w:val="00D53A41"/>
    <w:rsid w:val="00D741EB"/>
    <w:rsid w:val="00D75D2F"/>
    <w:rsid w:val="00D83605"/>
    <w:rsid w:val="00D84934"/>
    <w:rsid w:val="00D91271"/>
    <w:rsid w:val="00D93EC8"/>
    <w:rsid w:val="00D95435"/>
    <w:rsid w:val="00D96ACF"/>
    <w:rsid w:val="00DA2CB5"/>
    <w:rsid w:val="00DA4BAC"/>
    <w:rsid w:val="00DD0804"/>
    <w:rsid w:val="00DE0D17"/>
    <w:rsid w:val="00DE6D27"/>
    <w:rsid w:val="00DF0659"/>
    <w:rsid w:val="00DF217D"/>
    <w:rsid w:val="00DF26A7"/>
    <w:rsid w:val="00E01E85"/>
    <w:rsid w:val="00E04CE1"/>
    <w:rsid w:val="00E15627"/>
    <w:rsid w:val="00E164B3"/>
    <w:rsid w:val="00E16910"/>
    <w:rsid w:val="00E23271"/>
    <w:rsid w:val="00E36044"/>
    <w:rsid w:val="00E3665F"/>
    <w:rsid w:val="00E372CC"/>
    <w:rsid w:val="00E407E1"/>
    <w:rsid w:val="00E410F1"/>
    <w:rsid w:val="00E4601A"/>
    <w:rsid w:val="00E46151"/>
    <w:rsid w:val="00E46CFB"/>
    <w:rsid w:val="00E65E54"/>
    <w:rsid w:val="00E67691"/>
    <w:rsid w:val="00E71EF9"/>
    <w:rsid w:val="00E80155"/>
    <w:rsid w:val="00E848C0"/>
    <w:rsid w:val="00E87376"/>
    <w:rsid w:val="00E90E65"/>
    <w:rsid w:val="00E91B96"/>
    <w:rsid w:val="00E941A1"/>
    <w:rsid w:val="00E95CE3"/>
    <w:rsid w:val="00E964F6"/>
    <w:rsid w:val="00EA2825"/>
    <w:rsid w:val="00EB1EE7"/>
    <w:rsid w:val="00EB5088"/>
    <w:rsid w:val="00EC2F54"/>
    <w:rsid w:val="00EC5BAA"/>
    <w:rsid w:val="00ED041B"/>
    <w:rsid w:val="00ED1644"/>
    <w:rsid w:val="00ED2593"/>
    <w:rsid w:val="00ED2BD0"/>
    <w:rsid w:val="00EF44A0"/>
    <w:rsid w:val="00EF4FED"/>
    <w:rsid w:val="00F050BD"/>
    <w:rsid w:val="00F05657"/>
    <w:rsid w:val="00F25578"/>
    <w:rsid w:val="00F258E5"/>
    <w:rsid w:val="00F300BC"/>
    <w:rsid w:val="00F3334E"/>
    <w:rsid w:val="00F365FC"/>
    <w:rsid w:val="00F36CCB"/>
    <w:rsid w:val="00F45179"/>
    <w:rsid w:val="00F50EC4"/>
    <w:rsid w:val="00F5319B"/>
    <w:rsid w:val="00F55B06"/>
    <w:rsid w:val="00F574A6"/>
    <w:rsid w:val="00F57A6D"/>
    <w:rsid w:val="00F62C59"/>
    <w:rsid w:val="00F638CC"/>
    <w:rsid w:val="00F64CC1"/>
    <w:rsid w:val="00F66BB0"/>
    <w:rsid w:val="00F805A6"/>
    <w:rsid w:val="00F8247A"/>
    <w:rsid w:val="00F9629A"/>
    <w:rsid w:val="00FA5883"/>
    <w:rsid w:val="00FA6055"/>
    <w:rsid w:val="00FA7569"/>
    <w:rsid w:val="00FB322F"/>
    <w:rsid w:val="00FB442F"/>
    <w:rsid w:val="00FC1929"/>
    <w:rsid w:val="00FC5B46"/>
    <w:rsid w:val="00FC7322"/>
    <w:rsid w:val="00FD2747"/>
    <w:rsid w:val="00FE0E94"/>
    <w:rsid w:val="00FE20A9"/>
    <w:rsid w:val="00FE37DF"/>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99"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link w:val="TableHeadingChar"/>
    <w:uiPriority w:val="99"/>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34"/>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99"/>
    <w:unhideWhenUsed/>
    <w:qFormat/>
    <w:rsid w:val="00F574A6"/>
    <w:pPr>
      <w:widowControl w:val="0"/>
      <w:jc w:val="both"/>
    </w:pPr>
    <w:rPr>
      <w:rFonts w:ascii="Arial Narrow" w:hAnsi="Arial Narrow" w:cs="Arial"/>
      <w:b/>
      <w:bCs/>
      <w:snapToGrid w:val="0"/>
      <w:color w:val="000000" w:themeColor="text1"/>
      <w:sz w:val="20"/>
      <w:szCs w:val="18"/>
      <w:lang w:eastAsia="en-US"/>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uiPriority w:val="99"/>
    <w:rsid w:val="00F574A6"/>
    <w:rPr>
      <w:rFonts w:ascii="Arial Narrow" w:hAnsi="Arial Narrow" w:cs="Arial"/>
      <w:b/>
      <w:bCs/>
      <w:snapToGrid w:val="0"/>
      <w:color w:val="000000" w:themeColor="text1"/>
      <w:szCs w:val="18"/>
      <w:lang w:eastAsia="en-US"/>
    </w:rPr>
  </w:style>
  <w:style w:type="paragraph" w:styleId="BodyText">
    <w:name w:val="Body Text"/>
    <w:basedOn w:val="Normal"/>
    <w:link w:val="BodyTextChar"/>
    <w:rsid w:val="007B635A"/>
    <w:pPr>
      <w:spacing w:after="120"/>
    </w:pPr>
  </w:style>
  <w:style w:type="character" w:customStyle="1" w:styleId="BodyTextChar">
    <w:name w:val="Body Text Char"/>
    <w:basedOn w:val="DefaultParagraphFont"/>
    <w:link w:val="BodyText"/>
    <w:rsid w:val="007B635A"/>
    <w:rPr>
      <w:sz w:val="24"/>
      <w:szCs w:val="24"/>
    </w:rPr>
  </w:style>
  <w:style w:type="paragraph" w:customStyle="1" w:styleId="TableFooter">
    <w:name w:val="Table Footer"/>
    <w:basedOn w:val="Normal"/>
    <w:qFormat/>
    <w:rsid w:val="007B635A"/>
    <w:pPr>
      <w:widowControl w:val="0"/>
      <w:jc w:val="both"/>
    </w:pPr>
    <w:rPr>
      <w:rFonts w:ascii="Arial Narrow" w:hAnsi="Arial Narrow" w:cs="Arial"/>
      <w:snapToGrid w:val="0"/>
      <w:sz w:val="18"/>
      <w:szCs w:val="20"/>
      <w:lang w:eastAsia="en-US"/>
    </w:rPr>
  </w:style>
  <w:style w:type="paragraph" w:styleId="FootnoteText">
    <w:name w:val="footnote text"/>
    <w:basedOn w:val="Normal"/>
    <w:link w:val="FootnoteTextChar"/>
    <w:unhideWhenUsed/>
    <w:rsid w:val="007B635A"/>
    <w:pPr>
      <w:widowControl w:val="0"/>
      <w:jc w:val="both"/>
    </w:pPr>
    <w:rPr>
      <w:rFonts w:ascii="Arial" w:hAnsi="Arial" w:cs="Arial"/>
      <w:snapToGrid w:val="0"/>
      <w:sz w:val="20"/>
      <w:szCs w:val="20"/>
      <w:lang w:eastAsia="en-US"/>
    </w:rPr>
  </w:style>
  <w:style w:type="character" w:customStyle="1" w:styleId="FootnoteTextChar">
    <w:name w:val="Footnote Text Char"/>
    <w:basedOn w:val="DefaultParagraphFont"/>
    <w:link w:val="FootnoteText"/>
    <w:rsid w:val="007B635A"/>
    <w:rPr>
      <w:rFonts w:ascii="Arial" w:hAnsi="Arial" w:cs="Arial"/>
      <w:snapToGrid w:val="0"/>
      <w:lang w:eastAsia="en-US"/>
    </w:rPr>
  </w:style>
  <w:style w:type="character" w:styleId="FootnoteReference">
    <w:name w:val="footnote reference"/>
    <w:basedOn w:val="DefaultParagraphFont"/>
    <w:unhideWhenUsed/>
    <w:rsid w:val="007B635A"/>
    <w:rPr>
      <w:vertAlign w:val="superscript"/>
    </w:rPr>
  </w:style>
  <w:style w:type="character" w:customStyle="1" w:styleId="TableHeadingChar">
    <w:name w:val="TableHeading Char"/>
    <w:link w:val="TableHeading"/>
    <w:uiPriority w:val="99"/>
    <w:rsid w:val="008122B1"/>
    <w:rPr>
      <w:rFonts w:ascii="Arial Narrow" w:hAnsi="Arial Narrow" w:cs="Arial Narrow"/>
      <w:b/>
      <w:bCs/>
      <w:lang w:eastAsia="en-US"/>
    </w:rPr>
  </w:style>
  <w:style w:type="paragraph" w:customStyle="1" w:styleId="TableNote">
    <w:name w:val="Table Note"/>
    <w:basedOn w:val="Normal"/>
    <w:link w:val="TableNoteChar"/>
    <w:qFormat/>
    <w:rsid w:val="003241EF"/>
    <w:pPr>
      <w:spacing w:line="276" w:lineRule="auto"/>
      <w:jc w:val="both"/>
    </w:pPr>
    <w:rPr>
      <w:rFonts w:ascii="Arial" w:eastAsia="Calibri" w:hAnsi="Arial" w:cs="Arial"/>
      <w:sz w:val="16"/>
      <w:szCs w:val="22"/>
      <w:lang w:eastAsia="en-US"/>
    </w:rPr>
  </w:style>
  <w:style w:type="character" w:customStyle="1" w:styleId="TableNoteChar">
    <w:name w:val="Table Note Char"/>
    <w:link w:val="TableNote"/>
    <w:rsid w:val="003241EF"/>
    <w:rPr>
      <w:rFonts w:ascii="Arial" w:eastAsia="Calibri" w:hAnsi="Arial" w:cs="Arial"/>
      <w:sz w:val="16"/>
      <w:szCs w:val="22"/>
      <w:lang w:eastAsia="en-US"/>
    </w:rPr>
  </w:style>
  <w:style w:type="paragraph" w:styleId="NormalWeb">
    <w:name w:val="Normal (Web)"/>
    <w:basedOn w:val="Normal"/>
    <w:uiPriority w:val="99"/>
    <w:unhideWhenUsed/>
    <w:rsid w:val="00D53A41"/>
    <w:pPr>
      <w:spacing w:before="100" w:beforeAutospacing="1" w:after="100" w:afterAutospacing="1"/>
    </w:pPr>
  </w:style>
  <w:style w:type="paragraph" w:styleId="Revision">
    <w:name w:val="Revision"/>
    <w:hidden/>
    <w:uiPriority w:val="71"/>
    <w:rsid w:val="00B1507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99"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link w:val="TableHeadingChar"/>
    <w:uiPriority w:val="99"/>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34"/>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99"/>
    <w:unhideWhenUsed/>
    <w:qFormat/>
    <w:rsid w:val="00F574A6"/>
    <w:pPr>
      <w:widowControl w:val="0"/>
      <w:jc w:val="both"/>
    </w:pPr>
    <w:rPr>
      <w:rFonts w:ascii="Arial Narrow" w:hAnsi="Arial Narrow" w:cs="Arial"/>
      <w:b/>
      <w:bCs/>
      <w:snapToGrid w:val="0"/>
      <w:color w:val="000000" w:themeColor="text1"/>
      <w:sz w:val="20"/>
      <w:szCs w:val="18"/>
      <w:lang w:eastAsia="en-US"/>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uiPriority w:val="99"/>
    <w:rsid w:val="00F574A6"/>
    <w:rPr>
      <w:rFonts w:ascii="Arial Narrow" w:hAnsi="Arial Narrow" w:cs="Arial"/>
      <w:b/>
      <w:bCs/>
      <w:snapToGrid w:val="0"/>
      <w:color w:val="000000" w:themeColor="text1"/>
      <w:szCs w:val="18"/>
      <w:lang w:eastAsia="en-US"/>
    </w:rPr>
  </w:style>
  <w:style w:type="paragraph" w:styleId="BodyText">
    <w:name w:val="Body Text"/>
    <w:basedOn w:val="Normal"/>
    <w:link w:val="BodyTextChar"/>
    <w:rsid w:val="007B635A"/>
    <w:pPr>
      <w:spacing w:after="120"/>
    </w:pPr>
  </w:style>
  <w:style w:type="character" w:customStyle="1" w:styleId="BodyTextChar">
    <w:name w:val="Body Text Char"/>
    <w:basedOn w:val="DefaultParagraphFont"/>
    <w:link w:val="BodyText"/>
    <w:rsid w:val="007B635A"/>
    <w:rPr>
      <w:sz w:val="24"/>
      <w:szCs w:val="24"/>
    </w:rPr>
  </w:style>
  <w:style w:type="paragraph" w:customStyle="1" w:styleId="TableFooter">
    <w:name w:val="Table Footer"/>
    <w:basedOn w:val="Normal"/>
    <w:qFormat/>
    <w:rsid w:val="007B635A"/>
    <w:pPr>
      <w:widowControl w:val="0"/>
      <w:jc w:val="both"/>
    </w:pPr>
    <w:rPr>
      <w:rFonts w:ascii="Arial Narrow" w:hAnsi="Arial Narrow" w:cs="Arial"/>
      <w:snapToGrid w:val="0"/>
      <w:sz w:val="18"/>
      <w:szCs w:val="20"/>
      <w:lang w:eastAsia="en-US"/>
    </w:rPr>
  </w:style>
  <w:style w:type="paragraph" w:styleId="FootnoteText">
    <w:name w:val="footnote text"/>
    <w:basedOn w:val="Normal"/>
    <w:link w:val="FootnoteTextChar"/>
    <w:unhideWhenUsed/>
    <w:rsid w:val="007B635A"/>
    <w:pPr>
      <w:widowControl w:val="0"/>
      <w:jc w:val="both"/>
    </w:pPr>
    <w:rPr>
      <w:rFonts w:ascii="Arial" w:hAnsi="Arial" w:cs="Arial"/>
      <w:snapToGrid w:val="0"/>
      <w:sz w:val="20"/>
      <w:szCs w:val="20"/>
      <w:lang w:eastAsia="en-US"/>
    </w:rPr>
  </w:style>
  <w:style w:type="character" w:customStyle="1" w:styleId="FootnoteTextChar">
    <w:name w:val="Footnote Text Char"/>
    <w:basedOn w:val="DefaultParagraphFont"/>
    <w:link w:val="FootnoteText"/>
    <w:rsid w:val="007B635A"/>
    <w:rPr>
      <w:rFonts w:ascii="Arial" w:hAnsi="Arial" w:cs="Arial"/>
      <w:snapToGrid w:val="0"/>
      <w:lang w:eastAsia="en-US"/>
    </w:rPr>
  </w:style>
  <w:style w:type="character" w:styleId="FootnoteReference">
    <w:name w:val="footnote reference"/>
    <w:basedOn w:val="DefaultParagraphFont"/>
    <w:unhideWhenUsed/>
    <w:rsid w:val="007B635A"/>
    <w:rPr>
      <w:vertAlign w:val="superscript"/>
    </w:rPr>
  </w:style>
  <w:style w:type="character" w:customStyle="1" w:styleId="TableHeadingChar">
    <w:name w:val="TableHeading Char"/>
    <w:link w:val="TableHeading"/>
    <w:uiPriority w:val="99"/>
    <w:rsid w:val="008122B1"/>
    <w:rPr>
      <w:rFonts w:ascii="Arial Narrow" w:hAnsi="Arial Narrow" w:cs="Arial Narrow"/>
      <w:b/>
      <w:bCs/>
      <w:lang w:eastAsia="en-US"/>
    </w:rPr>
  </w:style>
  <w:style w:type="paragraph" w:customStyle="1" w:styleId="TableNote">
    <w:name w:val="Table Note"/>
    <w:basedOn w:val="Normal"/>
    <w:link w:val="TableNoteChar"/>
    <w:qFormat/>
    <w:rsid w:val="003241EF"/>
    <w:pPr>
      <w:spacing w:line="276" w:lineRule="auto"/>
      <w:jc w:val="both"/>
    </w:pPr>
    <w:rPr>
      <w:rFonts w:ascii="Arial" w:eastAsia="Calibri" w:hAnsi="Arial" w:cs="Arial"/>
      <w:sz w:val="16"/>
      <w:szCs w:val="22"/>
      <w:lang w:eastAsia="en-US"/>
    </w:rPr>
  </w:style>
  <w:style w:type="character" w:customStyle="1" w:styleId="TableNoteChar">
    <w:name w:val="Table Note Char"/>
    <w:link w:val="TableNote"/>
    <w:rsid w:val="003241EF"/>
    <w:rPr>
      <w:rFonts w:ascii="Arial" w:eastAsia="Calibri" w:hAnsi="Arial" w:cs="Arial"/>
      <w:sz w:val="16"/>
      <w:szCs w:val="22"/>
      <w:lang w:eastAsia="en-US"/>
    </w:rPr>
  </w:style>
  <w:style w:type="paragraph" w:styleId="NormalWeb">
    <w:name w:val="Normal (Web)"/>
    <w:basedOn w:val="Normal"/>
    <w:uiPriority w:val="99"/>
    <w:unhideWhenUsed/>
    <w:rsid w:val="00D53A41"/>
    <w:pPr>
      <w:spacing w:before="100" w:beforeAutospacing="1" w:after="100" w:afterAutospacing="1"/>
    </w:pPr>
  </w:style>
  <w:style w:type="paragraph" w:styleId="Revision">
    <w:name w:val="Revision"/>
    <w:hidden/>
    <w:uiPriority w:val="71"/>
    <w:rsid w:val="00B150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95243440">
      <w:bodyDiv w:val="1"/>
      <w:marLeft w:val="0"/>
      <w:marRight w:val="0"/>
      <w:marTop w:val="0"/>
      <w:marBottom w:val="0"/>
      <w:divBdr>
        <w:top w:val="none" w:sz="0" w:space="0" w:color="auto"/>
        <w:left w:val="none" w:sz="0" w:space="0" w:color="auto"/>
        <w:bottom w:val="none" w:sz="0" w:space="0" w:color="auto"/>
        <w:right w:val="none" w:sz="0" w:space="0" w:color="auto"/>
      </w:divBdr>
    </w:div>
    <w:div w:id="1021974670">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AAE47-2572-455A-BA86-5846E9447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2899</Words>
  <Characters>16013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2017-10-16T00:10:00Z</dcterms:created>
  <dcterms:modified xsi:type="dcterms:W3CDTF">2017-10-16T00:14:00Z</dcterms:modified>
</cp:coreProperties>
</file>