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02" w:rsidRPr="00CC5D02" w:rsidRDefault="00CC5D02" w:rsidP="00CC5D02">
      <w:pPr>
        <w:widowControl w:val="0"/>
        <w:spacing w:after="0" w:line="240" w:lineRule="auto"/>
        <w:ind w:left="1418" w:hanging="1418"/>
        <w:jc w:val="left"/>
        <w:outlineLvl w:val="0"/>
        <w:rPr>
          <w:rFonts w:asciiTheme="minorHAnsi" w:hAnsiTheme="minorHAnsi" w:cs="Arial"/>
          <w:b/>
          <w:snapToGrid w:val="0"/>
          <w:sz w:val="36"/>
          <w:szCs w:val="36"/>
          <w:lang w:eastAsia="en-US"/>
        </w:rPr>
      </w:pPr>
      <w:bookmarkStart w:id="0" w:name="_Toc381796450"/>
      <w:bookmarkStart w:id="1" w:name="_Toc482014447"/>
      <w:bookmarkStart w:id="2" w:name="_Toc327540865"/>
      <w:bookmarkStart w:id="3" w:name="_Toc379118069"/>
      <w:bookmarkStart w:id="4" w:name="_Toc381796447"/>
      <w:r w:rsidRPr="00CC5D02">
        <w:rPr>
          <w:rFonts w:asciiTheme="minorHAnsi" w:hAnsiTheme="minorHAnsi" w:cs="Arial"/>
          <w:b/>
          <w:snapToGrid w:val="0"/>
          <w:sz w:val="36"/>
          <w:szCs w:val="36"/>
          <w:lang w:eastAsia="en-US"/>
        </w:rPr>
        <w:t>5.</w:t>
      </w:r>
      <w:r>
        <w:rPr>
          <w:rFonts w:asciiTheme="minorHAnsi" w:hAnsiTheme="minorHAnsi" w:cs="Arial"/>
          <w:b/>
          <w:snapToGrid w:val="0"/>
          <w:sz w:val="36"/>
          <w:szCs w:val="36"/>
          <w:lang w:eastAsia="en-US"/>
        </w:rPr>
        <w:t>08</w:t>
      </w:r>
      <w:r w:rsidRPr="00CC5D02">
        <w:rPr>
          <w:rFonts w:asciiTheme="minorHAnsi" w:hAnsiTheme="minorHAnsi" w:cs="Arial"/>
          <w:b/>
          <w:snapToGrid w:val="0"/>
          <w:sz w:val="36"/>
          <w:szCs w:val="36"/>
          <w:lang w:eastAsia="en-US"/>
        </w:rPr>
        <w:tab/>
      </w:r>
      <w:r>
        <w:rPr>
          <w:rFonts w:asciiTheme="minorHAnsi" w:hAnsiTheme="minorHAnsi" w:cs="Arial"/>
          <w:b/>
          <w:snapToGrid w:val="0"/>
          <w:sz w:val="36"/>
          <w:szCs w:val="36"/>
          <w:lang w:eastAsia="en-US"/>
        </w:rPr>
        <w:t>METHOXSALEN</w:t>
      </w:r>
      <w:r w:rsidRPr="00CC5D02">
        <w:rPr>
          <w:rFonts w:asciiTheme="minorHAnsi" w:hAnsiTheme="minorHAnsi" w:cs="Arial"/>
          <w:b/>
          <w:snapToGrid w:val="0"/>
          <w:sz w:val="36"/>
          <w:szCs w:val="36"/>
          <w:lang w:eastAsia="en-US"/>
        </w:rPr>
        <w:t>,</w:t>
      </w:r>
      <w:r w:rsidRPr="00CC5D02">
        <w:rPr>
          <w:rFonts w:asciiTheme="minorHAnsi" w:hAnsiTheme="minorHAnsi" w:cs="Arial"/>
          <w:b/>
          <w:snapToGrid w:val="0"/>
          <w:sz w:val="36"/>
          <w:szCs w:val="36"/>
          <w:lang w:eastAsia="en-US"/>
        </w:rPr>
        <w:br/>
        <w:t>Solution for b</w:t>
      </w:r>
      <w:r w:rsidR="00CA351A">
        <w:rPr>
          <w:rFonts w:asciiTheme="minorHAnsi" w:hAnsiTheme="minorHAnsi" w:cs="Arial"/>
          <w:b/>
          <w:snapToGrid w:val="0"/>
          <w:sz w:val="36"/>
          <w:szCs w:val="36"/>
          <w:lang w:eastAsia="en-US"/>
        </w:rPr>
        <w:t>lood fraction, 20 microgram per </w:t>
      </w:r>
      <w:r w:rsidRPr="00CC5D02">
        <w:rPr>
          <w:rFonts w:asciiTheme="minorHAnsi" w:hAnsiTheme="minorHAnsi" w:cs="Arial"/>
          <w:b/>
          <w:snapToGrid w:val="0"/>
          <w:sz w:val="36"/>
          <w:szCs w:val="36"/>
          <w:lang w:eastAsia="en-US"/>
        </w:rPr>
        <w:t>mL, 10 mL,</w:t>
      </w:r>
      <w:r w:rsidRPr="00CC5D02">
        <w:rPr>
          <w:rFonts w:asciiTheme="minorHAnsi" w:hAnsiTheme="minorHAnsi" w:cs="Arial"/>
          <w:b/>
          <w:snapToGrid w:val="0"/>
          <w:sz w:val="36"/>
          <w:szCs w:val="36"/>
          <w:lang w:eastAsia="en-US"/>
        </w:rPr>
        <w:br/>
      </w:r>
      <w:proofErr w:type="spellStart"/>
      <w:r>
        <w:rPr>
          <w:rFonts w:asciiTheme="minorHAnsi" w:hAnsiTheme="minorHAnsi" w:cs="Arial"/>
          <w:b/>
          <w:snapToGrid w:val="0"/>
          <w:sz w:val="36"/>
          <w:szCs w:val="36"/>
          <w:lang w:eastAsia="en-US"/>
        </w:rPr>
        <w:t>Uvadex</w:t>
      </w:r>
      <w:proofErr w:type="spellEnd"/>
      <w:r w:rsidRPr="00CC5D02">
        <w:rPr>
          <w:rFonts w:asciiTheme="minorHAnsi" w:hAnsiTheme="minorHAnsi" w:cs="Arial"/>
          <w:b/>
          <w:snapToGrid w:val="0"/>
          <w:sz w:val="36"/>
          <w:szCs w:val="36"/>
          <w:vertAlign w:val="superscript"/>
          <w:lang w:eastAsia="en-US"/>
        </w:rPr>
        <w:t>®</w:t>
      </w:r>
      <w:r w:rsidRPr="00CC5D02">
        <w:rPr>
          <w:rFonts w:asciiTheme="minorHAnsi" w:hAnsiTheme="minorHAnsi" w:cs="Arial"/>
          <w:b/>
          <w:snapToGrid w:val="0"/>
          <w:sz w:val="36"/>
          <w:szCs w:val="36"/>
          <w:lang w:eastAsia="en-US"/>
        </w:rPr>
        <w:t>, Terumo BCT Australia Pty Limited</w:t>
      </w:r>
    </w:p>
    <w:p w:rsidR="00CC5D02" w:rsidRPr="00925688" w:rsidRDefault="00CC5D02" w:rsidP="00CC5D02">
      <w:pPr>
        <w:pStyle w:val="Heading1"/>
        <w:keepLines/>
        <w:numPr>
          <w:ilvl w:val="0"/>
          <w:numId w:val="5"/>
        </w:numPr>
        <w:spacing w:before="400" w:after="120" w:line="240" w:lineRule="auto"/>
        <w:ind w:left="709" w:hanging="709"/>
        <w:rPr>
          <w:rFonts w:asciiTheme="minorHAnsi" w:eastAsiaTheme="majorEastAsia" w:hAnsiTheme="minorHAnsi" w:cstheme="majorBidi"/>
          <w:caps/>
          <w:sz w:val="32"/>
          <w:szCs w:val="28"/>
        </w:rPr>
      </w:pPr>
      <w:bookmarkStart w:id="5" w:name="_Toc413139271"/>
      <w:bookmarkStart w:id="6" w:name="_Toc476306881"/>
      <w:bookmarkStart w:id="7" w:name="_Toc482796743"/>
      <w:r w:rsidRPr="00925688">
        <w:rPr>
          <w:rFonts w:asciiTheme="minorHAnsi" w:eastAsiaTheme="majorEastAsia" w:hAnsiTheme="minorHAnsi" w:cstheme="majorBidi"/>
          <w:sz w:val="32"/>
          <w:szCs w:val="28"/>
        </w:rPr>
        <w:t>Purpose of Application</w:t>
      </w:r>
      <w:bookmarkEnd w:id="5"/>
      <w:bookmarkEnd w:id="6"/>
      <w:bookmarkEnd w:id="7"/>
    </w:p>
    <w:p w:rsidR="00AF1053" w:rsidRPr="00AF1053" w:rsidRDefault="00AF1053" w:rsidP="00AF1053">
      <w:pPr>
        <w:pStyle w:val="ESnumberedparablue"/>
      </w:pPr>
      <w:r>
        <w:t xml:space="preserve">The submission requested a Section 100 (Highly Specialised Drugs Program) Streamlined Authority Required listing for the treatment of </w:t>
      </w:r>
      <w:r>
        <w:rPr>
          <w:color w:val="auto"/>
          <w:szCs w:val="22"/>
        </w:rPr>
        <w:t>c</w:t>
      </w:r>
      <w:r w:rsidRPr="00AF1053">
        <w:rPr>
          <w:color w:val="auto"/>
          <w:szCs w:val="22"/>
        </w:rPr>
        <w:t>utaneous T-cell lymphoma (CTCL)</w:t>
      </w:r>
      <w:r>
        <w:rPr>
          <w:color w:val="auto"/>
          <w:szCs w:val="22"/>
        </w:rPr>
        <w:t>.</w:t>
      </w:r>
    </w:p>
    <w:p w:rsidR="00CC5D02" w:rsidRPr="00925688" w:rsidRDefault="00AF1053" w:rsidP="00A91E57">
      <w:pPr>
        <w:pStyle w:val="ESnumberedparablue"/>
      </w:pPr>
      <w:r>
        <w:t xml:space="preserve">The delivery of the medicine, methoxsalen, is via an </w:t>
      </w:r>
      <w:r w:rsidRPr="00AF1053">
        <w:t>integrated, closed system, extracorporeal photophoresis (ECP).</w:t>
      </w:r>
      <w:r>
        <w:t xml:space="preserve"> As the medicine (PBAC relevant) component is substantially smaller in overall scope and financial implications compared to the procedure (</w:t>
      </w:r>
      <w:r w:rsidR="00A91E57" w:rsidRPr="00A91E57">
        <w:rPr>
          <w:color w:val="auto"/>
          <w:szCs w:val="22"/>
        </w:rPr>
        <w:t xml:space="preserve">Medical Services Advisory Committee </w:t>
      </w:r>
      <w:r w:rsidR="00A91E57">
        <w:rPr>
          <w:color w:val="auto"/>
          <w:szCs w:val="22"/>
        </w:rPr>
        <w:t>[</w:t>
      </w:r>
      <w:r>
        <w:t>MSAC</w:t>
      </w:r>
      <w:r w:rsidR="00A91E57">
        <w:t>]</w:t>
      </w:r>
      <w:r>
        <w:t xml:space="preserve"> relevant) component of this integrated codependent submission</w:t>
      </w:r>
      <w:r w:rsidR="00270B16">
        <w:t xml:space="preserve">, the assessment of clinical and cost effectiveness and estimated </w:t>
      </w:r>
      <w:r w:rsidR="007831F6">
        <w:t xml:space="preserve">overall </w:t>
      </w:r>
      <w:r w:rsidR="00270B16">
        <w:t>financial implications are not presented below</w:t>
      </w:r>
      <w:r w:rsidR="007831F6">
        <w:t>.</w:t>
      </w:r>
    </w:p>
    <w:p w:rsidR="00CC5D02" w:rsidRPr="00925688" w:rsidRDefault="00CC5D02" w:rsidP="00CC5D02">
      <w:pPr>
        <w:pStyle w:val="Heading1"/>
        <w:keepLines/>
        <w:numPr>
          <w:ilvl w:val="0"/>
          <w:numId w:val="5"/>
        </w:numPr>
        <w:spacing w:before="400" w:after="120" w:line="240" w:lineRule="auto"/>
        <w:ind w:left="709" w:hanging="709"/>
        <w:rPr>
          <w:rFonts w:asciiTheme="minorHAnsi" w:eastAsiaTheme="majorEastAsia" w:hAnsiTheme="minorHAnsi" w:cstheme="majorBidi"/>
          <w:caps/>
          <w:sz w:val="32"/>
          <w:szCs w:val="28"/>
        </w:rPr>
      </w:pPr>
      <w:bookmarkStart w:id="8" w:name="_Toc413139272"/>
      <w:bookmarkStart w:id="9" w:name="_Toc476306882"/>
      <w:bookmarkStart w:id="10" w:name="_Toc482796744"/>
      <w:r w:rsidRPr="00925688">
        <w:rPr>
          <w:rFonts w:asciiTheme="minorHAnsi" w:eastAsiaTheme="majorEastAsia" w:hAnsiTheme="minorHAnsi" w:cstheme="majorBidi"/>
          <w:sz w:val="32"/>
          <w:szCs w:val="28"/>
        </w:rPr>
        <w:t>Requested listing</w:t>
      </w:r>
      <w:bookmarkEnd w:id="8"/>
      <w:bookmarkEnd w:id="9"/>
      <w:bookmarkEnd w:id="10"/>
    </w:p>
    <w:p w:rsidR="00CC5D02" w:rsidRPr="00CC5D02" w:rsidRDefault="00CC5D02" w:rsidP="00CC5D02">
      <w:pPr>
        <w:pStyle w:val="ListParagraph"/>
        <w:numPr>
          <w:ilvl w:val="0"/>
          <w:numId w:val="4"/>
        </w:numPr>
        <w:spacing w:before="120" w:after="160" w:line="240" w:lineRule="auto"/>
        <w:contextualSpacing w:val="0"/>
        <w:rPr>
          <w:rFonts w:asciiTheme="minorHAnsi" w:eastAsiaTheme="minorHAnsi" w:hAnsiTheme="minorHAnsi" w:cstheme="minorBidi"/>
          <w:vanish/>
          <w:sz w:val="24"/>
          <w:lang w:eastAsia="en-US"/>
        </w:rPr>
      </w:pPr>
    </w:p>
    <w:p w:rsidR="00CC5D02" w:rsidRDefault="00B50412" w:rsidP="00B50412">
      <w:pPr>
        <w:pStyle w:val="ESnumberedparablue"/>
      </w:pPr>
      <w:r w:rsidRPr="00B50412">
        <w:t xml:space="preserve">The requested restriction is provided below, including for </w:t>
      </w:r>
      <w:r>
        <w:t>initial and continuing therapy</w:t>
      </w:r>
      <w:r w:rsidRPr="00B50412">
        <w:t>. Suggestions and additions proposed by the Secretariat to the requested listing are added in italics and suggested deletions are crossed out with strikethrough.</w:t>
      </w:r>
    </w:p>
    <w:tbl>
      <w:tblPr>
        <w:tblW w:w="8364" w:type="dxa"/>
        <w:tblInd w:w="108" w:type="dxa"/>
        <w:tblLayout w:type="fixed"/>
        <w:tblLook w:val="0000" w:firstRow="0" w:lastRow="0" w:firstColumn="0" w:lastColumn="0" w:noHBand="0" w:noVBand="0"/>
      </w:tblPr>
      <w:tblGrid>
        <w:gridCol w:w="1843"/>
        <w:gridCol w:w="1418"/>
        <w:gridCol w:w="567"/>
        <w:gridCol w:w="708"/>
        <w:gridCol w:w="1418"/>
        <w:gridCol w:w="992"/>
        <w:gridCol w:w="1418"/>
      </w:tblGrid>
      <w:tr w:rsidR="00B50412" w:rsidRPr="00260CE3" w:rsidTr="00F829D4">
        <w:trPr>
          <w:cantSplit/>
          <w:trHeight w:val="471"/>
        </w:trPr>
        <w:tc>
          <w:tcPr>
            <w:tcW w:w="3261" w:type="dxa"/>
            <w:gridSpan w:val="2"/>
            <w:tcBorders>
              <w:bottom w:val="single" w:sz="4" w:space="0" w:color="auto"/>
            </w:tcBorders>
          </w:tcPr>
          <w:p w:rsidR="00B50412" w:rsidRPr="00260CE3" w:rsidRDefault="00B50412" w:rsidP="00B433B4">
            <w:pPr>
              <w:keepNext/>
              <w:spacing w:after="0" w:line="240" w:lineRule="auto"/>
              <w:ind w:left="-108"/>
              <w:rPr>
                <w:rFonts w:ascii="Arial Narrow" w:hAnsi="Arial Narrow" w:cs="Arial"/>
                <w:sz w:val="20"/>
                <w:szCs w:val="20"/>
              </w:rPr>
            </w:pPr>
            <w:r w:rsidRPr="00260CE3">
              <w:rPr>
                <w:rFonts w:ascii="Arial Narrow" w:hAnsi="Arial Narrow" w:cs="Arial"/>
                <w:sz w:val="20"/>
                <w:szCs w:val="20"/>
              </w:rPr>
              <w:t>Name, Restriction,</w:t>
            </w:r>
          </w:p>
          <w:p w:rsidR="00B50412" w:rsidRPr="00260CE3" w:rsidRDefault="00B50412" w:rsidP="00B433B4">
            <w:pPr>
              <w:keepNext/>
              <w:spacing w:after="0" w:line="240" w:lineRule="auto"/>
              <w:ind w:left="-108"/>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shd w:val="clear" w:color="auto" w:fill="auto"/>
          </w:tcPr>
          <w:p w:rsidR="00B50412" w:rsidRPr="00BB6B69" w:rsidRDefault="00B50412" w:rsidP="00B433B4">
            <w:pPr>
              <w:keepNext/>
              <w:spacing w:after="0" w:line="240" w:lineRule="auto"/>
              <w:ind w:left="-108"/>
              <w:rPr>
                <w:rFonts w:ascii="Arial Narrow" w:hAnsi="Arial Narrow" w:cs="Arial"/>
                <w:sz w:val="20"/>
                <w:szCs w:val="20"/>
              </w:rPr>
            </w:pPr>
            <w:r w:rsidRPr="00BB6B69">
              <w:rPr>
                <w:rFonts w:ascii="Arial Narrow" w:hAnsi="Arial Narrow" w:cs="Arial"/>
                <w:sz w:val="20"/>
                <w:szCs w:val="20"/>
              </w:rPr>
              <w:t>Max.</w:t>
            </w:r>
          </w:p>
          <w:p w:rsidR="00B50412" w:rsidRPr="00BB6B69" w:rsidRDefault="00B50412" w:rsidP="00B433B4">
            <w:pPr>
              <w:keepNext/>
              <w:spacing w:after="0" w:line="240" w:lineRule="auto"/>
              <w:ind w:left="-108"/>
              <w:rPr>
                <w:rFonts w:ascii="Arial Narrow" w:hAnsi="Arial Narrow" w:cs="Arial"/>
                <w:sz w:val="20"/>
                <w:szCs w:val="20"/>
              </w:rPr>
            </w:pPr>
            <w:r w:rsidRPr="00BB6B69">
              <w:rPr>
                <w:rFonts w:ascii="Arial Narrow" w:hAnsi="Arial Narrow" w:cs="Arial"/>
                <w:sz w:val="20"/>
                <w:szCs w:val="20"/>
              </w:rPr>
              <w:t>Qty</w:t>
            </w:r>
          </w:p>
        </w:tc>
        <w:tc>
          <w:tcPr>
            <w:tcW w:w="708" w:type="dxa"/>
            <w:tcBorders>
              <w:bottom w:val="single" w:sz="4" w:space="0" w:color="auto"/>
            </w:tcBorders>
            <w:shd w:val="clear" w:color="auto" w:fill="auto"/>
          </w:tcPr>
          <w:p w:rsidR="00B50412" w:rsidRPr="00BB6B69" w:rsidRDefault="00B50412" w:rsidP="00B433B4">
            <w:pPr>
              <w:keepNext/>
              <w:spacing w:after="0" w:line="240" w:lineRule="auto"/>
              <w:ind w:left="-108"/>
              <w:rPr>
                <w:rFonts w:ascii="Arial Narrow" w:hAnsi="Arial Narrow" w:cs="Arial"/>
                <w:sz w:val="20"/>
                <w:szCs w:val="20"/>
              </w:rPr>
            </w:pPr>
            <w:r w:rsidRPr="00BB6B69">
              <w:rPr>
                <w:rFonts w:ascii="Arial Narrow" w:hAnsi="Arial Narrow" w:cs="Arial"/>
                <w:sz w:val="20"/>
                <w:szCs w:val="20"/>
              </w:rPr>
              <w:t>№.of</w:t>
            </w:r>
          </w:p>
          <w:p w:rsidR="00B50412" w:rsidRPr="00BB6B69" w:rsidRDefault="00B50412" w:rsidP="00B433B4">
            <w:pPr>
              <w:keepNext/>
              <w:spacing w:after="0" w:line="240" w:lineRule="auto"/>
              <w:ind w:left="-108"/>
              <w:rPr>
                <w:rFonts w:ascii="Arial Narrow" w:hAnsi="Arial Narrow" w:cs="Arial"/>
                <w:sz w:val="20"/>
                <w:szCs w:val="20"/>
              </w:rPr>
            </w:pPr>
            <w:r w:rsidRPr="00BB6B69">
              <w:rPr>
                <w:rFonts w:ascii="Arial Narrow" w:hAnsi="Arial Narrow" w:cs="Arial"/>
                <w:sz w:val="20"/>
                <w:szCs w:val="20"/>
              </w:rPr>
              <w:t>Rpts</w:t>
            </w:r>
          </w:p>
        </w:tc>
        <w:tc>
          <w:tcPr>
            <w:tcW w:w="1418" w:type="dxa"/>
            <w:tcBorders>
              <w:bottom w:val="single" w:sz="4" w:space="0" w:color="auto"/>
            </w:tcBorders>
          </w:tcPr>
          <w:p w:rsidR="00B50412" w:rsidRPr="00260CE3" w:rsidRDefault="00B50412" w:rsidP="00B433B4">
            <w:pPr>
              <w:keepNext/>
              <w:spacing w:after="0" w:line="240" w:lineRule="auto"/>
              <w:ind w:left="-108"/>
              <w:rPr>
                <w:rFonts w:ascii="Arial Narrow" w:hAnsi="Arial Narrow" w:cs="Arial"/>
                <w:sz w:val="20"/>
                <w:szCs w:val="20"/>
              </w:rPr>
            </w:pPr>
            <w:r w:rsidRPr="00260CE3">
              <w:rPr>
                <w:rFonts w:ascii="Arial Narrow" w:hAnsi="Arial Narrow" w:cs="Arial"/>
                <w:sz w:val="20"/>
                <w:szCs w:val="20"/>
              </w:rPr>
              <w:t>Dispensed Price for Max. Qty</w:t>
            </w:r>
          </w:p>
        </w:tc>
        <w:tc>
          <w:tcPr>
            <w:tcW w:w="2410" w:type="dxa"/>
            <w:gridSpan w:val="2"/>
            <w:tcBorders>
              <w:bottom w:val="single" w:sz="4" w:space="0" w:color="auto"/>
            </w:tcBorders>
          </w:tcPr>
          <w:p w:rsidR="00B50412" w:rsidRPr="00260CE3" w:rsidRDefault="00B50412" w:rsidP="00B433B4">
            <w:pPr>
              <w:keepNext/>
              <w:spacing w:after="0" w:line="240" w:lineRule="auto"/>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B50412" w:rsidRPr="00260CE3" w:rsidTr="00F829D4">
        <w:trPr>
          <w:cantSplit/>
          <w:trHeight w:val="577"/>
        </w:trPr>
        <w:tc>
          <w:tcPr>
            <w:tcW w:w="3261" w:type="dxa"/>
            <w:gridSpan w:val="2"/>
          </w:tcPr>
          <w:p w:rsidR="00B50412" w:rsidRPr="00260CE3" w:rsidRDefault="00B50412" w:rsidP="00B433B4">
            <w:pPr>
              <w:keepNext/>
              <w:spacing w:after="0" w:line="240" w:lineRule="auto"/>
              <w:ind w:left="-108"/>
              <w:rPr>
                <w:rFonts w:ascii="Arial Narrow" w:hAnsi="Arial Narrow" w:cs="Arial"/>
                <w:sz w:val="20"/>
                <w:szCs w:val="20"/>
              </w:rPr>
            </w:pPr>
            <w:r>
              <w:rPr>
                <w:rFonts w:ascii="Arial Narrow" w:hAnsi="Arial Narrow" w:cs="Arial"/>
                <w:smallCaps/>
                <w:sz w:val="20"/>
                <w:szCs w:val="20"/>
              </w:rPr>
              <w:t>METHOXSALEN</w:t>
            </w:r>
          </w:p>
          <w:p w:rsidR="00B50412" w:rsidRPr="00260CE3" w:rsidRDefault="00B50412" w:rsidP="00B433B4">
            <w:pPr>
              <w:keepNext/>
              <w:spacing w:after="0" w:line="240" w:lineRule="auto"/>
              <w:ind w:left="-108"/>
              <w:rPr>
                <w:rFonts w:ascii="Arial Narrow" w:hAnsi="Arial Narrow" w:cs="Arial"/>
                <w:sz w:val="20"/>
                <w:szCs w:val="20"/>
              </w:rPr>
            </w:pPr>
            <w:r w:rsidRPr="00B2403B">
              <w:rPr>
                <w:rFonts w:ascii="Arial Narrow" w:hAnsi="Arial Narrow" w:cs="Arial"/>
                <w:sz w:val="20"/>
                <w:szCs w:val="20"/>
              </w:rPr>
              <w:t>20</w:t>
            </w:r>
            <w:r>
              <w:rPr>
                <w:rFonts w:ascii="Arial Narrow" w:hAnsi="Arial Narrow" w:cs="Arial"/>
                <w:sz w:val="20"/>
                <w:szCs w:val="20"/>
              </w:rPr>
              <w:t> </w:t>
            </w:r>
            <w:r w:rsidRPr="00B2403B">
              <w:rPr>
                <w:rFonts w:ascii="Arial Narrow" w:hAnsi="Arial Narrow" w:cs="Arial"/>
                <w:sz w:val="20"/>
                <w:szCs w:val="20"/>
              </w:rPr>
              <w:t>microgram/mL solution, 10</w:t>
            </w:r>
            <w:r>
              <w:rPr>
                <w:rFonts w:ascii="Arial Narrow" w:hAnsi="Arial Narrow" w:cs="Arial"/>
                <w:sz w:val="20"/>
                <w:szCs w:val="20"/>
              </w:rPr>
              <w:t> </w:t>
            </w:r>
            <w:r w:rsidRPr="00B2403B">
              <w:rPr>
                <w:rFonts w:ascii="Arial Narrow" w:hAnsi="Arial Narrow" w:cs="Arial"/>
                <w:sz w:val="20"/>
                <w:szCs w:val="20"/>
              </w:rPr>
              <w:t>mL vial</w:t>
            </w:r>
            <w:r>
              <w:rPr>
                <w:rFonts w:ascii="Arial Narrow" w:hAnsi="Arial Narrow" w:cs="Arial"/>
                <w:sz w:val="20"/>
                <w:szCs w:val="20"/>
              </w:rPr>
              <w:t>, 12</w:t>
            </w:r>
          </w:p>
        </w:tc>
        <w:tc>
          <w:tcPr>
            <w:tcW w:w="567" w:type="dxa"/>
          </w:tcPr>
          <w:p w:rsidR="00B50412" w:rsidRPr="00260CE3" w:rsidRDefault="00B50412" w:rsidP="00B433B4">
            <w:pPr>
              <w:keepNext/>
              <w:spacing w:after="0" w:line="240" w:lineRule="auto"/>
              <w:ind w:left="-108"/>
              <w:rPr>
                <w:rFonts w:ascii="Arial Narrow" w:hAnsi="Arial Narrow" w:cs="Arial"/>
                <w:sz w:val="20"/>
                <w:szCs w:val="20"/>
              </w:rPr>
            </w:pPr>
          </w:p>
          <w:p w:rsidR="00B50412" w:rsidRPr="00260CE3" w:rsidRDefault="00B50412" w:rsidP="00B433B4">
            <w:pPr>
              <w:keepNext/>
              <w:spacing w:after="0" w:line="240" w:lineRule="auto"/>
              <w:ind w:left="-108"/>
              <w:rPr>
                <w:rFonts w:ascii="Arial Narrow" w:hAnsi="Arial Narrow" w:cs="Arial"/>
                <w:sz w:val="20"/>
                <w:szCs w:val="20"/>
              </w:rPr>
            </w:pPr>
            <w:r>
              <w:rPr>
                <w:rFonts w:ascii="Arial Narrow" w:hAnsi="Arial Narrow" w:cs="Arial"/>
                <w:sz w:val="20"/>
                <w:szCs w:val="20"/>
              </w:rPr>
              <w:t>1</w:t>
            </w:r>
          </w:p>
        </w:tc>
        <w:tc>
          <w:tcPr>
            <w:tcW w:w="708" w:type="dxa"/>
          </w:tcPr>
          <w:p w:rsidR="00B50412" w:rsidRPr="00260CE3" w:rsidRDefault="00B50412" w:rsidP="00B433B4">
            <w:pPr>
              <w:keepNext/>
              <w:spacing w:after="0" w:line="240" w:lineRule="auto"/>
              <w:ind w:left="-108"/>
              <w:rPr>
                <w:rFonts w:ascii="Arial Narrow" w:hAnsi="Arial Narrow" w:cs="Arial"/>
                <w:sz w:val="20"/>
                <w:szCs w:val="20"/>
              </w:rPr>
            </w:pPr>
          </w:p>
          <w:p w:rsidR="00B50412" w:rsidRPr="00260CE3" w:rsidRDefault="00B50412" w:rsidP="00B433B4">
            <w:pPr>
              <w:keepNext/>
              <w:spacing w:after="0" w:line="240" w:lineRule="auto"/>
              <w:ind w:left="-108"/>
              <w:rPr>
                <w:rFonts w:ascii="Arial Narrow" w:hAnsi="Arial Narrow" w:cs="Arial"/>
                <w:sz w:val="20"/>
                <w:szCs w:val="20"/>
              </w:rPr>
            </w:pPr>
            <w:r>
              <w:rPr>
                <w:rFonts w:ascii="Arial Narrow" w:hAnsi="Arial Narrow" w:cs="Arial"/>
                <w:sz w:val="20"/>
                <w:szCs w:val="20"/>
              </w:rPr>
              <w:t>nil</w:t>
            </w:r>
          </w:p>
        </w:tc>
        <w:tc>
          <w:tcPr>
            <w:tcW w:w="1418" w:type="dxa"/>
          </w:tcPr>
          <w:p w:rsidR="00B50412" w:rsidRPr="00260CE3" w:rsidRDefault="00B50412" w:rsidP="00B433B4">
            <w:pPr>
              <w:keepNext/>
              <w:spacing w:after="0" w:line="240" w:lineRule="auto"/>
              <w:ind w:left="-108"/>
              <w:rPr>
                <w:rFonts w:ascii="Arial Narrow" w:hAnsi="Arial Narrow" w:cs="Arial"/>
                <w:sz w:val="20"/>
                <w:szCs w:val="20"/>
              </w:rPr>
            </w:pPr>
          </w:p>
          <w:p w:rsidR="00B50412" w:rsidRPr="00260CE3" w:rsidRDefault="00B50412" w:rsidP="00B433B4">
            <w:pPr>
              <w:keepNext/>
              <w:spacing w:after="0" w:line="240" w:lineRule="auto"/>
              <w:ind w:left="-108"/>
              <w:rPr>
                <w:rFonts w:ascii="Arial Narrow" w:hAnsi="Arial Narrow" w:cs="Arial"/>
                <w:sz w:val="20"/>
                <w:szCs w:val="20"/>
              </w:rPr>
            </w:pPr>
            <w:r>
              <w:rPr>
                <w:rFonts w:ascii="Arial Narrow" w:hAnsi="Arial Narrow" w:cs="Arial"/>
                <w:sz w:val="20"/>
                <w:szCs w:val="20"/>
              </w:rPr>
              <w:t>$</w:t>
            </w:r>
            <w:r w:rsidR="00022B8C">
              <w:rPr>
                <w:rFonts w:ascii="Arial Narrow" w:hAnsi="Arial Narrow" w:cs="Arial"/>
                <w:noProof/>
                <w:color w:val="000000"/>
                <w:sz w:val="20"/>
                <w:szCs w:val="20"/>
                <w:highlight w:val="black"/>
              </w:rPr>
              <w:t>''''''''''''''''''</w:t>
            </w:r>
            <w:r w:rsidRPr="00F41FF3">
              <w:rPr>
                <w:rFonts w:ascii="Arial Narrow" w:hAnsi="Arial Narrow" w:cs="Arial"/>
                <w:sz w:val="20"/>
                <w:szCs w:val="20"/>
                <w:vertAlign w:val="superscript"/>
              </w:rPr>
              <w:t>a</w:t>
            </w:r>
          </w:p>
        </w:tc>
        <w:tc>
          <w:tcPr>
            <w:tcW w:w="992" w:type="dxa"/>
          </w:tcPr>
          <w:p w:rsidR="00B50412" w:rsidRPr="00260CE3" w:rsidRDefault="00B50412" w:rsidP="00B433B4">
            <w:pPr>
              <w:keepNext/>
              <w:spacing w:after="0" w:line="240" w:lineRule="auto"/>
              <w:rPr>
                <w:rFonts w:ascii="Arial Narrow" w:hAnsi="Arial Narrow" w:cs="Arial"/>
                <w:sz w:val="20"/>
                <w:szCs w:val="20"/>
              </w:rPr>
            </w:pPr>
            <w:r w:rsidRPr="00010469">
              <w:rPr>
                <w:rFonts w:ascii="Arial Narrow" w:hAnsi="Arial Narrow" w:cs="Arial"/>
                <w:sz w:val="20"/>
                <w:szCs w:val="20"/>
              </w:rPr>
              <w:t>UVADEX</w:t>
            </w:r>
          </w:p>
        </w:tc>
        <w:tc>
          <w:tcPr>
            <w:tcW w:w="1418" w:type="dxa"/>
          </w:tcPr>
          <w:p w:rsidR="00B50412" w:rsidRPr="00260CE3" w:rsidRDefault="00B50412" w:rsidP="00B433B4">
            <w:pPr>
              <w:keepNext/>
              <w:spacing w:after="0" w:line="240" w:lineRule="auto"/>
              <w:rPr>
                <w:rFonts w:ascii="Arial Narrow" w:hAnsi="Arial Narrow" w:cs="Arial"/>
                <w:sz w:val="20"/>
                <w:szCs w:val="20"/>
              </w:rPr>
            </w:pPr>
            <w:r w:rsidRPr="00010469">
              <w:rPr>
                <w:rFonts w:ascii="Arial Narrow" w:hAnsi="Arial Narrow" w:cs="Arial"/>
                <w:sz w:val="20"/>
                <w:szCs w:val="20"/>
              </w:rPr>
              <w:t>Terumo BCT Australia Pty Ltd</w:t>
            </w:r>
          </w:p>
        </w:tc>
      </w:tr>
      <w:tr w:rsidR="00B50412" w:rsidRPr="00260CE3" w:rsidTr="00F829D4">
        <w:trPr>
          <w:cantSplit/>
          <w:trHeight w:val="360"/>
        </w:trPr>
        <w:tc>
          <w:tcPr>
            <w:tcW w:w="1843" w:type="dxa"/>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b/>
                <w:sz w:val="20"/>
                <w:szCs w:val="20"/>
              </w:rPr>
            </w:pPr>
            <w:r w:rsidRPr="00260CE3">
              <w:rPr>
                <w:rFonts w:ascii="Arial Narrow" w:hAnsi="Arial Narrow" w:cs="Arial"/>
                <w:b/>
                <w:sz w:val="20"/>
                <w:szCs w:val="20"/>
              </w:rPr>
              <w:t>Category / Program</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sz w:val="20"/>
                <w:szCs w:val="20"/>
              </w:rPr>
            </w:pPr>
            <w:r w:rsidRPr="00260CE3">
              <w:rPr>
                <w:rFonts w:ascii="Arial Narrow" w:hAnsi="Arial Narrow" w:cs="Arial"/>
                <w:sz w:val="20"/>
                <w:szCs w:val="20"/>
              </w:rPr>
              <w:t>Section 100 – Highly Specialised Drugs Program</w:t>
            </w:r>
          </w:p>
        </w:tc>
      </w:tr>
      <w:tr w:rsidR="00B50412" w:rsidRPr="00260CE3" w:rsidTr="00F829D4">
        <w:trPr>
          <w:cantSplit/>
          <w:trHeight w:val="360"/>
        </w:trPr>
        <w:tc>
          <w:tcPr>
            <w:tcW w:w="1843" w:type="dxa"/>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b/>
                <w:sz w:val="20"/>
                <w:szCs w:val="20"/>
              </w:rPr>
            </w:pPr>
            <w:r w:rsidRPr="00260CE3">
              <w:rPr>
                <w:rFonts w:ascii="Arial Narrow" w:hAnsi="Arial Narrow" w:cs="Arial"/>
                <w:b/>
                <w:sz w:val="20"/>
                <w:szCs w:val="20"/>
              </w:rPr>
              <w:t>Prescriber type:</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50412" w:rsidRPr="00260CE3" w:rsidTr="00F829D4">
        <w:trPr>
          <w:cantSplit/>
          <w:trHeight w:val="360"/>
        </w:trPr>
        <w:tc>
          <w:tcPr>
            <w:tcW w:w="1843" w:type="dxa"/>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b/>
                <w:sz w:val="20"/>
                <w:szCs w:val="20"/>
              </w:rPr>
            </w:pPr>
            <w:r w:rsidRPr="00260CE3">
              <w:rPr>
                <w:rFonts w:ascii="Arial Narrow" w:hAnsi="Arial Narrow" w:cs="Arial"/>
                <w:b/>
                <w:sz w:val="20"/>
                <w:szCs w:val="20"/>
              </w:rPr>
              <w:t>Episodicity:</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sz w:val="20"/>
                <w:szCs w:val="20"/>
              </w:rPr>
            </w:pPr>
            <w:r>
              <w:rPr>
                <w:rFonts w:ascii="Arial Narrow" w:hAnsi="Arial Narrow" w:cs="Arial"/>
                <w:sz w:val="20"/>
                <w:szCs w:val="20"/>
              </w:rPr>
              <w:t xml:space="preserve">- </w:t>
            </w:r>
          </w:p>
        </w:tc>
      </w:tr>
      <w:tr w:rsidR="00B50412" w:rsidRPr="00260CE3" w:rsidTr="00F829D4">
        <w:trPr>
          <w:cantSplit/>
          <w:trHeight w:val="360"/>
        </w:trPr>
        <w:tc>
          <w:tcPr>
            <w:tcW w:w="1843" w:type="dxa"/>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b/>
                <w:sz w:val="20"/>
                <w:szCs w:val="20"/>
              </w:rPr>
            </w:pPr>
            <w:r w:rsidRPr="00260CE3">
              <w:rPr>
                <w:rFonts w:ascii="Arial Narrow" w:hAnsi="Arial Narrow" w:cs="Arial"/>
                <w:b/>
                <w:sz w:val="20"/>
                <w:szCs w:val="20"/>
              </w:rPr>
              <w:t>Severity:</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sz w:val="20"/>
                <w:szCs w:val="20"/>
              </w:rPr>
            </w:pPr>
            <w:r w:rsidRPr="00010469">
              <w:rPr>
                <w:rFonts w:ascii="Arial Narrow" w:hAnsi="Arial Narrow" w:cs="Arial"/>
                <w:strike/>
                <w:sz w:val="20"/>
                <w:szCs w:val="20"/>
              </w:rPr>
              <w:t>Advanced</w:t>
            </w:r>
            <w:r>
              <w:rPr>
                <w:rFonts w:ascii="Arial Narrow" w:hAnsi="Arial Narrow" w:cs="Arial"/>
                <w:sz w:val="20"/>
                <w:szCs w:val="20"/>
              </w:rPr>
              <w:t xml:space="preserve"> </w:t>
            </w:r>
            <w:r w:rsidRPr="00010469">
              <w:rPr>
                <w:rFonts w:ascii="Arial Narrow" w:hAnsi="Arial Narrow" w:cs="Arial"/>
                <w:i/>
                <w:sz w:val="20"/>
                <w:szCs w:val="20"/>
              </w:rPr>
              <w:t>Erythrodermic</w:t>
            </w:r>
            <w:r>
              <w:rPr>
                <w:rFonts w:ascii="Arial Narrow" w:hAnsi="Arial Narrow" w:cs="Arial"/>
                <w:sz w:val="20"/>
                <w:szCs w:val="20"/>
              </w:rPr>
              <w:t xml:space="preserve"> stage III-IVa T</w:t>
            </w:r>
            <w:r w:rsidRPr="00010469">
              <w:rPr>
                <w:rFonts w:ascii="Arial Narrow" w:hAnsi="Arial Narrow" w:cs="Arial"/>
                <w:sz w:val="20"/>
                <w:szCs w:val="20"/>
                <w:vertAlign w:val="subscript"/>
              </w:rPr>
              <w:t>4</w:t>
            </w:r>
            <w:r>
              <w:rPr>
                <w:rFonts w:ascii="Arial Narrow" w:hAnsi="Arial Narrow" w:cs="Arial"/>
                <w:sz w:val="20"/>
                <w:szCs w:val="20"/>
              </w:rPr>
              <w:t xml:space="preserve"> M</w:t>
            </w:r>
            <w:r w:rsidRPr="00010469">
              <w:rPr>
                <w:rFonts w:ascii="Arial Narrow" w:hAnsi="Arial Narrow" w:cs="Arial"/>
                <w:sz w:val="20"/>
                <w:szCs w:val="20"/>
                <w:vertAlign w:val="subscript"/>
              </w:rPr>
              <w:t>0</w:t>
            </w:r>
          </w:p>
        </w:tc>
      </w:tr>
      <w:tr w:rsidR="00B50412" w:rsidRPr="00260CE3" w:rsidTr="00F829D4">
        <w:trPr>
          <w:cantSplit/>
          <w:trHeight w:val="360"/>
        </w:trPr>
        <w:tc>
          <w:tcPr>
            <w:tcW w:w="1843" w:type="dxa"/>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b/>
                <w:sz w:val="20"/>
                <w:szCs w:val="20"/>
              </w:rPr>
            </w:pPr>
            <w:r w:rsidRPr="00260CE3">
              <w:rPr>
                <w:rFonts w:ascii="Arial Narrow" w:hAnsi="Arial Narrow" w:cs="Arial"/>
                <w:b/>
                <w:sz w:val="20"/>
                <w:szCs w:val="20"/>
              </w:rPr>
              <w:t>Condition:</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sz w:val="20"/>
                <w:szCs w:val="20"/>
              </w:rPr>
            </w:pPr>
            <w:r w:rsidRPr="00010469">
              <w:rPr>
                <w:rFonts w:ascii="Arial Narrow" w:hAnsi="Arial Narrow" w:cs="Arial"/>
                <w:sz w:val="20"/>
                <w:szCs w:val="20"/>
              </w:rPr>
              <w:t>Cutaneous T-cell lymphoma</w:t>
            </w:r>
            <w:r>
              <w:rPr>
                <w:rFonts w:ascii="Arial Narrow" w:hAnsi="Arial Narrow" w:cs="Arial"/>
                <w:sz w:val="20"/>
                <w:szCs w:val="20"/>
              </w:rPr>
              <w:t xml:space="preserve"> </w:t>
            </w:r>
            <w:r w:rsidRPr="00010469">
              <w:rPr>
                <w:rFonts w:ascii="Arial Narrow" w:hAnsi="Arial Narrow" w:cs="Arial"/>
                <w:i/>
                <w:sz w:val="20"/>
                <w:szCs w:val="20"/>
              </w:rPr>
              <w:t>(CTCL)</w:t>
            </w:r>
          </w:p>
        </w:tc>
      </w:tr>
      <w:tr w:rsidR="00B50412" w:rsidRPr="00260CE3" w:rsidTr="00F829D4">
        <w:trPr>
          <w:cantSplit/>
          <w:trHeight w:val="360"/>
        </w:trPr>
        <w:tc>
          <w:tcPr>
            <w:tcW w:w="1843" w:type="dxa"/>
            <w:tcBorders>
              <w:top w:val="single" w:sz="4" w:space="0" w:color="auto"/>
              <w:left w:val="single" w:sz="4" w:space="0" w:color="auto"/>
              <w:bottom w:val="single" w:sz="4" w:space="0" w:color="auto"/>
              <w:right w:val="single" w:sz="4" w:space="0" w:color="auto"/>
            </w:tcBorders>
          </w:tcPr>
          <w:p w:rsidR="00B50412" w:rsidRPr="00010469" w:rsidRDefault="00B50412" w:rsidP="00B433B4">
            <w:pPr>
              <w:spacing w:after="0" w:line="240" w:lineRule="auto"/>
              <w:rPr>
                <w:rFonts w:ascii="Arial Narrow" w:hAnsi="Arial Narrow" w:cs="Arial"/>
                <w:b/>
                <w:sz w:val="20"/>
                <w:szCs w:val="20"/>
              </w:rPr>
            </w:pPr>
            <w:r w:rsidRPr="00260CE3">
              <w:rPr>
                <w:rFonts w:ascii="Arial Narrow" w:hAnsi="Arial Narrow" w:cs="Arial"/>
                <w:b/>
                <w:sz w:val="20"/>
                <w:szCs w:val="20"/>
              </w:rPr>
              <w:t>PBS Indication:</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010469" w:rsidRDefault="00B50412" w:rsidP="00B433B4">
            <w:pPr>
              <w:spacing w:after="0" w:line="240" w:lineRule="auto"/>
              <w:rPr>
                <w:rFonts w:ascii="Arial Narrow" w:hAnsi="Arial Narrow" w:cs="Arial"/>
                <w:i/>
                <w:sz w:val="20"/>
                <w:szCs w:val="20"/>
              </w:rPr>
            </w:pPr>
            <w:r w:rsidRPr="00010469">
              <w:rPr>
                <w:rFonts w:ascii="Arial Narrow" w:hAnsi="Arial Narrow" w:cs="Arial"/>
                <w:i/>
                <w:sz w:val="20"/>
                <w:szCs w:val="20"/>
              </w:rPr>
              <w:t>Erythrodermic stage III-IVa T</w:t>
            </w:r>
            <w:r w:rsidRPr="00010469">
              <w:rPr>
                <w:rFonts w:ascii="Arial Narrow" w:hAnsi="Arial Narrow" w:cs="Arial"/>
                <w:i/>
                <w:sz w:val="20"/>
                <w:szCs w:val="20"/>
                <w:vertAlign w:val="subscript"/>
              </w:rPr>
              <w:t>4</w:t>
            </w:r>
            <w:r w:rsidRPr="00010469">
              <w:rPr>
                <w:rFonts w:ascii="Arial Narrow" w:hAnsi="Arial Narrow" w:cs="Arial"/>
                <w:i/>
                <w:sz w:val="20"/>
                <w:szCs w:val="20"/>
              </w:rPr>
              <w:t xml:space="preserve"> M</w:t>
            </w:r>
            <w:r w:rsidRPr="00010469">
              <w:rPr>
                <w:rFonts w:ascii="Arial Narrow" w:hAnsi="Arial Narrow" w:cs="Arial"/>
                <w:i/>
                <w:sz w:val="20"/>
                <w:szCs w:val="20"/>
                <w:vertAlign w:val="subscript"/>
              </w:rPr>
              <w:t>0</w:t>
            </w:r>
            <w:r w:rsidRPr="00010469">
              <w:rPr>
                <w:rFonts w:ascii="Arial Narrow" w:hAnsi="Arial Narrow" w:cs="Arial"/>
                <w:i/>
                <w:sz w:val="20"/>
                <w:szCs w:val="20"/>
              </w:rPr>
              <w:t xml:space="preserve"> CTCL</w:t>
            </w:r>
          </w:p>
        </w:tc>
      </w:tr>
      <w:tr w:rsidR="00B50412" w:rsidRPr="00260CE3" w:rsidTr="00F829D4">
        <w:trPr>
          <w:cantSplit/>
          <w:trHeight w:val="360"/>
        </w:trPr>
        <w:tc>
          <w:tcPr>
            <w:tcW w:w="1843" w:type="dxa"/>
            <w:tcBorders>
              <w:top w:val="single" w:sz="4" w:space="0" w:color="auto"/>
              <w:left w:val="single" w:sz="4" w:space="0" w:color="auto"/>
              <w:bottom w:val="single" w:sz="4" w:space="0" w:color="auto"/>
              <w:right w:val="single" w:sz="4" w:space="0" w:color="auto"/>
            </w:tcBorders>
          </w:tcPr>
          <w:p w:rsidR="00B50412" w:rsidRPr="00010469" w:rsidRDefault="00B50412" w:rsidP="00B433B4">
            <w:pPr>
              <w:spacing w:after="0" w:line="240" w:lineRule="auto"/>
              <w:rPr>
                <w:rFonts w:ascii="Arial Narrow" w:hAnsi="Arial Narrow" w:cs="Arial"/>
                <w:b/>
                <w:sz w:val="20"/>
                <w:szCs w:val="20"/>
              </w:rPr>
            </w:pPr>
            <w:r w:rsidRPr="00260CE3">
              <w:rPr>
                <w:rFonts w:ascii="Arial Narrow" w:hAnsi="Arial Narrow" w:cs="Arial"/>
                <w:b/>
                <w:sz w:val="20"/>
                <w:szCs w:val="20"/>
              </w:rPr>
              <w:t>Treatment phase:</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5B095B" w:rsidRDefault="00B50412" w:rsidP="00B433B4">
            <w:pPr>
              <w:spacing w:after="0" w:line="240" w:lineRule="auto"/>
              <w:rPr>
                <w:rFonts w:ascii="Arial Narrow" w:hAnsi="Arial Narrow" w:cs="Arial"/>
                <w:sz w:val="20"/>
                <w:szCs w:val="20"/>
              </w:rPr>
            </w:pPr>
            <w:r w:rsidRPr="005B095B">
              <w:rPr>
                <w:rFonts w:ascii="Arial Narrow" w:hAnsi="Arial Narrow" w:cs="Arial"/>
                <w:sz w:val="20"/>
                <w:szCs w:val="20"/>
              </w:rPr>
              <w:t>Initial treatment</w:t>
            </w:r>
          </w:p>
        </w:tc>
      </w:tr>
      <w:tr w:rsidR="00B50412" w:rsidRPr="00260CE3" w:rsidTr="00F829D4">
        <w:trPr>
          <w:cantSplit/>
          <w:trHeight w:val="360"/>
        </w:trPr>
        <w:tc>
          <w:tcPr>
            <w:tcW w:w="1843" w:type="dxa"/>
            <w:tcBorders>
              <w:top w:val="single" w:sz="4" w:space="0" w:color="auto"/>
              <w:left w:val="single" w:sz="4" w:space="0" w:color="auto"/>
              <w:bottom w:val="single" w:sz="4" w:space="0" w:color="auto"/>
              <w:right w:val="single" w:sz="4" w:space="0" w:color="auto"/>
            </w:tcBorders>
          </w:tcPr>
          <w:p w:rsidR="00B50412" w:rsidRPr="00CD28F3" w:rsidRDefault="00B50412" w:rsidP="00B433B4">
            <w:pPr>
              <w:spacing w:after="0" w:line="240" w:lineRule="auto"/>
              <w:rPr>
                <w:rFonts w:ascii="Arial Narrow" w:hAnsi="Arial Narrow" w:cs="Arial"/>
                <w:i/>
                <w:sz w:val="20"/>
                <w:szCs w:val="20"/>
              </w:rPr>
            </w:pPr>
            <w:r w:rsidRPr="00260CE3">
              <w:rPr>
                <w:rFonts w:ascii="Arial Narrow" w:hAnsi="Arial Narrow" w:cs="Arial"/>
                <w:b/>
                <w:sz w:val="20"/>
                <w:szCs w:val="20"/>
              </w:rPr>
              <w:lastRenderedPageBreak/>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106BCF" w:rsidRDefault="00B50412" w:rsidP="00B433B4">
            <w:pPr>
              <w:spacing w:after="0" w:line="240" w:lineRule="auto"/>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B50412" w:rsidRPr="00106BCF" w:rsidRDefault="00B50412" w:rsidP="00B433B4">
            <w:pPr>
              <w:spacing w:after="0" w:line="240" w:lineRule="auto"/>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B50412" w:rsidRPr="00106BCF" w:rsidRDefault="00B50412" w:rsidP="00B433B4">
            <w:pPr>
              <w:spacing w:after="0" w:line="240" w:lineRule="auto"/>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Telephone</w:t>
            </w:r>
            <w:r>
              <w:rPr>
                <w:rFonts w:ascii="Arial Narrow" w:hAnsi="Arial Narrow" w:cs="Arial"/>
                <w:sz w:val="20"/>
                <w:szCs w:val="20"/>
              </w:rPr>
              <w:t xml:space="preserve"> </w:t>
            </w:r>
            <w:r w:rsidRPr="00846AF3">
              <w:rPr>
                <w:rFonts w:ascii="Arial Narrow" w:hAnsi="Arial Narrow" w:cs="Arial"/>
                <w:i/>
                <w:sz w:val="20"/>
                <w:szCs w:val="20"/>
              </w:rPr>
              <w:t>(Private Hospitals)</w:t>
            </w:r>
          </w:p>
          <w:p w:rsidR="00B50412" w:rsidRPr="00106BCF" w:rsidRDefault="00B50412" w:rsidP="00B433B4">
            <w:pPr>
              <w:spacing w:after="0" w:line="240" w:lineRule="auto"/>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Pr="004332FE">
              <w:rPr>
                <w:rFonts w:ascii="Arial Narrow" w:hAnsi="Arial Narrow" w:cs="Arial"/>
                <w:sz w:val="20"/>
                <w:szCs w:val="20"/>
              </w:rPr>
              <w:t>-</w:t>
            </w:r>
            <w:r w:rsidRPr="00106BCF">
              <w:rPr>
                <w:rFonts w:ascii="Arial Narrow" w:hAnsi="Arial Narrow" w:cs="Arial"/>
                <w:sz w:val="20"/>
                <w:szCs w:val="20"/>
              </w:rPr>
              <w:t xml:space="preserve"> Emergency</w:t>
            </w:r>
          </w:p>
          <w:p w:rsidR="00B50412" w:rsidRPr="00106BCF" w:rsidRDefault="00B50412" w:rsidP="00B433B4">
            <w:pPr>
              <w:spacing w:after="0" w:line="240" w:lineRule="auto"/>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B50412" w:rsidRPr="00260CE3" w:rsidRDefault="00B50412" w:rsidP="00B433B4">
            <w:pPr>
              <w:spacing w:after="0" w:line="240" w:lineRule="auto"/>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r>
              <w:rPr>
                <w:rFonts w:ascii="Arial Narrow" w:hAnsi="Arial Narrow" w:cs="Arial"/>
                <w:sz w:val="20"/>
                <w:szCs w:val="20"/>
              </w:rPr>
              <w:t xml:space="preserve"> </w:t>
            </w:r>
            <w:r w:rsidRPr="00846AF3">
              <w:rPr>
                <w:rFonts w:ascii="Arial Narrow" w:hAnsi="Arial Narrow" w:cs="Arial"/>
                <w:i/>
                <w:sz w:val="20"/>
                <w:szCs w:val="20"/>
              </w:rPr>
              <w:t>(Public Hospitals)</w:t>
            </w:r>
          </w:p>
        </w:tc>
      </w:tr>
      <w:tr w:rsidR="00B50412" w:rsidRPr="00260CE3" w:rsidTr="00F829D4">
        <w:trPr>
          <w:cantSplit/>
          <w:trHeight w:val="360"/>
        </w:trPr>
        <w:tc>
          <w:tcPr>
            <w:tcW w:w="1843" w:type="dxa"/>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sz w:val="20"/>
                <w:szCs w:val="20"/>
              </w:rPr>
            </w:pPr>
            <w:r w:rsidRPr="00260CE3">
              <w:rPr>
                <w:rFonts w:ascii="Arial Narrow" w:hAnsi="Arial Narrow" w:cs="Arial"/>
                <w:b/>
                <w:sz w:val="20"/>
                <w:szCs w:val="20"/>
              </w:rPr>
              <w:t>Treatment criteria:</w:t>
            </w:r>
          </w:p>
        </w:tc>
        <w:tc>
          <w:tcPr>
            <w:tcW w:w="6521" w:type="dxa"/>
            <w:gridSpan w:val="6"/>
            <w:tcBorders>
              <w:top w:val="single" w:sz="4" w:space="0" w:color="auto"/>
              <w:left w:val="single" w:sz="4" w:space="0" w:color="auto"/>
              <w:bottom w:val="single" w:sz="4" w:space="0" w:color="auto"/>
              <w:right w:val="single" w:sz="4" w:space="0" w:color="auto"/>
            </w:tcBorders>
          </w:tcPr>
          <w:p w:rsidR="00B50412" w:rsidRDefault="00B50412" w:rsidP="00B433B4">
            <w:pPr>
              <w:spacing w:after="0" w:line="240" w:lineRule="auto"/>
              <w:rPr>
                <w:rFonts w:ascii="Arial Narrow" w:hAnsi="Arial Narrow" w:cs="Arial"/>
                <w:i/>
                <w:sz w:val="20"/>
                <w:szCs w:val="20"/>
              </w:rPr>
            </w:pPr>
            <w:r w:rsidRPr="007752DE">
              <w:rPr>
                <w:rFonts w:ascii="Arial Narrow" w:hAnsi="Arial Narrow" w:cs="Arial"/>
                <w:sz w:val="20"/>
                <w:szCs w:val="20"/>
              </w:rPr>
              <w:t>Must be treated</w:t>
            </w:r>
            <w:r>
              <w:rPr>
                <w:rFonts w:ascii="Arial Narrow" w:hAnsi="Arial Narrow" w:cs="Arial"/>
                <w:sz w:val="20"/>
                <w:szCs w:val="20"/>
              </w:rPr>
              <w:t xml:space="preserve"> </w:t>
            </w:r>
            <w:r w:rsidRPr="00BB6B69">
              <w:rPr>
                <w:rFonts w:ascii="Arial Narrow" w:hAnsi="Arial Narrow" w:cs="Arial"/>
                <w:strike/>
                <w:sz w:val="20"/>
                <w:szCs w:val="20"/>
              </w:rPr>
              <w:t>in an accredited treatment centre</w:t>
            </w:r>
            <w:r w:rsidRPr="00F41FF3">
              <w:rPr>
                <w:rFonts w:ascii="Arial Narrow" w:hAnsi="Arial Narrow" w:cs="Arial"/>
                <w:sz w:val="20"/>
                <w:szCs w:val="20"/>
                <w:vertAlign w:val="superscript"/>
              </w:rPr>
              <w:t>b</w:t>
            </w:r>
            <w:r>
              <w:rPr>
                <w:rFonts w:ascii="Arial Narrow" w:hAnsi="Arial Narrow" w:cs="Arial"/>
                <w:sz w:val="20"/>
                <w:szCs w:val="20"/>
              </w:rPr>
              <w:t xml:space="preserve"> </w:t>
            </w:r>
            <w:r w:rsidRPr="00BB6B69">
              <w:rPr>
                <w:rFonts w:ascii="Arial Narrow" w:hAnsi="Arial Narrow" w:cs="Arial"/>
                <w:i/>
                <w:sz w:val="20"/>
                <w:szCs w:val="20"/>
              </w:rPr>
              <w:t>by</w:t>
            </w:r>
            <w:r w:rsidRPr="0026179D">
              <w:rPr>
                <w:rFonts w:ascii="Arial Narrow" w:hAnsi="Arial Narrow" w:cs="Arial"/>
                <w:i/>
                <w:sz w:val="20"/>
                <w:szCs w:val="20"/>
              </w:rPr>
              <w:t xml:space="preserve"> a haematologist</w:t>
            </w:r>
            <w:r>
              <w:rPr>
                <w:rFonts w:ascii="Arial Narrow" w:hAnsi="Arial Narrow" w:cs="Arial"/>
                <w:i/>
                <w:sz w:val="20"/>
                <w:szCs w:val="20"/>
              </w:rPr>
              <w:t>,</w:t>
            </w:r>
          </w:p>
          <w:p w:rsidR="00B50412" w:rsidRDefault="00B50412" w:rsidP="00B433B4">
            <w:pPr>
              <w:spacing w:after="0" w:line="240" w:lineRule="auto"/>
              <w:rPr>
                <w:rFonts w:ascii="Arial Narrow" w:hAnsi="Arial Narrow" w:cs="Arial"/>
                <w:i/>
                <w:sz w:val="20"/>
                <w:szCs w:val="20"/>
              </w:rPr>
            </w:pPr>
          </w:p>
          <w:p w:rsidR="00B50412" w:rsidRDefault="00B50412" w:rsidP="00B433B4">
            <w:pPr>
              <w:spacing w:after="0" w:line="240" w:lineRule="auto"/>
              <w:rPr>
                <w:rFonts w:ascii="Arial Narrow" w:hAnsi="Arial Narrow" w:cs="Arial"/>
                <w:i/>
                <w:sz w:val="20"/>
                <w:szCs w:val="20"/>
              </w:rPr>
            </w:pPr>
            <w:r>
              <w:rPr>
                <w:rFonts w:ascii="Arial Narrow" w:hAnsi="Arial Narrow" w:cs="Arial"/>
                <w:i/>
                <w:sz w:val="20"/>
                <w:szCs w:val="20"/>
              </w:rPr>
              <w:t>AND</w:t>
            </w:r>
          </w:p>
          <w:p w:rsidR="00B50412" w:rsidRPr="007752DE" w:rsidRDefault="00B50412" w:rsidP="00B433B4">
            <w:pPr>
              <w:spacing w:after="0" w:line="240" w:lineRule="auto"/>
              <w:rPr>
                <w:rFonts w:ascii="Arial Narrow" w:hAnsi="Arial Narrow" w:cs="Arial"/>
                <w:sz w:val="20"/>
                <w:szCs w:val="20"/>
              </w:rPr>
            </w:pPr>
          </w:p>
          <w:p w:rsidR="00B50412" w:rsidRPr="00260CE3" w:rsidRDefault="00B50412" w:rsidP="00B433B4">
            <w:pPr>
              <w:spacing w:after="0" w:line="240" w:lineRule="auto"/>
              <w:rPr>
                <w:rFonts w:ascii="Arial Narrow" w:hAnsi="Arial Narrow" w:cs="Arial"/>
                <w:sz w:val="20"/>
                <w:szCs w:val="20"/>
              </w:rPr>
            </w:pPr>
            <w:r w:rsidRPr="007752DE">
              <w:rPr>
                <w:rFonts w:ascii="Arial Narrow" w:hAnsi="Arial Narrow" w:cs="Arial"/>
                <w:sz w:val="20"/>
                <w:szCs w:val="20"/>
              </w:rPr>
              <w:t xml:space="preserve">Must be treated with an integrated, closed system </w:t>
            </w:r>
            <w:r>
              <w:rPr>
                <w:rFonts w:ascii="Arial Narrow" w:hAnsi="Arial Narrow" w:cs="Arial"/>
                <w:sz w:val="20"/>
                <w:szCs w:val="20"/>
              </w:rPr>
              <w:t>e</w:t>
            </w:r>
            <w:r w:rsidRPr="007752DE">
              <w:rPr>
                <w:rFonts w:ascii="Arial Narrow" w:hAnsi="Arial Narrow" w:cs="Arial"/>
                <w:sz w:val="20"/>
                <w:szCs w:val="20"/>
              </w:rPr>
              <w:t>xtrac</w:t>
            </w:r>
            <w:r>
              <w:rPr>
                <w:rFonts w:ascii="Arial Narrow" w:hAnsi="Arial Narrow" w:cs="Arial"/>
                <w:sz w:val="20"/>
                <w:szCs w:val="20"/>
              </w:rPr>
              <w:t>orporeal p</w:t>
            </w:r>
            <w:r w:rsidRPr="007752DE">
              <w:rPr>
                <w:rFonts w:ascii="Arial Narrow" w:hAnsi="Arial Narrow" w:cs="Arial"/>
                <w:sz w:val="20"/>
                <w:szCs w:val="20"/>
              </w:rPr>
              <w:t>hotopheresis (ECP) device.</w:t>
            </w:r>
          </w:p>
        </w:tc>
      </w:tr>
      <w:tr w:rsidR="00B50412" w:rsidRPr="00260CE3" w:rsidTr="00F829D4">
        <w:trPr>
          <w:cantSplit/>
          <w:trHeight w:val="360"/>
        </w:trPr>
        <w:tc>
          <w:tcPr>
            <w:tcW w:w="1843" w:type="dxa"/>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sz w:val="20"/>
                <w:szCs w:val="20"/>
              </w:rPr>
            </w:pPr>
            <w:r w:rsidRPr="00260CE3">
              <w:rPr>
                <w:rFonts w:ascii="Arial Narrow" w:hAnsi="Arial Narrow" w:cs="Arial"/>
                <w:b/>
                <w:sz w:val="20"/>
                <w:szCs w:val="20"/>
              </w:rPr>
              <w:t>Clinical criteria:</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597225" w:rsidRDefault="00B50412" w:rsidP="00B433B4">
            <w:pPr>
              <w:spacing w:after="0" w:line="240" w:lineRule="auto"/>
              <w:rPr>
                <w:rFonts w:ascii="Arial Narrow" w:hAnsi="Arial Narrow" w:cs="Arial"/>
                <w:i/>
                <w:sz w:val="20"/>
                <w:szCs w:val="20"/>
              </w:rPr>
            </w:pPr>
            <w:r w:rsidRPr="00BB6B69">
              <w:rPr>
                <w:rFonts w:ascii="Arial Narrow" w:hAnsi="Arial Narrow" w:cs="Arial"/>
                <w:sz w:val="20"/>
                <w:szCs w:val="20"/>
              </w:rPr>
              <w:t>Patient</w:t>
            </w:r>
            <w:r w:rsidRPr="00597225">
              <w:rPr>
                <w:rFonts w:ascii="Arial Narrow" w:hAnsi="Arial Narrow" w:cs="Arial"/>
                <w:strike/>
                <w:sz w:val="20"/>
                <w:szCs w:val="20"/>
              </w:rPr>
              <w:t>s</w:t>
            </w:r>
            <w:r w:rsidRPr="00BB6B69">
              <w:rPr>
                <w:rFonts w:ascii="Arial Narrow" w:hAnsi="Arial Narrow" w:cs="Arial"/>
                <w:sz w:val="20"/>
                <w:szCs w:val="20"/>
              </w:rPr>
              <w:t xml:space="preserve"> must </w:t>
            </w:r>
            <w:r w:rsidRPr="00BB6B69">
              <w:rPr>
                <w:rFonts w:ascii="Arial Narrow" w:hAnsi="Arial Narrow" w:cs="Arial"/>
                <w:strike/>
                <w:sz w:val="20"/>
                <w:szCs w:val="20"/>
              </w:rPr>
              <w:t>have advanced stage, erythrodermic (stage T4, M0) cutaneous T-cell lymphoma,</w:t>
            </w:r>
            <w:r w:rsidRPr="00BB6B69">
              <w:rPr>
                <w:rFonts w:ascii="Arial Narrow" w:hAnsi="Arial Narrow" w:cs="Arial"/>
                <w:sz w:val="20"/>
                <w:szCs w:val="20"/>
              </w:rPr>
              <w:t xml:space="preserve"> </w:t>
            </w:r>
            <w:r>
              <w:rPr>
                <w:rFonts w:ascii="Arial Narrow" w:hAnsi="Arial Narrow" w:cs="Arial"/>
                <w:sz w:val="20"/>
                <w:szCs w:val="20"/>
              </w:rPr>
              <w:t>be refractory</w:t>
            </w:r>
            <w:r w:rsidRPr="00BB6B69">
              <w:rPr>
                <w:rFonts w:ascii="Arial Narrow" w:hAnsi="Arial Narrow" w:cs="Arial"/>
                <w:sz w:val="20"/>
                <w:szCs w:val="20"/>
              </w:rPr>
              <w:t xml:space="preserve"> to </w:t>
            </w:r>
            <w:r>
              <w:rPr>
                <w:rFonts w:ascii="Arial Narrow" w:hAnsi="Arial Narrow" w:cs="Arial"/>
                <w:i/>
                <w:sz w:val="20"/>
                <w:szCs w:val="20"/>
              </w:rPr>
              <w:t xml:space="preserve">methotrexate </w:t>
            </w:r>
            <w:r w:rsidRPr="00597225">
              <w:rPr>
                <w:rFonts w:ascii="Arial Narrow" w:hAnsi="Arial Narrow" w:cs="Arial"/>
                <w:strike/>
                <w:sz w:val="20"/>
                <w:szCs w:val="20"/>
              </w:rPr>
              <w:t>one</w:t>
            </w:r>
            <w:r w:rsidRPr="00BB6B69">
              <w:rPr>
                <w:rFonts w:ascii="Arial Narrow" w:hAnsi="Arial Narrow" w:cs="Arial"/>
                <w:sz w:val="20"/>
                <w:szCs w:val="20"/>
              </w:rPr>
              <w:t xml:space="preserve"> or </w:t>
            </w:r>
            <w:r w:rsidRPr="00597225">
              <w:rPr>
                <w:rFonts w:ascii="Arial Narrow" w:hAnsi="Arial Narrow" w:cs="Arial"/>
                <w:strike/>
                <w:sz w:val="20"/>
                <w:szCs w:val="20"/>
              </w:rPr>
              <w:t>more</w:t>
            </w:r>
            <w:r w:rsidRPr="00BB6B69">
              <w:rPr>
                <w:rFonts w:ascii="Arial Narrow" w:hAnsi="Arial Narrow" w:cs="Arial"/>
                <w:sz w:val="20"/>
                <w:szCs w:val="20"/>
              </w:rPr>
              <w:t xml:space="preserve"> </w:t>
            </w:r>
            <w:r>
              <w:rPr>
                <w:rFonts w:ascii="Arial Narrow" w:hAnsi="Arial Narrow" w:cs="Arial"/>
                <w:sz w:val="20"/>
                <w:szCs w:val="20"/>
              </w:rPr>
              <w:t xml:space="preserve">another </w:t>
            </w:r>
            <w:r w:rsidRPr="00BB6B69">
              <w:rPr>
                <w:rFonts w:ascii="Arial Narrow" w:hAnsi="Arial Narrow" w:cs="Arial"/>
                <w:sz w:val="20"/>
                <w:szCs w:val="20"/>
              </w:rPr>
              <w:t>systemic treatment</w:t>
            </w:r>
            <w:r w:rsidRPr="00597225">
              <w:rPr>
                <w:rFonts w:ascii="Arial Narrow" w:hAnsi="Arial Narrow" w:cs="Arial"/>
                <w:strike/>
                <w:sz w:val="20"/>
                <w:szCs w:val="20"/>
              </w:rPr>
              <w:t>s</w:t>
            </w:r>
            <w:r w:rsidRPr="00BB6B69">
              <w:rPr>
                <w:rFonts w:ascii="Arial Narrow" w:hAnsi="Arial Narrow" w:cs="Arial"/>
                <w:sz w:val="20"/>
                <w:szCs w:val="20"/>
              </w:rPr>
              <w:t>.</w:t>
            </w:r>
          </w:p>
          <w:p w:rsidR="00B50412" w:rsidRDefault="00B50412" w:rsidP="00B433B4">
            <w:pPr>
              <w:spacing w:after="0" w:line="240" w:lineRule="auto"/>
              <w:rPr>
                <w:rFonts w:ascii="Arial Narrow" w:hAnsi="Arial Narrow" w:cs="Arial"/>
                <w:i/>
                <w:sz w:val="20"/>
                <w:szCs w:val="20"/>
              </w:rPr>
            </w:pPr>
          </w:p>
          <w:p w:rsidR="00B50412" w:rsidRDefault="00B50412" w:rsidP="00B433B4">
            <w:pPr>
              <w:spacing w:after="0" w:line="240" w:lineRule="auto"/>
              <w:rPr>
                <w:rFonts w:ascii="Arial Narrow" w:hAnsi="Arial Narrow" w:cs="Arial"/>
                <w:i/>
                <w:sz w:val="20"/>
                <w:szCs w:val="20"/>
              </w:rPr>
            </w:pPr>
            <w:r>
              <w:rPr>
                <w:rFonts w:ascii="Arial Narrow" w:hAnsi="Arial Narrow" w:cs="Arial"/>
                <w:i/>
                <w:sz w:val="20"/>
                <w:szCs w:val="20"/>
              </w:rPr>
              <w:t>AND</w:t>
            </w:r>
          </w:p>
          <w:p w:rsidR="00B50412" w:rsidRDefault="00B50412" w:rsidP="00B433B4">
            <w:pPr>
              <w:spacing w:after="0" w:line="240" w:lineRule="auto"/>
              <w:rPr>
                <w:rFonts w:ascii="Arial Narrow" w:hAnsi="Arial Narrow" w:cs="Arial"/>
                <w:i/>
                <w:sz w:val="20"/>
                <w:szCs w:val="20"/>
              </w:rPr>
            </w:pPr>
          </w:p>
          <w:p w:rsidR="00B50412" w:rsidRPr="00260CE3" w:rsidRDefault="00B50412" w:rsidP="00B433B4">
            <w:pPr>
              <w:spacing w:after="0" w:line="240" w:lineRule="auto"/>
              <w:rPr>
                <w:rFonts w:ascii="Arial Narrow" w:hAnsi="Arial Narrow" w:cs="Arial"/>
                <w:sz w:val="20"/>
                <w:szCs w:val="20"/>
              </w:rPr>
            </w:pPr>
            <w:r>
              <w:rPr>
                <w:rFonts w:ascii="Arial Narrow" w:hAnsi="Arial Narrow" w:cs="Arial"/>
                <w:i/>
                <w:sz w:val="20"/>
                <w:szCs w:val="20"/>
              </w:rPr>
              <w:t>The treatment must be the sole PBS-subsidised therapy for this condition.</w:t>
            </w:r>
          </w:p>
        </w:tc>
      </w:tr>
      <w:tr w:rsidR="00B50412" w:rsidRPr="00260CE3" w:rsidTr="00F829D4">
        <w:trPr>
          <w:cantSplit/>
          <w:trHeight w:val="141"/>
        </w:trPr>
        <w:tc>
          <w:tcPr>
            <w:tcW w:w="1843" w:type="dxa"/>
            <w:tcBorders>
              <w:top w:val="single" w:sz="4" w:space="0" w:color="auto"/>
              <w:left w:val="single" w:sz="4" w:space="0" w:color="auto"/>
              <w:bottom w:val="single" w:sz="4" w:space="0" w:color="auto"/>
              <w:right w:val="single" w:sz="4" w:space="0" w:color="auto"/>
            </w:tcBorders>
          </w:tcPr>
          <w:p w:rsidR="00B50412" w:rsidRPr="00207C25" w:rsidRDefault="00B50412" w:rsidP="00B433B4">
            <w:pPr>
              <w:spacing w:after="0" w:line="240" w:lineRule="auto"/>
              <w:rPr>
                <w:rFonts w:ascii="Arial Narrow" w:hAnsi="Arial Narrow" w:cs="Arial"/>
                <w:b/>
                <w:i/>
                <w:sz w:val="20"/>
                <w:szCs w:val="20"/>
              </w:rPr>
            </w:pPr>
            <w:r w:rsidRPr="00207C25">
              <w:rPr>
                <w:rFonts w:ascii="Arial Narrow" w:hAnsi="Arial Narrow" w:cs="Arial"/>
                <w:b/>
                <w:i/>
                <w:sz w:val="20"/>
                <w:szCs w:val="20"/>
              </w:rPr>
              <w:t>Prescribing instructions:</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3D4D78" w:rsidRDefault="00B50412" w:rsidP="00B433B4">
            <w:pPr>
              <w:spacing w:after="0" w:line="240" w:lineRule="auto"/>
              <w:rPr>
                <w:rFonts w:ascii="Arial Narrow" w:hAnsi="Arial Narrow" w:cs="Arial"/>
                <w:i/>
                <w:sz w:val="20"/>
                <w:szCs w:val="20"/>
              </w:rPr>
            </w:pPr>
            <w:r>
              <w:rPr>
                <w:rFonts w:ascii="Arial Narrow" w:hAnsi="Arial Narrow" w:cs="Arial"/>
                <w:i/>
                <w:sz w:val="20"/>
                <w:szCs w:val="20"/>
              </w:rPr>
              <w:t xml:space="preserve">A refractory patient is defined as having had disease recurrence while on treatment or experienced intolerance to or toxicity from treatment. </w:t>
            </w:r>
          </w:p>
        </w:tc>
      </w:tr>
      <w:tr w:rsidR="00B50412" w:rsidRPr="00260CE3" w:rsidTr="00F829D4">
        <w:trPr>
          <w:cantSplit/>
          <w:trHeight w:val="141"/>
        </w:trPr>
        <w:tc>
          <w:tcPr>
            <w:tcW w:w="1843" w:type="dxa"/>
            <w:tcBorders>
              <w:top w:val="single" w:sz="4" w:space="0" w:color="auto"/>
              <w:left w:val="single" w:sz="4" w:space="0" w:color="auto"/>
              <w:bottom w:val="single" w:sz="4" w:space="0" w:color="auto"/>
              <w:right w:val="single" w:sz="4" w:space="0" w:color="auto"/>
            </w:tcBorders>
          </w:tcPr>
          <w:p w:rsidR="00B50412" w:rsidRPr="00207C25" w:rsidRDefault="00B50412" w:rsidP="00B433B4">
            <w:pPr>
              <w:spacing w:after="0" w:line="240" w:lineRule="auto"/>
              <w:rPr>
                <w:rFonts w:ascii="Arial Narrow" w:hAnsi="Arial Narrow" w:cs="Arial"/>
                <w:b/>
                <w:i/>
                <w:sz w:val="20"/>
                <w:szCs w:val="20"/>
              </w:rPr>
            </w:pPr>
            <w:r>
              <w:rPr>
                <w:rFonts w:ascii="Arial Narrow" w:hAnsi="Arial Narrow" w:cs="Arial"/>
                <w:b/>
                <w:i/>
                <w:sz w:val="20"/>
                <w:szCs w:val="20"/>
              </w:rPr>
              <w:t>Caution:</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95707D" w:rsidRDefault="00B50412" w:rsidP="00B433B4">
            <w:pPr>
              <w:spacing w:after="0" w:line="240" w:lineRule="auto"/>
              <w:rPr>
                <w:rFonts w:ascii="Arial Narrow" w:hAnsi="Arial Narrow" w:cs="Arial"/>
                <w:sz w:val="20"/>
                <w:szCs w:val="20"/>
              </w:rPr>
            </w:pPr>
            <w:r w:rsidRPr="0095707D">
              <w:rPr>
                <w:rFonts w:ascii="Arial Narrow" w:hAnsi="Arial Narrow" w:cs="Arial"/>
                <w:sz w:val="20"/>
                <w:szCs w:val="20"/>
              </w:rPr>
              <w:t>Patient must not be pregnant or breastfeeding. Patients and their partners must each be using an effective form of contraception if of child-bearing age.</w:t>
            </w:r>
          </w:p>
        </w:tc>
      </w:tr>
      <w:tr w:rsidR="00B50412" w:rsidRPr="00260CE3" w:rsidTr="00F829D4">
        <w:trPr>
          <w:cantSplit/>
          <w:trHeight w:val="141"/>
        </w:trPr>
        <w:tc>
          <w:tcPr>
            <w:tcW w:w="1843" w:type="dxa"/>
            <w:tcBorders>
              <w:top w:val="single" w:sz="4" w:space="0" w:color="auto"/>
              <w:left w:val="single" w:sz="4" w:space="0" w:color="auto"/>
              <w:bottom w:val="single" w:sz="4" w:space="0" w:color="auto"/>
              <w:right w:val="single" w:sz="4" w:space="0" w:color="auto"/>
            </w:tcBorders>
          </w:tcPr>
          <w:p w:rsidR="00B50412" w:rsidRPr="00C87B3A" w:rsidRDefault="00B50412" w:rsidP="00B433B4">
            <w:pPr>
              <w:spacing w:after="0" w:line="240" w:lineRule="auto"/>
              <w:rPr>
                <w:rFonts w:ascii="Arial Narrow" w:hAnsi="Arial Narrow" w:cs="Arial"/>
                <w:b/>
                <w:strike/>
                <w:sz w:val="20"/>
                <w:szCs w:val="20"/>
              </w:rPr>
            </w:pPr>
            <w:r w:rsidRPr="00C87B3A">
              <w:rPr>
                <w:rFonts w:ascii="Arial Narrow" w:hAnsi="Arial Narrow" w:cs="Arial"/>
                <w:b/>
                <w:strike/>
                <w:sz w:val="20"/>
                <w:szCs w:val="20"/>
              </w:rPr>
              <w:t>Patient criteria</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C87B3A" w:rsidRDefault="00B50412" w:rsidP="00B433B4">
            <w:pPr>
              <w:spacing w:after="0" w:line="240" w:lineRule="auto"/>
              <w:rPr>
                <w:rFonts w:ascii="Arial Narrow" w:hAnsi="Arial Narrow" w:cs="Arial"/>
                <w:strike/>
                <w:sz w:val="20"/>
                <w:szCs w:val="20"/>
              </w:rPr>
            </w:pPr>
            <w:r w:rsidRPr="00C87B3A">
              <w:rPr>
                <w:rFonts w:ascii="Arial Narrow" w:hAnsi="Arial Narrow" w:cs="Arial"/>
                <w:strike/>
                <w:sz w:val="20"/>
                <w:szCs w:val="20"/>
              </w:rPr>
              <w:t>Not for use in patients with:</w:t>
            </w:r>
          </w:p>
          <w:p w:rsidR="00B50412" w:rsidRPr="00C87B3A" w:rsidRDefault="00B50412" w:rsidP="00B433B4">
            <w:pPr>
              <w:spacing w:after="0" w:line="240" w:lineRule="auto"/>
              <w:rPr>
                <w:rFonts w:ascii="Arial Narrow" w:hAnsi="Arial Narrow" w:cs="Arial"/>
                <w:strike/>
                <w:sz w:val="20"/>
                <w:szCs w:val="20"/>
              </w:rPr>
            </w:pPr>
            <w:r w:rsidRPr="00C87B3A">
              <w:rPr>
                <w:rFonts w:ascii="Arial Narrow" w:hAnsi="Arial Narrow" w:cs="Arial"/>
                <w:strike/>
                <w:sz w:val="20"/>
                <w:szCs w:val="20"/>
              </w:rPr>
              <w:t>Patient must not be pregnant or breastfeeding. Patients and their partners must each be using an effective form of contraception if of child-bearing age.</w:t>
            </w:r>
          </w:p>
          <w:p w:rsidR="00B50412" w:rsidRPr="00C87B3A" w:rsidRDefault="00B50412" w:rsidP="00B433B4">
            <w:pPr>
              <w:spacing w:after="0" w:line="240" w:lineRule="auto"/>
              <w:rPr>
                <w:rFonts w:ascii="Arial Narrow" w:hAnsi="Arial Narrow" w:cs="Arial"/>
                <w:strike/>
                <w:sz w:val="20"/>
                <w:szCs w:val="20"/>
              </w:rPr>
            </w:pPr>
            <w:r w:rsidRPr="00C87B3A">
              <w:rPr>
                <w:rFonts w:ascii="Arial Narrow" w:hAnsi="Arial Narrow" w:cs="Arial"/>
                <w:strike/>
                <w:sz w:val="20"/>
                <w:szCs w:val="20"/>
              </w:rPr>
              <w:t>history of heparin-induced thrombocytopenia</w:t>
            </w:r>
          </w:p>
          <w:p w:rsidR="00B50412" w:rsidRPr="00C87B3A" w:rsidRDefault="00B50412" w:rsidP="00B433B4">
            <w:pPr>
              <w:spacing w:after="0" w:line="240" w:lineRule="auto"/>
              <w:rPr>
                <w:rFonts w:ascii="Arial Narrow" w:hAnsi="Arial Narrow" w:cs="Arial"/>
                <w:strike/>
                <w:sz w:val="20"/>
                <w:szCs w:val="20"/>
              </w:rPr>
            </w:pPr>
            <w:r w:rsidRPr="00C87B3A">
              <w:rPr>
                <w:rFonts w:ascii="Arial Narrow" w:hAnsi="Arial Narrow" w:cs="Arial"/>
                <w:strike/>
                <w:sz w:val="20"/>
                <w:szCs w:val="20"/>
              </w:rPr>
              <w:t xml:space="preserve">unsatisfactory cardio-circulatory function </w:t>
            </w:r>
          </w:p>
          <w:p w:rsidR="00B50412" w:rsidRPr="009C36F0" w:rsidRDefault="00B50412" w:rsidP="00B433B4">
            <w:pPr>
              <w:spacing w:after="0" w:line="240" w:lineRule="auto"/>
              <w:rPr>
                <w:rFonts w:ascii="Arial Narrow" w:hAnsi="Arial Narrow" w:cs="Arial"/>
                <w:sz w:val="20"/>
                <w:szCs w:val="20"/>
                <w:highlight w:val="green"/>
              </w:rPr>
            </w:pPr>
            <w:r w:rsidRPr="00C87B3A">
              <w:rPr>
                <w:rFonts w:ascii="Arial Narrow" w:hAnsi="Arial Narrow" w:cs="Arial"/>
                <w:strike/>
                <w:sz w:val="20"/>
                <w:szCs w:val="20"/>
              </w:rPr>
              <w:t>Patients with known sensitivity to psoralen compounds</w:t>
            </w:r>
          </w:p>
        </w:tc>
      </w:tr>
      <w:tr w:rsidR="00B50412" w:rsidRPr="00260CE3" w:rsidTr="00F829D4">
        <w:trPr>
          <w:cantSplit/>
          <w:trHeight w:val="141"/>
        </w:trPr>
        <w:tc>
          <w:tcPr>
            <w:tcW w:w="1843" w:type="dxa"/>
            <w:tcBorders>
              <w:top w:val="single" w:sz="4" w:space="0" w:color="auto"/>
              <w:left w:val="single" w:sz="4" w:space="0" w:color="auto"/>
              <w:bottom w:val="single" w:sz="4" w:space="0" w:color="auto"/>
              <w:right w:val="single" w:sz="4" w:space="0" w:color="auto"/>
            </w:tcBorders>
          </w:tcPr>
          <w:p w:rsidR="00B50412" w:rsidRPr="00C87B3A" w:rsidRDefault="00B50412" w:rsidP="00B433B4">
            <w:pPr>
              <w:spacing w:after="0" w:line="240" w:lineRule="auto"/>
              <w:rPr>
                <w:rFonts w:ascii="Arial Narrow" w:hAnsi="Arial Narrow" w:cs="Arial"/>
                <w:b/>
                <w:strike/>
                <w:sz w:val="20"/>
                <w:szCs w:val="20"/>
              </w:rPr>
            </w:pPr>
            <w:r>
              <w:rPr>
                <w:rFonts w:ascii="Arial Narrow" w:hAnsi="Arial Narrow" w:cs="Arial"/>
                <w:b/>
                <w:strike/>
                <w:sz w:val="20"/>
                <w:szCs w:val="20"/>
              </w:rPr>
              <w:t>Note</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C87B3A" w:rsidRDefault="00B50412" w:rsidP="00B433B4">
            <w:pPr>
              <w:spacing w:after="0" w:line="240" w:lineRule="auto"/>
              <w:rPr>
                <w:rFonts w:ascii="Arial Narrow" w:hAnsi="Arial Narrow" w:cs="Arial"/>
                <w:strike/>
                <w:sz w:val="20"/>
                <w:szCs w:val="20"/>
              </w:rPr>
            </w:pPr>
            <w:r w:rsidRPr="00C87B3A">
              <w:rPr>
                <w:rFonts w:ascii="Arial Narrow" w:hAnsi="Arial Narrow" w:cs="Arial"/>
                <w:strike/>
                <w:sz w:val="20"/>
                <w:szCs w:val="20"/>
              </w:rPr>
              <w:t>Treatment centres are required to have access to the specialised haematologists for the provision of clinical consultation services for CTCL</w:t>
            </w:r>
          </w:p>
        </w:tc>
      </w:tr>
    </w:tbl>
    <w:p w:rsidR="00B50412" w:rsidRDefault="00B50412" w:rsidP="00B50412">
      <w:pPr>
        <w:spacing w:after="0" w:line="240" w:lineRule="auto"/>
        <w:rPr>
          <w:rFonts w:ascii="Arial Narrow" w:hAnsi="Arial Narrow" w:cs="Arial"/>
          <w:sz w:val="20"/>
          <w:szCs w:val="20"/>
        </w:rPr>
      </w:pPr>
      <w:r w:rsidRPr="00F41FF3">
        <w:rPr>
          <w:rFonts w:ascii="Arial Narrow" w:hAnsi="Arial Narrow" w:cs="Arial"/>
          <w:sz w:val="20"/>
          <w:szCs w:val="20"/>
          <w:vertAlign w:val="superscript"/>
        </w:rPr>
        <w:t>a</w:t>
      </w:r>
      <w:r w:rsidRPr="00725FEB">
        <w:rPr>
          <w:rFonts w:ascii="Arial Narrow" w:hAnsi="Arial Narrow" w:cs="Arial"/>
          <w:sz w:val="20"/>
          <w:szCs w:val="20"/>
        </w:rPr>
        <w:t xml:space="preserve"> Calculated as </w:t>
      </w:r>
      <w:r>
        <w:rPr>
          <w:rFonts w:ascii="Arial Narrow" w:hAnsi="Arial Narrow" w:cs="Arial"/>
          <w:sz w:val="20"/>
          <w:szCs w:val="20"/>
        </w:rPr>
        <w:t xml:space="preserve">the DPMQ for a single vial of </w:t>
      </w:r>
      <w:r w:rsidRPr="00725FEB">
        <w:rPr>
          <w:rFonts w:ascii="Arial Narrow" w:hAnsi="Arial Narrow" w:cs="Arial"/>
          <w:sz w:val="20"/>
          <w:szCs w:val="20"/>
        </w:rPr>
        <w:t>$</w:t>
      </w:r>
      <w:r w:rsidR="00022B8C">
        <w:rPr>
          <w:rFonts w:ascii="Arial Narrow" w:hAnsi="Arial Narrow" w:cs="Arial"/>
          <w:noProof/>
          <w:color w:val="000000"/>
          <w:sz w:val="20"/>
          <w:szCs w:val="20"/>
          <w:highlight w:val="black"/>
        </w:rPr>
        <w:t>''''''''''''''''</w:t>
      </w:r>
      <w:r w:rsidRPr="00CD34D3">
        <w:rPr>
          <w:rFonts w:ascii="Arial Narrow" w:hAnsi="Arial Narrow" w:cs="Arial"/>
          <w:sz w:val="20"/>
          <w:szCs w:val="20"/>
        </w:rPr>
        <w:t xml:space="preserve"> x12</w:t>
      </w:r>
      <w:r w:rsidRPr="00725FEB">
        <w:rPr>
          <w:rFonts w:ascii="Arial Narrow" w:hAnsi="Arial Narrow" w:cs="Arial"/>
          <w:sz w:val="20"/>
          <w:szCs w:val="20"/>
        </w:rPr>
        <w:t xml:space="preserve"> </w:t>
      </w:r>
      <w:r>
        <w:rPr>
          <w:rFonts w:ascii="Arial Narrow" w:hAnsi="Arial Narrow" w:cs="Arial"/>
          <w:sz w:val="20"/>
          <w:szCs w:val="20"/>
        </w:rPr>
        <w:t xml:space="preserve">to give an indication of the DPMQ </w:t>
      </w:r>
      <w:r w:rsidRPr="00725FEB">
        <w:rPr>
          <w:rFonts w:ascii="Arial Narrow" w:hAnsi="Arial Narrow" w:cs="Arial"/>
          <w:sz w:val="20"/>
          <w:szCs w:val="20"/>
        </w:rPr>
        <w:t>pending confirmation of the requested pack size, noting that different mark-ups and a single dispensing fee would apply</w:t>
      </w:r>
      <w:r>
        <w:rPr>
          <w:rFonts w:ascii="Arial Narrow" w:hAnsi="Arial Narrow" w:cs="Arial"/>
          <w:sz w:val="20"/>
          <w:szCs w:val="20"/>
        </w:rPr>
        <w:t xml:space="preserve"> to a pack of 12 vials</w:t>
      </w:r>
      <w:r w:rsidRPr="00725FEB">
        <w:rPr>
          <w:rFonts w:ascii="Arial Narrow" w:hAnsi="Arial Narrow" w:cs="Arial"/>
          <w:sz w:val="20"/>
          <w:szCs w:val="20"/>
        </w:rPr>
        <w:t>.</w:t>
      </w:r>
    </w:p>
    <w:p w:rsidR="00B50412" w:rsidRDefault="00B50412" w:rsidP="00B50412">
      <w:pPr>
        <w:spacing w:after="0" w:line="240" w:lineRule="auto"/>
        <w:rPr>
          <w:rFonts w:ascii="Arial Narrow" w:hAnsi="Arial Narrow" w:cs="Arial"/>
          <w:sz w:val="20"/>
          <w:szCs w:val="20"/>
        </w:rPr>
      </w:pPr>
      <w:r w:rsidRPr="00F41FF3">
        <w:rPr>
          <w:rFonts w:ascii="Arial Narrow" w:hAnsi="Arial Narrow" w:cs="Arial"/>
          <w:sz w:val="20"/>
          <w:szCs w:val="20"/>
          <w:vertAlign w:val="superscript"/>
        </w:rPr>
        <w:t>b</w:t>
      </w:r>
      <w:r>
        <w:rPr>
          <w:rFonts w:ascii="Arial Narrow" w:hAnsi="Arial Narrow" w:cs="Arial"/>
          <w:sz w:val="20"/>
          <w:szCs w:val="20"/>
        </w:rPr>
        <w:t xml:space="preserve"> Accreditation would be better linked to the ECP service via the MBS item descriptor.</w:t>
      </w:r>
    </w:p>
    <w:p w:rsidR="00B50412" w:rsidRDefault="00B50412" w:rsidP="00B50412">
      <w:pPr>
        <w:spacing w:after="0" w:line="240" w:lineRule="auto"/>
        <w:jc w:val="left"/>
        <w:rPr>
          <w:rFonts w:ascii="Arial" w:hAnsi="Arial" w:cs="Arial"/>
        </w:rPr>
      </w:pPr>
    </w:p>
    <w:tbl>
      <w:tblPr>
        <w:tblW w:w="8364" w:type="dxa"/>
        <w:tblInd w:w="108" w:type="dxa"/>
        <w:tblLayout w:type="fixed"/>
        <w:tblLook w:val="0000" w:firstRow="0" w:lastRow="0" w:firstColumn="0" w:lastColumn="0" w:noHBand="0" w:noVBand="0"/>
      </w:tblPr>
      <w:tblGrid>
        <w:gridCol w:w="1843"/>
        <w:gridCol w:w="1418"/>
        <w:gridCol w:w="567"/>
        <w:gridCol w:w="708"/>
        <w:gridCol w:w="1418"/>
        <w:gridCol w:w="992"/>
        <w:gridCol w:w="1418"/>
      </w:tblGrid>
      <w:tr w:rsidR="00B50412" w:rsidRPr="00260CE3" w:rsidTr="00F829D4">
        <w:trPr>
          <w:cantSplit/>
          <w:trHeight w:val="471"/>
        </w:trPr>
        <w:tc>
          <w:tcPr>
            <w:tcW w:w="3261" w:type="dxa"/>
            <w:gridSpan w:val="2"/>
            <w:tcBorders>
              <w:bottom w:val="single" w:sz="4" w:space="0" w:color="auto"/>
            </w:tcBorders>
          </w:tcPr>
          <w:p w:rsidR="00B50412" w:rsidRPr="00260CE3" w:rsidRDefault="00B50412" w:rsidP="00B433B4">
            <w:pPr>
              <w:keepNext/>
              <w:spacing w:after="0" w:line="240" w:lineRule="auto"/>
              <w:ind w:left="-108"/>
              <w:rPr>
                <w:rFonts w:ascii="Arial Narrow" w:hAnsi="Arial Narrow" w:cs="Arial"/>
                <w:sz w:val="20"/>
                <w:szCs w:val="20"/>
              </w:rPr>
            </w:pPr>
            <w:r w:rsidRPr="00260CE3">
              <w:rPr>
                <w:rFonts w:ascii="Arial Narrow" w:hAnsi="Arial Narrow" w:cs="Arial"/>
                <w:sz w:val="20"/>
                <w:szCs w:val="20"/>
              </w:rPr>
              <w:t>Name, Restriction,</w:t>
            </w:r>
          </w:p>
          <w:p w:rsidR="00B50412" w:rsidRPr="00260CE3" w:rsidRDefault="00B50412" w:rsidP="00B433B4">
            <w:pPr>
              <w:keepNext/>
              <w:spacing w:after="0" w:line="240" w:lineRule="auto"/>
              <w:ind w:left="-108"/>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B50412" w:rsidRPr="00260CE3" w:rsidRDefault="00B50412" w:rsidP="00B433B4">
            <w:pPr>
              <w:keepNext/>
              <w:spacing w:after="0" w:line="240" w:lineRule="auto"/>
              <w:ind w:left="-108"/>
              <w:rPr>
                <w:rFonts w:ascii="Arial Narrow" w:hAnsi="Arial Narrow" w:cs="Arial"/>
                <w:sz w:val="20"/>
                <w:szCs w:val="20"/>
              </w:rPr>
            </w:pPr>
            <w:r w:rsidRPr="00260CE3">
              <w:rPr>
                <w:rFonts w:ascii="Arial Narrow" w:hAnsi="Arial Narrow" w:cs="Arial"/>
                <w:sz w:val="20"/>
                <w:szCs w:val="20"/>
              </w:rPr>
              <w:t>Max.</w:t>
            </w:r>
          </w:p>
          <w:p w:rsidR="00B50412" w:rsidRPr="00260CE3" w:rsidRDefault="00B50412" w:rsidP="00B433B4">
            <w:pPr>
              <w:keepNext/>
              <w:spacing w:after="0" w:line="240" w:lineRule="auto"/>
              <w:ind w:left="-108"/>
              <w:rPr>
                <w:rFonts w:ascii="Arial Narrow" w:hAnsi="Arial Narrow" w:cs="Arial"/>
                <w:sz w:val="20"/>
                <w:szCs w:val="20"/>
              </w:rPr>
            </w:pPr>
            <w:r w:rsidRPr="00260CE3">
              <w:rPr>
                <w:rFonts w:ascii="Arial Narrow" w:hAnsi="Arial Narrow" w:cs="Arial"/>
                <w:sz w:val="20"/>
                <w:szCs w:val="20"/>
              </w:rPr>
              <w:t>Qty</w:t>
            </w:r>
          </w:p>
        </w:tc>
        <w:tc>
          <w:tcPr>
            <w:tcW w:w="708" w:type="dxa"/>
            <w:tcBorders>
              <w:bottom w:val="single" w:sz="4" w:space="0" w:color="auto"/>
            </w:tcBorders>
          </w:tcPr>
          <w:p w:rsidR="00B50412" w:rsidRPr="00260CE3" w:rsidRDefault="00B50412" w:rsidP="00B433B4">
            <w:pPr>
              <w:keepNext/>
              <w:spacing w:after="0" w:line="240" w:lineRule="auto"/>
              <w:ind w:left="-108"/>
              <w:rPr>
                <w:rFonts w:ascii="Arial Narrow" w:hAnsi="Arial Narrow" w:cs="Arial"/>
                <w:sz w:val="20"/>
                <w:szCs w:val="20"/>
              </w:rPr>
            </w:pPr>
            <w:r w:rsidRPr="00260CE3">
              <w:rPr>
                <w:rFonts w:ascii="Arial Narrow" w:hAnsi="Arial Narrow" w:cs="Arial"/>
                <w:sz w:val="20"/>
                <w:szCs w:val="20"/>
              </w:rPr>
              <w:t>№.of</w:t>
            </w:r>
          </w:p>
          <w:p w:rsidR="00B50412" w:rsidRPr="00260CE3" w:rsidRDefault="00B50412" w:rsidP="00B433B4">
            <w:pPr>
              <w:keepNext/>
              <w:spacing w:after="0" w:line="240" w:lineRule="auto"/>
              <w:ind w:left="-108"/>
              <w:rPr>
                <w:rFonts w:ascii="Arial Narrow" w:hAnsi="Arial Narrow" w:cs="Arial"/>
                <w:sz w:val="20"/>
                <w:szCs w:val="20"/>
              </w:rPr>
            </w:pPr>
            <w:r w:rsidRPr="00260CE3">
              <w:rPr>
                <w:rFonts w:ascii="Arial Narrow" w:hAnsi="Arial Narrow" w:cs="Arial"/>
                <w:sz w:val="20"/>
                <w:szCs w:val="20"/>
              </w:rPr>
              <w:t>Rpts</w:t>
            </w:r>
          </w:p>
        </w:tc>
        <w:tc>
          <w:tcPr>
            <w:tcW w:w="1418" w:type="dxa"/>
            <w:tcBorders>
              <w:bottom w:val="single" w:sz="4" w:space="0" w:color="auto"/>
            </w:tcBorders>
          </w:tcPr>
          <w:p w:rsidR="00B50412" w:rsidRPr="00260CE3" w:rsidRDefault="00B50412" w:rsidP="00B433B4">
            <w:pPr>
              <w:keepNext/>
              <w:spacing w:after="0" w:line="240" w:lineRule="auto"/>
              <w:ind w:left="-108"/>
              <w:rPr>
                <w:rFonts w:ascii="Arial Narrow" w:hAnsi="Arial Narrow" w:cs="Arial"/>
                <w:sz w:val="20"/>
                <w:szCs w:val="20"/>
              </w:rPr>
            </w:pPr>
            <w:r w:rsidRPr="00260CE3">
              <w:rPr>
                <w:rFonts w:ascii="Arial Narrow" w:hAnsi="Arial Narrow" w:cs="Arial"/>
                <w:sz w:val="20"/>
                <w:szCs w:val="20"/>
              </w:rPr>
              <w:t>Dispensed Price for Max. Qty</w:t>
            </w:r>
          </w:p>
        </w:tc>
        <w:tc>
          <w:tcPr>
            <w:tcW w:w="2410" w:type="dxa"/>
            <w:gridSpan w:val="2"/>
            <w:tcBorders>
              <w:bottom w:val="single" w:sz="4" w:space="0" w:color="auto"/>
            </w:tcBorders>
          </w:tcPr>
          <w:p w:rsidR="00B50412" w:rsidRPr="00260CE3" w:rsidRDefault="00B50412" w:rsidP="00B433B4">
            <w:pPr>
              <w:keepNext/>
              <w:spacing w:after="0" w:line="240" w:lineRule="auto"/>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B50412" w:rsidRPr="00260CE3" w:rsidTr="00F829D4">
        <w:trPr>
          <w:cantSplit/>
          <w:trHeight w:val="577"/>
        </w:trPr>
        <w:tc>
          <w:tcPr>
            <w:tcW w:w="3261" w:type="dxa"/>
            <w:gridSpan w:val="2"/>
          </w:tcPr>
          <w:p w:rsidR="00B50412" w:rsidRPr="00101147" w:rsidRDefault="00B50412" w:rsidP="00B433B4">
            <w:pPr>
              <w:keepNext/>
              <w:spacing w:after="0" w:line="240" w:lineRule="auto"/>
              <w:ind w:left="-108"/>
              <w:rPr>
                <w:rFonts w:ascii="Arial Narrow" w:hAnsi="Arial Narrow" w:cs="Arial"/>
                <w:sz w:val="20"/>
                <w:szCs w:val="20"/>
              </w:rPr>
            </w:pPr>
            <w:r w:rsidRPr="00101147">
              <w:rPr>
                <w:rFonts w:ascii="Arial Narrow" w:hAnsi="Arial Narrow" w:cs="Arial"/>
                <w:smallCaps/>
                <w:sz w:val="20"/>
                <w:szCs w:val="20"/>
              </w:rPr>
              <w:t>METHOXSALEN</w:t>
            </w:r>
          </w:p>
          <w:p w:rsidR="00B50412" w:rsidRPr="00101147" w:rsidRDefault="00B50412" w:rsidP="00B433B4">
            <w:pPr>
              <w:keepNext/>
              <w:spacing w:after="0" w:line="240" w:lineRule="auto"/>
              <w:ind w:left="-108"/>
              <w:rPr>
                <w:rFonts w:ascii="Arial Narrow" w:hAnsi="Arial Narrow" w:cs="Arial"/>
                <w:sz w:val="20"/>
                <w:szCs w:val="20"/>
              </w:rPr>
            </w:pPr>
            <w:r w:rsidRPr="00101147">
              <w:rPr>
                <w:rFonts w:ascii="Arial Narrow" w:hAnsi="Arial Narrow" w:cs="Arial"/>
                <w:sz w:val="20"/>
                <w:szCs w:val="20"/>
              </w:rPr>
              <w:t>20</w:t>
            </w:r>
            <w:r>
              <w:rPr>
                <w:rFonts w:ascii="Arial Narrow" w:hAnsi="Arial Narrow" w:cs="Arial"/>
                <w:sz w:val="20"/>
                <w:szCs w:val="20"/>
              </w:rPr>
              <w:t> </w:t>
            </w:r>
            <w:r w:rsidRPr="00101147">
              <w:rPr>
                <w:rFonts w:ascii="Arial Narrow" w:hAnsi="Arial Narrow" w:cs="Arial"/>
                <w:sz w:val="20"/>
                <w:szCs w:val="20"/>
              </w:rPr>
              <w:t>microgram/mL solution, 10</w:t>
            </w:r>
            <w:r>
              <w:rPr>
                <w:rFonts w:ascii="Arial Narrow" w:hAnsi="Arial Narrow" w:cs="Arial"/>
                <w:sz w:val="20"/>
                <w:szCs w:val="20"/>
              </w:rPr>
              <w:t> </w:t>
            </w:r>
            <w:r w:rsidRPr="00101147">
              <w:rPr>
                <w:rFonts w:ascii="Arial Narrow" w:hAnsi="Arial Narrow" w:cs="Arial"/>
                <w:sz w:val="20"/>
                <w:szCs w:val="20"/>
              </w:rPr>
              <w:t>mL vial, 12</w:t>
            </w:r>
          </w:p>
        </w:tc>
        <w:tc>
          <w:tcPr>
            <w:tcW w:w="567" w:type="dxa"/>
          </w:tcPr>
          <w:p w:rsidR="00B50412" w:rsidRPr="00101147" w:rsidRDefault="00B50412" w:rsidP="00B433B4">
            <w:pPr>
              <w:keepNext/>
              <w:spacing w:after="0" w:line="240" w:lineRule="auto"/>
              <w:ind w:left="-108"/>
              <w:rPr>
                <w:rFonts w:ascii="Arial Narrow" w:hAnsi="Arial Narrow" w:cs="Arial"/>
                <w:sz w:val="20"/>
                <w:szCs w:val="20"/>
              </w:rPr>
            </w:pPr>
          </w:p>
          <w:p w:rsidR="00B50412" w:rsidRPr="00101147" w:rsidRDefault="00B50412" w:rsidP="00B433B4">
            <w:pPr>
              <w:keepNext/>
              <w:spacing w:after="0" w:line="240" w:lineRule="auto"/>
              <w:ind w:left="-108"/>
              <w:rPr>
                <w:rFonts w:ascii="Arial Narrow" w:hAnsi="Arial Narrow" w:cs="Arial"/>
                <w:sz w:val="20"/>
                <w:szCs w:val="20"/>
              </w:rPr>
            </w:pPr>
            <w:r w:rsidRPr="00101147">
              <w:rPr>
                <w:rFonts w:ascii="Arial Narrow" w:hAnsi="Arial Narrow" w:cs="Arial"/>
                <w:sz w:val="20"/>
                <w:szCs w:val="20"/>
              </w:rPr>
              <w:t>1</w:t>
            </w:r>
          </w:p>
        </w:tc>
        <w:tc>
          <w:tcPr>
            <w:tcW w:w="708" w:type="dxa"/>
          </w:tcPr>
          <w:p w:rsidR="00B50412" w:rsidRPr="00101147" w:rsidRDefault="00B50412" w:rsidP="00B433B4">
            <w:pPr>
              <w:keepNext/>
              <w:spacing w:after="0" w:line="240" w:lineRule="auto"/>
              <w:ind w:left="-108"/>
              <w:rPr>
                <w:rFonts w:ascii="Arial Narrow" w:hAnsi="Arial Narrow" w:cs="Arial"/>
                <w:sz w:val="20"/>
                <w:szCs w:val="20"/>
              </w:rPr>
            </w:pPr>
          </w:p>
          <w:p w:rsidR="00B50412" w:rsidRPr="00101147" w:rsidRDefault="00B50412" w:rsidP="00B433B4">
            <w:pPr>
              <w:keepNext/>
              <w:spacing w:after="0" w:line="240" w:lineRule="auto"/>
              <w:ind w:left="-108"/>
              <w:rPr>
                <w:rFonts w:ascii="Arial Narrow" w:hAnsi="Arial Narrow" w:cs="Arial"/>
                <w:sz w:val="20"/>
                <w:szCs w:val="20"/>
              </w:rPr>
            </w:pPr>
            <w:r w:rsidRPr="00101147">
              <w:rPr>
                <w:rFonts w:ascii="Arial Narrow" w:hAnsi="Arial Narrow" w:cs="Arial"/>
                <w:sz w:val="20"/>
                <w:szCs w:val="20"/>
              </w:rPr>
              <w:t>nil</w:t>
            </w:r>
          </w:p>
        </w:tc>
        <w:tc>
          <w:tcPr>
            <w:tcW w:w="1418" w:type="dxa"/>
          </w:tcPr>
          <w:p w:rsidR="00B50412" w:rsidRPr="00101147" w:rsidRDefault="00B50412" w:rsidP="00B433B4">
            <w:pPr>
              <w:keepNext/>
              <w:spacing w:after="0" w:line="240" w:lineRule="auto"/>
              <w:ind w:left="-108"/>
              <w:rPr>
                <w:rFonts w:ascii="Arial Narrow" w:hAnsi="Arial Narrow" w:cs="Arial"/>
                <w:sz w:val="20"/>
                <w:szCs w:val="20"/>
              </w:rPr>
            </w:pPr>
          </w:p>
          <w:p w:rsidR="00B50412" w:rsidRPr="00101147" w:rsidRDefault="00B50412" w:rsidP="00B433B4">
            <w:pPr>
              <w:keepNext/>
              <w:spacing w:after="0" w:line="240" w:lineRule="auto"/>
              <w:ind w:left="-108"/>
              <w:rPr>
                <w:rFonts w:ascii="Arial Narrow" w:hAnsi="Arial Narrow" w:cs="Arial"/>
                <w:sz w:val="20"/>
                <w:szCs w:val="20"/>
              </w:rPr>
            </w:pPr>
            <w:r w:rsidRPr="00101147">
              <w:rPr>
                <w:rFonts w:ascii="Arial Narrow" w:hAnsi="Arial Narrow" w:cs="Arial"/>
                <w:sz w:val="20"/>
                <w:szCs w:val="20"/>
              </w:rPr>
              <w:t>$</w:t>
            </w:r>
            <w:r w:rsidR="00022B8C">
              <w:rPr>
                <w:rFonts w:ascii="Arial Narrow" w:hAnsi="Arial Narrow" w:cs="Arial"/>
                <w:noProof/>
                <w:color w:val="000000"/>
                <w:sz w:val="20"/>
                <w:szCs w:val="20"/>
                <w:highlight w:val="black"/>
              </w:rPr>
              <w:t>'''''''''''''''''''''</w:t>
            </w:r>
            <w:r w:rsidRPr="00F41FF3">
              <w:rPr>
                <w:rFonts w:ascii="Arial Narrow" w:hAnsi="Arial Narrow" w:cs="Arial"/>
                <w:sz w:val="20"/>
                <w:szCs w:val="20"/>
                <w:vertAlign w:val="superscript"/>
              </w:rPr>
              <w:t>a</w:t>
            </w:r>
          </w:p>
        </w:tc>
        <w:tc>
          <w:tcPr>
            <w:tcW w:w="992" w:type="dxa"/>
          </w:tcPr>
          <w:p w:rsidR="00B50412" w:rsidRPr="00260CE3" w:rsidRDefault="00B50412" w:rsidP="00B433B4">
            <w:pPr>
              <w:keepNext/>
              <w:spacing w:after="0" w:line="240" w:lineRule="auto"/>
              <w:rPr>
                <w:rFonts w:ascii="Arial Narrow" w:hAnsi="Arial Narrow" w:cs="Arial"/>
                <w:sz w:val="20"/>
                <w:szCs w:val="20"/>
              </w:rPr>
            </w:pPr>
            <w:r w:rsidRPr="00010469">
              <w:rPr>
                <w:rFonts w:ascii="Arial Narrow" w:hAnsi="Arial Narrow" w:cs="Arial"/>
                <w:sz w:val="20"/>
                <w:szCs w:val="20"/>
              </w:rPr>
              <w:t>UVADEX</w:t>
            </w:r>
          </w:p>
        </w:tc>
        <w:tc>
          <w:tcPr>
            <w:tcW w:w="1418" w:type="dxa"/>
          </w:tcPr>
          <w:p w:rsidR="00B50412" w:rsidRPr="00260CE3" w:rsidRDefault="00B50412" w:rsidP="00B433B4">
            <w:pPr>
              <w:keepNext/>
              <w:spacing w:after="0" w:line="240" w:lineRule="auto"/>
              <w:rPr>
                <w:rFonts w:ascii="Arial Narrow" w:hAnsi="Arial Narrow" w:cs="Arial"/>
                <w:sz w:val="20"/>
                <w:szCs w:val="20"/>
              </w:rPr>
            </w:pPr>
            <w:r w:rsidRPr="00010469">
              <w:rPr>
                <w:rFonts w:ascii="Arial Narrow" w:hAnsi="Arial Narrow" w:cs="Arial"/>
                <w:sz w:val="20"/>
                <w:szCs w:val="20"/>
              </w:rPr>
              <w:t>Terumo BCT Australia Pty Ltd</w:t>
            </w:r>
          </w:p>
        </w:tc>
      </w:tr>
      <w:tr w:rsidR="00B50412" w:rsidRPr="00260CE3" w:rsidTr="00F829D4">
        <w:trPr>
          <w:cantSplit/>
          <w:trHeight w:val="360"/>
        </w:trPr>
        <w:tc>
          <w:tcPr>
            <w:tcW w:w="1843" w:type="dxa"/>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b/>
                <w:sz w:val="20"/>
                <w:szCs w:val="20"/>
              </w:rPr>
            </w:pPr>
            <w:r w:rsidRPr="00260CE3">
              <w:rPr>
                <w:rFonts w:ascii="Arial Narrow" w:hAnsi="Arial Narrow" w:cs="Arial"/>
                <w:b/>
                <w:sz w:val="20"/>
                <w:szCs w:val="20"/>
              </w:rPr>
              <w:t>Category / Program</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sz w:val="20"/>
                <w:szCs w:val="20"/>
              </w:rPr>
            </w:pPr>
            <w:r w:rsidRPr="00260CE3">
              <w:rPr>
                <w:rFonts w:ascii="Arial Narrow" w:hAnsi="Arial Narrow" w:cs="Arial"/>
                <w:sz w:val="20"/>
                <w:szCs w:val="20"/>
              </w:rPr>
              <w:t>Section 100 – Highly Specialised Drugs Program</w:t>
            </w:r>
          </w:p>
        </w:tc>
      </w:tr>
      <w:tr w:rsidR="00B50412" w:rsidRPr="00260CE3" w:rsidTr="00F829D4">
        <w:trPr>
          <w:cantSplit/>
          <w:trHeight w:val="360"/>
        </w:trPr>
        <w:tc>
          <w:tcPr>
            <w:tcW w:w="1843" w:type="dxa"/>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b/>
                <w:sz w:val="20"/>
                <w:szCs w:val="20"/>
              </w:rPr>
            </w:pPr>
            <w:r w:rsidRPr="00260CE3">
              <w:rPr>
                <w:rFonts w:ascii="Arial Narrow" w:hAnsi="Arial Narrow" w:cs="Arial"/>
                <w:b/>
                <w:sz w:val="20"/>
                <w:szCs w:val="20"/>
              </w:rPr>
              <w:t>Prescriber type:</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50412" w:rsidRPr="00260CE3" w:rsidTr="00F829D4">
        <w:trPr>
          <w:cantSplit/>
          <w:trHeight w:val="360"/>
        </w:trPr>
        <w:tc>
          <w:tcPr>
            <w:tcW w:w="1843" w:type="dxa"/>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b/>
                <w:sz w:val="20"/>
                <w:szCs w:val="20"/>
              </w:rPr>
            </w:pPr>
            <w:r w:rsidRPr="00260CE3">
              <w:rPr>
                <w:rFonts w:ascii="Arial Narrow" w:hAnsi="Arial Narrow" w:cs="Arial"/>
                <w:b/>
                <w:sz w:val="20"/>
                <w:szCs w:val="20"/>
              </w:rPr>
              <w:t>Episodicity:</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sz w:val="20"/>
                <w:szCs w:val="20"/>
              </w:rPr>
            </w:pPr>
            <w:r>
              <w:rPr>
                <w:rFonts w:ascii="Arial Narrow" w:hAnsi="Arial Narrow" w:cs="Arial"/>
                <w:sz w:val="20"/>
                <w:szCs w:val="20"/>
              </w:rPr>
              <w:t xml:space="preserve">- </w:t>
            </w:r>
          </w:p>
        </w:tc>
      </w:tr>
      <w:tr w:rsidR="00B50412" w:rsidRPr="00260CE3" w:rsidTr="00F829D4">
        <w:trPr>
          <w:cantSplit/>
          <w:trHeight w:val="360"/>
        </w:trPr>
        <w:tc>
          <w:tcPr>
            <w:tcW w:w="1843" w:type="dxa"/>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b/>
                <w:sz w:val="20"/>
                <w:szCs w:val="20"/>
              </w:rPr>
            </w:pPr>
            <w:r w:rsidRPr="00260CE3">
              <w:rPr>
                <w:rFonts w:ascii="Arial Narrow" w:hAnsi="Arial Narrow" w:cs="Arial"/>
                <w:b/>
                <w:sz w:val="20"/>
                <w:szCs w:val="20"/>
              </w:rPr>
              <w:t>Severity:</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sz w:val="20"/>
                <w:szCs w:val="20"/>
              </w:rPr>
            </w:pPr>
            <w:r w:rsidRPr="00010469">
              <w:rPr>
                <w:rFonts w:ascii="Arial Narrow" w:hAnsi="Arial Narrow" w:cs="Arial"/>
                <w:strike/>
                <w:sz w:val="20"/>
                <w:szCs w:val="20"/>
              </w:rPr>
              <w:t>Advanced</w:t>
            </w:r>
            <w:r>
              <w:rPr>
                <w:rFonts w:ascii="Arial Narrow" w:hAnsi="Arial Narrow" w:cs="Arial"/>
                <w:sz w:val="20"/>
                <w:szCs w:val="20"/>
              </w:rPr>
              <w:t xml:space="preserve"> </w:t>
            </w:r>
            <w:r w:rsidRPr="00010469">
              <w:rPr>
                <w:rFonts w:ascii="Arial Narrow" w:hAnsi="Arial Narrow" w:cs="Arial"/>
                <w:i/>
                <w:sz w:val="20"/>
                <w:szCs w:val="20"/>
              </w:rPr>
              <w:t>Erythrodermic</w:t>
            </w:r>
            <w:r>
              <w:rPr>
                <w:rFonts w:ascii="Arial Narrow" w:hAnsi="Arial Narrow" w:cs="Arial"/>
                <w:sz w:val="20"/>
                <w:szCs w:val="20"/>
              </w:rPr>
              <w:t xml:space="preserve"> stage III-IVa T</w:t>
            </w:r>
            <w:r w:rsidRPr="00010469">
              <w:rPr>
                <w:rFonts w:ascii="Arial Narrow" w:hAnsi="Arial Narrow" w:cs="Arial"/>
                <w:sz w:val="20"/>
                <w:szCs w:val="20"/>
                <w:vertAlign w:val="subscript"/>
              </w:rPr>
              <w:t>4</w:t>
            </w:r>
            <w:r>
              <w:rPr>
                <w:rFonts w:ascii="Arial Narrow" w:hAnsi="Arial Narrow" w:cs="Arial"/>
                <w:sz w:val="20"/>
                <w:szCs w:val="20"/>
              </w:rPr>
              <w:t xml:space="preserve"> M</w:t>
            </w:r>
            <w:r w:rsidRPr="00010469">
              <w:rPr>
                <w:rFonts w:ascii="Arial Narrow" w:hAnsi="Arial Narrow" w:cs="Arial"/>
                <w:sz w:val="20"/>
                <w:szCs w:val="20"/>
                <w:vertAlign w:val="subscript"/>
              </w:rPr>
              <w:t>0</w:t>
            </w:r>
          </w:p>
        </w:tc>
      </w:tr>
      <w:tr w:rsidR="00B50412" w:rsidRPr="00260CE3" w:rsidTr="00F829D4">
        <w:trPr>
          <w:cantSplit/>
          <w:trHeight w:val="360"/>
        </w:trPr>
        <w:tc>
          <w:tcPr>
            <w:tcW w:w="1843" w:type="dxa"/>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b/>
                <w:sz w:val="20"/>
                <w:szCs w:val="20"/>
              </w:rPr>
            </w:pPr>
            <w:r w:rsidRPr="00260CE3">
              <w:rPr>
                <w:rFonts w:ascii="Arial Narrow" w:hAnsi="Arial Narrow" w:cs="Arial"/>
                <w:b/>
                <w:sz w:val="20"/>
                <w:szCs w:val="20"/>
              </w:rPr>
              <w:t>Condition:</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sz w:val="20"/>
                <w:szCs w:val="20"/>
              </w:rPr>
            </w:pPr>
            <w:r w:rsidRPr="00010469">
              <w:rPr>
                <w:rFonts w:ascii="Arial Narrow" w:hAnsi="Arial Narrow" w:cs="Arial"/>
                <w:sz w:val="20"/>
                <w:szCs w:val="20"/>
              </w:rPr>
              <w:t>Cutaneous T-cell lymphoma</w:t>
            </w:r>
            <w:r>
              <w:rPr>
                <w:rFonts w:ascii="Arial Narrow" w:hAnsi="Arial Narrow" w:cs="Arial"/>
                <w:sz w:val="20"/>
                <w:szCs w:val="20"/>
              </w:rPr>
              <w:t xml:space="preserve"> </w:t>
            </w:r>
            <w:r w:rsidRPr="00010469">
              <w:rPr>
                <w:rFonts w:ascii="Arial Narrow" w:hAnsi="Arial Narrow" w:cs="Arial"/>
                <w:i/>
                <w:sz w:val="20"/>
                <w:szCs w:val="20"/>
              </w:rPr>
              <w:t>(CTCL)</w:t>
            </w:r>
          </w:p>
        </w:tc>
      </w:tr>
      <w:tr w:rsidR="00B50412" w:rsidRPr="00260CE3" w:rsidTr="00F829D4">
        <w:trPr>
          <w:cantSplit/>
          <w:trHeight w:val="360"/>
        </w:trPr>
        <w:tc>
          <w:tcPr>
            <w:tcW w:w="1843" w:type="dxa"/>
            <w:tcBorders>
              <w:top w:val="single" w:sz="4" w:space="0" w:color="auto"/>
              <w:left w:val="single" w:sz="4" w:space="0" w:color="auto"/>
              <w:bottom w:val="single" w:sz="4" w:space="0" w:color="auto"/>
              <w:right w:val="single" w:sz="4" w:space="0" w:color="auto"/>
            </w:tcBorders>
          </w:tcPr>
          <w:p w:rsidR="00B50412" w:rsidRPr="00010469" w:rsidRDefault="00B50412" w:rsidP="00B433B4">
            <w:pPr>
              <w:spacing w:after="0" w:line="240" w:lineRule="auto"/>
              <w:rPr>
                <w:rFonts w:ascii="Arial Narrow" w:hAnsi="Arial Narrow" w:cs="Arial"/>
                <w:b/>
                <w:sz w:val="20"/>
                <w:szCs w:val="20"/>
              </w:rPr>
            </w:pPr>
            <w:r w:rsidRPr="00260CE3">
              <w:rPr>
                <w:rFonts w:ascii="Arial Narrow" w:hAnsi="Arial Narrow" w:cs="Arial"/>
                <w:b/>
                <w:sz w:val="20"/>
                <w:szCs w:val="20"/>
              </w:rPr>
              <w:t>PBS Indication:</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010469" w:rsidRDefault="00B50412" w:rsidP="00B433B4">
            <w:pPr>
              <w:spacing w:after="0" w:line="240" w:lineRule="auto"/>
              <w:rPr>
                <w:rFonts w:ascii="Arial Narrow" w:hAnsi="Arial Narrow" w:cs="Arial"/>
                <w:i/>
                <w:sz w:val="20"/>
                <w:szCs w:val="20"/>
              </w:rPr>
            </w:pPr>
            <w:r w:rsidRPr="00010469">
              <w:rPr>
                <w:rFonts w:ascii="Arial Narrow" w:hAnsi="Arial Narrow" w:cs="Arial"/>
                <w:i/>
                <w:sz w:val="20"/>
                <w:szCs w:val="20"/>
              </w:rPr>
              <w:t>Erythrodermic stage III-IVa T</w:t>
            </w:r>
            <w:r w:rsidRPr="00010469">
              <w:rPr>
                <w:rFonts w:ascii="Arial Narrow" w:hAnsi="Arial Narrow" w:cs="Arial"/>
                <w:i/>
                <w:sz w:val="20"/>
                <w:szCs w:val="20"/>
                <w:vertAlign w:val="subscript"/>
              </w:rPr>
              <w:t>4</w:t>
            </w:r>
            <w:r w:rsidRPr="00010469">
              <w:rPr>
                <w:rFonts w:ascii="Arial Narrow" w:hAnsi="Arial Narrow" w:cs="Arial"/>
                <w:i/>
                <w:sz w:val="20"/>
                <w:szCs w:val="20"/>
              </w:rPr>
              <w:t xml:space="preserve"> M</w:t>
            </w:r>
            <w:r w:rsidRPr="00010469">
              <w:rPr>
                <w:rFonts w:ascii="Arial Narrow" w:hAnsi="Arial Narrow" w:cs="Arial"/>
                <w:i/>
                <w:sz w:val="20"/>
                <w:szCs w:val="20"/>
                <w:vertAlign w:val="subscript"/>
              </w:rPr>
              <w:t>0</w:t>
            </w:r>
            <w:r w:rsidRPr="00010469">
              <w:rPr>
                <w:rFonts w:ascii="Arial Narrow" w:hAnsi="Arial Narrow" w:cs="Arial"/>
                <w:i/>
                <w:sz w:val="20"/>
                <w:szCs w:val="20"/>
              </w:rPr>
              <w:t xml:space="preserve"> CTCL</w:t>
            </w:r>
          </w:p>
        </w:tc>
      </w:tr>
      <w:tr w:rsidR="00B50412" w:rsidRPr="00260CE3" w:rsidTr="00F829D4">
        <w:trPr>
          <w:cantSplit/>
          <w:trHeight w:val="360"/>
        </w:trPr>
        <w:tc>
          <w:tcPr>
            <w:tcW w:w="1843" w:type="dxa"/>
            <w:tcBorders>
              <w:top w:val="single" w:sz="4" w:space="0" w:color="auto"/>
              <w:left w:val="single" w:sz="4" w:space="0" w:color="auto"/>
              <w:bottom w:val="single" w:sz="4" w:space="0" w:color="auto"/>
              <w:right w:val="single" w:sz="4" w:space="0" w:color="auto"/>
            </w:tcBorders>
          </w:tcPr>
          <w:p w:rsidR="00B50412" w:rsidRPr="00010469" w:rsidRDefault="00B50412" w:rsidP="00B433B4">
            <w:pPr>
              <w:spacing w:after="0" w:line="240" w:lineRule="auto"/>
              <w:rPr>
                <w:rFonts w:ascii="Arial Narrow" w:hAnsi="Arial Narrow" w:cs="Arial"/>
                <w:b/>
                <w:sz w:val="20"/>
                <w:szCs w:val="20"/>
              </w:rPr>
            </w:pPr>
            <w:r w:rsidRPr="00260CE3">
              <w:rPr>
                <w:rFonts w:ascii="Arial Narrow" w:hAnsi="Arial Narrow" w:cs="Arial"/>
                <w:b/>
                <w:sz w:val="20"/>
                <w:szCs w:val="20"/>
              </w:rPr>
              <w:t>Treatment phase:</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5B095B" w:rsidRDefault="00B50412" w:rsidP="00B433B4">
            <w:pPr>
              <w:spacing w:after="0" w:line="240" w:lineRule="auto"/>
              <w:rPr>
                <w:rFonts w:ascii="Arial Narrow" w:hAnsi="Arial Narrow" w:cs="Arial"/>
                <w:sz w:val="20"/>
                <w:szCs w:val="20"/>
              </w:rPr>
            </w:pPr>
            <w:r w:rsidRPr="005B095B">
              <w:rPr>
                <w:rFonts w:ascii="Arial Narrow" w:hAnsi="Arial Narrow" w:cs="Arial"/>
                <w:sz w:val="20"/>
                <w:szCs w:val="20"/>
              </w:rPr>
              <w:t>Continuing treatment</w:t>
            </w:r>
          </w:p>
        </w:tc>
      </w:tr>
      <w:tr w:rsidR="00B50412" w:rsidRPr="00260CE3" w:rsidTr="00F829D4">
        <w:trPr>
          <w:cantSplit/>
          <w:trHeight w:val="360"/>
        </w:trPr>
        <w:tc>
          <w:tcPr>
            <w:tcW w:w="1843" w:type="dxa"/>
            <w:tcBorders>
              <w:top w:val="single" w:sz="4" w:space="0" w:color="auto"/>
              <w:left w:val="single" w:sz="4" w:space="0" w:color="auto"/>
              <w:bottom w:val="single" w:sz="4" w:space="0" w:color="auto"/>
              <w:right w:val="single" w:sz="4" w:space="0" w:color="auto"/>
            </w:tcBorders>
          </w:tcPr>
          <w:p w:rsidR="00B50412" w:rsidRPr="00CD28F3" w:rsidRDefault="00B50412" w:rsidP="00F829D4">
            <w:pPr>
              <w:spacing w:after="0" w:line="240" w:lineRule="auto"/>
              <w:rPr>
                <w:rFonts w:ascii="Arial Narrow" w:hAnsi="Arial Narrow" w:cs="Arial"/>
                <w:i/>
                <w:sz w:val="20"/>
                <w:szCs w:val="20"/>
              </w:rPr>
            </w:pPr>
            <w:r w:rsidRPr="00260CE3">
              <w:rPr>
                <w:rFonts w:ascii="Arial Narrow" w:hAnsi="Arial Narrow" w:cs="Arial"/>
                <w:b/>
                <w:sz w:val="20"/>
                <w:szCs w:val="20"/>
              </w:rPr>
              <w:lastRenderedPageBreak/>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106BCF" w:rsidRDefault="00B50412" w:rsidP="00B433B4">
            <w:pPr>
              <w:spacing w:after="0" w:line="240" w:lineRule="auto"/>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B50412" w:rsidRPr="00106BCF" w:rsidRDefault="00B50412" w:rsidP="00B433B4">
            <w:pPr>
              <w:spacing w:after="0" w:line="240" w:lineRule="auto"/>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B50412" w:rsidRPr="00106BCF" w:rsidRDefault="00B50412" w:rsidP="00B433B4">
            <w:pPr>
              <w:spacing w:after="0" w:line="240" w:lineRule="auto"/>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Telephone</w:t>
            </w:r>
            <w:r>
              <w:rPr>
                <w:rFonts w:ascii="Arial Narrow" w:hAnsi="Arial Narrow" w:cs="Arial"/>
                <w:sz w:val="20"/>
                <w:szCs w:val="20"/>
              </w:rPr>
              <w:t xml:space="preserve"> </w:t>
            </w:r>
            <w:r w:rsidRPr="00846AF3">
              <w:rPr>
                <w:rFonts w:ascii="Arial Narrow" w:hAnsi="Arial Narrow" w:cs="Arial"/>
                <w:i/>
                <w:sz w:val="20"/>
                <w:szCs w:val="20"/>
              </w:rPr>
              <w:t>(Private Hospitals)</w:t>
            </w:r>
          </w:p>
          <w:p w:rsidR="00B50412" w:rsidRPr="00106BCF" w:rsidRDefault="00B50412" w:rsidP="00B433B4">
            <w:pPr>
              <w:spacing w:after="0" w:line="240" w:lineRule="auto"/>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Pr="004332FE">
              <w:rPr>
                <w:rFonts w:ascii="Arial Narrow" w:hAnsi="Arial Narrow" w:cs="Arial"/>
                <w:sz w:val="20"/>
                <w:szCs w:val="20"/>
              </w:rPr>
              <w:t>-</w:t>
            </w:r>
            <w:r w:rsidRPr="00106BCF">
              <w:rPr>
                <w:rFonts w:ascii="Arial Narrow" w:hAnsi="Arial Narrow" w:cs="Arial"/>
                <w:sz w:val="20"/>
                <w:szCs w:val="20"/>
              </w:rPr>
              <w:t xml:space="preserve"> Emergency</w:t>
            </w:r>
          </w:p>
          <w:p w:rsidR="00B50412" w:rsidRPr="00106BCF" w:rsidRDefault="00B50412" w:rsidP="00B433B4">
            <w:pPr>
              <w:spacing w:after="0" w:line="240" w:lineRule="auto"/>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B50412" w:rsidRPr="00260CE3" w:rsidRDefault="00B50412" w:rsidP="00B433B4">
            <w:pPr>
              <w:spacing w:after="0" w:line="240" w:lineRule="auto"/>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927BC">
              <w:rPr>
                <w:rFonts w:ascii="Arial Narrow" w:hAnsi="Arial Narrow" w:cs="Arial"/>
                <w:sz w:val="20"/>
                <w:szCs w:val="20"/>
              </w:rPr>
            </w:r>
            <w:r w:rsidR="002927B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r>
              <w:rPr>
                <w:rFonts w:ascii="Arial Narrow" w:hAnsi="Arial Narrow" w:cs="Arial"/>
                <w:sz w:val="20"/>
                <w:szCs w:val="20"/>
              </w:rPr>
              <w:t xml:space="preserve"> </w:t>
            </w:r>
            <w:r w:rsidRPr="00846AF3">
              <w:rPr>
                <w:rFonts w:ascii="Arial Narrow" w:hAnsi="Arial Narrow" w:cs="Arial"/>
                <w:i/>
                <w:sz w:val="20"/>
                <w:szCs w:val="20"/>
              </w:rPr>
              <w:t>(Public Hospitals)</w:t>
            </w:r>
          </w:p>
        </w:tc>
      </w:tr>
      <w:tr w:rsidR="00B50412" w:rsidRPr="00260CE3" w:rsidTr="00F829D4">
        <w:trPr>
          <w:cantSplit/>
          <w:trHeight w:val="360"/>
        </w:trPr>
        <w:tc>
          <w:tcPr>
            <w:tcW w:w="1843" w:type="dxa"/>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sz w:val="20"/>
                <w:szCs w:val="20"/>
              </w:rPr>
            </w:pPr>
            <w:r w:rsidRPr="00260CE3">
              <w:rPr>
                <w:rFonts w:ascii="Arial Narrow" w:hAnsi="Arial Narrow" w:cs="Arial"/>
                <w:b/>
                <w:sz w:val="20"/>
                <w:szCs w:val="20"/>
              </w:rPr>
              <w:t>Treatment criteria:</w:t>
            </w:r>
          </w:p>
        </w:tc>
        <w:tc>
          <w:tcPr>
            <w:tcW w:w="6521" w:type="dxa"/>
            <w:gridSpan w:val="6"/>
            <w:tcBorders>
              <w:top w:val="single" w:sz="4" w:space="0" w:color="auto"/>
              <w:left w:val="single" w:sz="4" w:space="0" w:color="auto"/>
              <w:bottom w:val="single" w:sz="4" w:space="0" w:color="auto"/>
              <w:right w:val="single" w:sz="4" w:space="0" w:color="auto"/>
            </w:tcBorders>
          </w:tcPr>
          <w:p w:rsidR="00B50412" w:rsidRDefault="00B50412" w:rsidP="00B433B4">
            <w:pPr>
              <w:spacing w:after="0" w:line="240" w:lineRule="auto"/>
              <w:rPr>
                <w:rFonts w:ascii="Arial Narrow" w:hAnsi="Arial Narrow" w:cs="Arial"/>
                <w:i/>
                <w:sz w:val="20"/>
                <w:szCs w:val="20"/>
              </w:rPr>
            </w:pPr>
            <w:r w:rsidRPr="007752DE">
              <w:rPr>
                <w:rFonts w:ascii="Arial Narrow" w:hAnsi="Arial Narrow" w:cs="Arial"/>
                <w:sz w:val="20"/>
                <w:szCs w:val="20"/>
              </w:rPr>
              <w:t>Must be treated</w:t>
            </w:r>
            <w:r>
              <w:rPr>
                <w:rFonts w:ascii="Arial Narrow" w:hAnsi="Arial Narrow" w:cs="Arial"/>
                <w:sz w:val="20"/>
                <w:szCs w:val="20"/>
              </w:rPr>
              <w:t xml:space="preserve"> </w:t>
            </w:r>
            <w:r w:rsidRPr="00BB6B69">
              <w:rPr>
                <w:rFonts w:ascii="Arial Narrow" w:hAnsi="Arial Narrow" w:cs="Arial"/>
                <w:strike/>
                <w:sz w:val="20"/>
                <w:szCs w:val="20"/>
              </w:rPr>
              <w:t>in an accredited treatment centre</w:t>
            </w:r>
            <w:r w:rsidRPr="00F41FF3">
              <w:rPr>
                <w:rFonts w:ascii="Arial Narrow" w:hAnsi="Arial Narrow" w:cs="Arial"/>
                <w:sz w:val="20"/>
                <w:szCs w:val="20"/>
                <w:vertAlign w:val="superscript"/>
              </w:rPr>
              <w:t>b</w:t>
            </w:r>
            <w:r>
              <w:rPr>
                <w:rFonts w:ascii="Arial Narrow" w:hAnsi="Arial Narrow" w:cs="Arial"/>
                <w:sz w:val="20"/>
                <w:szCs w:val="20"/>
              </w:rPr>
              <w:t xml:space="preserve"> </w:t>
            </w:r>
            <w:r w:rsidRPr="00BB6B69">
              <w:rPr>
                <w:rFonts w:ascii="Arial Narrow" w:hAnsi="Arial Narrow" w:cs="Arial"/>
                <w:i/>
                <w:sz w:val="20"/>
                <w:szCs w:val="20"/>
              </w:rPr>
              <w:t>by</w:t>
            </w:r>
            <w:r w:rsidRPr="0026179D">
              <w:rPr>
                <w:rFonts w:ascii="Arial Narrow" w:hAnsi="Arial Narrow" w:cs="Arial"/>
                <w:i/>
                <w:sz w:val="20"/>
                <w:szCs w:val="20"/>
              </w:rPr>
              <w:t xml:space="preserve"> a haematologist</w:t>
            </w:r>
            <w:r>
              <w:rPr>
                <w:rFonts w:ascii="Arial Narrow" w:hAnsi="Arial Narrow" w:cs="Arial"/>
                <w:i/>
                <w:sz w:val="20"/>
                <w:szCs w:val="20"/>
              </w:rPr>
              <w:t>,</w:t>
            </w:r>
          </w:p>
          <w:p w:rsidR="00B50412" w:rsidRDefault="00B50412" w:rsidP="00B433B4">
            <w:pPr>
              <w:spacing w:after="0" w:line="240" w:lineRule="auto"/>
              <w:rPr>
                <w:rFonts w:ascii="Arial Narrow" w:hAnsi="Arial Narrow" w:cs="Arial"/>
                <w:i/>
                <w:sz w:val="20"/>
                <w:szCs w:val="20"/>
              </w:rPr>
            </w:pPr>
          </w:p>
          <w:p w:rsidR="00B50412" w:rsidRDefault="00B50412" w:rsidP="00B433B4">
            <w:pPr>
              <w:spacing w:after="0" w:line="240" w:lineRule="auto"/>
              <w:rPr>
                <w:rFonts w:ascii="Arial Narrow" w:hAnsi="Arial Narrow" w:cs="Arial"/>
                <w:i/>
                <w:sz w:val="20"/>
                <w:szCs w:val="20"/>
              </w:rPr>
            </w:pPr>
            <w:r>
              <w:rPr>
                <w:rFonts w:ascii="Arial Narrow" w:hAnsi="Arial Narrow" w:cs="Arial"/>
                <w:i/>
                <w:sz w:val="20"/>
                <w:szCs w:val="20"/>
              </w:rPr>
              <w:t>AND</w:t>
            </w:r>
          </w:p>
          <w:p w:rsidR="00B50412" w:rsidRPr="007752DE" w:rsidRDefault="00B50412" w:rsidP="00B433B4">
            <w:pPr>
              <w:spacing w:after="0" w:line="240" w:lineRule="auto"/>
              <w:rPr>
                <w:rFonts w:ascii="Arial Narrow" w:hAnsi="Arial Narrow" w:cs="Arial"/>
                <w:sz w:val="20"/>
                <w:szCs w:val="20"/>
              </w:rPr>
            </w:pPr>
          </w:p>
          <w:p w:rsidR="00B50412" w:rsidRPr="00260CE3" w:rsidRDefault="00B50412" w:rsidP="00B433B4">
            <w:pPr>
              <w:spacing w:after="0" w:line="240" w:lineRule="auto"/>
              <w:rPr>
                <w:rFonts w:ascii="Arial Narrow" w:hAnsi="Arial Narrow" w:cs="Arial"/>
                <w:sz w:val="20"/>
                <w:szCs w:val="20"/>
              </w:rPr>
            </w:pPr>
            <w:r w:rsidRPr="007752DE">
              <w:rPr>
                <w:rFonts w:ascii="Arial Narrow" w:hAnsi="Arial Narrow" w:cs="Arial"/>
                <w:sz w:val="20"/>
                <w:szCs w:val="20"/>
              </w:rPr>
              <w:t xml:space="preserve">Must be treated with </w:t>
            </w:r>
            <w:r>
              <w:rPr>
                <w:rFonts w:ascii="Arial Narrow" w:hAnsi="Arial Narrow" w:cs="Arial"/>
                <w:sz w:val="20"/>
                <w:szCs w:val="20"/>
              </w:rPr>
              <w:t>an integrated, closed system e</w:t>
            </w:r>
            <w:r w:rsidRPr="007752DE">
              <w:rPr>
                <w:rFonts w:ascii="Arial Narrow" w:hAnsi="Arial Narrow" w:cs="Arial"/>
                <w:sz w:val="20"/>
                <w:szCs w:val="20"/>
              </w:rPr>
              <w:t>xtrac</w:t>
            </w:r>
            <w:r>
              <w:rPr>
                <w:rFonts w:ascii="Arial Narrow" w:hAnsi="Arial Narrow" w:cs="Arial"/>
                <w:sz w:val="20"/>
                <w:szCs w:val="20"/>
              </w:rPr>
              <w:t>orporeal p</w:t>
            </w:r>
            <w:r w:rsidRPr="007752DE">
              <w:rPr>
                <w:rFonts w:ascii="Arial Narrow" w:hAnsi="Arial Narrow" w:cs="Arial"/>
                <w:sz w:val="20"/>
                <w:szCs w:val="20"/>
              </w:rPr>
              <w:t>hotopheresis (ECP) device.</w:t>
            </w:r>
          </w:p>
        </w:tc>
      </w:tr>
      <w:tr w:rsidR="00B50412" w:rsidRPr="00260CE3" w:rsidTr="00F829D4">
        <w:trPr>
          <w:cantSplit/>
          <w:trHeight w:val="360"/>
        </w:trPr>
        <w:tc>
          <w:tcPr>
            <w:tcW w:w="1843" w:type="dxa"/>
            <w:tcBorders>
              <w:top w:val="single" w:sz="4" w:space="0" w:color="auto"/>
              <w:left w:val="single" w:sz="4" w:space="0" w:color="auto"/>
              <w:bottom w:val="single" w:sz="4" w:space="0" w:color="auto"/>
              <w:right w:val="single" w:sz="4" w:space="0" w:color="auto"/>
            </w:tcBorders>
          </w:tcPr>
          <w:p w:rsidR="00B50412" w:rsidRPr="00260CE3" w:rsidRDefault="00B50412" w:rsidP="00B433B4">
            <w:pPr>
              <w:spacing w:after="0" w:line="240" w:lineRule="auto"/>
              <w:rPr>
                <w:rFonts w:ascii="Arial Narrow" w:hAnsi="Arial Narrow" w:cs="Arial"/>
                <w:sz w:val="20"/>
                <w:szCs w:val="20"/>
              </w:rPr>
            </w:pPr>
            <w:r w:rsidRPr="00260CE3">
              <w:rPr>
                <w:rFonts w:ascii="Arial Narrow" w:hAnsi="Arial Narrow" w:cs="Arial"/>
                <w:b/>
                <w:sz w:val="20"/>
                <w:szCs w:val="20"/>
              </w:rPr>
              <w:t>Clinical criteria:</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5B095B" w:rsidRDefault="00B50412" w:rsidP="00B433B4">
            <w:pPr>
              <w:pStyle w:val="Tablecaption"/>
              <w:rPr>
                <w:i/>
              </w:rPr>
            </w:pPr>
            <w:r w:rsidRPr="00FF65C4">
              <w:t>Patient must have previously</w:t>
            </w:r>
            <w:r>
              <w:t xml:space="preserve"> </w:t>
            </w:r>
            <w:r w:rsidRPr="005B095B">
              <w:t>received PBS-subsidised treatment with</w:t>
            </w:r>
            <w:r>
              <w:t xml:space="preserve"> </w:t>
            </w:r>
            <w:r w:rsidRPr="002A2779">
              <w:rPr>
                <w:strike/>
              </w:rPr>
              <w:t>methoxsalen (UVADEX®)</w:t>
            </w:r>
            <w:r>
              <w:t xml:space="preserve"> </w:t>
            </w:r>
            <w:r w:rsidRPr="002A2779">
              <w:rPr>
                <w:i/>
              </w:rPr>
              <w:t>this drug</w:t>
            </w:r>
            <w:r w:rsidRPr="005B095B">
              <w:rPr>
                <w:i/>
              </w:rPr>
              <w:t xml:space="preserve"> for this condition,</w:t>
            </w:r>
          </w:p>
          <w:p w:rsidR="00B50412" w:rsidRDefault="00B50412" w:rsidP="00B433B4">
            <w:pPr>
              <w:spacing w:after="0" w:line="240" w:lineRule="auto"/>
              <w:rPr>
                <w:rFonts w:ascii="Arial Narrow" w:hAnsi="Arial Narrow" w:cs="Arial"/>
                <w:i/>
                <w:sz w:val="20"/>
                <w:szCs w:val="20"/>
              </w:rPr>
            </w:pPr>
          </w:p>
          <w:p w:rsidR="00B50412" w:rsidRDefault="00B50412" w:rsidP="00B433B4">
            <w:pPr>
              <w:spacing w:after="0" w:line="240" w:lineRule="auto"/>
              <w:rPr>
                <w:rFonts w:ascii="Arial Narrow" w:hAnsi="Arial Narrow" w:cs="Arial"/>
                <w:i/>
                <w:sz w:val="20"/>
                <w:szCs w:val="20"/>
              </w:rPr>
            </w:pPr>
            <w:r>
              <w:rPr>
                <w:rFonts w:ascii="Arial Narrow" w:hAnsi="Arial Narrow" w:cs="Arial"/>
                <w:i/>
                <w:sz w:val="20"/>
                <w:szCs w:val="20"/>
              </w:rPr>
              <w:t>AND</w:t>
            </w:r>
          </w:p>
          <w:p w:rsidR="00B50412" w:rsidRDefault="00B50412" w:rsidP="00B433B4">
            <w:pPr>
              <w:spacing w:after="0" w:line="240" w:lineRule="auto"/>
              <w:rPr>
                <w:rFonts w:ascii="Arial Narrow" w:hAnsi="Arial Narrow" w:cs="Arial"/>
                <w:i/>
                <w:sz w:val="20"/>
                <w:szCs w:val="20"/>
              </w:rPr>
            </w:pPr>
          </w:p>
          <w:p w:rsidR="00B50412" w:rsidRDefault="00B50412" w:rsidP="00B433B4">
            <w:pPr>
              <w:spacing w:after="0" w:line="240" w:lineRule="auto"/>
              <w:rPr>
                <w:rFonts w:ascii="Arial Narrow" w:hAnsi="Arial Narrow" w:cs="Arial"/>
                <w:i/>
                <w:sz w:val="20"/>
                <w:szCs w:val="20"/>
              </w:rPr>
            </w:pPr>
            <w:r>
              <w:rPr>
                <w:rFonts w:ascii="Arial Narrow" w:hAnsi="Arial Narrow" w:cs="Arial"/>
                <w:i/>
                <w:sz w:val="20"/>
                <w:szCs w:val="20"/>
              </w:rPr>
              <w:t xml:space="preserve">Patient </w:t>
            </w:r>
            <w:r w:rsidRPr="002A2779">
              <w:rPr>
                <w:rFonts w:ascii="Arial Narrow" w:hAnsi="Arial Narrow" w:cs="Arial"/>
                <w:i/>
                <w:sz w:val="20"/>
                <w:szCs w:val="20"/>
              </w:rPr>
              <w:t>mus</w:t>
            </w:r>
            <w:r>
              <w:rPr>
                <w:rFonts w:ascii="Arial Narrow" w:hAnsi="Arial Narrow" w:cs="Arial"/>
                <w:i/>
                <w:sz w:val="20"/>
                <w:szCs w:val="20"/>
              </w:rPr>
              <w:t xml:space="preserve">t demonstrate </w:t>
            </w:r>
            <w:r w:rsidRPr="002A2779">
              <w:rPr>
                <w:rFonts w:ascii="Arial Narrow" w:hAnsi="Arial Narrow" w:cs="Arial"/>
                <w:i/>
                <w:sz w:val="20"/>
                <w:szCs w:val="20"/>
              </w:rPr>
              <w:t>a response to PBS-subs</w:t>
            </w:r>
            <w:r>
              <w:rPr>
                <w:rFonts w:ascii="Arial Narrow" w:hAnsi="Arial Narrow" w:cs="Arial"/>
                <w:i/>
                <w:sz w:val="20"/>
                <w:szCs w:val="20"/>
              </w:rPr>
              <w:t>idised treatment with this drug for this condition</w:t>
            </w:r>
            <w:r>
              <w:rPr>
                <w:rFonts w:ascii="Arial Narrow" w:hAnsi="Arial Narrow" w:cs="Arial"/>
                <w:sz w:val="20"/>
                <w:szCs w:val="20"/>
              </w:rPr>
              <w:t>,</w:t>
            </w:r>
          </w:p>
          <w:p w:rsidR="00B50412" w:rsidRDefault="00B50412" w:rsidP="00B433B4">
            <w:pPr>
              <w:spacing w:after="0" w:line="240" w:lineRule="auto"/>
              <w:rPr>
                <w:rFonts w:ascii="Arial Narrow" w:hAnsi="Arial Narrow" w:cs="Arial"/>
                <w:i/>
                <w:sz w:val="20"/>
                <w:szCs w:val="20"/>
              </w:rPr>
            </w:pPr>
          </w:p>
          <w:p w:rsidR="00B50412" w:rsidRDefault="00B50412" w:rsidP="00B433B4">
            <w:pPr>
              <w:spacing w:after="0" w:line="240" w:lineRule="auto"/>
              <w:rPr>
                <w:rFonts w:ascii="Arial Narrow" w:hAnsi="Arial Narrow" w:cs="Arial"/>
                <w:i/>
                <w:sz w:val="20"/>
                <w:szCs w:val="20"/>
              </w:rPr>
            </w:pPr>
            <w:r>
              <w:rPr>
                <w:rFonts w:ascii="Arial Narrow" w:hAnsi="Arial Narrow" w:cs="Arial"/>
                <w:i/>
                <w:sz w:val="20"/>
                <w:szCs w:val="20"/>
              </w:rPr>
              <w:t>AND</w:t>
            </w:r>
          </w:p>
          <w:p w:rsidR="00B50412" w:rsidRDefault="00B50412" w:rsidP="00B433B4">
            <w:pPr>
              <w:spacing w:after="0" w:line="240" w:lineRule="auto"/>
              <w:rPr>
                <w:rFonts w:ascii="Arial Narrow" w:hAnsi="Arial Narrow" w:cs="Arial"/>
                <w:i/>
                <w:sz w:val="20"/>
                <w:szCs w:val="20"/>
              </w:rPr>
            </w:pPr>
          </w:p>
          <w:p w:rsidR="00B50412" w:rsidRPr="00260CE3" w:rsidRDefault="00B50412" w:rsidP="00B433B4">
            <w:pPr>
              <w:spacing w:after="0" w:line="240" w:lineRule="auto"/>
              <w:rPr>
                <w:rFonts w:ascii="Arial Narrow" w:hAnsi="Arial Narrow" w:cs="Arial"/>
                <w:sz w:val="20"/>
                <w:szCs w:val="20"/>
              </w:rPr>
            </w:pPr>
            <w:r>
              <w:rPr>
                <w:rFonts w:ascii="Arial Narrow" w:hAnsi="Arial Narrow" w:cs="Arial"/>
                <w:i/>
                <w:sz w:val="20"/>
                <w:szCs w:val="20"/>
              </w:rPr>
              <w:t>The treatment must be the sole PBS-subsidised therapy for this condition.</w:t>
            </w:r>
          </w:p>
        </w:tc>
      </w:tr>
      <w:tr w:rsidR="00B50412" w:rsidRPr="00260CE3" w:rsidTr="00F829D4">
        <w:trPr>
          <w:cantSplit/>
          <w:trHeight w:val="141"/>
        </w:trPr>
        <w:tc>
          <w:tcPr>
            <w:tcW w:w="1843" w:type="dxa"/>
            <w:tcBorders>
              <w:top w:val="single" w:sz="4" w:space="0" w:color="auto"/>
              <w:left w:val="single" w:sz="4" w:space="0" w:color="auto"/>
              <w:bottom w:val="single" w:sz="4" w:space="0" w:color="auto"/>
              <w:right w:val="single" w:sz="4" w:space="0" w:color="auto"/>
            </w:tcBorders>
          </w:tcPr>
          <w:p w:rsidR="00B50412" w:rsidRPr="002A3CC1" w:rsidRDefault="00B50412" w:rsidP="00B433B4">
            <w:pPr>
              <w:spacing w:after="0" w:line="240" w:lineRule="auto"/>
              <w:rPr>
                <w:rFonts w:ascii="Arial Narrow" w:hAnsi="Arial Narrow" w:cs="Arial"/>
                <w:b/>
                <w:i/>
                <w:sz w:val="20"/>
                <w:szCs w:val="20"/>
              </w:rPr>
            </w:pPr>
            <w:r w:rsidRPr="002A3CC1">
              <w:rPr>
                <w:rFonts w:ascii="Arial Narrow" w:hAnsi="Arial Narrow" w:cs="Arial"/>
                <w:b/>
                <w:i/>
                <w:sz w:val="20"/>
                <w:szCs w:val="20"/>
              </w:rPr>
              <w:t>Prescribing instruction</w:t>
            </w:r>
            <w:r w:rsidR="00807B1B">
              <w:rPr>
                <w:rFonts w:ascii="Arial Narrow" w:hAnsi="Arial Narrow" w:cs="Arial"/>
                <w:b/>
                <w:i/>
                <w:sz w:val="20"/>
                <w:szCs w:val="20"/>
              </w:rPr>
              <w:t>:</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2A3CC1" w:rsidRDefault="00B50412" w:rsidP="00B433B4">
            <w:pPr>
              <w:spacing w:after="0" w:line="240" w:lineRule="auto"/>
              <w:rPr>
                <w:rFonts w:ascii="Arial Narrow" w:hAnsi="Arial Narrow" w:cs="Arial"/>
                <w:i/>
                <w:sz w:val="20"/>
                <w:szCs w:val="20"/>
              </w:rPr>
            </w:pPr>
            <w:r w:rsidRPr="002A3CC1">
              <w:rPr>
                <w:rFonts w:ascii="Arial Narrow" w:hAnsi="Arial Narrow" w:cs="Arial"/>
                <w:i/>
                <w:sz w:val="20"/>
                <w:szCs w:val="20"/>
              </w:rPr>
              <w:t>A response is defined as a greater than or equal to 50% skin score response from</w:t>
            </w:r>
            <w:r>
              <w:rPr>
                <w:rFonts w:ascii="Arial Narrow" w:hAnsi="Arial Narrow" w:cs="Arial"/>
                <w:i/>
                <w:sz w:val="20"/>
                <w:szCs w:val="20"/>
              </w:rPr>
              <w:t xml:space="preserve"> baseline for at least 4 weeks, within the first six months of treatment.</w:t>
            </w:r>
          </w:p>
        </w:tc>
      </w:tr>
      <w:tr w:rsidR="00B50412" w:rsidRPr="00260CE3" w:rsidTr="00F829D4">
        <w:trPr>
          <w:cantSplit/>
          <w:trHeight w:val="141"/>
        </w:trPr>
        <w:tc>
          <w:tcPr>
            <w:tcW w:w="1843" w:type="dxa"/>
            <w:tcBorders>
              <w:top w:val="single" w:sz="4" w:space="0" w:color="auto"/>
              <w:left w:val="single" w:sz="4" w:space="0" w:color="auto"/>
              <w:bottom w:val="single" w:sz="4" w:space="0" w:color="auto"/>
              <w:right w:val="single" w:sz="4" w:space="0" w:color="auto"/>
            </w:tcBorders>
          </w:tcPr>
          <w:p w:rsidR="00B50412" w:rsidRPr="002A3CC1" w:rsidRDefault="00B50412" w:rsidP="00B433B4">
            <w:pPr>
              <w:spacing w:after="0" w:line="240" w:lineRule="auto"/>
              <w:rPr>
                <w:rFonts w:ascii="Arial Narrow" w:hAnsi="Arial Narrow" w:cs="Arial"/>
                <w:b/>
                <w:i/>
                <w:sz w:val="20"/>
                <w:szCs w:val="20"/>
              </w:rPr>
            </w:pPr>
            <w:r>
              <w:rPr>
                <w:rFonts w:ascii="Arial Narrow" w:hAnsi="Arial Narrow" w:cs="Arial"/>
                <w:b/>
                <w:i/>
                <w:sz w:val="20"/>
                <w:szCs w:val="20"/>
              </w:rPr>
              <w:t>Caution:</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2A3CC1" w:rsidRDefault="00B50412" w:rsidP="00B433B4">
            <w:pPr>
              <w:spacing w:after="0" w:line="240" w:lineRule="auto"/>
              <w:rPr>
                <w:rFonts w:ascii="Arial Narrow" w:hAnsi="Arial Narrow" w:cs="Arial"/>
                <w:i/>
                <w:sz w:val="20"/>
                <w:szCs w:val="20"/>
              </w:rPr>
            </w:pPr>
            <w:r w:rsidRPr="0095707D">
              <w:rPr>
                <w:rFonts w:ascii="Arial Narrow" w:hAnsi="Arial Narrow" w:cs="Arial"/>
                <w:sz w:val="20"/>
                <w:szCs w:val="20"/>
              </w:rPr>
              <w:t>Patient must not be pregnant or breastfeeding. Patients and their partners must each be using an effective form of contraception if of child-bearing age.</w:t>
            </w:r>
          </w:p>
        </w:tc>
      </w:tr>
      <w:tr w:rsidR="00807B1B" w:rsidRPr="00260CE3" w:rsidTr="00F829D4">
        <w:trPr>
          <w:cantSplit/>
          <w:trHeight w:val="141"/>
        </w:trPr>
        <w:tc>
          <w:tcPr>
            <w:tcW w:w="1843" w:type="dxa"/>
            <w:tcBorders>
              <w:top w:val="single" w:sz="4" w:space="0" w:color="auto"/>
              <w:left w:val="single" w:sz="4" w:space="0" w:color="auto"/>
              <w:bottom w:val="single" w:sz="4" w:space="0" w:color="auto"/>
              <w:right w:val="single" w:sz="4" w:space="0" w:color="auto"/>
            </w:tcBorders>
          </w:tcPr>
          <w:p w:rsidR="00807B1B" w:rsidRDefault="00807B1B" w:rsidP="00B433B4">
            <w:pPr>
              <w:spacing w:after="0" w:line="240" w:lineRule="auto"/>
              <w:rPr>
                <w:rFonts w:ascii="Arial Narrow" w:hAnsi="Arial Narrow" w:cs="Arial"/>
                <w:b/>
                <w:i/>
                <w:sz w:val="20"/>
                <w:szCs w:val="20"/>
              </w:rPr>
            </w:pPr>
            <w:r>
              <w:rPr>
                <w:rFonts w:ascii="Arial Narrow" w:hAnsi="Arial Narrow" w:cs="Arial"/>
                <w:b/>
                <w:i/>
                <w:sz w:val="20"/>
                <w:szCs w:val="20"/>
              </w:rPr>
              <w:t>Population criteria:</w:t>
            </w:r>
          </w:p>
        </w:tc>
        <w:tc>
          <w:tcPr>
            <w:tcW w:w="6521" w:type="dxa"/>
            <w:gridSpan w:val="6"/>
            <w:tcBorders>
              <w:top w:val="single" w:sz="4" w:space="0" w:color="auto"/>
              <w:left w:val="single" w:sz="4" w:space="0" w:color="auto"/>
              <w:bottom w:val="single" w:sz="4" w:space="0" w:color="auto"/>
              <w:right w:val="single" w:sz="4" w:space="0" w:color="auto"/>
            </w:tcBorders>
          </w:tcPr>
          <w:p w:rsidR="00807B1B" w:rsidRPr="00807B1B" w:rsidRDefault="00807B1B" w:rsidP="00B433B4">
            <w:pPr>
              <w:spacing w:after="0" w:line="240" w:lineRule="auto"/>
              <w:rPr>
                <w:rFonts w:ascii="Arial Narrow" w:hAnsi="Arial Narrow" w:cs="Arial"/>
                <w:i/>
                <w:sz w:val="20"/>
                <w:szCs w:val="20"/>
              </w:rPr>
            </w:pPr>
            <w:r>
              <w:rPr>
                <w:rFonts w:ascii="Arial Narrow" w:hAnsi="Arial Narrow" w:cs="Arial"/>
                <w:i/>
                <w:sz w:val="20"/>
                <w:szCs w:val="20"/>
              </w:rPr>
              <w:t>Patient must be aged 18 years or over.</w:t>
            </w:r>
          </w:p>
        </w:tc>
      </w:tr>
      <w:tr w:rsidR="00B50412" w:rsidRPr="00260CE3" w:rsidTr="00F829D4">
        <w:trPr>
          <w:cantSplit/>
          <w:trHeight w:val="141"/>
        </w:trPr>
        <w:tc>
          <w:tcPr>
            <w:tcW w:w="1843" w:type="dxa"/>
            <w:tcBorders>
              <w:top w:val="single" w:sz="4" w:space="0" w:color="auto"/>
              <w:left w:val="single" w:sz="4" w:space="0" w:color="auto"/>
              <w:bottom w:val="single" w:sz="4" w:space="0" w:color="auto"/>
              <w:right w:val="single" w:sz="4" w:space="0" w:color="auto"/>
            </w:tcBorders>
          </w:tcPr>
          <w:p w:rsidR="00B50412" w:rsidRPr="00C87B3A" w:rsidRDefault="00B50412" w:rsidP="00B433B4">
            <w:pPr>
              <w:spacing w:after="0" w:line="240" w:lineRule="auto"/>
              <w:rPr>
                <w:rFonts w:ascii="Arial Narrow" w:hAnsi="Arial Narrow" w:cs="Arial"/>
                <w:b/>
                <w:strike/>
                <w:sz w:val="20"/>
                <w:szCs w:val="20"/>
              </w:rPr>
            </w:pPr>
            <w:r w:rsidRPr="00C87B3A">
              <w:rPr>
                <w:rFonts w:ascii="Arial Narrow" w:hAnsi="Arial Narrow" w:cs="Arial"/>
                <w:b/>
                <w:strike/>
                <w:sz w:val="20"/>
                <w:szCs w:val="20"/>
              </w:rPr>
              <w:t>Patient criteria</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C87B3A" w:rsidRDefault="00B50412" w:rsidP="00B433B4">
            <w:pPr>
              <w:spacing w:after="0" w:line="240" w:lineRule="auto"/>
              <w:rPr>
                <w:rFonts w:ascii="Arial Narrow" w:hAnsi="Arial Narrow" w:cs="Arial"/>
                <w:strike/>
                <w:sz w:val="20"/>
                <w:szCs w:val="20"/>
              </w:rPr>
            </w:pPr>
            <w:r w:rsidRPr="00C87B3A">
              <w:rPr>
                <w:rFonts w:ascii="Arial Narrow" w:hAnsi="Arial Narrow" w:cs="Arial"/>
                <w:strike/>
                <w:sz w:val="20"/>
                <w:szCs w:val="20"/>
              </w:rPr>
              <w:t>Not for use in patients with:</w:t>
            </w:r>
          </w:p>
          <w:p w:rsidR="00B50412" w:rsidRPr="00C87B3A" w:rsidRDefault="00B50412" w:rsidP="00B433B4">
            <w:pPr>
              <w:spacing w:after="0" w:line="240" w:lineRule="auto"/>
              <w:rPr>
                <w:rFonts w:ascii="Arial Narrow" w:hAnsi="Arial Narrow" w:cs="Arial"/>
                <w:strike/>
                <w:sz w:val="20"/>
                <w:szCs w:val="20"/>
              </w:rPr>
            </w:pPr>
            <w:r w:rsidRPr="00C87B3A">
              <w:rPr>
                <w:rFonts w:ascii="Arial Narrow" w:hAnsi="Arial Narrow" w:cs="Arial"/>
                <w:strike/>
                <w:sz w:val="20"/>
                <w:szCs w:val="20"/>
              </w:rPr>
              <w:t>Patient must not be pregnant or breastfeeding. Patients and their partners must each be using an effective form of contraception if of child-bearing age.</w:t>
            </w:r>
          </w:p>
          <w:p w:rsidR="00B50412" w:rsidRPr="00C87B3A" w:rsidRDefault="00B50412" w:rsidP="00B433B4">
            <w:pPr>
              <w:spacing w:after="0" w:line="240" w:lineRule="auto"/>
              <w:rPr>
                <w:rFonts w:ascii="Arial Narrow" w:hAnsi="Arial Narrow" w:cs="Arial"/>
                <w:strike/>
                <w:sz w:val="20"/>
                <w:szCs w:val="20"/>
              </w:rPr>
            </w:pPr>
            <w:r w:rsidRPr="00C87B3A">
              <w:rPr>
                <w:rFonts w:ascii="Arial Narrow" w:hAnsi="Arial Narrow" w:cs="Arial"/>
                <w:strike/>
                <w:sz w:val="20"/>
                <w:szCs w:val="20"/>
              </w:rPr>
              <w:t>history of heparin-induced thrombocytopenia</w:t>
            </w:r>
          </w:p>
          <w:p w:rsidR="00B50412" w:rsidRPr="00C87B3A" w:rsidRDefault="00B50412" w:rsidP="00B433B4">
            <w:pPr>
              <w:spacing w:after="0" w:line="240" w:lineRule="auto"/>
              <w:rPr>
                <w:rFonts w:ascii="Arial Narrow" w:hAnsi="Arial Narrow" w:cs="Arial"/>
                <w:strike/>
                <w:sz w:val="20"/>
                <w:szCs w:val="20"/>
              </w:rPr>
            </w:pPr>
            <w:r w:rsidRPr="00C87B3A">
              <w:rPr>
                <w:rFonts w:ascii="Arial Narrow" w:hAnsi="Arial Narrow" w:cs="Arial"/>
                <w:strike/>
                <w:sz w:val="20"/>
                <w:szCs w:val="20"/>
              </w:rPr>
              <w:t xml:space="preserve">unsatisfactory cardio-circulatory function </w:t>
            </w:r>
          </w:p>
          <w:p w:rsidR="00B50412" w:rsidRPr="009C36F0" w:rsidRDefault="00B50412" w:rsidP="00B433B4">
            <w:pPr>
              <w:spacing w:after="0" w:line="240" w:lineRule="auto"/>
              <w:rPr>
                <w:rFonts w:ascii="Arial Narrow" w:hAnsi="Arial Narrow" w:cs="Arial"/>
                <w:sz w:val="20"/>
                <w:szCs w:val="20"/>
                <w:highlight w:val="green"/>
              </w:rPr>
            </w:pPr>
            <w:r w:rsidRPr="00C87B3A">
              <w:rPr>
                <w:rFonts w:ascii="Arial Narrow" w:hAnsi="Arial Narrow" w:cs="Arial"/>
                <w:strike/>
                <w:sz w:val="20"/>
                <w:szCs w:val="20"/>
              </w:rPr>
              <w:t>Patients with known sensitivity to psoralen compounds</w:t>
            </w:r>
          </w:p>
        </w:tc>
      </w:tr>
      <w:tr w:rsidR="00B50412" w:rsidRPr="00260CE3" w:rsidTr="00F829D4">
        <w:trPr>
          <w:cantSplit/>
          <w:trHeight w:val="141"/>
        </w:trPr>
        <w:tc>
          <w:tcPr>
            <w:tcW w:w="1843" w:type="dxa"/>
            <w:tcBorders>
              <w:top w:val="single" w:sz="4" w:space="0" w:color="auto"/>
              <w:left w:val="single" w:sz="4" w:space="0" w:color="auto"/>
              <w:bottom w:val="single" w:sz="4" w:space="0" w:color="auto"/>
              <w:right w:val="single" w:sz="4" w:space="0" w:color="auto"/>
            </w:tcBorders>
          </w:tcPr>
          <w:p w:rsidR="00B50412" w:rsidRPr="00C87B3A" w:rsidRDefault="00B50412" w:rsidP="00B433B4">
            <w:pPr>
              <w:spacing w:after="0" w:line="240" w:lineRule="auto"/>
              <w:rPr>
                <w:rFonts w:ascii="Arial Narrow" w:hAnsi="Arial Narrow" w:cs="Arial"/>
                <w:b/>
                <w:strike/>
                <w:sz w:val="20"/>
                <w:szCs w:val="20"/>
              </w:rPr>
            </w:pPr>
            <w:r>
              <w:rPr>
                <w:rFonts w:ascii="Arial Narrow" w:hAnsi="Arial Narrow" w:cs="Arial"/>
                <w:b/>
                <w:strike/>
                <w:sz w:val="20"/>
                <w:szCs w:val="20"/>
              </w:rPr>
              <w:t>Note</w:t>
            </w:r>
          </w:p>
        </w:tc>
        <w:tc>
          <w:tcPr>
            <w:tcW w:w="6521" w:type="dxa"/>
            <w:gridSpan w:val="6"/>
            <w:tcBorders>
              <w:top w:val="single" w:sz="4" w:space="0" w:color="auto"/>
              <w:left w:val="single" w:sz="4" w:space="0" w:color="auto"/>
              <w:bottom w:val="single" w:sz="4" w:space="0" w:color="auto"/>
              <w:right w:val="single" w:sz="4" w:space="0" w:color="auto"/>
            </w:tcBorders>
          </w:tcPr>
          <w:p w:rsidR="00B50412" w:rsidRPr="00C87B3A" w:rsidRDefault="00B50412" w:rsidP="00B433B4">
            <w:pPr>
              <w:spacing w:after="0" w:line="240" w:lineRule="auto"/>
              <w:rPr>
                <w:rFonts w:ascii="Arial Narrow" w:hAnsi="Arial Narrow" w:cs="Arial"/>
                <w:strike/>
                <w:sz w:val="20"/>
                <w:szCs w:val="20"/>
              </w:rPr>
            </w:pPr>
            <w:r w:rsidRPr="00C87B3A">
              <w:rPr>
                <w:rFonts w:ascii="Arial Narrow" w:hAnsi="Arial Narrow" w:cs="Arial"/>
                <w:strike/>
                <w:sz w:val="20"/>
                <w:szCs w:val="20"/>
              </w:rPr>
              <w:t>Treatment centres are required to have access to the specialised haematologists for the provision of clinical consultation services for CTCL</w:t>
            </w:r>
          </w:p>
        </w:tc>
      </w:tr>
    </w:tbl>
    <w:p w:rsidR="00B50412" w:rsidRDefault="00B50412" w:rsidP="00B50412">
      <w:pPr>
        <w:spacing w:after="0" w:line="240" w:lineRule="auto"/>
        <w:rPr>
          <w:rFonts w:ascii="Arial Narrow" w:hAnsi="Arial Narrow" w:cs="Arial"/>
          <w:sz w:val="20"/>
          <w:szCs w:val="20"/>
        </w:rPr>
      </w:pPr>
      <w:r w:rsidRPr="00F41FF3">
        <w:rPr>
          <w:rFonts w:ascii="Arial Narrow" w:hAnsi="Arial Narrow" w:cs="Arial"/>
          <w:sz w:val="20"/>
          <w:szCs w:val="20"/>
          <w:vertAlign w:val="superscript"/>
        </w:rPr>
        <w:t>a</w:t>
      </w:r>
      <w:r w:rsidRPr="00725FEB">
        <w:rPr>
          <w:rFonts w:ascii="Arial Narrow" w:hAnsi="Arial Narrow" w:cs="Arial"/>
          <w:sz w:val="20"/>
          <w:szCs w:val="20"/>
        </w:rPr>
        <w:t xml:space="preserve"> Calculated as </w:t>
      </w:r>
      <w:r>
        <w:rPr>
          <w:rFonts w:ascii="Arial Narrow" w:hAnsi="Arial Narrow" w:cs="Arial"/>
          <w:sz w:val="20"/>
          <w:szCs w:val="20"/>
        </w:rPr>
        <w:t xml:space="preserve">the DPMQ for a single vial of </w:t>
      </w:r>
      <w:r w:rsidRPr="00725FEB">
        <w:rPr>
          <w:rFonts w:ascii="Arial Narrow" w:hAnsi="Arial Narrow" w:cs="Arial"/>
          <w:sz w:val="20"/>
          <w:szCs w:val="20"/>
        </w:rPr>
        <w:t>$</w:t>
      </w:r>
      <w:r w:rsidR="00022B8C">
        <w:rPr>
          <w:rFonts w:ascii="Arial Narrow" w:hAnsi="Arial Narrow" w:cs="Arial"/>
          <w:noProof/>
          <w:color w:val="000000"/>
          <w:sz w:val="20"/>
          <w:szCs w:val="20"/>
          <w:highlight w:val="black"/>
        </w:rPr>
        <w:t>'''''''''''''''''</w:t>
      </w:r>
      <w:r w:rsidRPr="00CD34D3">
        <w:rPr>
          <w:rFonts w:ascii="Arial Narrow" w:hAnsi="Arial Narrow" w:cs="Arial"/>
          <w:sz w:val="20"/>
          <w:szCs w:val="20"/>
        </w:rPr>
        <w:t xml:space="preserve"> x12</w:t>
      </w:r>
      <w:r w:rsidRPr="00725FEB">
        <w:rPr>
          <w:rFonts w:ascii="Arial Narrow" w:hAnsi="Arial Narrow" w:cs="Arial"/>
          <w:sz w:val="20"/>
          <w:szCs w:val="20"/>
        </w:rPr>
        <w:t xml:space="preserve"> </w:t>
      </w:r>
      <w:r>
        <w:rPr>
          <w:rFonts w:ascii="Arial Narrow" w:hAnsi="Arial Narrow" w:cs="Arial"/>
          <w:sz w:val="20"/>
          <w:szCs w:val="20"/>
        </w:rPr>
        <w:t xml:space="preserve">to give an indication of the DPMQ </w:t>
      </w:r>
      <w:r w:rsidRPr="00725FEB">
        <w:rPr>
          <w:rFonts w:ascii="Arial Narrow" w:hAnsi="Arial Narrow" w:cs="Arial"/>
          <w:sz w:val="20"/>
          <w:szCs w:val="20"/>
        </w:rPr>
        <w:t>pending confirmation of the requested pack size, noting that different mark-ups and a single dispensing fee would apply</w:t>
      </w:r>
      <w:r>
        <w:rPr>
          <w:rFonts w:ascii="Arial Narrow" w:hAnsi="Arial Narrow" w:cs="Arial"/>
          <w:sz w:val="20"/>
          <w:szCs w:val="20"/>
        </w:rPr>
        <w:t xml:space="preserve"> to a pack of 12 vials</w:t>
      </w:r>
      <w:r w:rsidRPr="00725FEB">
        <w:rPr>
          <w:rFonts w:ascii="Arial Narrow" w:hAnsi="Arial Narrow" w:cs="Arial"/>
          <w:sz w:val="20"/>
          <w:szCs w:val="20"/>
        </w:rPr>
        <w:t>.</w:t>
      </w:r>
    </w:p>
    <w:p w:rsidR="00B50412" w:rsidRDefault="00B50412" w:rsidP="00B50412">
      <w:pPr>
        <w:spacing w:after="0" w:line="240" w:lineRule="auto"/>
        <w:rPr>
          <w:rFonts w:ascii="Arial Narrow" w:hAnsi="Arial Narrow" w:cs="Arial"/>
          <w:sz w:val="20"/>
          <w:szCs w:val="20"/>
        </w:rPr>
      </w:pPr>
      <w:r w:rsidRPr="00F41FF3">
        <w:rPr>
          <w:rFonts w:ascii="Arial Narrow" w:hAnsi="Arial Narrow" w:cs="Arial"/>
          <w:sz w:val="20"/>
          <w:szCs w:val="20"/>
          <w:vertAlign w:val="superscript"/>
        </w:rPr>
        <w:t>b</w:t>
      </w:r>
      <w:r>
        <w:rPr>
          <w:rFonts w:ascii="Arial Narrow" w:hAnsi="Arial Narrow" w:cs="Arial"/>
          <w:sz w:val="20"/>
          <w:szCs w:val="20"/>
        </w:rPr>
        <w:t xml:space="preserve"> Accreditation would be better linked to the ECP service via the MBS item descriptor.</w:t>
      </w:r>
    </w:p>
    <w:p w:rsidR="00523073" w:rsidRDefault="00523073" w:rsidP="00523073">
      <w:pPr>
        <w:pStyle w:val="ESnumberedparablue"/>
      </w:pPr>
      <w:r>
        <w:t xml:space="preserve">The proposed PBS restriction was for a narrower patient group than the indication presented in the draft </w:t>
      </w:r>
      <w:r w:rsidR="004406F6">
        <w:t>TGA Product Information (</w:t>
      </w:r>
      <w:r>
        <w:t>PI</w:t>
      </w:r>
      <w:r w:rsidR="004406F6">
        <w:t>).  T</w:t>
      </w:r>
      <w:r>
        <w:t>he draft PI indication was for patients with CTCL stage T2-T4 who have not been responsive to other forms of treatment (including skin-directed treatments) compared with erythrodermic stage T4 M0 CTCL (III-IVa) who are refractory to one or more systematic treatments. The proposed TGA indication from the draft PI did not preclude use of ECP in patients with visceral disease (M1).</w:t>
      </w:r>
    </w:p>
    <w:p w:rsidR="00B9519E" w:rsidRDefault="00B9519E" w:rsidP="00B9519E">
      <w:pPr>
        <w:pStyle w:val="ESnumberedparablue"/>
      </w:pPr>
      <w:r w:rsidRPr="00523073">
        <w:t xml:space="preserve">The proposed 50% skin score response </w:t>
      </w:r>
      <w:r w:rsidR="007831F6">
        <w:t>wa</w:t>
      </w:r>
      <w:r w:rsidRPr="00523073">
        <w:t>s not consistent with an “adequate response” as defined in the</w:t>
      </w:r>
      <w:r>
        <w:t xml:space="preserve"> draft TGA </w:t>
      </w:r>
      <w:r w:rsidRPr="00523073">
        <w:t>PI</w:t>
      </w:r>
      <w:r w:rsidR="001D68AE">
        <w:t>. The draft PI state</w:t>
      </w:r>
      <w:r w:rsidR="007831F6">
        <w:t>d</w:t>
      </w:r>
      <w:r w:rsidRPr="00523073">
        <w:t xml:space="preserve"> that “an ‘adequate response’ is considered to be a 25% improvement in the skin score maintained for at least 4 weeks”, based on a skin score determination </w:t>
      </w:r>
      <w:r w:rsidR="001D68AE">
        <w:t>scale</w:t>
      </w:r>
      <w:r w:rsidRPr="00523073">
        <w:t xml:space="preserve"> </w:t>
      </w:r>
      <w:r w:rsidRPr="00523073">
        <w:lastRenderedPageBreak/>
        <w:t xml:space="preserve">outlined in the PI. </w:t>
      </w:r>
      <w:r w:rsidR="001D68AE">
        <w:t>Additionally, the draft PI state</w:t>
      </w:r>
      <w:r w:rsidR="007831F6">
        <w:t>d</w:t>
      </w:r>
      <w:r w:rsidR="001D68AE">
        <w:t xml:space="preserve"> that, “</w:t>
      </w:r>
      <w:r w:rsidR="001D68AE" w:rsidRPr="001D68AE">
        <w:t>To avoid short-lived, modest waxing and waning of skin lesions being confused with an improvement that is real, any positive changes in skin lesions must be maintained for at least four weeks to be con</w:t>
      </w:r>
      <w:r w:rsidR="001D68AE">
        <w:t xml:space="preserve">sidered clinically significant.” </w:t>
      </w:r>
      <w:r w:rsidRPr="00523073">
        <w:t xml:space="preserve">A definition of an “adequate response” in the draft PI that is less stringent than the proposed PBS criterion may lead to leakage in patients with lower response levels in clinical practice. The proposed restriction was also silent on whether the skin score response should be maintained for a minimum duration </w:t>
      </w:r>
      <w:r w:rsidR="00F829D4">
        <w:t>(e.g. 4 weeks as per the PI).</w:t>
      </w:r>
    </w:p>
    <w:p w:rsidR="001D68AE" w:rsidRDefault="001D68AE" w:rsidP="00B9519E">
      <w:pPr>
        <w:pStyle w:val="ESnumberedparablue"/>
      </w:pPr>
      <w:r>
        <w:t>The Pre-S</w:t>
      </w:r>
      <w:r w:rsidR="00F829D4">
        <w:t>ubcommittee Response (PSCR)</w:t>
      </w:r>
      <w:r>
        <w:t xml:space="preserve"> requested that the criterion for patients to demonstrate a response based on an assessment of the skin score response from baseline be removed. The PSCR instead proposed the prescribing instructions to be, “A response to initial therapy is based on lack of progression or a patient must demonstrate clinical benefit”. This is inconsistent with the </w:t>
      </w:r>
      <w:r w:rsidR="0057645A">
        <w:t xml:space="preserve">criteria to determine an ‘adequate response’ in the </w:t>
      </w:r>
      <w:r>
        <w:t>draft TGA PI</w:t>
      </w:r>
      <w:r w:rsidR="0057645A">
        <w:t xml:space="preserve"> as outlined in </w:t>
      </w:r>
      <w:r w:rsidR="0057645A" w:rsidRPr="00807B1B">
        <w:t>paragraph 2.3</w:t>
      </w:r>
      <w:r w:rsidR="00F829D4">
        <w:t xml:space="preserve"> above.</w:t>
      </w:r>
    </w:p>
    <w:p w:rsidR="00523073" w:rsidRDefault="00523073" w:rsidP="001A253A">
      <w:pPr>
        <w:pStyle w:val="ESnumberedparablue"/>
      </w:pPr>
      <w:r>
        <w:t xml:space="preserve">The proposed PBS restriction did not state that methoxsalen cannot be used with other systemic CTCL therapies. The inclusion of clinical criteria stating “The treatment must be the sole PBS-subsidised therapy for this condition” would be appropriate and consistent with the proposed vorinostat listing from March 2017 PBAC meeting. </w:t>
      </w:r>
    </w:p>
    <w:p w:rsidR="001A253A" w:rsidRDefault="001A253A" w:rsidP="001A253A">
      <w:pPr>
        <w:pStyle w:val="ESnumberedparablue"/>
      </w:pPr>
      <w:r>
        <w:t>There was no maximum quantity, number of repeats or recommended treatment regimen proposed in the submission. The evaluation assumed the pack size of 12 vials would be sufficient for approximately six months of initial treatment. However, this quantity would represent more than one year’s treatment in the continuation phase, which may result in wastage and associated financial implications.</w:t>
      </w:r>
    </w:p>
    <w:p w:rsidR="0057645A" w:rsidRDefault="0057645A" w:rsidP="001A253A">
      <w:pPr>
        <w:pStyle w:val="ESnumberedparablue"/>
      </w:pPr>
      <w:r>
        <w:t xml:space="preserve">The PSCR proposed one pack of 12 vials with no repeats for both the initial and continuing treatment listings. The PSCR suggested that whole vials not used for an individual patient can be used by the hospital to treat a subsequent patient. However, this would not mitigate issues with wastage and financial implications to the PBS. </w:t>
      </w:r>
    </w:p>
    <w:p w:rsidR="00523073" w:rsidRDefault="00523073" w:rsidP="006C2AE4">
      <w:pPr>
        <w:pStyle w:val="ESnumberedparablue"/>
      </w:pPr>
      <w:r>
        <w:t>The proposed PBS restriction should state: for patients a</w:t>
      </w:r>
      <w:r w:rsidR="00B9519E">
        <w:t xml:space="preserve">ged 18 years and over, to align with the proposed MBS item descriptor. </w:t>
      </w:r>
    </w:p>
    <w:p w:rsidR="00B9519E" w:rsidRDefault="00B9519E" w:rsidP="00B9519E">
      <w:pPr>
        <w:pStyle w:val="ESnumberedparablue"/>
      </w:pPr>
      <w:r>
        <w:t>The proposed PBS listing was broadly consistent with the financial estimates.</w:t>
      </w:r>
    </w:p>
    <w:p w:rsidR="00B9519E" w:rsidRPr="00925688" w:rsidRDefault="001C57C3" w:rsidP="006C2AE4">
      <w:pPr>
        <w:pStyle w:val="ESnumberedparablue"/>
      </w:pPr>
      <w:r>
        <w:t>The PSCR clarified that the dispensed price for maximum quantity of one pack with 12 vials is $</w:t>
      </w:r>
      <w:r w:rsidR="00022B8C">
        <w:rPr>
          <w:noProof/>
          <w:color w:val="000000"/>
          <w:highlight w:val="black"/>
        </w:rPr>
        <w:t>''''''''''''''''</w:t>
      </w:r>
      <w:r>
        <w:t xml:space="preserve">. </w:t>
      </w:r>
    </w:p>
    <w:p w:rsidR="00CC5D02" w:rsidRPr="00925688" w:rsidRDefault="00CC5D02" w:rsidP="00CC5D02">
      <w:pPr>
        <w:pStyle w:val="Heading1"/>
        <w:keepLines/>
        <w:numPr>
          <w:ilvl w:val="0"/>
          <w:numId w:val="5"/>
        </w:numPr>
        <w:spacing w:before="400" w:after="120" w:line="240" w:lineRule="auto"/>
        <w:ind w:left="709" w:hanging="709"/>
        <w:rPr>
          <w:rFonts w:asciiTheme="minorHAnsi" w:eastAsiaTheme="majorEastAsia" w:hAnsiTheme="minorHAnsi" w:cstheme="majorBidi"/>
          <w:caps/>
          <w:sz w:val="32"/>
          <w:szCs w:val="28"/>
        </w:rPr>
      </w:pPr>
      <w:bookmarkStart w:id="11" w:name="_Toc413139273"/>
      <w:bookmarkStart w:id="12" w:name="_Toc476306883"/>
      <w:bookmarkStart w:id="13" w:name="_Toc482796745"/>
      <w:r w:rsidRPr="00925688">
        <w:rPr>
          <w:rFonts w:asciiTheme="minorHAnsi" w:eastAsiaTheme="majorEastAsia" w:hAnsiTheme="minorHAnsi" w:cstheme="majorBidi"/>
          <w:sz w:val="32"/>
          <w:szCs w:val="28"/>
        </w:rPr>
        <w:lastRenderedPageBreak/>
        <w:t>Background</w:t>
      </w:r>
      <w:bookmarkEnd w:id="11"/>
      <w:bookmarkEnd w:id="12"/>
      <w:bookmarkEnd w:id="13"/>
    </w:p>
    <w:p w:rsidR="00CC5D02" w:rsidRPr="00925688" w:rsidRDefault="00CC5D02" w:rsidP="00CC5D02">
      <w:pPr>
        <w:numPr>
          <w:ilvl w:val="0"/>
          <w:numId w:val="4"/>
        </w:numPr>
        <w:spacing w:before="200" w:after="120" w:line="240" w:lineRule="auto"/>
        <w:rPr>
          <w:rFonts w:ascii="Arial Bold" w:hAnsi="Arial Bold"/>
          <w:b/>
          <w:vanish/>
        </w:rPr>
      </w:pPr>
    </w:p>
    <w:p w:rsidR="00F829D4" w:rsidRPr="00F829D4" w:rsidRDefault="00B50412" w:rsidP="00B50412">
      <w:pPr>
        <w:pStyle w:val="ESnumberedparablue"/>
      </w:pPr>
      <w:r w:rsidRPr="00F829D4">
        <w:rPr>
          <w:color w:val="auto"/>
          <w:szCs w:val="22"/>
        </w:rPr>
        <w:t xml:space="preserve">Methoxsalen was submitted to the TGA in October 2016. A recommendation by the TGA delegate for the treatment of CTCL </w:t>
      </w:r>
      <w:r w:rsidR="00F829D4" w:rsidRPr="00F829D4">
        <w:rPr>
          <w:color w:val="auto"/>
          <w:szCs w:val="22"/>
        </w:rPr>
        <w:t>wa</w:t>
      </w:r>
      <w:r w:rsidRPr="00F829D4">
        <w:rPr>
          <w:color w:val="auto"/>
          <w:szCs w:val="22"/>
        </w:rPr>
        <w:t xml:space="preserve">s </w:t>
      </w:r>
      <w:r w:rsidR="00F829D4" w:rsidRPr="00F829D4">
        <w:rPr>
          <w:color w:val="auto"/>
          <w:szCs w:val="22"/>
        </w:rPr>
        <w:t>scheduled for</w:t>
      </w:r>
      <w:r w:rsidR="00F829D4">
        <w:rPr>
          <w:color w:val="auto"/>
          <w:szCs w:val="22"/>
        </w:rPr>
        <w:t xml:space="preserve"> November 2017.</w:t>
      </w:r>
    </w:p>
    <w:p w:rsidR="00CC5D02" w:rsidRPr="00420405" w:rsidRDefault="00B50412" w:rsidP="00B50412">
      <w:pPr>
        <w:pStyle w:val="ESnumberedparablue"/>
      </w:pPr>
      <w:r w:rsidRPr="00F829D4">
        <w:rPr>
          <w:color w:val="auto"/>
          <w:szCs w:val="22"/>
        </w:rPr>
        <w:t>The proposed TGA indication was not stated in the submission. The draft (PI) stated the following proposed indication:</w:t>
      </w:r>
      <w:r w:rsidR="00F829D4">
        <w:rPr>
          <w:color w:val="auto"/>
          <w:szCs w:val="22"/>
        </w:rPr>
        <w:t xml:space="preserve"> </w:t>
      </w:r>
      <w:r w:rsidRPr="00F829D4">
        <w:rPr>
          <w:color w:val="auto"/>
          <w:szCs w:val="22"/>
        </w:rPr>
        <w:t>UVADEX is used in conjunction with either the THERAKOS® CELLEX® or the UVAR XTS® Photopheresis System in the palliative treatment of the skin manifestations (patch plaque, extensive plaque, erythroderma) of advanced stage (T2 – T4) cutaneous T-cell lymphoma (CTCL), only in patients who have not been responsive to other forms of treatment, (e.g. puva</w:t>
      </w:r>
      <w:r w:rsidR="00420405">
        <w:rPr>
          <w:color w:val="auto"/>
          <w:szCs w:val="22"/>
        </w:rPr>
        <w:t xml:space="preserve"> </w:t>
      </w:r>
      <w:r w:rsidRPr="00F829D4">
        <w:rPr>
          <w:color w:val="auto"/>
          <w:szCs w:val="22"/>
        </w:rPr>
        <w:t>therapy, systemic corticosteroids, caryolysin, interferon alpha).</w:t>
      </w:r>
    </w:p>
    <w:p w:rsidR="00420405" w:rsidRPr="00420405" w:rsidRDefault="00420405" w:rsidP="00420405">
      <w:pPr>
        <w:pStyle w:val="Heading2"/>
        <w:keepLines/>
        <w:spacing w:after="120" w:line="240" w:lineRule="auto"/>
        <w:rPr>
          <w:rFonts w:asciiTheme="minorHAnsi" w:eastAsiaTheme="majorEastAsia" w:hAnsiTheme="minorHAnsi" w:cstheme="majorBidi"/>
          <w:bCs w:val="0"/>
          <w:iCs w:val="0"/>
          <w:sz w:val="28"/>
          <w:lang w:eastAsia="en-US"/>
        </w:rPr>
      </w:pPr>
      <w:r w:rsidRPr="00CC5D02">
        <w:rPr>
          <w:rFonts w:asciiTheme="minorHAnsi" w:eastAsiaTheme="majorEastAsia" w:hAnsiTheme="minorHAnsi" w:cstheme="majorBidi"/>
          <w:bCs w:val="0"/>
          <w:iCs w:val="0"/>
          <w:sz w:val="28"/>
          <w:lang w:eastAsia="en-US"/>
        </w:rPr>
        <w:t>Spons</w:t>
      </w:r>
      <w:r w:rsidRPr="00420405">
        <w:rPr>
          <w:rFonts w:asciiTheme="minorHAnsi" w:eastAsiaTheme="majorEastAsia" w:hAnsiTheme="minorHAnsi" w:cstheme="majorBidi"/>
          <w:bCs w:val="0"/>
          <w:iCs w:val="0"/>
          <w:sz w:val="28"/>
          <w:lang w:eastAsia="en-US"/>
        </w:rPr>
        <w:t>or hearing</w:t>
      </w:r>
    </w:p>
    <w:p w:rsidR="00420405" w:rsidRPr="00860E18" w:rsidRDefault="00420405" w:rsidP="00420405">
      <w:pPr>
        <w:numPr>
          <w:ilvl w:val="1"/>
          <w:numId w:val="4"/>
        </w:numPr>
        <w:spacing w:before="120" w:after="160" w:line="240" w:lineRule="auto"/>
        <w:jc w:val="left"/>
        <w:rPr>
          <w:rFonts w:asciiTheme="minorHAnsi" w:hAnsiTheme="minorHAnsi" w:cs="Arial"/>
          <w:bCs/>
          <w:snapToGrid w:val="0"/>
          <w:sz w:val="24"/>
          <w:szCs w:val="24"/>
        </w:rPr>
      </w:pPr>
      <w:r w:rsidRPr="00860E18">
        <w:rPr>
          <w:rFonts w:asciiTheme="minorHAnsi" w:hAnsiTheme="minorHAnsi" w:cs="Arial"/>
          <w:bCs/>
          <w:snapToGrid w:val="0"/>
          <w:sz w:val="24"/>
          <w:szCs w:val="24"/>
        </w:rPr>
        <w:t>There was no hearing for this item.</w:t>
      </w:r>
    </w:p>
    <w:p w:rsidR="00420405" w:rsidRPr="00CC5D02" w:rsidRDefault="00420405" w:rsidP="00420405">
      <w:pPr>
        <w:pStyle w:val="Heading2"/>
        <w:keepLines/>
        <w:spacing w:after="120" w:line="240" w:lineRule="auto"/>
        <w:rPr>
          <w:rFonts w:asciiTheme="minorHAnsi" w:eastAsiaTheme="majorEastAsia" w:hAnsiTheme="minorHAnsi" w:cstheme="majorBidi"/>
          <w:bCs w:val="0"/>
          <w:iCs w:val="0"/>
          <w:sz w:val="28"/>
          <w:lang w:eastAsia="en-US"/>
        </w:rPr>
      </w:pPr>
      <w:r w:rsidRPr="00420405">
        <w:rPr>
          <w:rFonts w:asciiTheme="minorHAnsi" w:eastAsiaTheme="majorEastAsia" w:hAnsiTheme="minorHAnsi" w:cstheme="majorBidi"/>
          <w:bCs w:val="0"/>
          <w:iCs w:val="0"/>
          <w:sz w:val="28"/>
          <w:lang w:eastAsia="en-US"/>
        </w:rPr>
        <w:t>Consu</w:t>
      </w:r>
      <w:r w:rsidRPr="00CC5D02">
        <w:rPr>
          <w:rFonts w:asciiTheme="minorHAnsi" w:eastAsiaTheme="majorEastAsia" w:hAnsiTheme="minorHAnsi" w:cstheme="majorBidi"/>
          <w:bCs w:val="0"/>
          <w:iCs w:val="0"/>
          <w:sz w:val="28"/>
          <w:lang w:eastAsia="en-US"/>
        </w:rPr>
        <w:t>mer comments</w:t>
      </w:r>
    </w:p>
    <w:p w:rsidR="00420405" w:rsidRPr="00860E18" w:rsidRDefault="00420405" w:rsidP="00420405">
      <w:pPr>
        <w:numPr>
          <w:ilvl w:val="1"/>
          <w:numId w:val="4"/>
        </w:numPr>
        <w:spacing w:before="120" w:after="160" w:line="240" w:lineRule="auto"/>
        <w:jc w:val="left"/>
        <w:rPr>
          <w:rFonts w:asciiTheme="minorHAnsi" w:hAnsiTheme="minorHAnsi" w:cs="Arial"/>
          <w:bCs/>
          <w:snapToGrid w:val="0"/>
          <w:sz w:val="24"/>
          <w:szCs w:val="24"/>
        </w:rPr>
      </w:pPr>
      <w:r w:rsidRPr="00860E18">
        <w:rPr>
          <w:rFonts w:asciiTheme="minorHAnsi" w:hAnsiTheme="minorHAnsi" w:cs="Arial"/>
          <w:bCs/>
          <w:snapToGrid w:val="0"/>
          <w:sz w:val="24"/>
          <w:szCs w:val="24"/>
        </w:rPr>
        <w:t>No consumer comments were received for this item.</w:t>
      </w:r>
    </w:p>
    <w:p w:rsidR="00CC5D02" w:rsidRPr="00925688" w:rsidRDefault="00CC5D02" w:rsidP="00CC5D02">
      <w:pPr>
        <w:pStyle w:val="Heading1"/>
        <w:keepLines/>
        <w:numPr>
          <w:ilvl w:val="0"/>
          <w:numId w:val="5"/>
        </w:numPr>
        <w:spacing w:before="400" w:after="120" w:line="240" w:lineRule="auto"/>
        <w:ind w:left="709" w:hanging="709"/>
        <w:rPr>
          <w:rFonts w:asciiTheme="minorHAnsi" w:eastAsiaTheme="majorEastAsia" w:hAnsiTheme="minorHAnsi" w:cstheme="majorBidi"/>
          <w:caps/>
          <w:sz w:val="32"/>
          <w:szCs w:val="28"/>
        </w:rPr>
      </w:pPr>
      <w:bookmarkStart w:id="14" w:name="_Toc476306884"/>
      <w:bookmarkStart w:id="15" w:name="_Toc482796746"/>
      <w:r w:rsidRPr="00925688">
        <w:rPr>
          <w:rFonts w:asciiTheme="minorHAnsi" w:eastAsiaTheme="majorEastAsia" w:hAnsiTheme="minorHAnsi" w:cstheme="majorBidi"/>
          <w:sz w:val="32"/>
          <w:szCs w:val="28"/>
        </w:rPr>
        <w:t>Population and disease</w:t>
      </w:r>
      <w:bookmarkEnd w:id="14"/>
      <w:bookmarkEnd w:id="15"/>
    </w:p>
    <w:p w:rsidR="00CC5D02" w:rsidRPr="00925688" w:rsidRDefault="00CC5D02" w:rsidP="00CC5D02">
      <w:pPr>
        <w:numPr>
          <w:ilvl w:val="0"/>
          <w:numId w:val="4"/>
        </w:numPr>
        <w:spacing w:before="200" w:after="120" w:line="240" w:lineRule="auto"/>
        <w:rPr>
          <w:b/>
          <w:vanish/>
        </w:rPr>
      </w:pPr>
    </w:p>
    <w:p w:rsidR="00E12EB7" w:rsidRPr="00E12EB7" w:rsidRDefault="00E12EB7" w:rsidP="00E12EB7">
      <w:pPr>
        <w:pStyle w:val="ESnumberedparablue"/>
        <w:rPr>
          <w:color w:val="auto"/>
          <w:szCs w:val="22"/>
        </w:rPr>
      </w:pPr>
      <w:r w:rsidRPr="00E12EB7">
        <w:rPr>
          <w:color w:val="auto"/>
          <w:szCs w:val="22"/>
        </w:rPr>
        <w:t>The submission requested listing ECP with methoxsalen for treatment of patients with erythrodermic (stage T4</w:t>
      </w:r>
      <w:r w:rsidR="00C23BAA">
        <w:rPr>
          <w:color w:val="auto"/>
          <w:szCs w:val="22"/>
        </w:rPr>
        <w:t xml:space="preserve"> [</w:t>
      </w:r>
      <w:r w:rsidRPr="00E12EB7">
        <w:rPr>
          <w:color w:val="auto"/>
          <w:szCs w:val="22"/>
        </w:rPr>
        <w:t xml:space="preserve">which corresponds to stages </w:t>
      </w:r>
      <w:r w:rsidR="00C23BAA">
        <w:rPr>
          <w:color w:val="auto"/>
          <w:szCs w:val="22"/>
        </w:rPr>
        <w:t>III, IIIA, IIIB, IVA1, and IVA2]</w:t>
      </w:r>
      <w:r w:rsidRPr="00E12EB7">
        <w:rPr>
          <w:color w:val="auto"/>
          <w:szCs w:val="22"/>
        </w:rPr>
        <w:t xml:space="preserve">, M0) CTCL, who are refractory to one or more systemic treatments. The </w:t>
      </w:r>
      <w:r w:rsidR="00F829D4">
        <w:rPr>
          <w:color w:val="auto"/>
          <w:szCs w:val="22"/>
        </w:rPr>
        <w:t xml:space="preserve">requested </w:t>
      </w:r>
      <w:r w:rsidRPr="00E12EB7">
        <w:rPr>
          <w:color w:val="auto"/>
          <w:szCs w:val="22"/>
        </w:rPr>
        <w:t>eligible population w</w:t>
      </w:r>
      <w:r w:rsidR="00F829D4">
        <w:rPr>
          <w:color w:val="auto"/>
          <w:szCs w:val="22"/>
        </w:rPr>
        <w:t>ould</w:t>
      </w:r>
      <w:r w:rsidRPr="00E12EB7">
        <w:rPr>
          <w:color w:val="auto"/>
          <w:szCs w:val="22"/>
        </w:rPr>
        <w:t xml:space="preserve"> have extensive skin disease (erythema covering ≥ 80% body surface area), variable blood and lymph node involvement but no disease in visceral organs. In the pivotal study, Hughes et al. 2015, approximately 89% of patients treated with ECP had stage T4 skin disease and 97% were without organ disease (M0).</w:t>
      </w:r>
    </w:p>
    <w:p w:rsidR="00E12EB7" w:rsidRPr="00E12EB7" w:rsidRDefault="00E12EB7" w:rsidP="00E12EB7">
      <w:pPr>
        <w:pStyle w:val="ESnumberedparablue"/>
        <w:rPr>
          <w:color w:val="auto"/>
          <w:szCs w:val="22"/>
        </w:rPr>
      </w:pPr>
      <w:r w:rsidRPr="00E12EB7">
        <w:rPr>
          <w:color w:val="auto"/>
          <w:szCs w:val="22"/>
        </w:rPr>
        <w:t>CTCL is a rare disease with an annual incidence of 0.23</w:t>
      </w:r>
      <w:r w:rsidR="00F829D4">
        <w:rPr>
          <w:color w:val="auto"/>
          <w:szCs w:val="22"/>
        </w:rPr>
        <w:t>-0.75 per 100,000 in Australia.</w:t>
      </w:r>
    </w:p>
    <w:p w:rsidR="00E12EB7" w:rsidRPr="00CC5D02" w:rsidRDefault="00E12EB7" w:rsidP="00E12EB7">
      <w:pPr>
        <w:pStyle w:val="ESnumberedparablue"/>
      </w:pPr>
      <w:r w:rsidRPr="00E12EB7">
        <w:rPr>
          <w:color w:val="auto"/>
          <w:szCs w:val="22"/>
        </w:rPr>
        <w:t>The submission stated that there is a high unmet clinical need for patients with refractory erythrodermic (stage T4 Mo) CTCL.</w:t>
      </w:r>
    </w:p>
    <w:p w:rsidR="00CC5D02" w:rsidRPr="00925688" w:rsidRDefault="00CC5D02" w:rsidP="00CC5D02">
      <w:pPr>
        <w:pStyle w:val="Heading1"/>
        <w:keepLines/>
        <w:numPr>
          <w:ilvl w:val="0"/>
          <w:numId w:val="5"/>
        </w:numPr>
        <w:spacing w:before="400" w:after="120" w:line="240" w:lineRule="auto"/>
        <w:ind w:left="709" w:hanging="709"/>
        <w:rPr>
          <w:rFonts w:asciiTheme="minorHAnsi" w:eastAsiaTheme="majorEastAsia" w:hAnsiTheme="minorHAnsi" w:cstheme="majorBidi"/>
          <w:caps/>
          <w:sz w:val="32"/>
          <w:szCs w:val="28"/>
        </w:rPr>
      </w:pPr>
      <w:bookmarkStart w:id="16" w:name="_Toc413139275"/>
      <w:bookmarkStart w:id="17" w:name="_Toc476306885"/>
      <w:bookmarkStart w:id="18" w:name="_Toc482796747"/>
      <w:r w:rsidRPr="00925688">
        <w:rPr>
          <w:rFonts w:asciiTheme="minorHAnsi" w:eastAsiaTheme="majorEastAsia" w:hAnsiTheme="minorHAnsi" w:cstheme="majorBidi"/>
          <w:sz w:val="32"/>
          <w:szCs w:val="28"/>
        </w:rPr>
        <w:t>Comparator</w:t>
      </w:r>
      <w:bookmarkEnd w:id="16"/>
      <w:bookmarkEnd w:id="17"/>
      <w:bookmarkEnd w:id="18"/>
    </w:p>
    <w:p w:rsidR="00CC5D02" w:rsidRPr="00925688" w:rsidRDefault="00CC5D02" w:rsidP="00CC5D02">
      <w:pPr>
        <w:numPr>
          <w:ilvl w:val="0"/>
          <w:numId w:val="4"/>
        </w:numPr>
        <w:spacing w:before="200" w:after="120" w:line="240" w:lineRule="auto"/>
        <w:rPr>
          <w:b/>
          <w:vanish/>
        </w:rPr>
      </w:pPr>
    </w:p>
    <w:p w:rsidR="00E12EB7" w:rsidRPr="00E12EB7" w:rsidRDefault="00E12EB7" w:rsidP="00E12EB7">
      <w:pPr>
        <w:pStyle w:val="ESnumberedparablue"/>
        <w:rPr>
          <w:color w:val="auto"/>
          <w:szCs w:val="22"/>
        </w:rPr>
      </w:pPr>
      <w:r w:rsidRPr="00E12EB7">
        <w:rPr>
          <w:color w:val="auto"/>
          <w:szCs w:val="22"/>
        </w:rPr>
        <w:t>The submission nominated a basket of second-line treatments as the main comparator. The basket included three PBS</w:t>
      </w:r>
      <w:r w:rsidR="00F829D4">
        <w:rPr>
          <w:color w:val="auto"/>
          <w:szCs w:val="22"/>
        </w:rPr>
        <w:t>-</w:t>
      </w:r>
      <w:r w:rsidRPr="00E12EB7">
        <w:rPr>
          <w:color w:val="auto"/>
          <w:szCs w:val="22"/>
        </w:rPr>
        <w:t xml:space="preserve">listed immunomodulation agents: interferon alfa-2b, low dose methotrexate, and alemtuzumab as the treatments most likely to be replaced in practice. However, the submission stated that ECP is not expected to replace any therapy; rather, it </w:t>
      </w:r>
      <w:r w:rsidR="00F829D4">
        <w:rPr>
          <w:color w:val="auto"/>
          <w:szCs w:val="22"/>
        </w:rPr>
        <w:t xml:space="preserve">would </w:t>
      </w:r>
      <w:r w:rsidR="00F829D4">
        <w:rPr>
          <w:color w:val="auto"/>
          <w:szCs w:val="22"/>
        </w:rPr>
        <w:lastRenderedPageBreak/>
        <w:t>provide</w:t>
      </w:r>
      <w:r w:rsidRPr="00E12EB7">
        <w:rPr>
          <w:color w:val="auto"/>
          <w:szCs w:val="22"/>
        </w:rPr>
        <w:t xml:space="preserve"> an alternative second-line (or latter) treatment option for patients with refractory erythrodermic (sta</w:t>
      </w:r>
      <w:r w:rsidR="009536EF">
        <w:rPr>
          <w:color w:val="auto"/>
          <w:szCs w:val="22"/>
        </w:rPr>
        <w:t>ge T4 M0) CTCL</w:t>
      </w:r>
      <w:r w:rsidRPr="00E12EB7">
        <w:rPr>
          <w:color w:val="auto"/>
          <w:szCs w:val="22"/>
        </w:rPr>
        <w:t xml:space="preserve">. This was consistent with the submission’s </w:t>
      </w:r>
      <w:r w:rsidR="009536EF">
        <w:rPr>
          <w:color w:val="auto"/>
          <w:szCs w:val="22"/>
        </w:rPr>
        <w:t>economic mode</w:t>
      </w:r>
      <w:r w:rsidR="000539B2">
        <w:rPr>
          <w:color w:val="auto"/>
          <w:szCs w:val="22"/>
        </w:rPr>
        <w:t>l</w:t>
      </w:r>
      <w:r w:rsidRPr="00E12EB7">
        <w:rPr>
          <w:color w:val="auto"/>
          <w:szCs w:val="22"/>
        </w:rPr>
        <w:t xml:space="preserve"> and financial estimates (</w:t>
      </w:r>
      <w:r w:rsidR="000539B2">
        <w:rPr>
          <w:color w:val="auto"/>
          <w:szCs w:val="22"/>
        </w:rPr>
        <w:t>which did not claim any cost</w:t>
      </w:r>
      <w:r w:rsidRPr="00E12EB7">
        <w:rPr>
          <w:color w:val="auto"/>
          <w:szCs w:val="22"/>
        </w:rPr>
        <w:t xml:space="preserve"> offsets for </w:t>
      </w:r>
      <w:r w:rsidR="000539B2">
        <w:rPr>
          <w:color w:val="auto"/>
          <w:szCs w:val="22"/>
        </w:rPr>
        <w:t xml:space="preserve">the </w:t>
      </w:r>
      <w:r w:rsidR="009536EF">
        <w:rPr>
          <w:color w:val="auto"/>
          <w:szCs w:val="22"/>
        </w:rPr>
        <w:t>comparator</w:t>
      </w:r>
      <w:r w:rsidRPr="00E12EB7">
        <w:rPr>
          <w:color w:val="auto"/>
          <w:szCs w:val="22"/>
        </w:rPr>
        <w:t>).</w:t>
      </w:r>
    </w:p>
    <w:p w:rsidR="00E12EB7" w:rsidRPr="00E12EB7" w:rsidRDefault="00E12EB7" w:rsidP="00A91E57">
      <w:pPr>
        <w:pStyle w:val="ESnumberedparablue"/>
      </w:pPr>
      <w:r w:rsidRPr="00E12EB7">
        <w:t xml:space="preserve">The comparators were based on a survey of 20 Australian clinicians that was undertaken at the request of the </w:t>
      </w:r>
      <w:r w:rsidR="00A91E57" w:rsidRPr="00A91E57">
        <w:rPr>
          <w:color w:val="auto"/>
          <w:szCs w:val="22"/>
        </w:rPr>
        <w:t>PICO Advisory Sub-committee</w:t>
      </w:r>
      <w:r w:rsidR="00A91E57">
        <w:rPr>
          <w:color w:val="auto"/>
          <w:szCs w:val="22"/>
        </w:rPr>
        <w:t xml:space="preserve"> (</w:t>
      </w:r>
      <w:r w:rsidRPr="00E12EB7">
        <w:t>PASC</w:t>
      </w:r>
      <w:r w:rsidR="00A91E57">
        <w:t>)</w:t>
      </w:r>
      <w:r w:rsidRPr="00E12EB7">
        <w:t xml:space="preserve">. The comparators were consistent with the </w:t>
      </w:r>
      <w:r w:rsidR="000539B2">
        <w:t xml:space="preserve">Protocol confirming the </w:t>
      </w:r>
      <w:r w:rsidRPr="00E12EB7">
        <w:t>PICO</w:t>
      </w:r>
      <w:r w:rsidR="00B56C28">
        <w:t>.  The submission</w:t>
      </w:r>
      <w:r w:rsidRPr="00E12EB7">
        <w:t xml:space="preserve"> stated that alemtuzumab is not registered for use in CTCL, and </w:t>
      </w:r>
      <w:r w:rsidR="000539B2">
        <w:t xml:space="preserve">that </w:t>
      </w:r>
      <w:r w:rsidRPr="00E12EB7">
        <w:t>its use in this disease is currently experimental. Interferon alfa-2b is also not TGA-</w:t>
      </w:r>
      <w:r w:rsidR="000539B2">
        <w:t>registered</w:t>
      </w:r>
      <w:r w:rsidRPr="00E12EB7">
        <w:t xml:space="preserve"> for CTCL, how</w:t>
      </w:r>
      <w:r w:rsidR="000539B2">
        <w:t>ever, interferon alfa-2a is TGA-</w:t>
      </w:r>
      <w:r w:rsidRPr="00E12EB7">
        <w:t>registered for</w:t>
      </w:r>
      <w:r w:rsidR="000539B2">
        <w:t xml:space="preserve"> CTCL. Both interferons are PBS-</w:t>
      </w:r>
      <w:r w:rsidRPr="00E12EB7">
        <w:t>listed for low grade non-Hodgkin lymphomas when treated with an anthracycline. Methot</w:t>
      </w:r>
      <w:r w:rsidR="00101CC4">
        <w:t>r</w:t>
      </w:r>
      <w:r w:rsidRPr="00E12EB7">
        <w:t>exate has an unrestricted benefit list</w:t>
      </w:r>
      <w:r w:rsidR="009536EF">
        <w:t>ing on the PBS</w:t>
      </w:r>
      <w:r w:rsidRPr="00E12EB7">
        <w:t xml:space="preserve">. Therefore, methotrexate is the only comparator </w:t>
      </w:r>
      <w:r w:rsidR="005109BB">
        <w:t xml:space="preserve">identified </w:t>
      </w:r>
      <w:r w:rsidRPr="00E12EB7">
        <w:t>that is currently</w:t>
      </w:r>
      <w:r w:rsidR="009536EF">
        <w:t xml:space="preserve"> PBS</w:t>
      </w:r>
      <w:r w:rsidRPr="00E12EB7">
        <w:t xml:space="preserve"> subsidised</w:t>
      </w:r>
      <w:r w:rsidR="005109BB">
        <w:t xml:space="preserve"> for CTCL</w:t>
      </w:r>
      <w:r w:rsidRPr="00E12EB7">
        <w:t>.</w:t>
      </w:r>
    </w:p>
    <w:p w:rsidR="00E12EB7" w:rsidRPr="00E12EB7" w:rsidRDefault="00B56C28" w:rsidP="00E12EB7">
      <w:pPr>
        <w:pStyle w:val="ESnumberedparablue"/>
        <w:rPr>
          <w:color w:val="auto"/>
          <w:szCs w:val="22"/>
        </w:rPr>
      </w:pPr>
      <w:r>
        <w:rPr>
          <w:color w:val="auto"/>
          <w:szCs w:val="22"/>
        </w:rPr>
        <w:t>The evaluation considered that a</w:t>
      </w:r>
      <w:r w:rsidR="00E12EB7" w:rsidRPr="00E12EB7">
        <w:rPr>
          <w:color w:val="auto"/>
          <w:szCs w:val="22"/>
        </w:rPr>
        <w:t>lemtuzumab was not an appropriate comparator for second-line CTCL therapy. Data from Hughes et al. 2015, the key Australian observational study presented in the submission, suggested alemtuzumab was more commonly used as a third or fourt</w:t>
      </w:r>
      <w:r w:rsidR="009536EF">
        <w:rPr>
          <w:color w:val="auto"/>
          <w:szCs w:val="22"/>
        </w:rPr>
        <w:t>h line therapy</w:t>
      </w:r>
      <w:r w:rsidR="00E12EB7" w:rsidRPr="00E12EB7">
        <w:rPr>
          <w:color w:val="auto"/>
          <w:szCs w:val="22"/>
        </w:rPr>
        <w:t>. This appeared consistent with its use under compassionate access schemes, limited evidence for CTCL, significant adverse events, and high cost. The 2017 National Comprehensive Cancer Network (NCCN) guidelines for T-cell lymphomas recommend alemtuzumab for patients with Stage III disease following multiple therapies or for patients with Stage IV disease (patients with SS) after multiple therapies, including combination therapies.</w:t>
      </w:r>
    </w:p>
    <w:p w:rsidR="00E12EB7" w:rsidRPr="00E12EB7" w:rsidRDefault="00E12EB7" w:rsidP="00E12EB7">
      <w:pPr>
        <w:pStyle w:val="ESnumberedparablue"/>
        <w:rPr>
          <w:color w:val="auto"/>
          <w:szCs w:val="22"/>
        </w:rPr>
      </w:pPr>
      <w:r w:rsidRPr="00E12EB7">
        <w:rPr>
          <w:color w:val="auto"/>
          <w:szCs w:val="22"/>
        </w:rPr>
        <w:t>The economi</w:t>
      </w:r>
      <w:r w:rsidR="009536EF">
        <w:rPr>
          <w:color w:val="auto"/>
          <w:szCs w:val="22"/>
        </w:rPr>
        <w:t xml:space="preserve">c evaluation </w:t>
      </w:r>
      <w:r w:rsidR="005109BB">
        <w:rPr>
          <w:color w:val="auto"/>
          <w:szCs w:val="22"/>
        </w:rPr>
        <w:t xml:space="preserve">in the submission </w:t>
      </w:r>
      <w:r w:rsidR="009536EF">
        <w:rPr>
          <w:color w:val="auto"/>
          <w:szCs w:val="22"/>
        </w:rPr>
        <w:t>applied</w:t>
      </w:r>
      <w:r w:rsidRPr="00E12EB7">
        <w:rPr>
          <w:color w:val="auto"/>
          <w:szCs w:val="22"/>
        </w:rPr>
        <w:t xml:space="preserve"> the </w:t>
      </w:r>
      <w:r w:rsidR="005109BB">
        <w:rPr>
          <w:color w:val="auto"/>
          <w:szCs w:val="22"/>
        </w:rPr>
        <w:t xml:space="preserve">following </w:t>
      </w:r>
      <w:r w:rsidRPr="00E12EB7">
        <w:rPr>
          <w:color w:val="auto"/>
          <w:szCs w:val="22"/>
        </w:rPr>
        <w:t>weighted comparator of the top three second-line treatmen</w:t>
      </w:r>
      <w:r w:rsidR="009536EF">
        <w:rPr>
          <w:color w:val="auto"/>
          <w:szCs w:val="22"/>
        </w:rPr>
        <w:t xml:space="preserve">ts: </w:t>
      </w:r>
      <w:r w:rsidRPr="00E12EB7">
        <w:rPr>
          <w:color w:val="auto"/>
          <w:szCs w:val="22"/>
        </w:rPr>
        <w:t xml:space="preserve">interferon alfa (32%), methotrexate (46%), </w:t>
      </w:r>
      <w:r w:rsidR="009536EF">
        <w:rPr>
          <w:color w:val="auto"/>
          <w:szCs w:val="22"/>
        </w:rPr>
        <w:t xml:space="preserve">and </w:t>
      </w:r>
      <w:r w:rsidRPr="00E12EB7">
        <w:rPr>
          <w:color w:val="auto"/>
          <w:szCs w:val="22"/>
        </w:rPr>
        <w:t>ale</w:t>
      </w:r>
      <w:r w:rsidR="009536EF">
        <w:rPr>
          <w:color w:val="auto"/>
          <w:szCs w:val="22"/>
        </w:rPr>
        <w:t>mtuzumab (22%)</w:t>
      </w:r>
      <w:r w:rsidRPr="00E12EB7">
        <w:rPr>
          <w:color w:val="auto"/>
          <w:szCs w:val="22"/>
        </w:rPr>
        <w:t>.</w:t>
      </w:r>
    </w:p>
    <w:p w:rsidR="00E12EB7" w:rsidRPr="00B56C28" w:rsidRDefault="009536EF" w:rsidP="00E12EB7">
      <w:pPr>
        <w:pStyle w:val="ESnumberedparablue"/>
      </w:pPr>
      <w:r>
        <w:rPr>
          <w:color w:val="auto"/>
          <w:szCs w:val="22"/>
        </w:rPr>
        <w:t>The evaluation considered that v</w:t>
      </w:r>
      <w:r w:rsidR="00E12EB7" w:rsidRPr="00E12EB7">
        <w:rPr>
          <w:color w:val="auto"/>
          <w:szCs w:val="22"/>
        </w:rPr>
        <w:t xml:space="preserve">orinostat (a histone deacetylase inhibitor (HDACi)) may become a </w:t>
      </w:r>
      <w:r>
        <w:rPr>
          <w:color w:val="auto"/>
          <w:szCs w:val="22"/>
        </w:rPr>
        <w:t xml:space="preserve">relevant comparator if it </w:t>
      </w:r>
      <w:r w:rsidR="005109BB">
        <w:rPr>
          <w:color w:val="auto"/>
          <w:szCs w:val="22"/>
        </w:rPr>
        <w:t>is</w:t>
      </w:r>
      <w:r w:rsidR="00E12EB7" w:rsidRPr="00E12EB7">
        <w:rPr>
          <w:color w:val="auto"/>
          <w:szCs w:val="22"/>
        </w:rPr>
        <w:t xml:space="preserve"> listed </w:t>
      </w:r>
      <w:r>
        <w:rPr>
          <w:color w:val="auto"/>
          <w:szCs w:val="22"/>
        </w:rPr>
        <w:t>i</w:t>
      </w:r>
      <w:r w:rsidR="00E12EB7" w:rsidRPr="00E12EB7">
        <w:rPr>
          <w:color w:val="auto"/>
          <w:szCs w:val="22"/>
        </w:rPr>
        <w:t>n the PBS. Vorinostat was recommended at the March 2017 PBAC meeting for relapsed or chemotherapy refractory CTCL. It was noted the clinical place for vorinostat is typically third-</w:t>
      </w:r>
      <w:r>
        <w:rPr>
          <w:color w:val="auto"/>
          <w:szCs w:val="22"/>
        </w:rPr>
        <w:t>line or later</w:t>
      </w:r>
      <w:r w:rsidR="00E12EB7" w:rsidRPr="00E12EB7">
        <w:rPr>
          <w:color w:val="auto"/>
          <w:szCs w:val="22"/>
        </w:rPr>
        <w:t>.</w:t>
      </w:r>
    </w:p>
    <w:p w:rsidR="00B56C28" w:rsidRPr="00CC5D02" w:rsidRDefault="00B56C28" w:rsidP="006C2AE4">
      <w:pPr>
        <w:pStyle w:val="ESnumberedparablue"/>
      </w:pPr>
      <w:r>
        <w:t>The PSCR stated that</w:t>
      </w:r>
      <w:r w:rsidR="005109BB">
        <w:t>,</w:t>
      </w:r>
      <w:r>
        <w:t xml:space="preserve"> f</w:t>
      </w:r>
      <w:r w:rsidRPr="00B56C28">
        <w:t>or patients with advanced-stage CTCL, IFN-α2β or methotrexate are considered first-line</w:t>
      </w:r>
      <w:r w:rsidR="005109BB">
        <w:t>,</w:t>
      </w:r>
      <w:r w:rsidRPr="00B56C28">
        <w:t xml:space="preserve"> with IFN-α2β the preferred option unless the patient cannot tolerate IFN-α2β therapy</w:t>
      </w:r>
      <w:r>
        <w:t>; and that clinical feedback suggest</w:t>
      </w:r>
      <w:r w:rsidR="005109BB">
        <w:t>ed</w:t>
      </w:r>
      <w:r>
        <w:t xml:space="preserve"> t</w:t>
      </w:r>
      <w:r w:rsidRPr="00C567C1">
        <w:t>reatment choice</w:t>
      </w:r>
      <w:r>
        <w:t xml:space="preserve"> in the second-line setting</w:t>
      </w:r>
      <w:r w:rsidRPr="00C567C1">
        <w:t xml:space="preserve"> </w:t>
      </w:r>
      <w:r>
        <w:t>is individualised based on disease severity and stage as well as</w:t>
      </w:r>
      <w:r w:rsidRPr="00C567C1">
        <w:t xml:space="preserve"> patient location</w:t>
      </w:r>
      <w:r>
        <w:t xml:space="preserve">. The PSCR therefore argued that a </w:t>
      </w:r>
      <w:r w:rsidRPr="00B56C28">
        <w:t>basket of comparators is appropriate</w:t>
      </w:r>
      <w:r w:rsidR="005109BB">
        <w:t xml:space="preserve"> rather than a single therapy.</w:t>
      </w:r>
    </w:p>
    <w:p w:rsidR="00D2395B" w:rsidRDefault="00D2395B" w:rsidP="00D2395B">
      <w:pPr>
        <w:pStyle w:val="Heading1"/>
        <w:keepLines/>
        <w:numPr>
          <w:ilvl w:val="0"/>
          <w:numId w:val="5"/>
        </w:numPr>
        <w:spacing w:before="400" w:after="120" w:line="240" w:lineRule="auto"/>
        <w:ind w:left="709" w:hanging="709"/>
        <w:rPr>
          <w:rFonts w:asciiTheme="minorHAnsi" w:eastAsiaTheme="majorEastAsia" w:hAnsiTheme="minorHAnsi" w:cstheme="majorBidi"/>
          <w:sz w:val="32"/>
          <w:szCs w:val="28"/>
        </w:rPr>
      </w:pPr>
      <w:r w:rsidRPr="009B6A45">
        <w:rPr>
          <w:rFonts w:asciiTheme="minorHAnsi" w:eastAsiaTheme="majorEastAsia" w:hAnsiTheme="minorHAnsi" w:cstheme="majorBidi"/>
          <w:sz w:val="32"/>
          <w:szCs w:val="28"/>
        </w:rPr>
        <w:lastRenderedPageBreak/>
        <w:t>PBAC Outcome</w:t>
      </w:r>
    </w:p>
    <w:p w:rsidR="009B6A45" w:rsidRPr="009B6A45" w:rsidRDefault="009B6A45" w:rsidP="009B6A45">
      <w:pPr>
        <w:numPr>
          <w:ilvl w:val="1"/>
          <w:numId w:val="5"/>
        </w:numPr>
        <w:spacing w:after="120" w:line="240" w:lineRule="auto"/>
        <w:rPr>
          <w:rFonts w:asciiTheme="minorHAnsi" w:hAnsiTheme="minorHAnsi"/>
          <w:b/>
          <w:bCs/>
          <w:sz w:val="24"/>
          <w:szCs w:val="24"/>
          <w:lang w:val="en-GB"/>
        </w:rPr>
      </w:pPr>
      <w:r w:rsidRPr="009B6A45">
        <w:rPr>
          <w:rFonts w:asciiTheme="minorHAnsi" w:hAnsiTheme="minorHAnsi"/>
          <w:bCs/>
          <w:sz w:val="24"/>
          <w:szCs w:val="24"/>
          <w:lang w:val="en-GB"/>
        </w:rPr>
        <w:t>The PBAC deferred its consideration of methoxsalen until both a TGA delegate’s overview and an MSAC intention to support the codependent extracorporeal photopheresis (ECP) service via the MBS are available. The PBAC foreshadowed its support for recommending that methoxsalen be listed and stated that, if MSAC subsequently decides to support the MBS listing of ECP for the treatment of erythrodermic cutaneous T-cell lymphoma, it would support an expedited process for reconsideration to align any PBAC recommendation for listing methoxsalen according to the circumstances supported by MSAC.</w:t>
      </w:r>
    </w:p>
    <w:p w:rsidR="00A22201" w:rsidRDefault="00D2395B" w:rsidP="00BB2D97">
      <w:pPr>
        <w:spacing w:before="240" w:after="120"/>
        <w:rPr>
          <w:rFonts w:asciiTheme="minorHAnsi" w:hAnsiTheme="minorHAnsi"/>
          <w:bCs/>
          <w:sz w:val="24"/>
          <w:szCs w:val="24"/>
          <w:lang w:val="en-GB"/>
        </w:rPr>
      </w:pPr>
      <w:r w:rsidRPr="009B6A45">
        <w:rPr>
          <w:b/>
          <w:sz w:val="28"/>
          <w:lang w:val="en-GB"/>
        </w:rPr>
        <w:t>Outcome</w:t>
      </w:r>
      <w:proofErr w:type="gramStart"/>
      <w:r w:rsidRPr="009B6A45">
        <w:rPr>
          <w:b/>
          <w:sz w:val="28"/>
          <w:lang w:val="en-GB"/>
        </w:rPr>
        <w:t>:</w:t>
      </w:r>
      <w:proofErr w:type="gramEnd"/>
      <w:r w:rsidR="007514A5">
        <w:rPr>
          <w:b/>
          <w:sz w:val="28"/>
          <w:lang w:val="en-GB"/>
        </w:rPr>
        <w:br/>
      </w:r>
      <w:bookmarkStart w:id="19" w:name="_GoBack"/>
      <w:bookmarkEnd w:id="19"/>
      <w:r w:rsidR="00A22201">
        <w:rPr>
          <w:rFonts w:asciiTheme="minorHAnsi" w:hAnsiTheme="minorHAnsi"/>
          <w:bCs/>
          <w:sz w:val="24"/>
          <w:szCs w:val="24"/>
          <w:lang w:val="en-GB"/>
        </w:rPr>
        <w:t>Deferred</w:t>
      </w:r>
    </w:p>
    <w:p w:rsidR="00A22201" w:rsidRPr="00A22201" w:rsidRDefault="00A22201" w:rsidP="00A22201">
      <w:pPr>
        <w:pStyle w:val="Heading1"/>
        <w:keepLines/>
        <w:numPr>
          <w:ilvl w:val="0"/>
          <w:numId w:val="5"/>
        </w:numPr>
        <w:spacing w:before="400" w:after="120" w:line="240" w:lineRule="auto"/>
        <w:ind w:left="709" w:hanging="709"/>
        <w:rPr>
          <w:rFonts w:asciiTheme="minorHAnsi" w:eastAsiaTheme="majorEastAsia" w:hAnsiTheme="minorHAnsi" w:cstheme="majorBidi"/>
          <w:sz w:val="32"/>
          <w:szCs w:val="28"/>
        </w:rPr>
      </w:pPr>
      <w:r w:rsidRPr="00A22201">
        <w:rPr>
          <w:rFonts w:asciiTheme="minorHAnsi" w:eastAsiaTheme="majorEastAsia" w:hAnsiTheme="minorHAnsi" w:cstheme="majorBidi"/>
          <w:sz w:val="32"/>
          <w:szCs w:val="28"/>
        </w:rPr>
        <w:t>Context for Decision</w:t>
      </w:r>
    </w:p>
    <w:p w:rsidR="00A22201" w:rsidRPr="00192F2A" w:rsidRDefault="00A22201" w:rsidP="00192F2A">
      <w:pPr>
        <w:spacing w:after="0" w:line="240" w:lineRule="auto"/>
        <w:rPr>
          <w:rFonts w:asciiTheme="minorHAnsi" w:hAnsiTheme="minorHAnsi" w:cs="Arial"/>
          <w:sz w:val="24"/>
          <w:szCs w:val="24"/>
        </w:rPr>
      </w:pPr>
      <w:r w:rsidRPr="00192F2A">
        <w:rPr>
          <w:rFonts w:asciiTheme="minorHAnsi" w:hAnsiTheme="minorHAnsi" w:cs="Arial"/>
          <w:sz w:val="24"/>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22201" w:rsidRPr="00A22201" w:rsidRDefault="00A22201" w:rsidP="00A22201">
      <w:pPr>
        <w:pStyle w:val="Heading1"/>
        <w:keepLines/>
        <w:numPr>
          <w:ilvl w:val="0"/>
          <w:numId w:val="5"/>
        </w:numPr>
        <w:spacing w:before="400" w:after="120" w:line="240" w:lineRule="auto"/>
        <w:ind w:left="709" w:hanging="709"/>
        <w:rPr>
          <w:rFonts w:asciiTheme="minorHAnsi" w:eastAsiaTheme="majorEastAsia" w:hAnsiTheme="minorHAnsi" w:cstheme="majorBidi"/>
          <w:sz w:val="32"/>
          <w:szCs w:val="28"/>
        </w:rPr>
      </w:pPr>
      <w:r w:rsidRPr="00A22201">
        <w:rPr>
          <w:rFonts w:asciiTheme="minorHAnsi" w:eastAsiaTheme="majorEastAsia" w:hAnsiTheme="minorHAnsi" w:cstheme="majorBidi"/>
          <w:sz w:val="32"/>
          <w:szCs w:val="28"/>
        </w:rPr>
        <w:t>Sponsor’s Comment</w:t>
      </w:r>
    </w:p>
    <w:p w:rsidR="00A22201" w:rsidRPr="002F20E7" w:rsidRDefault="00A22201" w:rsidP="002F20E7">
      <w:pPr>
        <w:spacing w:after="120" w:line="240" w:lineRule="auto"/>
        <w:rPr>
          <w:rFonts w:asciiTheme="minorHAnsi" w:hAnsiTheme="minorHAnsi" w:cs="Arial"/>
          <w:bCs/>
          <w:sz w:val="24"/>
          <w:szCs w:val="24"/>
        </w:rPr>
      </w:pPr>
      <w:r w:rsidRPr="00192F2A">
        <w:rPr>
          <w:rFonts w:asciiTheme="minorHAnsi" w:hAnsiTheme="minorHAnsi" w:cs="Arial"/>
          <w:bCs/>
          <w:sz w:val="24"/>
          <w:szCs w:val="24"/>
        </w:rPr>
        <w:t>The sponsor had no comment.</w:t>
      </w:r>
      <w:bookmarkEnd w:id="0"/>
      <w:bookmarkEnd w:id="1"/>
      <w:bookmarkEnd w:id="2"/>
      <w:bookmarkEnd w:id="3"/>
      <w:bookmarkEnd w:id="4"/>
    </w:p>
    <w:sectPr w:rsidR="00A22201" w:rsidRPr="002F20E7" w:rsidSect="00266F2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14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B8C" w:rsidRDefault="00022B8C" w:rsidP="00CC5D02">
      <w:pPr>
        <w:spacing w:after="0" w:line="240" w:lineRule="auto"/>
      </w:pPr>
      <w:r>
        <w:separator/>
      </w:r>
    </w:p>
  </w:endnote>
  <w:endnote w:type="continuationSeparator" w:id="0">
    <w:p w:rsidR="00022B8C" w:rsidRDefault="00022B8C" w:rsidP="00CC5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8C" w:rsidRDefault="00022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noProof/>
        <w:sz w:val="20"/>
      </w:rPr>
    </w:sdtEndPr>
    <w:sdtContent>
      <w:p w:rsidR="00CC5D02" w:rsidRPr="00CC5D02" w:rsidRDefault="00CC5D02" w:rsidP="00CC5D02">
        <w:pPr>
          <w:pStyle w:val="Footer"/>
          <w:ind w:left="360"/>
          <w:jc w:val="center"/>
        </w:pPr>
      </w:p>
      <w:p w:rsidR="00CC5D02" w:rsidRDefault="00CC5D02" w:rsidP="00CC5D02">
        <w:pPr>
          <w:pStyle w:val="Footer"/>
          <w:ind w:left="360"/>
          <w:jc w:val="center"/>
          <w:rPr>
            <w:noProof/>
            <w:sz w:val="20"/>
          </w:rPr>
        </w:pPr>
        <w:r w:rsidRPr="00CC5D02">
          <w:fldChar w:fldCharType="begin"/>
        </w:r>
        <w:r w:rsidRPr="00CC5D02">
          <w:instrText xml:space="preserve"> PAGE   \* MERGEFORMAT </w:instrText>
        </w:r>
        <w:r w:rsidRPr="00CC5D02">
          <w:fldChar w:fldCharType="separate"/>
        </w:r>
        <w:r w:rsidR="002927BC">
          <w:rPr>
            <w:noProof/>
          </w:rPr>
          <w:t>7</w:t>
        </w:r>
        <w:r w:rsidRPr="00CC5D02">
          <w:rPr>
            <w:noProof/>
          </w:rPr>
          <w:fldChar w:fldCharType="end"/>
        </w:r>
      </w:p>
    </w:sdtContent>
  </w:sdt>
  <w:p w:rsidR="00CC5D02" w:rsidRDefault="00CC5D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8C" w:rsidRDefault="00022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B8C" w:rsidRDefault="00022B8C" w:rsidP="00CC5D02">
      <w:pPr>
        <w:spacing w:after="0" w:line="240" w:lineRule="auto"/>
      </w:pPr>
      <w:r>
        <w:separator/>
      </w:r>
    </w:p>
  </w:footnote>
  <w:footnote w:type="continuationSeparator" w:id="0">
    <w:p w:rsidR="00022B8C" w:rsidRDefault="00022B8C" w:rsidP="00CC5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8C" w:rsidRDefault="00022B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02" w:rsidRPr="00266F23" w:rsidRDefault="00A22201" w:rsidP="00CC5D02">
    <w:pPr>
      <w:pStyle w:val="Header"/>
      <w:ind w:left="360"/>
      <w:jc w:val="center"/>
      <w:rPr>
        <w:i/>
        <w:color w:val="808080"/>
        <w:sz w:val="24"/>
        <w:szCs w:val="24"/>
      </w:rPr>
    </w:pPr>
    <w:r>
      <w:rPr>
        <w:i/>
        <w:color w:val="808080"/>
        <w:sz w:val="24"/>
        <w:szCs w:val="24"/>
      </w:rPr>
      <w:t>Public Summary Document</w:t>
    </w:r>
    <w:r w:rsidR="00CC5D02" w:rsidRPr="00266F23">
      <w:rPr>
        <w:i/>
        <w:color w:val="808080"/>
        <w:sz w:val="24"/>
        <w:szCs w:val="24"/>
      </w:rPr>
      <w:t xml:space="preserve"> – July 2017 PBAC Meeting</w:t>
    </w:r>
  </w:p>
  <w:p w:rsidR="00CC5D02" w:rsidRPr="00DF217D" w:rsidRDefault="00CC5D02" w:rsidP="00CC5D02">
    <w:pPr>
      <w:pStyle w:val="Header"/>
      <w:ind w:left="360"/>
      <w:jc w:val="center"/>
      <w:rPr>
        <w:i/>
        <w:color w:val="808080"/>
      </w:rPr>
    </w:pPr>
  </w:p>
  <w:p w:rsidR="00CC5D02" w:rsidRDefault="00CC5D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8C" w:rsidRDefault="00022B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4C04442"/>
    <w:lvl w:ilvl="0">
      <w:start w:val="1"/>
      <w:numFmt w:val="decimal"/>
      <w:lvlText w:val="%1."/>
      <w:lvlJc w:val="left"/>
      <w:pPr>
        <w:tabs>
          <w:tab w:val="num" w:pos="643"/>
        </w:tabs>
        <w:ind w:left="643"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84E6825"/>
    <w:multiLevelType w:val="multilevel"/>
    <w:tmpl w:val="C3F65C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31FA78B6"/>
    <w:multiLevelType w:val="hybridMultilevel"/>
    <w:tmpl w:val="777C4BD8"/>
    <w:lvl w:ilvl="0" w:tplc="22BABC9C">
      <w:start w:val="1"/>
      <w:numFmt w:val="decimal"/>
      <w:pStyle w:val="ListNumber2"/>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64D6455"/>
    <w:multiLevelType w:val="hybridMultilevel"/>
    <w:tmpl w:val="C8B07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C252901"/>
    <w:multiLevelType w:val="multilevel"/>
    <w:tmpl w:val="77D0E56C"/>
    <w:lvl w:ilvl="0">
      <w:start w:val="1"/>
      <w:numFmt w:val="decimal"/>
      <w:lvlText w:val="A.%1."/>
      <w:lvlJc w:val="left"/>
      <w:pPr>
        <w:ind w:left="1134" w:hanging="1134"/>
      </w:pPr>
      <w:rPr>
        <w:rFonts w:hint="default"/>
        <w:b/>
        <w:i w:val="0"/>
        <w:color w:val="auto"/>
        <w:sz w:val="24"/>
      </w:rPr>
    </w:lvl>
    <w:lvl w:ilvl="1">
      <w:start w:val="1"/>
      <w:numFmt w:val="decimal"/>
      <w:lvlText w:val="%2."/>
      <w:lvlJc w:val="left"/>
      <w:pPr>
        <w:ind w:left="1701" w:hanging="737"/>
      </w:pPr>
      <w:rPr>
        <w:rFonts w:ascii="Calibri" w:hAnsi="Calibri" w:hint="default"/>
        <w:b/>
        <w:i w:val="0"/>
        <w:sz w:val="24"/>
      </w:rPr>
    </w:lvl>
    <w:lvl w:ilvl="2">
      <w:start w:val="1"/>
      <w:numFmt w:val="decimal"/>
      <w:lvlText w:val="B.%3."/>
      <w:lvlJc w:val="left"/>
      <w:pPr>
        <w:ind w:left="1134" w:hanging="1134"/>
      </w:pPr>
      <w:rPr>
        <w:rFonts w:ascii="Calibri" w:hAnsi="Calibri" w:hint="default"/>
        <w:b/>
        <w:i w:val="0"/>
        <w:sz w:val="24"/>
      </w:rPr>
    </w:lvl>
    <w:lvl w:ilvl="3">
      <w:start w:val="1"/>
      <w:numFmt w:val="decimal"/>
      <w:lvlText w:val="%4."/>
      <w:lvlJc w:val="left"/>
      <w:pPr>
        <w:ind w:left="1134" w:hanging="170"/>
      </w:pPr>
      <w:rPr>
        <w:rFonts w:ascii="Calibri" w:hAnsi="Calibri" w:hint="default"/>
        <w:b/>
        <w:i w:val="0"/>
        <w:sz w:val="24"/>
      </w:rPr>
    </w:lvl>
    <w:lvl w:ilvl="4">
      <w:start w:val="1"/>
      <w:numFmt w:val="decimal"/>
      <w:lvlText w:val="C.%5."/>
      <w:lvlJc w:val="left"/>
      <w:pPr>
        <w:ind w:left="1134" w:hanging="1134"/>
      </w:pPr>
      <w:rPr>
        <w:rFonts w:ascii="Calibri" w:hAnsi="Calibri" w:hint="default"/>
        <w:b/>
        <w:i w:val="0"/>
        <w:sz w:val="24"/>
      </w:rPr>
    </w:lvl>
    <w:lvl w:ilvl="5">
      <w:start w:val="1"/>
      <w:numFmt w:val="decimal"/>
      <w:lvlText w:val="%6"/>
      <w:lvlJc w:val="left"/>
      <w:pPr>
        <w:ind w:left="1134" w:hanging="170"/>
      </w:pPr>
      <w:rPr>
        <w:rFonts w:ascii="Calibri" w:hAnsi="Calibri" w:hint="default"/>
        <w:b/>
        <w:i w:val="0"/>
        <w:color w:val="auto"/>
        <w:sz w:val="24"/>
      </w:rPr>
    </w:lvl>
    <w:lvl w:ilvl="6">
      <w:start w:val="1"/>
      <w:numFmt w:val="decimal"/>
      <w:lvlText w:val="D.%7"/>
      <w:lvlJc w:val="left"/>
      <w:pPr>
        <w:ind w:left="1134" w:hanging="1134"/>
      </w:pPr>
      <w:rPr>
        <w:rFonts w:ascii="Calibri" w:hAnsi="Calibri" w:hint="default"/>
        <w:b/>
        <w:i w:val="0"/>
        <w:color w:val="auto"/>
        <w:sz w:val="24"/>
      </w:rPr>
    </w:lvl>
    <w:lvl w:ilvl="7">
      <w:start w:val="1"/>
      <w:numFmt w:val="decimal"/>
      <w:lvlText w:val="%8"/>
      <w:lvlJc w:val="left"/>
      <w:pPr>
        <w:ind w:left="1134" w:hanging="170"/>
      </w:pPr>
      <w:rPr>
        <w:rFonts w:ascii="Calibri" w:hAnsi="Calibri" w:hint="default"/>
        <w:b/>
        <w:i w:val="0"/>
        <w:color w:val="auto"/>
        <w:sz w:val="24"/>
      </w:rPr>
    </w:lvl>
    <w:lvl w:ilvl="8">
      <w:start w:val="1"/>
      <w:numFmt w:val="decimal"/>
      <w:lvlText w:val="E.%9"/>
      <w:lvlJc w:val="left"/>
      <w:pPr>
        <w:ind w:left="1134" w:hanging="1134"/>
      </w:pPr>
      <w:rPr>
        <w:rFonts w:ascii="Calibri" w:hAnsi="Calibri" w:hint="default"/>
        <w:b/>
        <w:i w:val="0"/>
        <w:color w:val="auto"/>
        <w:sz w:val="24"/>
      </w:rPr>
    </w:lvl>
  </w:abstractNum>
  <w:abstractNum w:abstractNumId="7">
    <w:nsid w:val="784D033C"/>
    <w:multiLevelType w:val="multilevel"/>
    <w:tmpl w:val="B514458E"/>
    <w:lvl w:ilvl="0">
      <w:start w:val="1"/>
      <w:numFmt w:val="decimal"/>
      <w:lvlText w:val="%1"/>
      <w:lvlJc w:val="left"/>
      <w:pPr>
        <w:ind w:left="720" w:hanging="720"/>
      </w:pPr>
      <w:rPr>
        <w:rFonts w:hint="default"/>
        <w:b/>
      </w:rPr>
    </w:lvl>
    <w:lvl w:ilvl="1">
      <w:start w:val="1"/>
      <w:numFmt w:val="decimal"/>
      <w:pStyle w:val="ESnumberedparablue"/>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3"/>
  </w:num>
  <w:num w:numId="4">
    <w:abstractNumId w:val="7"/>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768"/>
    <w:rsid w:val="00003743"/>
    <w:rsid w:val="00022B8C"/>
    <w:rsid w:val="000539B2"/>
    <w:rsid w:val="00067456"/>
    <w:rsid w:val="00101CC4"/>
    <w:rsid w:val="00192F2A"/>
    <w:rsid w:val="001A253A"/>
    <w:rsid w:val="001B3443"/>
    <w:rsid w:val="001C57C3"/>
    <w:rsid w:val="001D68AE"/>
    <w:rsid w:val="00247F55"/>
    <w:rsid w:val="00266F23"/>
    <w:rsid w:val="00270B16"/>
    <w:rsid w:val="002927BC"/>
    <w:rsid w:val="002F20E7"/>
    <w:rsid w:val="002F3AE3"/>
    <w:rsid w:val="0030786C"/>
    <w:rsid w:val="003D17F9"/>
    <w:rsid w:val="00420405"/>
    <w:rsid w:val="004406F6"/>
    <w:rsid w:val="004867E2"/>
    <w:rsid w:val="005109BB"/>
    <w:rsid w:val="00523073"/>
    <w:rsid w:val="0057645A"/>
    <w:rsid w:val="005800AA"/>
    <w:rsid w:val="005F3E0E"/>
    <w:rsid w:val="0064267D"/>
    <w:rsid w:val="006A3A60"/>
    <w:rsid w:val="006C2AE4"/>
    <w:rsid w:val="006F0FED"/>
    <w:rsid w:val="007075E7"/>
    <w:rsid w:val="0073535F"/>
    <w:rsid w:val="007514A5"/>
    <w:rsid w:val="007831F6"/>
    <w:rsid w:val="00807B1B"/>
    <w:rsid w:val="008264EB"/>
    <w:rsid w:val="0083671D"/>
    <w:rsid w:val="00860E18"/>
    <w:rsid w:val="009536EF"/>
    <w:rsid w:val="009B6A45"/>
    <w:rsid w:val="00A22201"/>
    <w:rsid w:val="00A4512D"/>
    <w:rsid w:val="00A65504"/>
    <w:rsid w:val="00A70129"/>
    <w:rsid w:val="00A705AF"/>
    <w:rsid w:val="00A91E57"/>
    <w:rsid w:val="00AC0768"/>
    <w:rsid w:val="00AF1053"/>
    <w:rsid w:val="00B42851"/>
    <w:rsid w:val="00B50412"/>
    <w:rsid w:val="00B55A6C"/>
    <w:rsid w:val="00B56C28"/>
    <w:rsid w:val="00B9519E"/>
    <w:rsid w:val="00B96494"/>
    <w:rsid w:val="00BB2D97"/>
    <w:rsid w:val="00C23BAA"/>
    <w:rsid w:val="00CA351A"/>
    <w:rsid w:val="00CB5B1A"/>
    <w:rsid w:val="00CC5D02"/>
    <w:rsid w:val="00CD34D3"/>
    <w:rsid w:val="00CF14B3"/>
    <w:rsid w:val="00D2395B"/>
    <w:rsid w:val="00E12EB7"/>
    <w:rsid w:val="00E70BDC"/>
    <w:rsid w:val="00EA2CA7"/>
    <w:rsid w:val="00EC6545"/>
    <w:rsid w:val="00F829D4"/>
    <w:rsid w:val="00FB6BF3"/>
    <w:rsid w:val="00FC2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0768"/>
    <w:pPr>
      <w:spacing w:after="240" w:line="312" w:lineRule="auto"/>
      <w:jc w:val="both"/>
    </w:pPr>
    <w:rPr>
      <w:rFonts w:ascii="Calibri" w:hAnsi="Calibri" w:cs="Tahoma"/>
      <w:sz w:val="22"/>
      <w:szCs w:val="22"/>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aliases w:val="ESHeading 2"/>
    <w:basedOn w:val="Normal"/>
    <w:next w:val="Normal"/>
    <w:link w:val="Heading2Char"/>
    <w:uiPriority w:val="1"/>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aliases w:val="PBAC Paragraph"/>
    <w:basedOn w:val="Normal"/>
    <w:next w:val="Normal"/>
    <w:link w:val="SubtitleChar"/>
    <w:uiPriority w:val="11"/>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aliases w:val="PBAC Paragraph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character" w:customStyle="1" w:styleId="Heading2Char">
    <w:name w:val="Heading 2 Char"/>
    <w:aliases w:val="ESHeading 2 Char"/>
    <w:link w:val="Heading2"/>
    <w:uiPriority w:val="9"/>
    <w:rsid w:val="00AC0768"/>
    <w:rPr>
      <w:rFonts w:ascii="Arial" w:hAnsi="Arial" w:cs="Arial"/>
      <w:b/>
      <w:bCs/>
      <w:i/>
      <w:iCs/>
      <w:sz w:val="24"/>
      <w:szCs w:val="28"/>
      <w:lang w:eastAsia="en-US"/>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
    <w:basedOn w:val="Normal"/>
    <w:next w:val="Normal"/>
    <w:link w:val="CaptionChar"/>
    <w:qFormat/>
    <w:rsid w:val="00AC0768"/>
    <w:pPr>
      <w:spacing w:after="120" w:line="240" w:lineRule="auto"/>
    </w:pPr>
    <w:rPr>
      <w:rFonts w:ascii="Arial Narrow" w:hAnsi="Arial Narrow"/>
      <w:b/>
      <w:bCs/>
      <w:sz w:val="20"/>
    </w:rPr>
  </w:style>
  <w:style w:type="character" w:customStyle="1" w:styleId="Heading3Char">
    <w:name w:val="Heading 3 Char"/>
    <w:link w:val="Heading3"/>
    <w:rsid w:val="00AC0768"/>
    <w:rPr>
      <w:rFonts w:ascii="Arial" w:hAnsi="Arial" w:cs="Arial"/>
      <w:bCs/>
      <w:sz w:val="24"/>
      <w:szCs w:val="26"/>
      <w:lang w:eastAsia="en-US"/>
    </w:rPr>
  </w:style>
  <w:style w:type="paragraph" w:customStyle="1" w:styleId="Tablecaption">
    <w:name w:val="Table caption"/>
    <w:basedOn w:val="Normal"/>
    <w:link w:val="TablecaptionChar"/>
    <w:qFormat/>
    <w:rsid w:val="00AC0768"/>
    <w:pPr>
      <w:keepNext/>
      <w:keepLines/>
      <w:spacing w:after="0" w:line="240" w:lineRule="auto"/>
    </w:pPr>
    <w:rPr>
      <w:rFonts w:ascii="Arial Narrow" w:hAnsi="Arial Narrow" w:cs="Arial"/>
      <w:sz w:val="20"/>
      <w:szCs w:val="20"/>
      <w:lang w:eastAsia="en-US"/>
    </w:rPr>
  </w:style>
  <w:style w:type="character" w:customStyle="1" w:styleId="TablecaptionChar">
    <w:name w:val="Table caption Char"/>
    <w:basedOn w:val="DefaultParagraphFont"/>
    <w:link w:val="Tablecaption"/>
    <w:rsid w:val="00AC0768"/>
    <w:rPr>
      <w:rFonts w:ascii="Arial Narrow" w:hAnsi="Arial Narrow" w:cs="Arial"/>
      <w:lang w:eastAsia="en-US"/>
    </w:rPr>
  </w:style>
  <w:style w:type="paragraph" w:customStyle="1" w:styleId="TableFooter">
    <w:name w:val="Table Footer"/>
    <w:basedOn w:val="Normal"/>
    <w:qFormat/>
    <w:rsid w:val="00AC0768"/>
    <w:pPr>
      <w:widowControl w:val="0"/>
      <w:spacing w:after="0" w:line="240" w:lineRule="auto"/>
    </w:pPr>
    <w:rPr>
      <w:rFonts w:ascii="Arial Narrow" w:hAnsi="Arial Narrow" w:cs="Arial"/>
      <w:snapToGrid w:val="0"/>
      <w:sz w:val="18"/>
      <w:szCs w:val="20"/>
      <w:lang w:eastAsia="en-US"/>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
    <w:basedOn w:val="DefaultParagraphFont"/>
    <w:link w:val="Caption"/>
    <w:locked/>
    <w:rsid w:val="00AC0768"/>
    <w:rPr>
      <w:rFonts w:ascii="Arial Narrow" w:hAnsi="Arial Narrow" w:cs="Tahoma"/>
      <w:b/>
      <w:bCs/>
      <w:szCs w:val="22"/>
    </w:rPr>
  </w:style>
  <w:style w:type="paragraph" w:styleId="ListNumber2">
    <w:name w:val="List Number 2"/>
    <w:basedOn w:val="Normal"/>
    <w:unhideWhenUsed/>
    <w:rsid w:val="00AC0768"/>
    <w:pPr>
      <w:numPr>
        <w:numId w:val="3"/>
      </w:numPr>
      <w:contextualSpacing/>
    </w:pPr>
  </w:style>
  <w:style w:type="paragraph" w:styleId="BalloonText">
    <w:name w:val="Balloon Text"/>
    <w:basedOn w:val="Normal"/>
    <w:link w:val="BalloonTextChar"/>
    <w:rsid w:val="00AC0768"/>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AC0768"/>
    <w:rPr>
      <w:rFonts w:ascii="Tahoma" w:hAnsi="Tahoma" w:cs="Tahoma"/>
      <w:sz w:val="16"/>
      <w:szCs w:val="16"/>
    </w:rPr>
  </w:style>
  <w:style w:type="paragraph" w:styleId="Header">
    <w:name w:val="header"/>
    <w:aliases w:val="Page Header,Header title,he=header,cntr/bld"/>
    <w:basedOn w:val="Normal"/>
    <w:link w:val="HeaderChar"/>
    <w:uiPriority w:val="99"/>
    <w:rsid w:val="00CC5D02"/>
    <w:pPr>
      <w:tabs>
        <w:tab w:val="center" w:pos="4513"/>
        <w:tab w:val="right" w:pos="9026"/>
      </w:tabs>
      <w:spacing w:after="0" w:line="240" w:lineRule="auto"/>
    </w:pPr>
  </w:style>
  <w:style w:type="character" w:customStyle="1" w:styleId="HeaderChar">
    <w:name w:val="Header Char"/>
    <w:aliases w:val="Page Header Char,Header title Char,he=header Char,cntr/bld Char"/>
    <w:basedOn w:val="DefaultParagraphFont"/>
    <w:link w:val="Header"/>
    <w:uiPriority w:val="99"/>
    <w:rsid w:val="00CC5D02"/>
    <w:rPr>
      <w:rFonts w:ascii="Calibri" w:hAnsi="Calibri" w:cs="Tahoma"/>
      <w:sz w:val="22"/>
      <w:szCs w:val="22"/>
    </w:rPr>
  </w:style>
  <w:style w:type="paragraph" w:styleId="Footer">
    <w:name w:val="footer"/>
    <w:basedOn w:val="Normal"/>
    <w:link w:val="FooterChar"/>
    <w:uiPriority w:val="99"/>
    <w:rsid w:val="00CC5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D02"/>
    <w:rPr>
      <w:rFonts w:ascii="Calibri" w:hAnsi="Calibri" w:cs="Tahoma"/>
      <w:sz w:val="22"/>
      <w:szCs w:val="22"/>
    </w:rPr>
  </w:style>
  <w:style w:type="paragraph" w:customStyle="1" w:styleId="ESnumberedpara">
    <w:name w:val="ES numbered para"/>
    <w:basedOn w:val="Normal"/>
    <w:link w:val="ESnumberedparaChar"/>
    <w:qFormat/>
    <w:rsid w:val="00CC5D02"/>
    <w:pPr>
      <w:spacing w:before="120" w:after="160" w:line="240" w:lineRule="auto"/>
      <w:ind w:left="720" w:hanging="720"/>
    </w:pPr>
    <w:rPr>
      <w:rFonts w:ascii="Arial" w:eastAsiaTheme="minorHAnsi" w:hAnsi="Arial" w:cstheme="minorBidi"/>
      <w:lang w:eastAsia="en-US"/>
    </w:rPr>
  </w:style>
  <w:style w:type="character" w:customStyle="1" w:styleId="ESnumberedparaChar">
    <w:name w:val="ES numbered para Char"/>
    <w:basedOn w:val="DefaultParagraphFont"/>
    <w:link w:val="ESnumberedpara"/>
    <w:rsid w:val="00CC5D02"/>
    <w:rPr>
      <w:rFonts w:ascii="Arial" w:eastAsiaTheme="minorHAnsi" w:hAnsi="Arial" w:cstheme="minorBidi"/>
      <w:sz w:val="22"/>
      <w:szCs w:val="22"/>
      <w:lang w:eastAsia="en-US"/>
    </w:rPr>
  </w:style>
  <w:style w:type="paragraph" w:customStyle="1" w:styleId="ESnumberedparablue">
    <w:name w:val="ES numbered para blue"/>
    <w:basedOn w:val="ESnumberedpara"/>
    <w:qFormat/>
    <w:rsid w:val="00CC5D02"/>
    <w:pPr>
      <w:numPr>
        <w:ilvl w:val="1"/>
        <w:numId w:val="4"/>
      </w:numPr>
    </w:pPr>
    <w:rPr>
      <w:rFonts w:asciiTheme="minorHAnsi" w:hAnsiTheme="minorHAnsi"/>
      <w:color w:val="000000" w:themeColor="text1"/>
      <w:sz w:val="24"/>
      <w:szCs w:val="24"/>
    </w:rPr>
  </w:style>
  <w:style w:type="character" w:customStyle="1" w:styleId="ListParagraphChar">
    <w:name w:val="List Paragraph Char"/>
    <w:aliases w:val="BulletPoints Char"/>
    <w:basedOn w:val="DefaultParagraphFont"/>
    <w:link w:val="ListParagraph"/>
    <w:uiPriority w:val="72"/>
    <w:locked/>
    <w:rsid w:val="00CC5D02"/>
    <w:rPr>
      <w:rFonts w:ascii="Calibri" w:hAnsi="Calibri" w:cs="Tahoma"/>
      <w:sz w:val="22"/>
      <w:szCs w:val="22"/>
    </w:rPr>
  </w:style>
  <w:style w:type="paragraph" w:customStyle="1" w:styleId="PBACHeading1">
    <w:name w:val="PBAC Heading 1"/>
    <w:basedOn w:val="ListParagraph"/>
    <w:qFormat/>
    <w:rsid w:val="00CC5D02"/>
    <w:pPr>
      <w:spacing w:before="240" w:after="120" w:line="240" w:lineRule="auto"/>
      <w:ind w:hanging="720"/>
    </w:pPr>
    <w:rPr>
      <w:rFonts w:ascii="Times New Roman" w:hAnsi="Times New Roman" w:cs="Times New Roman"/>
      <w:b/>
      <w:sz w:val="24"/>
      <w:lang w:eastAsia="en-US"/>
    </w:rPr>
  </w:style>
  <w:style w:type="character" w:styleId="CommentReference">
    <w:name w:val="annotation reference"/>
    <w:basedOn w:val="DefaultParagraphFont"/>
    <w:rsid w:val="00270B16"/>
    <w:rPr>
      <w:sz w:val="16"/>
      <w:szCs w:val="16"/>
    </w:rPr>
  </w:style>
  <w:style w:type="paragraph" w:styleId="CommentText">
    <w:name w:val="annotation text"/>
    <w:basedOn w:val="Normal"/>
    <w:link w:val="CommentTextChar"/>
    <w:rsid w:val="00270B16"/>
    <w:pPr>
      <w:spacing w:line="240" w:lineRule="auto"/>
    </w:pPr>
    <w:rPr>
      <w:sz w:val="20"/>
      <w:szCs w:val="20"/>
    </w:rPr>
  </w:style>
  <w:style w:type="character" w:customStyle="1" w:styleId="CommentTextChar">
    <w:name w:val="Comment Text Char"/>
    <w:basedOn w:val="DefaultParagraphFont"/>
    <w:link w:val="CommentText"/>
    <w:rsid w:val="00270B16"/>
    <w:rPr>
      <w:rFonts w:ascii="Calibri" w:hAnsi="Calibri" w:cs="Tahoma"/>
    </w:rPr>
  </w:style>
  <w:style w:type="paragraph" w:styleId="CommentSubject">
    <w:name w:val="annotation subject"/>
    <w:basedOn w:val="CommentText"/>
    <w:next w:val="CommentText"/>
    <w:link w:val="CommentSubjectChar"/>
    <w:rsid w:val="00270B16"/>
    <w:rPr>
      <w:b/>
      <w:bCs/>
    </w:rPr>
  </w:style>
  <w:style w:type="character" w:customStyle="1" w:styleId="CommentSubjectChar">
    <w:name w:val="Comment Subject Char"/>
    <w:basedOn w:val="CommentTextChar"/>
    <w:link w:val="CommentSubject"/>
    <w:rsid w:val="00270B16"/>
    <w:rPr>
      <w:rFonts w:ascii="Calibri" w:hAnsi="Calibri" w:cs="Tahom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0768"/>
    <w:pPr>
      <w:spacing w:after="240" w:line="312" w:lineRule="auto"/>
      <w:jc w:val="both"/>
    </w:pPr>
    <w:rPr>
      <w:rFonts w:ascii="Calibri" w:hAnsi="Calibri" w:cs="Tahoma"/>
      <w:sz w:val="22"/>
      <w:szCs w:val="22"/>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aliases w:val="ESHeading 2"/>
    <w:basedOn w:val="Normal"/>
    <w:next w:val="Normal"/>
    <w:link w:val="Heading2Char"/>
    <w:uiPriority w:val="1"/>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aliases w:val="PBAC Paragraph"/>
    <w:basedOn w:val="Normal"/>
    <w:next w:val="Normal"/>
    <w:link w:val="SubtitleChar"/>
    <w:uiPriority w:val="11"/>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aliases w:val="PBAC Paragraph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character" w:customStyle="1" w:styleId="Heading2Char">
    <w:name w:val="Heading 2 Char"/>
    <w:aliases w:val="ESHeading 2 Char"/>
    <w:link w:val="Heading2"/>
    <w:uiPriority w:val="9"/>
    <w:rsid w:val="00AC0768"/>
    <w:rPr>
      <w:rFonts w:ascii="Arial" w:hAnsi="Arial" w:cs="Arial"/>
      <w:b/>
      <w:bCs/>
      <w:i/>
      <w:iCs/>
      <w:sz w:val="24"/>
      <w:szCs w:val="28"/>
      <w:lang w:eastAsia="en-US"/>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
    <w:basedOn w:val="Normal"/>
    <w:next w:val="Normal"/>
    <w:link w:val="CaptionChar"/>
    <w:qFormat/>
    <w:rsid w:val="00AC0768"/>
    <w:pPr>
      <w:spacing w:after="120" w:line="240" w:lineRule="auto"/>
    </w:pPr>
    <w:rPr>
      <w:rFonts w:ascii="Arial Narrow" w:hAnsi="Arial Narrow"/>
      <w:b/>
      <w:bCs/>
      <w:sz w:val="20"/>
    </w:rPr>
  </w:style>
  <w:style w:type="character" w:customStyle="1" w:styleId="Heading3Char">
    <w:name w:val="Heading 3 Char"/>
    <w:link w:val="Heading3"/>
    <w:rsid w:val="00AC0768"/>
    <w:rPr>
      <w:rFonts w:ascii="Arial" w:hAnsi="Arial" w:cs="Arial"/>
      <w:bCs/>
      <w:sz w:val="24"/>
      <w:szCs w:val="26"/>
      <w:lang w:eastAsia="en-US"/>
    </w:rPr>
  </w:style>
  <w:style w:type="paragraph" w:customStyle="1" w:styleId="Tablecaption">
    <w:name w:val="Table caption"/>
    <w:basedOn w:val="Normal"/>
    <w:link w:val="TablecaptionChar"/>
    <w:qFormat/>
    <w:rsid w:val="00AC0768"/>
    <w:pPr>
      <w:keepNext/>
      <w:keepLines/>
      <w:spacing w:after="0" w:line="240" w:lineRule="auto"/>
    </w:pPr>
    <w:rPr>
      <w:rFonts w:ascii="Arial Narrow" w:hAnsi="Arial Narrow" w:cs="Arial"/>
      <w:sz w:val="20"/>
      <w:szCs w:val="20"/>
      <w:lang w:eastAsia="en-US"/>
    </w:rPr>
  </w:style>
  <w:style w:type="character" w:customStyle="1" w:styleId="TablecaptionChar">
    <w:name w:val="Table caption Char"/>
    <w:basedOn w:val="DefaultParagraphFont"/>
    <w:link w:val="Tablecaption"/>
    <w:rsid w:val="00AC0768"/>
    <w:rPr>
      <w:rFonts w:ascii="Arial Narrow" w:hAnsi="Arial Narrow" w:cs="Arial"/>
      <w:lang w:eastAsia="en-US"/>
    </w:rPr>
  </w:style>
  <w:style w:type="paragraph" w:customStyle="1" w:styleId="TableFooter">
    <w:name w:val="Table Footer"/>
    <w:basedOn w:val="Normal"/>
    <w:qFormat/>
    <w:rsid w:val="00AC0768"/>
    <w:pPr>
      <w:widowControl w:val="0"/>
      <w:spacing w:after="0" w:line="240" w:lineRule="auto"/>
    </w:pPr>
    <w:rPr>
      <w:rFonts w:ascii="Arial Narrow" w:hAnsi="Arial Narrow" w:cs="Arial"/>
      <w:snapToGrid w:val="0"/>
      <w:sz w:val="18"/>
      <w:szCs w:val="20"/>
      <w:lang w:eastAsia="en-US"/>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
    <w:basedOn w:val="DefaultParagraphFont"/>
    <w:link w:val="Caption"/>
    <w:locked/>
    <w:rsid w:val="00AC0768"/>
    <w:rPr>
      <w:rFonts w:ascii="Arial Narrow" w:hAnsi="Arial Narrow" w:cs="Tahoma"/>
      <w:b/>
      <w:bCs/>
      <w:szCs w:val="22"/>
    </w:rPr>
  </w:style>
  <w:style w:type="paragraph" w:styleId="ListNumber2">
    <w:name w:val="List Number 2"/>
    <w:basedOn w:val="Normal"/>
    <w:unhideWhenUsed/>
    <w:rsid w:val="00AC0768"/>
    <w:pPr>
      <w:numPr>
        <w:numId w:val="3"/>
      </w:numPr>
      <w:contextualSpacing/>
    </w:pPr>
  </w:style>
  <w:style w:type="paragraph" w:styleId="BalloonText">
    <w:name w:val="Balloon Text"/>
    <w:basedOn w:val="Normal"/>
    <w:link w:val="BalloonTextChar"/>
    <w:rsid w:val="00AC0768"/>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AC0768"/>
    <w:rPr>
      <w:rFonts w:ascii="Tahoma" w:hAnsi="Tahoma" w:cs="Tahoma"/>
      <w:sz w:val="16"/>
      <w:szCs w:val="16"/>
    </w:rPr>
  </w:style>
  <w:style w:type="paragraph" w:styleId="Header">
    <w:name w:val="header"/>
    <w:aliases w:val="Page Header,Header title,he=header,cntr/bld"/>
    <w:basedOn w:val="Normal"/>
    <w:link w:val="HeaderChar"/>
    <w:uiPriority w:val="99"/>
    <w:rsid w:val="00CC5D02"/>
    <w:pPr>
      <w:tabs>
        <w:tab w:val="center" w:pos="4513"/>
        <w:tab w:val="right" w:pos="9026"/>
      </w:tabs>
      <w:spacing w:after="0" w:line="240" w:lineRule="auto"/>
    </w:pPr>
  </w:style>
  <w:style w:type="character" w:customStyle="1" w:styleId="HeaderChar">
    <w:name w:val="Header Char"/>
    <w:aliases w:val="Page Header Char,Header title Char,he=header Char,cntr/bld Char"/>
    <w:basedOn w:val="DefaultParagraphFont"/>
    <w:link w:val="Header"/>
    <w:uiPriority w:val="99"/>
    <w:rsid w:val="00CC5D02"/>
    <w:rPr>
      <w:rFonts w:ascii="Calibri" w:hAnsi="Calibri" w:cs="Tahoma"/>
      <w:sz w:val="22"/>
      <w:szCs w:val="22"/>
    </w:rPr>
  </w:style>
  <w:style w:type="paragraph" w:styleId="Footer">
    <w:name w:val="footer"/>
    <w:basedOn w:val="Normal"/>
    <w:link w:val="FooterChar"/>
    <w:uiPriority w:val="99"/>
    <w:rsid w:val="00CC5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D02"/>
    <w:rPr>
      <w:rFonts w:ascii="Calibri" w:hAnsi="Calibri" w:cs="Tahoma"/>
      <w:sz w:val="22"/>
      <w:szCs w:val="22"/>
    </w:rPr>
  </w:style>
  <w:style w:type="paragraph" w:customStyle="1" w:styleId="ESnumberedpara">
    <w:name w:val="ES numbered para"/>
    <w:basedOn w:val="Normal"/>
    <w:link w:val="ESnumberedparaChar"/>
    <w:qFormat/>
    <w:rsid w:val="00CC5D02"/>
    <w:pPr>
      <w:spacing w:before="120" w:after="160" w:line="240" w:lineRule="auto"/>
      <w:ind w:left="720" w:hanging="720"/>
    </w:pPr>
    <w:rPr>
      <w:rFonts w:ascii="Arial" w:eastAsiaTheme="minorHAnsi" w:hAnsi="Arial" w:cstheme="minorBidi"/>
      <w:lang w:eastAsia="en-US"/>
    </w:rPr>
  </w:style>
  <w:style w:type="character" w:customStyle="1" w:styleId="ESnumberedparaChar">
    <w:name w:val="ES numbered para Char"/>
    <w:basedOn w:val="DefaultParagraphFont"/>
    <w:link w:val="ESnumberedpara"/>
    <w:rsid w:val="00CC5D02"/>
    <w:rPr>
      <w:rFonts w:ascii="Arial" w:eastAsiaTheme="minorHAnsi" w:hAnsi="Arial" w:cstheme="minorBidi"/>
      <w:sz w:val="22"/>
      <w:szCs w:val="22"/>
      <w:lang w:eastAsia="en-US"/>
    </w:rPr>
  </w:style>
  <w:style w:type="paragraph" w:customStyle="1" w:styleId="ESnumberedparablue">
    <w:name w:val="ES numbered para blue"/>
    <w:basedOn w:val="ESnumberedpara"/>
    <w:qFormat/>
    <w:rsid w:val="00CC5D02"/>
    <w:pPr>
      <w:numPr>
        <w:ilvl w:val="1"/>
        <w:numId w:val="4"/>
      </w:numPr>
    </w:pPr>
    <w:rPr>
      <w:rFonts w:asciiTheme="minorHAnsi" w:hAnsiTheme="minorHAnsi"/>
      <w:color w:val="000000" w:themeColor="text1"/>
      <w:sz w:val="24"/>
      <w:szCs w:val="24"/>
    </w:rPr>
  </w:style>
  <w:style w:type="character" w:customStyle="1" w:styleId="ListParagraphChar">
    <w:name w:val="List Paragraph Char"/>
    <w:aliases w:val="BulletPoints Char"/>
    <w:basedOn w:val="DefaultParagraphFont"/>
    <w:link w:val="ListParagraph"/>
    <w:uiPriority w:val="72"/>
    <w:locked/>
    <w:rsid w:val="00CC5D02"/>
    <w:rPr>
      <w:rFonts w:ascii="Calibri" w:hAnsi="Calibri" w:cs="Tahoma"/>
      <w:sz w:val="22"/>
      <w:szCs w:val="22"/>
    </w:rPr>
  </w:style>
  <w:style w:type="paragraph" w:customStyle="1" w:styleId="PBACHeading1">
    <w:name w:val="PBAC Heading 1"/>
    <w:basedOn w:val="ListParagraph"/>
    <w:qFormat/>
    <w:rsid w:val="00CC5D02"/>
    <w:pPr>
      <w:spacing w:before="240" w:after="120" w:line="240" w:lineRule="auto"/>
      <w:ind w:hanging="720"/>
    </w:pPr>
    <w:rPr>
      <w:rFonts w:ascii="Times New Roman" w:hAnsi="Times New Roman" w:cs="Times New Roman"/>
      <w:b/>
      <w:sz w:val="24"/>
      <w:lang w:eastAsia="en-US"/>
    </w:rPr>
  </w:style>
  <w:style w:type="character" w:styleId="CommentReference">
    <w:name w:val="annotation reference"/>
    <w:basedOn w:val="DefaultParagraphFont"/>
    <w:rsid w:val="00270B16"/>
    <w:rPr>
      <w:sz w:val="16"/>
      <w:szCs w:val="16"/>
    </w:rPr>
  </w:style>
  <w:style w:type="paragraph" w:styleId="CommentText">
    <w:name w:val="annotation text"/>
    <w:basedOn w:val="Normal"/>
    <w:link w:val="CommentTextChar"/>
    <w:rsid w:val="00270B16"/>
    <w:pPr>
      <w:spacing w:line="240" w:lineRule="auto"/>
    </w:pPr>
    <w:rPr>
      <w:sz w:val="20"/>
      <w:szCs w:val="20"/>
    </w:rPr>
  </w:style>
  <w:style w:type="character" w:customStyle="1" w:styleId="CommentTextChar">
    <w:name w:val="Comment Text Char"/>
    <w:basedOn w:val="DefaultParagraphFont"/>
    <w:link w:val="CommentText"/>
    <w:rsid w:val="00270B16"/>
    <w:rPr>
      <w:rFonts w:ascii="Calibri" w:hAnsi="Calibri" w:cs="Tahoma"/>
    </w:rPr>
  </w:style>
  <w:style w:type="paragraph" w:styleId="CommentSubject">
    <w:name w:val="annotation subject"/>
    <w:basedOn w:val="CommentText"/>
    <w:next w:val="CommentText"/>
    <w:link w:val="CommentSubjectChar"/>
    <w:rsid w:val="00270B16"/>
    <w:rPr>
      <w:b/>
      <w:bCs/>
    </w:rPr>
  </w:style>
  <w:style w:type="character" w:customStyle="1" w:styleId="CommentSubjectChar">
    <w:name w:val="Comment Subject Char"/>
    <w:basedOn w:val="CommentTextChar"/>
    <w:link w:val="CommentSubject"/>
    <w:rsid w:val="00270B16"/>
    <w:rPr>
      <w:rFonts w:ascii="Calibri" w:hAnsi="Calibri"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0813">
      <w:bodyDiv w:val="1"/>
      <w:marLeft w:val="0"/>
      <w:marRight w:val="0"/>
      <w:marTop w:val="0"/>
      <w:marBottom w:val="0"/>
      <w:divBdr>
        <w:top w:val="none" w:sz="0" w:space="0" w:color="auto"/>
        <w:left w:val="none" w:sz="0" w:space="0" w:color="auto"/>
        <w:bottom w:val="none" w:sz="0" w:space="0" w:color="auto"/>
        <w:right w:val="none" w:sz="0" w:space="0" w:color="auto"/>
      </w:divBdr>
    </w:div>
    <w:div w:id="42534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2270</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2017-10-15T23:36:00Z</dcterms:created>
  <dcterms:modified xsi:type="dcterms:W3CDTF">2018-10-18T08:02:00Z</dcterms:modified>
</cp:coreProperties>
</file>