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2E1C6D" w:rsidRDefault="008D5F30" w:rsidP="009E0439">
      <w:pPr>
        <w:pStyle w:val="Heading1"/>
        <w:numPr>
          <w:ilvl w:val="0"/>
          <w:numId w:val="0"/>
        </w:numPr>
        <w:ind w:left="709" w:hanging="709"/>
        <w:rPr>
          <w:sz w:val="36"/>
          <w:szCs w:val="36"/>
        </w:rPr>
      </w:pPr>
      <w:bookmarkStart w:id="0" w:name="_Toc482779060"/>
      <w:r w:rsidRPr="002E1C6D">
        <w:rPr>
          <w:sz w:val="36"/>
          <w:szCs w:val="36"/>
        </w:rPr>
        <w:t>7</w:t>
      </w:r>
      <w:r w:rsidR="00B60939" w:rsidRPr="002E1C6D">
        <w:rPr>
          <w:sz w:val="36"/>
          <w:szCs w:val="36"/>
        </w:rPr>
        <w:t>.</w:t>
      </w:r>
      <w:r w:rsidRPr="002E1C6D">
        <w:rPr>
          <w:sz w:val="36"/>
          <w:szCs w:val="36"/>
        </w:rPr>
        <w:t>05</w:t>
      </w:r>
      <w:r w:rsidR="00341F36" w:rsidRPr="002E1C6D">
        <w:rPr>
          <w:sz w:val="36"/>
          <w:szCs w:val="36"/>
        </w:rPr>
        <w:tab/>
      </w:r>
      <w:r w:rsidR="007C7998" w:rsidRPr="002E1C6D">
        <w:rPr>
          <w:sz w:val="36"/>
          <w:szCs w:val="36"/>
        </w:rPr>
        <w:t>MANNITOL</w:t>
      </w:r>
      <w:r w:rsidR="007C7998" w:rsidRPr="002E1C6D">
        <w:rPr>
          <w:sz w:val="36"/>
          <w:szCs w:val="36"/>
        </w:rPr>
        <w:br/>
      </w:r>
      <w:r w:rsidR="00554CB1" w:rsidRPr="002E1C6D">
        <w:rPr>
          <w:sz w:val="36"/>
          <w:szCs w:val="36"/>
        </w:rPr>
        <w:t>Pack containing 280 capsules containing powder for inhalation 40 mg and 2 inhalers</w:t>
      </w:r>
      <w:r w:rsidR="007C7998" w:rsidRPr="002E1C6D">
        <w:rPr>
          <w:sz w:val="36"/>
          <w:szCs w:val="36"/>
        </w:rPr>
        <w:t xml:space="preserve"> </w:t>
      </w:r>
      <w:r w:rsidR="007C7998" w:rsidRPr="002E1C6D">
        <w:rPr>
          <w:sz w:val="36"/>
          <w:szCs w:val="36"/>
        </w:rPr>
        <w:br/>
      </w:r>
      <w:r w:rsidRPr="002E1C6D">
        <w:rPr>
          <w:sz w:val="36"/>
          <w:szCs w:val="36"/>
        </w:rPr>
        <w:t>Bronchitol®,</w:t>
      </w:r>
      <w:bookmarkStart w:id="1" w:name="_Toc482779061"/>
      <w:bookmarkEnd w:id="0"/>
      <w:r w:rsidR="00341F36" w:rsidRPr="002E1C6D">
        <w:rPr>
          <w:sz w:val="36"/>
          <w:szCs w:val="36"/>
        </w:rPr>
        <w:t xml:space="preserve"> </w:t>
      </w:r>
      <w:r w:rsidRPr="002E1C6D">
        <w:rPr>
          <w:sz w:val="36"/>
          <w:szCs w:val="36"/>
        </w:rPr>
        <w:t>Pharmaxis</w:t>
      </w:r>
      <w:r w:rsidR="003371A2" w:rsidRPr="002E1C6D">
        <w:rPr>
          <w:sz w:val="36"/>
          <w:szCs w:val="36"/>
        </w:rPr>
        <w:t xml:space="preserve"> Ltd</w:t>
      </w:r>
      <w:bookmarkEnd w:id="1"/>
      <w:r w:rsidRPr="002E1C6D" w:rsidDel="008D5F30">
        <w:rPr>
          <w:sz w:val="36"/>
          <w:szCs w:val="36"/>
        </w:rPr>
        <w:t xml:space="preserve"> </w:t>
      </w:r>
    </w:p>
    <w:p w:rsidR="00D06935" w:rsidRPr="000E01C3" w:rsidRDefault="00D06935" w:rsidP="009E0439">
      <w:pPr>
        <w:pStyle w:val="Heading1"/>
      </w:pPr>
      <w:bookmarkStart w:id="2" w:name="_Toc482779063"/>
      <w:r w:rsidRPr="000E01C3">
        <w:t>Purpose of Application</w:t>
      </w:r>
      <w:bookmarkEnd w:id="2"/>
    </w:p>
    <w:p w:rsidR="00D06935" w:rsidRPr="000E01C3" w:rsidRDefault="00D06935" w:rsidP="00BE33FF">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 xml:space="preserve">Mannitol is </w:t>
      </w:r>
      <w:r w:rsidR="006E5CCA" w:rsidRPr="000E01C3">
        <w:rPr>
          <w:rFonts w:asciiTheme="minorHAnsi" w:hAnsiTheme="minorHAnsi" w:cstheme="minorHAnsi"/>
          <w:sz w:val="24"/>
          <w:szCs w:val="24"/>
        </w:rPr>
        <w:t xml:space="preserve">currently </w:t>
      </w:r>
      <w:r w:rsidRPr="000E01C3">
        <w:rPr>
          <w:rFonts w:asciiTheme="minorHAnsi" w:hAnsiTheme="minorHAnsi" w:cstheme="minorHAnsi"/>
          <w:sz w:val="24"/>
          <w:szCs w:val="24"/>
        </w:rPr>
        <w:t>listed on the PBS as a Section 100, Authority Required listing</w:t>
      </w:r>
      <w:r w:rsidR="00E71C7A" w:rsidRPr="000E01C3">
        <w:rPr>
          <w:rFonts w:asciiTheme="minorHAnsi" w:hAnsiTheme="minorHAnsi" w:cstheme="minorHAnsi"/>
          <w:sz w:val="24"/>
          <w:szCs w:val="24"/>
        </w:rPr>
        <w:t xml:space="preserve"> </w:t>
      </w:r>
      <w:r w:rsidRPr="000E01C3">
        <w:rPr>
          <w:rFonts w:asciiTheme="minorHAnsi" w:hAnsiTheme="minorHAnsi" w:cstheme="minorHAnsi"/>
          <w:sz w:val="24"/>
          <w:szCs w:val="24"/>
        </w:rPr>
        <w:t xml:space="preserve">for </w:t>
      </w:r>
      <w:r w:rsidR="00E71C7A" w:rsidRPr="000E01C3">
        <w:rPr>
          <w:rFonts w:asciiTheme="minorHAnsi" w:hAnsiTheme="minorHAnsi" w:cstheme="minorHAnsi"/>
          <w:sz w:val="24"/>
          <w:szCs w:val="24"/>
        </w:rPr>
        <w:t xml:space="preserve">the </w:t>
      </w:r>
      <w:r w:rsidRPr="000E01C3">
        <w:rPr>
          <w:rFonts w:asciiTheme="minorHAnsi" w:hAnsiTheme="minorHAnsi" w:cstheme="minorHAnsi"/>
          <w:sz w:val="24"/>
          <w:szCs w:val="24"/>
        </w:rPr>
        <w:t xml:space="preserve">treatment of </w:t>
      </w:r>
      <w:r w:rsidR="00E71C7A" w:rsidRPr="000E01C3">
        <w:rPr>
          <w:rFonts w:asciiTheme="minorHAnsi" w:hAnsiTheme="minorHAnsi" w:cstheme="minorHAnsi"/>
          <w:sz w:val="24"/>
          <w:szCs w:val="24"/>
        </w:rPr>
        <w:t xml:space="preserve">patients with </w:t>
      </w:r>
      <w:r w:rsidRPr="000E01C3">
        <w:rPr>
          <w:rFonts w:asciiTheme="minorHAnsi" w:hAnsiTheme="minorHAnsi" w:cstheme="minorHAnsi"/>
          <w:sz w:val="24"/>
          <w:szCs w:val="24"/>
        </w:rPr>
        <w:t xml:space="preserve">cystic fibrosis </w:t>
      </w:r>
      <w:r w:rsidR="00F76865" w:rsidRPr="000E01C3">
        <w:rPr>
          <w:rFonts w:asciiTheme="minorHAnsi" w:hAnsiTheme="minorHAnsi" w:cstheme="minorHAnsi"/>
          <w:sz w:val="24"/>
          <w:szCs w:val="24"/>
        </w:rPr>
        <w:t xml:space="preserve">(CF) </w:t>
      </w:r>
      <w:r w:rsidR="00E71C7A" w:rsidRPr="000E01C3">
        <w:rPr>
          <w:rFonts w:asciiTheme="minorHAnsi" w:hAnsiTheme="minorHAnsi" w:cstheme="minorHAnsi"/>
          <w:sz w:val="24"/>
          <w:szCs w:val="24"/>
        </w:rPr>
        <w:t xml:space="preserve">who are </w:t>
      </w:r>
      <w:r w:rsidRPr="000E01C3">
        <w:rPr>
          <w:rFonts w:asciiTheme="minorHAnsi" w:hAnsiTheme="minorHAnsi" w:cstheme="minorHAnsi"/>
          <w:sz w:val="24"/>
          <w:szCs w:val="24"/>
        </w:rPr>
        <w:t>intolerant or inadequately responsive</w:t>
      </w:r>
      <w:r w:rsidR="003C0959" w:rsidRPr="000E01C3">
        <w:rPr>
          <w:rFonts w:asciiTheme="minorHAnsi" w:hAnsiTheme="minorHAnsi" w:cstheme="minorHAnsi"/>
          <w:sz w:val="24"/>
          <w:szCs w:val="24"/>
        </w:rPr>
        <w:t xml:space="preserve"> to dornase alfa (DNase).</w:t>
      </w:r>
    </w:p>
    <w:p w:rsidR="00D06935" w:rsidRPr="000E01C3" w:rsidRDefault="00D06935" w:rsidP="00BE33FF">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The current resubmission requested to remove the NOTE in the</w:t>
      </w:r>
      <w:r w:rsidR="009859D2" w:rsidRPr="000E01C3">
        <w:rPr>
          <w:rFonts w:asciiTheme="minorHAnsi" w:hAnsiTheme="minorHAnsi" w:cstheme="minorHAnsi"/>
          <w:sz w:val="24"/>
          <w:szCs w:val="24"/>
        </w:rPr>
        <w:t xml:space="preserve"> current listings</w:t>
      </w:r>
      <w:r w:rsidRPr="000E01C3">
        <w:rPr>
          <w:rFonts w:asciiTheme="minorHAnsi" w:hAnsiTheme="minorHAnsi" w:cstheme="minorHAnsi"/>
          <w:sz w:val="24"/>
          <w:szCs w:val="24"/>
        </w:rPr>
        <w:t xml:space="preserve"> that prohibits </w:t>
      </w:r>
      <w:r w:rsidR="009F2B29" w:rsidRPr="000E01C3">
        <w:rPr>
          <w:rFonts w:asciiTheme="minorHAnsi" w:hAnsiTheme="minorHAnsi" w:cstheme="minorHAnsi"/>
          <w:sz w:val="24"/>
          <w:szCs w:val="24"/>
        </w:rPr>
        <w:t xml:space="preserve">PBS-subsidised </w:t>
      </w:r>
      <w:r w:rsidR="009859D2" w:rsidRPr="000E01C3">
        <w:rPr>
          <w:rFonts w:asciiTheme="minorHAnsi" w:hAnsiTheme="minorHAnsi" w:cstheme="minorHAnsi"/>
          <w:sz w:val="24"/>
          <w:szCs w:val="24"/>
        </w:rPr>
        <w:t xml:space="preserve">use in </w:t>
      </w:r>
      <w:r w:rsidRPr="000E01C3">
        <w:rPr>
          <w:rFonts w:asciiTheme="minorHAnsi" w:hAnsiTheme="minorHAnsi" w:cstheme="minorHAnsi"/>
          <w:sz w:val="24"/>
          <w:szCs w:val="24"/>
        </w:rPr>
        <w:t xml:space="preserve">combination with </w:t>
      </w:r>
      <w:r w:rsidR="009F2B29" w:rsidRPr="000E01C3">
        <w:rPr>
          <w:rFonts w:asciiTheme="minorHAnsi" w:hAnsiTheme="minorHAnsi" w:cstheme="minorHAnsi"/>
          <w:sz w:val="24"/>
          <w:szCs w:val="24"/>
        </w:rPr>
        <w:t xml:space="preserve">PBS-subsidised </w:t>
      </w:r>
      <w:r w:rsidRPr="000E01C3">
        <w:rPr>
          <w:rFonts w:asciiTheme="minorHAnsi" w:hAnsiTheme="minorHAnsi" w:cstheme="minorHAnsi"/>
          <w:sz w:val="24"/>
          <w:szCs w:val="24"/>
        </w:rPr>
        <w:t xml:space="preserve">DNase. </w:t>
      </w:r>
      <w:r w:rsidR="000E01C3" w:rsidRPr="000E01C3">
        <w:rPr>
          <w:rFonts w:asciiTheme="minorHAnsi" w:hAnsiTheme="minorHAnsi" w:cstheme="minorHAnsi"/>
          <w:sz w:val="24"/>
          <w:szCs w:val="24"/>
        </w:rPr>
        <w:t>Thus,</w:t>
      </w:r>
      <w:r w:rsidRPr="000E01C3">
        <w:rPr>
          <w:rFonts w:asciiTheme="minorHAnsi" w:hAnsiTheme="minorHAnsi" w:cstheme="minorHAnsi"/>
          <w:sz w:val="24"/>
          <w:szCs w:val="24"/>
        </w:rPr>
        <w:t xml:space="preserve"> the listing requested was specifically for patients currently taking DNase </w:t>
      </w:r>
      <w:r w:rsidR="009859D2" w:rsidRPr="000E01C3">
        <w:rPr>
          <w:rFonts w:asciiTheme="minorHAnsi" w:hAnsiTheme="minorHAnsi" w:cstheme="minorHAnsi"/>
          <w:sz w:val="24"/>
          <w:szCs w:val="24"/>
        </w:rPr>
        <w:t>who are inadequately responsive</w:t>
      </w:r>
      <w:r w:rsidR="00E71C7A" w:rsidRPr="000E01C3">
        <w:rPr>
          <w:rFonts w:asciiTheme="minorHAnsi" w:hAnsiTheme="minorHAnsi" w:cstheme="minorHAnsi"/>
          <w:sz w:val="24"/>
          <w:szCs w:val="24"/>
        </w:rPr>
        <w:t xml:space="preserve"> </w:t>
      </w:r>
      <w:r w:rsidRPr="000E01C3">
        <w:rPr>
          <w:rFonts w:asciiTheme="minorHAnsi" w:hAnsiTheme="minorHAnsi" w:cstheme="minorHAnsi"/>
          <w:sz w:val="24"/>
          <w:szCs w:val="24"/>
        </w:rPr>
        <w:t>and wish to add on mannitol.</w:t>
      </w:r>
      <w:bookmarkStart w:id="3" w:name="_GoBack"/>
      <w:bookmarkEnd w:id="3"/>
    </w:p>
    <w:p w:rsidR="00E55C12" w:rsidRDefault="00E55C12" w:rsidP="00E55C12">
      <w:pPr>
        <w:pStyle w:val="Caption"/>
      </w:pPr>
      <w:r>
        <w:t xml:space="preserve">Table </w:t>
      </w:r>
      <w:r>
        <w:rPr>
          <w:noProof/>
        </w:rPr>
        <w:t>1</w:t>
      </w:r>
      <w:r w:rsidRPr="0072224E">
        <w:t>: Key components of the clinical issue addressed by the resubmission</w:t>
      </w:r>
    </w:p>
    <w:tbl>
      <w:tblPr>
        <w:tblStyle w:val="TableGrid"/>
        <w:tblW w:w="0" w:type="auto"/>
        <w:tblLook w:val="04A0" w:firstRow="1" w:lastRow="0" w:firstColumn="1" w:lastColumn="0" w:noHBand="0" w:noVBand="1"/>
        <w:tblCaption w:val=": Key components of the clinical issue addressed by the resubmission"/>
      </w:tblPr>
      <w:tblGrid>
        <w:gridCol w:w="1696"/>
        <w:gridCol w:w="7320"/>
      </w:tblGrid>
      <w:tr w:rsidR="00EE5E36" w:rsidRPr="000E01C3" w:rsidTr="00EE5E36">
        <w:trPr>
          <w:cantSplit/>
          <w:tblHeader/>
        </w:trPr>
        <w:tc>
          <w:tcPr>
            <w:tcW w:w="1696" w:type="dxa"/>
            <w:shd w:val="clear" w:color="auto" w:fill="auto"/>
          </w:tcPr>
          <w:p w:rsidR="00EE5E36" w:rsidRPr="000E01C3" w:rsidRDefault="00EE5E36" w:rsidP="00A04A6A">
            <w:pPr>
              <w:pStyle w:val="TableText1"/>
              <w:rPr>
                <w:b/>
                <w:szCs w:val="20"/>
              </w:rPr>
            </w:pPr>
            <w:r w:rsidRPr="000E01C3">
              <w:rPr>
                <w:b/>
                <w:szCs w:val="20"/>
              </w:rPr>
              <w:t>Component</w:t>
            </w:r>
          </w:p>
        </w:tc>
        <w:tc>
          <w:tcPr>
            <w:tcW w:w="7320" w:type="dxa"/>
            <w:shd w:val="clear" w:color="auto" w:fill="auto"/>
          </w:tcPr>
          <w:p w:rsidR="00EE5E36" w:rsidRPr="000E01C3" w:rsidRDefault="00EE5E36" w:rsidP="00A04A6A">
            <w:pPr>
              <w:pStyle w:val="TableText1"/>
              <w:rPr>
                <w:b/>
                <w:szCs w:val="20"/>
              </w:rPr>
            </w:pPr>
            <w:r w:rsidRPr="000E01C3">
              <w:rPr>
                <w:b/>
                <w:szCs w:val="20"/>
              </w:rPr>
              <w:t>Description</w:t>
            </w:r>
          </w:p>
        </w:tc>
      </w:tr>
      <w:tr w:rsidR="00EE5E36" w:rsidRPr="000E01C3" w:rsidTr="00EE5E36">
        <w:trPr>
          <w:cantSplit/>
        </w:trPr>
        <w:tc>
          <w:tcPr>
            <w:tcW w:w="1696" w:type="dxa"/>
            <w:shd w:val="clear" w:color="auto" w:fill="auto"/>
          </w:tcPr>
          <w:p w:rsidR="00EE5E36" w:rsidRPr="000E01C3" w:rsidRDefault="00EE5E36" w:rsidP="00A04A6A">
            <w:pPr>
              <w:pStyle w:val="TableText1"/>
              <w:rPr>
                <w:szCs w:val="20"/>
              </w:rPr>
            </w:pPr>
            <w:r w:rsidRPr="000E01C3">
              <w:rPr>
                <w:szCs w:val="20"/>
              </w:rPr>
              <w:t>Population</w:t>
            </w:r>
          </w:p>
        </w:tc>
        <w:tc>
          <w:tcPr>
            <w:tcW w:w="7320" w:type="dxa"/>
            <w:shd w:val="clear" w:color="auto" w:fill="auto"/>
          </w:tcPr>
          <w:p w:rsidR="00EE5E36" w:rsidRPr="000E01C3" w:rsidRDefault="0095488E" w:rsidP="00994BD6">
            <w:pPr>
              <w:pStyle w:val="TableText1"/>
              <w:rPr>
                <w:szCs w:val="20"/>
              </w:rPr>
            </w:pPr>
            <w:r w:rsidRPr="000E01C3">
              <w:t xml:space="preserve">CF </w:t>
            </w:r>
            <w:r w:rsidR="00E23379" w:rsidRPr="000E01C3">
              <w:t>patients inadequately responsive to dornase alfa</w:t>
            </w:r>
          </w:p>
        </w:tc>
      </w:tr>
      <w:tr w:rsidR="00EE5E36" w:rsidRPr="000E01C3" w:rsidTr="00EE5E36">
        <w:trPr>
          <w:cantSplit/>
        </w:trPr>
        <w:tc>
          <w:tcPr>
            <w:tcW w:w="1696" w:type="dxa"/>
            <w:shd w:val="clear" w:color="auto" w:fill="auto"/>
          </w:tcPr>
          <w:p w:rsidR="00EE5E36" w:rsidRPr="000E01C3" w:rsidRDefault="00EE5E36" w:rsidP="00A04A6A">
            <w:pPr>
              <w:pStyle w:val="TableText1"/>
              <w:rPr>
                <w:szCs w:val="20"/>
              </w:rPr>
            </w:pPr>
            <w:r w:rsidRPr="000E01C3">
              <w:rPr>
                <w:szCs w:val="20"/>
              </w:rPr>
              <w:t>Intervention</w:t>
            </w:r>
          </w:p>
        </w:tc>
        <w:tc>
          <w:tcPr>
            <w:tcW w:w="7320" w:type="dxa"/>
            <w:shd w:val="clear" w:color="auto" w:fill="auto"/>
          </w:tcPr>
          <w:p w:rsidR="00EE5E36" w:rsidRPr="000E01C3" w:rsidRDefault="00E23379" w:rsidP="00582CF0">
            <w:pPr>
              <w:pStyle w:val="TableText1"/>
              <w:rPr>
                <w:szCs w:val="20"/>
              </w:rPr>
            </w:pPr>
            <w:r w:rsidRPr="000E01C3">
              <w:t>Mannitol</w:t>
            </w:r>
            <w:r w:rsidR="00240A6C" w:rsidRPr="000E01C3">
              <w:t xml:space="preserve"> </w:t>
            </w:r>
            <w:r w:rsidR="00582CF0" w:rsidRPr="000E01C3">
              <w:t xml:space="preserve">+ </w:t>
            </w:r>
            <w:r w:rsidR="00240A6C" w:rsidRPr="000E01C3">
              <w:t>best supportive care (may or may not include dornase alfa)</w:t>
            </w:r>
          </w:p>
        </w:tc>
      </w:tr>
      <w:tr w:rsidR="00EE5E36" w:rsidRPr="000E01C3" w:rsidTr="00EE5E36">
        <w:trPr>
          <w:cantSplit/>
        </w:trPr>
        <w:tc>
          <w:tcPr>
            <w:tcW w:w="1696" w:type="dxa"/>
            <w:shd w:val="clear" w:color="auto" w:fill="auto"/>
          </w:tcPr>
          <w:p w:rsidR="00EE5E36" w:rsidRPr="000E01C3" w:rsidRDefault="00EE5E36" w:rsidP="00A04A6A">
            <w:pPr>
              <w:pStyle w:val="TableText1"/>
              <w:rPr>
                <w:szCs w:val="20"/>
              </w:rPr>
            </w:pPr>
            <w:r w:rsidRPr="000E01C3">
              <w:rPr>
                <w:szCs w:val="20"/>
              </w:rPr>
              <w:t>Comparator</w:t>
            </w:r>
          </w:p>
        </w:tc>
        <w:tc>
          <w:tcPr>
            <w:tcW w:w="7320" w:type="dxa"/>
            <w:shd w:val="clear" w:color="auto" w:fill="auto"/>
          </w:tcPr>
          <w:p w:rsidR="00EE5E36" w:rsidRPr="000E01C3" w:rsidRDefault="0095488E" w:rsidP="00582CF0">
            <w:pPr>
              <w:pStyle w:val="TableText1"/>
              <w:rPr>
                <w:szCs w:val="20"/>
              </w:rPr>
            </w:pPr>
            <w:r w:rsidRPr="000E01C3">
              <w:t xml:space="preserve">Placebo </w:t>
            </w:r>
            <w:r w:rsidR="00582CF0" w:rsidRPr="000E01C3">
              <w:t xml:space="preserve">+ </w:t>
            </w:r>
            <w:r w:rsidRPr="000E01C3">
              <w:t>best supportive care (may or may not include dornase alfa)</w:t>
            </w:r>
          </w:p>
        </w:tc>
      </w:tr>
      <w:tr w:rsidR="00EE5E36" w:rsidRPr="000E01C3" w:rsidTr="00EE5E36">
        <w:trPr>
          <w:cantSplit/>
        </w:trPr>
        <w:tc>
          <w:tcPr>
            <w:tcW w:w="1696" w:type="dxa"/>
            <w:shd w:val="clear" w:color="auto" w:fill="auto"/>
          </w:tcPr>
          <w:p w:rsidR="00EE5E36" w:rsidRPr="000E01C3" w:rsidRDefault="00EE5E36" w:rsidP="00A04A6A">
            <w:pPr>
              <w:pStyle w:val="TableText1"/>
              <w:rPr>
                <w:szCs w:val="20"/>
              </w:rPr>
            </w:pPr>
            <w:r w:rsidRPr="000E01C3">
              <w:rPr>
                <w:szCs w:val="20"/>
              </w:rPr>
              <w:t>Outcomes</w:t>
            </w:r>
          </w:p>
        </w:tc>
        <w:tc>
          <w:tcPr>
            <w:tcW w:w="7320" w:type="dxa"/>
            <w:shd w:val="clear" w:color="auto" w:fill="auto"/>
          </w:tcPr>
          <w:p w:rsidR="00EE5E36" w:rsidRPr="000E01C3" w:rsidRDefault="009A008C" w:rsidP="00A04A6A">
            <w:pPr>
              <w:pStyle w:val="TableText1"/>
              <w:rPr>
                <w:szCs w:val="20"/>
              </w:rPr>
            </w:pPr>
            <w:r w:rsidRPr="000E01C3">
              <w:rPr>
                <w:szCs w:val="20"/>
              </w:rPr>
              <w:t>FEV</w:t>
            </w:r>
            <w:r w:rsidRPr="000E01C3">
              <w:rPr>
                <w:szCs w:val="20"/>
                <w:vertAlign w:val="subscript"/>
              </w:rPr>
              <w:t>1</w:t>
            </w:r>
            <w:r w:rsidRPr="000E01C3">
              <w:rPr>
                <w:szCs w:val="20"/>
              </w:rPr>
              <w:t xml:space="preserve"> outcomes and pulmonary exacerbations (measured in the mannitol trials)</w:t>
            </w:r>
          </w:p>
        </w:tc>
      </w:tr>
      <w:tr w:rsidR="00EE5E36" w:rsidRPr="000E01C3" w:rsidTr="00EE5E36">
        <w:trPr>
          <w:cantSplit/>
        </w:trPr>
        <w:tc>
          <w:tcPr>
            <w:tcW w:w="1696" w:type="dxa"/>
            <w:shd w:val="clear" w:color="auto" w:fill="auto"/>
          </w:tcPr>
          <w:p w:rsidR="00EE5E36" w:rsidRPr="000E01C3" w:rsidRDefault="00EE5E36" w:rsidP="00A04A6A">
            <w:pPr>
              <w:pStyle w:val="TableText1"/>
              <w:rPr>
                <w:szCs w:val="20"/>
              </w:rPr>
            </w:pPr>
            <w:r w:rsidRPr="000E01C3">
              <w:rPr>
                <w:szCs w:val="20"/>
              </w:rPr>
              <w:t>Clinical claim</w:t>
            </w:r>
          </w:p>
        </w:tc>
        <w:tc>
          <w:tcPr>
            <w:tcW w:w="7320" w:type="dxa"/>
            <w:shd w:val="clear" w:color="auto" w:fill="auto"/>
          </w:tcPr>
          <w:p w:rsidR="00EE5E36" w:rsidRPr="000E01C3" w:rsidRDefault="00EE5E36" w:rsidP="00A04A6A">
            <w:pPr>
              <w:pStyle w:val="TableText1"/>
              <w:rPr>
                <w:szCs w:val="20"/>
              </w:rPr>
            </w:pPr>
            <w:r w:rsidRPr="000E01C3">
              <w:rPr>
                <w:szCs w:val="20"/>
              </w:rPr>
              <w:t xml:space="preserve">In </w:t>
            </w:r>
            <w:r w:rsidR="007B21AA" w:rsidRPr="000E01C3">
              <w:rPr>
                <w:szCs w:val="20"/>
              </w:rPr>
              <w:t>CF patients who are inadequately responsive to dornase alfa</w:t>
            </w:r>
            <w:r w:rsidRPr="000E01C3">
              <w:rPr>
                <w:szCs w:val="20"/>
              </w:rPr>
              <w:t xml:space="preserve">, </w:t>
            </w:r>
            <w:r w:rsidR="007B21AA" w:rsidRPr="000E01C3">
              <w:rPr>
                <w:szCs w:val="20"/>
              </w:rPr>
              <w:t>mannitol</w:t>
            </w:r>
            <w:r w:rsidR="00D226E6" w:rsidRPr="000E01C3">
              <w:rPr>
                <w:szCs w:val="20"/>
              </w:rPr>
              <w:t xml:space="preserve"> + best supportive care</w:t>
            </w:r>
            <w:r w:rsidRPr="000E01C3">
              <w:rPr>
                <w:szCs w:val="20"/>
              </w:rPr>
              <w:t xml:space="preserve"> is more effective than </w:t>
            </w:r>
            <w:r w:rsidR="00D226E6" w:rsidRPr="000E01C3">
              <w:rPr>
                <w:szCs w:val="20"/>
              </w:rPr>
              <w:t>placebo + best supportive care</w:t>
            </w:r>
            <w:r w:rsidRPr="000E01C3">
              <w:rPr>
                <w:szCs w:val="20"/>
              </w:rPr>
              <w:t xml:space="preserve"> at improving </w:t>
            </w:r>
            <w:r w:rsidR="00D226E6" w:rsidRPr="000E01C3">
              <w:rPr>
                <w:szCs w:val="20"/>
              </w:rPr>
              <w:t>FEV</w:t>
            </w:r>
            <w:r w:rsidR="00D226E6" w:rsidRPr="000E01C3">
              <w:rPr>
                <w:szCs w:val="20"/>
                <w:vertAlign w:val="subscript"/>
              </w:rPr>
              <w:t xml:space="preserve">1 </w:t>
            </w:r>
            <w:r w:rsidRPr="000E01C3">
              <w:rPr>
                <w:szCs w:val="20"/>
              </w:rPr>
              <w:t>outcomes</w:t>
            </w:r>
          </w:p>
        </w:tc>
      </w:tr>
    </w:tbl>
    <w:p w:rsidR="00EE5E36" w:rsidRPr="000E01C3" w:rsidRDefault="00EE5E36" w:rsidP="00A04A6A">
      <w:pPr>
        <w:pStyle w:val="BodyText"/>
        <w:widowControl/>
        <w:rPr>
          <w:rFonts w:ascii="Arial Narrow" w:hAnsi="Arial Narrow"/>
          <w:sz w:val="18"/>
          <w:szCs w:val="18"/>
        </w:rPr>
      </w:pPr>
      <w:r w:rsidRPr="000E01C3">
        <w:rPr>
          <w:rFonts w:ascii="Arial Narrow" w:hAnsi="Arial Narrow"/>
          <w:sz w:val="18"/>
          <w:szCs w:val="18"/>
        </w:rPr>
        <w:t xml:space="preserve">Source: </w:t>
      </w:r>
      <w:r w:rsidR="00240A6C" w:rsidRPr="000E01C3">
        <w:rPr>
          <w:rFonts w:ascii="Arial Narrow" w:hAnsi="Arial Narrow"/>
          <w:sz w:val="18"/>
          <w:szCs w:val="18"/>
        </w:rPr>
        <w:t>compiled during the evaluation.</w:t>
      </w:r>
      <w:r w:rsidR="00994BD6" w:rsidRPr="000E01C3">
        <w:rPr>
          <w:rFonts w:ascii="Arial Narrow" w:hAnsi="Arial Narrow"/>
          <w:sz w:val="18"/>
          <w:szCs w:val="18"/>
        </w:rPr>
        <w:t xml:space="preserve"> CF = cystic fibrosis, FEV</w:t>
      </w:r>
      <w:r w:rsidR="00994BD6" w:rsidRPr="000E01C3">
        <w:rPr>
          <w:rFonts w:ascii="Arial Narrow" w:hAnsi="Arial Narrow"/>
          <w:sz w:val="18"/>
          <w:szCs w:val="18"/>
          <w:vertAlign w:val="subscript"/>
        </w:rPr>
        <w:t>1</w:t>
      </w:r>
      <w:r w:rsidR="00994BD6" w:rsidRPr="000E01C3">
        <w:rPr>
          <w:rFonts w:ascii="Arial Narrow" w:hAnsi="Arial Narrow"/>
          <w:sz w:val="18"/>
          <w:szCs w:val="18"/>
        </w:rPr>
        <w:t xml:space="preserve"> = forced expiratory volume in 1 second.</w:t>
      </w:r>
    </w:p>
    <w:p w:rsidR="00D06935" w:rsidRPr="000E01C3" w:rsidRDefault="00D06935" w:rsidP="009E0439">
      <w:pPr>
        <w:pStyle w:val="Heading1"/>
      </w:pPr>
      <w:bookmarkStart w:id="4" w:name="_Toc482779064"/>
      <w:r w:rsidRPr="000E01C3">
        <w:t>Requested listing</w:t>
      </w:r>
      <w:bookmarkEnd w:id="4"/>
    </w:p>
    <w:p w:rsidR="006E5CCA" w:rsidRPr="000E01C3" w:rsidRDefault="000A51E8" w:rsidP="00BE33FF">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eastAsia="SimSun" w:hAnsiTheme="minorHAnsi"/>
          <w:iCs/>
          <w:color w:val="000000"/>
          <w:sz w:val="24"/>
          <w:szCs w:val="22"/>
        </w:rPr>
        <w:t>The</w:t>
      </w:r>
      <w:r w:rsidR="00D85797" w:rsidRPr="000E01C3">
        <w:rPr>
          <w:rFonts w:asciiTheme="minorHAnsi" w:eastAsia="SimSun" w:hAnsiTheme="minorHAnsi"/>
          <w:iCs/>
          <w:color w:val="000000"/>
          <w:sz w:val="24"/>
          <w:szCs w:val="22"/>
        </w:rPr>
        <w:t xml:space="preserve"> requested</w:t>
      </w:r>
      <w:r w:rsidRPr="000E01C3">
        <w:rPr>
          <w:rFonts w:asciiTheme="minorHAnsi" w:eastAsia="SimSun" w:hAnsiTheme="minorHAnsi"/>
          <w:iCs/>
          <w:color w:val="000000"/>
          <w:sz w:val="24"/>
          <w:szCs w:val="22"/>
        </w:rPr>
        <w:t xml:space="preserve"> deletion to the current listing is crossed out with strikethrough</w:t>
      </w:r>
      <w:r w:rsidR="00901DFA">
        <w:rPr>
          <w:rFonts w:asciiTheme="minorHAnsi" w:eastAsia="SimSun" w:hAnsiTheme="minorHAnsi"/>
          <w:iCs/>
          <w:color w:val="000000"/>
          <w:sz w:val="24"/>
          <w:szCs w:val="22"/>
        </w:rPr>
        <w:t xml:space="preserve"> and a suggested addition is in italics</w:t>
      </w:r>
      <w:r w:rsidR="00D85797" w:rsidRPr="000E01C3">
        <w:rPr>
          <w:rFonts w:asciiTheme="minorHAnsi" w:eastAsia="SimSun" w:hAnsiTheme="minorHAnsi"/>
          <w:iCs/>
          <w:color w:val="000000"/>
          <w:sz w:val="24"/>
          <w:szCs w:val="22"/>
        </w:rPr>
        <w:t xml:space="preserve"> in the below</w:t>
      </w:r>
      <w:r w:rsidRPr="000E01C3">
        <w:rPr>
          <w:rFonts w:asciiTheme="minorHAnsi" w:eastAsia="SimSun" w:hAnsiTheme="minorHAnsi"/>
          <w:iCs/>
          <w:color w:val="000000"/>
          <w:sz w:val="24"/>
          <w:szCs w:val="22"/>
        </w:rPr>
        <w:t xml:space="preserve">. </w:t>
      </w:r>
    </w:p>
    <w:tbl>
      <w:tblPr>
        <w:tblW w:w="9214" w:type="dxa"/>
        <w:tblInd w:w="108" w:type="dxa"/>
        <w:tblLayout w:type="fixed"/>
        <w:tblLook w:val="0000" w:firstRow="0" w:lastRow="0" w:firstColumn="0" w:lastColumn="0" w:noHBand="0" w:noVBand="0"/>
      </w:tblPr>
      <w:tblGrid>
        <w:gridCol w:w="1701"/>
        <w:gridCol w:w="1560"/>
        <w:gridCol w:w="567"/>
        <w:gridCol w:w="850"/>
        <w:gridCol w:w="1701"/>
        <w:gridCol w:w="1559"/>
        <w:gridCol w:w="1276"/>
      </w:tblGrid>
      <w:tr w:rsidR="008716CE" w:rsidRPr="000E01C3" w:rsidTr="0076078A">
        <w:trPr>
          <w:cantSplit/>
          <w:trHeight w:val="471"/>
        </w:trPr>
        <w:tc>
          <w:tcPr>
            <w:tcW w:w="3261" w:type="dxa"/>
            <w:gridSpan w:val="2"/>
            <w:tcBorders>
              <w:bottom w:val="single" w:sz="4" w:space="0" w:color="auto"/>
            </w:tcBorders>
          </w:tcPr>
          <w:p w:rsidR="008716CE" w:rsidRPr="000E01C3" w:rsidRDefault="008716CE" w:rsidP="0076078A">
            <w:pPr>
              <w:keepNext/>
              <w:ind w:left="-108"/>
              <w:rPr>
                <w:rFonts w:ascii="Arial Narrow" w:hAnsi="Arial Narrow"/>
                <w:sz w:val="20"/>
              </w:rPr>
            </w:pPr>
            <w:r w:rsidRPr="000E01C3">
              <w:rPr>
                <w:rFonts w:ascii="Arial Narrow" w:hAnsi="Arial Narrow"/>
                <w:sz w:val="20"/>
              </w:rPr>
              <w:t>Name, Restriction,</w:t>
            </w:r>
          </w:p>
          <w:p w:rsidR="008716CE" w:rsidRPr="000E01C3" w:rsidRDefault="008716CE" w:rsidP="0076078A">
            <w:pPr>
              <w:keepNext/>
              <w:ind w:left="-108"/>
              <w:rPr>
                <w:rFonts w:ascii="Arial Narrow" w:hAnsi="Arial Narrow"/>
                <w:sz w:val="20"/>
              </w:rPr>
            </w:pPr>
            <w:r w:rsidRPr="000E01C3">
              <w:rPr>
                <w:rFonts w:ascii="Arial Narrow" w:hAnsi="Arial Narrow"/>
                <w:sz w:val="20"/>
              </w:rPr>
              <w:t>Manner of administration and form</w:t>
            </w:r>
          </w:p>
        </w:tc>
        <w:tc>
          <w:tcPr>
            <w:tcW w:w="567" w:type="dxa"/>
            <w:tcBorders>
              <w:bottom w:val="single" w:sz="4" w:space="0" w:color="auto"/>
            </w:tcBorders>
          </w:tcPr>
          <w:p w:rsidR="008716CE" w:rsidRPr="000E01C3" w:rsidRDefault="008716CE" w:rsidP="0076078A">
            <w:pPr>
              <w:keepNext/>
              <w:ind w:left="-108"/>
              <w:rPr>
                <w:rFonts w:ascii="Arial Narrow" w:hAnsi="Arial Narrow"/>
                <w:sz w:val="20"/>
              </w:rPr>
            </w:pPr>
            <w:r w:rsidRPr="000E01C3">
              <w:rPr>
                <w:rFonts w:ascii="Arial Narrow" w:hAnsi="Arial Narrow"/>
                <w:sz w:val="20"/>
              </w:rPr>
              <w:t>Max.</w:t>
            </w:r>
          </w:p>
          <w:p w:rsidR="008716CE" w:rsidRPr="000E01C3" w:rsidRDefault="008716CE" w:rsidP="0076078A">
            <w:pPr>
              <w:keepNext/>
              <w:ind w:left="-108"/>
              <w:rPr>
                <w:rFonts w:ascii="Arial Narrow" w:hAnsi="Arial Narrow"/>
                <w:sz w:val="20"/>
              </w:rPr>
            </w:pPr>
            <w:r w:rsidRPr="000E01C3">
              <w:rPr>
                <w:rFonts w:ascii="Arial Narrow" w:hAnsi="Arial Narrow"/>
                <w:sz w:val="20"/>
              </w:rPr>
              <w:t>Qty</w:t>
            </w:r>
          </w:p>
        </w:tc>
        <w:tc>
          <w:tcPr>
            <w:tcW w:w="850" w:type="dxa"/>
            <w:tcBorders>
              <w:bottom w:val="single" w:sz="4" w:space="0" w:color="auto"/>
            </w:tcBorders>
          </w:tcPr>
          <w:p w:rsidR="008716CE" w:rsidRPr="000E01C3" w:rsidRDefault="008716CE" w:rsidP="0076078A">
            <w:pPr>
              <w:keepNext/>
              <w:ind w:left="-108"/>
              <w:rPr>
                <w:rFonts w:ascii="Arial Narrow" w:hAnsi="Arial Narrow"/>
                <w:sz w:val="20"/>
              </w:rPr>
            </w:pPr>
            <w:r w:rsidRPr="000E01C3">
              <w:rPr>
                <w:rFonts w:ascii="Arial Narrow" w:hAnsi="Arial Narrow"/>
                <w:sz w:val="20"/>
              </w:rPr>
              <w:t>№.of</w:t>
            </w:r>
          </w:p>
          <w:p w:rsidR="008716CE" w:rsidRPr="000E01C3" w:rsidRDefault="008716CE" w:rsidP="0076078A">
            <w:pPr>
              <w:keepNext/>
              <w:ind w:left="-108"/>
              <w:rPr>
                <w:rFonts w:ascii="Arial Narrow" w:hAnsi="Arial Narrow"/>
                <w:sz w:val="20"/>
              </w:rPr>
            </w:pPr>
            <w:r w:rsidRPr="000E01C3">
              <w:rPr>
                <w:rFonts w:ascii="Arial Narrow" w:hAnsi="Arial Narrow"/>
                <w:sz w:val="20"/>
              </w:rPr>
              <w:t>Rpts</w:t>
            </w:r>
          </w:p>
        </w:tc>
        <w:tc>
          <w:tcPr>
            <w:tcW w:w="1701" w:type="dxa"/>
            <w:tcBorders>
              <w:bottom w:val="single" w:sz="4" w:space="0" w:color="auto"/>
            </w:tcBorders>
          </w:tcPr>
          <w:p w:rsidR="008716CE" w:rsidRPr="000E01C3" w:rsidRDefault="008716CE" w:rsidP="0076078A">
            <w:pPr>
              <w:keepNext/>
              <w:ind w:left="-108"/>
              <w:rPr>
                <w:rFonts w:ascii="Arial Narrow" w:hAnsi="Arial Narrow"/>
                <w:sz w:val="20"/>
              </w:rPr>
            </w:pPr>
            <w:r w:rsidRPr="000E01C3">
              <w:rPr>
                <w:rFonts w:ascii="Arial Narrow" w:hAnsi="Arial Narrow"/>
                <w:sz w:val="20"/>
              </w:rPr>
              <w:t>Dispensed Price for Max. Qty</w:t>
            </w:r>
            <w:r w:rsidR="000F5B28" w:rsidRPr="000E01C3">
              <w:rPr>
                <w:rFonts w:ascii="Arial Narrow" w:hAnsi="Arial Narrow"/>
                <w:sz w:val="20"/>
              </w:rPr>
              <w:t xml:space="preserve"> (published)</w:t>
            </w:r>
          </w:p>
        </w:tc>
        <w:tc>
          <w:tcPr>
            <w:tcW w:w="2835" w:type="dxa"/>
            <w:gridSpan w:val="2"/>
            <w:tcBorders>
              <w:bottom w:val="single" w:sz="4" w:space="0" w:color="auto"/>
            </w:tcBorders>
          </w:tcPr>
          <w:p w:rsidR="008716CE" w:rsidRPr="000E01C3" w:rsidRDefault="008716CE" w:rsidP="0076078A">
            <w:pPr>
              <w:keepNext/>
              <w:rPr>
                <w:rFonts w:ascii="Arial Narrow" w:hAnsi="Arial Narrow"/>
                <w:sz w:val="20"/>
              </w:rPr>
            </w:pPr>
            <w:r w:rsidRPr="000E01C3">
              <w:rPr>
                <w:rFonts w:ascii="Arial Narrow" w:hAnsi="Arial Narrow"/>
                <w:sz w:val="20"/>
              </w:rPr>
              <w:t>Proprietary Name and Manufacturer</w:t>
            </w:r>
          </w:p>
        </w:tc>
      </w:tr>
      <w:tr w:rsidR="008716CE" w:rsidRPr="000E01C3" w:rsidTr="0076078A">
        <w:trPr>
          <w:cantSplit/>
          <w:trHeight w:val="577"/>
        </w:trPr>
        <w:tc>
          <w:tcPr>
            <w:tcW w:w="3261" w:type="dxa"/>
            <w:gridSpan w:val="2"/>
          </w:tcPr>
          <w:p w:rsidR="008716CE" w:rsidRPr="000E01C3" w:rsidRDefault="008716CE" w:rsidP="0076078A">
            <w:pPr>
              <w:keepNext/>
              <w:ind w:left="-108"/>
              <w:rPr>
                <w:rFonts w:ascii="Arial Narrow" w:hAnsi="Arial Narrow"/>
                <w:sz w:val="20"/>
              </w:rPr>
            </w:pPr>
            <w:r w:rsidRPr="000E01C3">
              <w:rPr>
                <w:rFonts w:ascii="Arial Narrow" w:hAnsi="Arial Narrow"/>
                <w:smallCaps/>
                <w:sz w:val="20"/>
              </w:rPr>
              <w:t>MANNITOL</w:t>
            </w:r>
          </w:p>
          <w:p w:rsidR="008716CE" w:rsidRPr="000E01C3" w:rsidRDefault="008716CE" w:rsidP="0076078A">
            <w:pPr>
              <w:keepNext/>
              <w:ind w:left="-108"/>
              <w:rPr>
                <w:rFonts w:ascii="Arial Narrow" w:hAnsi="Arial Narrow"/>
                <w:sz w:val="20"/>
              </w:rPr>
            </w:pPr>
            <w:r w:rsidRPr="000E01C3">
              <w:rPr>
                <w:rFonts w:ascii="Arial Narrow" w:hAnsi="Arial Narrow"/>
                <w:sz w:val="20"/>
              </w:rPr>
              <w:t>Pack containing 280 capsules containing powder for inhalation 40 mg and 2 inhalers</w:t>
            </w:r>
          </w:p>
        </w:tc>
        <w:tc>
          <w:tcPr>
            <w:tcW w:w="567" w:type="dxa"/>
          </w:tcPr>
          <w:p w:rsidR="008716CE" w:rsidRPr="000E01C3" w:rsidRDefault="008716CE" w:rsidP="0076078A">
            <w:pPr>
              <w:keepNext/>
              <w:ind w:left="-108"/>
              <w:rPr>
                <w:rFonts w:ascii="Arial Narrow" w:hAnsi="Arial Narrow"/>
                <w:sz w:val="20"/>
              </w:rPr>
            </w:pPr>
          </w:p>
          <w:p w:rsidR="008716CE" w:rsidRPr="000E01C3" w:rsidRDefault="008716CE" w:rsidP="0076078A">
            <w:pPr>
              <w:keepNext/>
              <w:ind w:left="-108"/>
              <w:rPr>
                <w:rFonts w:ascii="Arial Narrow" w:hAnsi="Arial Narrow"/>
                <w:sz w:val="20"/>
              </w:rPr>
            </w:pPr>
            <w:r w:rsidRPr="000E01C3">
              <w:rPr>
                <w:rFonts w:ascii="Arial Narrow" w:hAnsi="Arial Narrow"/>
                <w:sz w:val="20"/>
              </w:rPr>
              <w:t>4</w:t>
            </w:r>
          </w:p>
        </w:tc>
        <w:tc>
          <w:tcPr>
            <w:tcW w:w="850" w:type="dxa"/>
          </w:tcPr>
          <w:p w:rsidR="008716CE" w:rsidRPr="000E01C3" w:rsidRDefault="008716CE" w:rsidP="0076078A">
            <w:pPr>
              <w:keepNext/>
              <w:ind w:left="-108"/>
              <w:rPr>
                <w:rFonts w:ascii="Arial Narrow" w:hAnsi="Arial Narrow"/>
                <w:sz w:val="20"/>
              </w:rPr>
            </w:pPr>
          </w:p>
          <w:p w:rsidR="008716CE" w:rsidRPr="000E01C3" w:rsidRDefault="008716CE" w:rsidP="0076078A">
            <w:pPr>
              <w:keepNext/>
              <w:ind w:left="-108"/>
              <w:rPr>
                <w:rFonts w:ascii="Arial Narrow" w:hAnsi="Arial Narrow"/>
                <w:sz w:val="20"/>
              </w:rPr>
            </w:pPr>
            <w:r w:rsidRPr="000E01C3">
              <w:rPr>
                <w:rFonts w:ascii="Arial Narrow" w:hAnsi="Arial Narrow"/>
                <w:sz w:val="20"/>
              </w:rPr>
              <w:t>5</w:t>
            </w:r>
          </w:p>
        </w:tc>
        <w:tc>
          <w:tcPr>
            <w:tcW w:w="1701" w:type="dxa"/>
          </w:tcPr>
          <w:p w:rsidR="008716CE" w:rsidRPr="000E01C3" w:rsidRDefault="008716CE" w:rsidP="0076078A">
            <w:pPr>
              <w:keepNext/>
              <w:ind w:left="-108"/>
              <w:rPr>
                <w:rFonts w:ascii="Arial Narrow" w:hAnsi="Arial Narrow"/>
                <w:sz w:val="20"/>
              </w:rPr>
            </w:pPr>
          </w:p>
          <w:p w:rsidR="008716CE" w:rsidRPr="000E01C3" w:rsidRDefault="008716CE" w:rsidP="0076078A">
            <w:pPr>
              <w:keepNext/>
              <w:ind w:left="-108"/>
              <w:rPr>
                <w:rFonts w:ascii="Arial Narrow" w:hAnsi="Arial Narrow"/>
                <w:sz w:val="20"/>
              </w:rPr>
            </w:pPr>
            <w:r w:rsidRPr="000E01C3">
              <w:rPr>
                <w:rFonts w:ascii="Arial Narrow" w:hAnsi="Arial Narrow"/>
                <w:sz w:val="20"/>
              </w:rPr>
              <w:t>$</w:t>
            </w:r>
            <w:r w:rsidR="004519D0">
              <w:rPr>
                <w:rFonts w:ascii="Arial Narrow" w:hAnsi="Arial Narrow"/>
                <w:noProof/>
                <w:color w:val="000000"/>
                <w:sz w:val="20"/>
                <w:highlight w:val="black"/>
              </w:rPr>
              <w:t>'''''''''''''''''''</w:t>
            </w:r>
            <w:r w:rsidRPr="001E2C65">
              <w:rPr>
                <w:rFonts w:ascii="Arial Narrow" w:hAnsi="Arial Narrow"/>
                <w:sz w:val="20"/>
              </w:rPr>
              <w:t>*</w:t>
            </w:r>
            <w:r w:rsidRPr="000E01C3">
              <w:rPr>
                <w:rFonts w:ascii="Arial Narrow" w:hAnsi="Arial Narrow"/>
                <w:sz w:val="20"/>
              </w:rPr>
              <w:t xml:space="preserve"> (Private)</w:t>
            </w:r>
          </w:p>
          <w:p w:rsidR="008716CE" w:rsidRPr="000E01C3" w:rsidRDefault="008716CE" w:rsidP="0076078A">
            <w:pPr>
              <w:keepNext/>
              <w:ind w:left="-108"/>
              <w:rPr>
                <w:rFonts w:ascii="Arial Narrow" w:hAnsi="Arial Narrow"/>
                <w:sz w:val="20"/>
              </w:rPr>
            </w:pPr>
            <w:r w:rsidRPr="000E01C3">
              <w:rPr>
                <w:rFonts w:ascii="Arial Narrow" w:hAnsi="Arial Narrow"/>
                <w:sz w:val="20"/>
              </w:rPr>
              <w:t>$</w:t>
            </w:r>
            <w:r w:rsidR="004519D0">
              <w:rPr>
                <w:rFonts w:ascii="Arial Narrow" w:hAnsi="Arial Narrow"/>
                <w:noProof/>
                <w:color w:val="000000"/>
                <w:sz w:val="20"/>
                <w:highlight w:val="black"/>
              </w:rPr>
              <w:t>'''''''''''''''''''</w:t>
            </w:r>
            <w:r w:rsidRPr="001E2C65">
              <w:rPr>
                <w:rFonts w:ascii="Arial Narrow" w:hAnsi="Arial Narrow"/>
                <w:sz w:val="20"/>
              </w:rPr>
              <w:t>#</w:t>
            </w:r>
            <w:r w:rsidRPr="000E01C3">
              <w:rPr>
                <w:rFonts w:ascii="Arial Narrow" w:hAnsi="Arial Narrow"/>
                <w:sz w:val="20"/>
              </w:rPr>
              <w:t xml:space="preserve"> (Public)</w:t>
            </w:r>
          </w:p>
        </w:tc>
        <w:tc>
          <w:tcPr>
            <w:tcW w:w="1559" w:type="dxa"/>
          </w:tcPr>
          <w:p w:rsidR="008716CE" w:rsidRPr="000E01C3" w:rsidRDefault="008716CE" w:rsidP="0076078A">
            <w:pPr>
              <w:keepNext/>
              <w:rPr>
                <w:rFonts w:ascii="Arial Narrow" w:hAnsi="Arial Narrow"/>
                <w:sz w:val="20"/>
              </w:rPr>
            </w:pPr>
          </w:p>
          <w:p w:rsidR="008716CE" w:rsidRPr="000E01C3" w:rsidRDefault="008716CE" w:rsidP="0076078A">
            <w:pPr>
              <w:keepNext/>
              <w:rPr>
                <w:rFonts w:ascii="Arial Narrow" w:hAnsi="Arial Narrow"/>
                <w:sz w:val="20"/>
              </w:rPr>
            </w:pPr>
            <w:r w:rsidRPr="000E01C3">
              <w:rPr>
                <w:rFonts w:ascii="Arial Narrow" w:hAnsi="Arial Narrow"/>
                <w:sz w:val="20"/>
              </w:rPr>
              <w:t>Bronchitol</w:t>
            </w:r>
            <w:r w:rsidRPr="000E01C3">
              <w:rPr>
                <w:rFonts w:ascii="Arial Narrow" w:hAnsi="Arial Narrow"/>
                <w:sz w:val="20"/>
                <w:vertAlign w:val="superscript"/>
              </w:rPr>
              <w:t>®</w:t>
            </w:r>
          </w:p>
        </w:tc>
        <w:tc>
          <w:tcPr>
            <w:tcW w:w="1276" w:type="dxa"/>
          </w:tcPr>
          <w:p w:rsidR="008716CE" w:rsidRPr="000E01C3" w:rsidRDefault="008716CE" w:rsidP="0076078A">
            <w:pPr>
              <w:keepNext/>
              <w:rPr>
                <w:rFonts w:ascii="Arial Narrow" w:hAnsi="Arial Narrow"/>
                <w:sz w:val="20"/>
              </w:rPr>
            </w:pPr>
          </w:p>
          <w:p w:rsidR="008716CE" w:rsidRPr="000E01C3" w:rsidRDefault="008716CE" w:rsidP="0076078A">
            <w:pPr>
              <w:keepNext/>
              <w:rPr>
                <w:rFonts w:ascii="Arial Narrow" w:hAnsi="Arial Narrow"/>
                <w:sz w:val="20"/>
              </w:rPr>
            </w:pPr>
            <w:r w:rsidRPr="000E01C3">
              <w:rPr>
                <w:rFonts w:ascii="Arial Narrow" w:hAnsi="Arial Narrow"/>
                <w:sz w:val="20"/>
              </w:rPr>
              <w:t>Pharmaxis</w:t>
            </w:r>
          </w:p>
        </w:tc>
      </w:tr>
      <w:tr w:rsidR="008716CE" w:rsidRPr="000E01C3" w:rsidTr="008716CE">
        <w:trPr>
          <w:cantSplit/>
          <w:trHeight w:val="360"/>
        </w:trPr>
        <w:tc>
          <w:tcPr>
            <w:tcW w:w="1701" w:type="dxa"/>
            <w:tcBorders>
              <w:top w:val="single" w:sz="4" w:space="0" w:color="auto"/>
              <w:left w:val="single" w:sz="4" w:space="0" w:color="auto"/>
              <w:bottom w:val="single" w:sz="4" w:space="0" w:color="auto"/>
              <w:right w:val="single" w:sz="4" w:space="0" w:color="auto"/>
            </w:tcBorders>
          </w:tcPr>
          <w:p w:rsidR="008716CE" w:rsidRPr="000E01C3" w:rsidRDefault="008716CE" w:rsidP="0076078A">
            <w:pPr>
              <w:rPr>
                <w:rFonts w:ascii="Arial Narrow" w:hAnsi="Arial Narrow"/>
                <w:b/>
                <w:sz w:val="20"/>
              </w:rPr>
            </w:pPr>
            <w:r w:rsidRPr="000E01C3">
              <w:rPr>
                <w:rFonts w:ascii="Arial Narrow" w:hAnsi="Arial Narrow"/>
                <w:b/>
                <w:sz w:val="20"/>
              </w:rPr>
              <w:t xml:space="preserve">Category / </w:t>
            </w:r>
          </w:p>
          <w:p w:rsidR="008716CE" w:rsidRPr="000E01C3" w:rsidRDefault="008716CE" w:rsidP="0076078A">
            <w:pPr>
              <w:rPr>
                <w:rFonts w:ascii="Arial Narrow" w:hAnsi="Arial Narrow"/>
                <w:b/>
                <w:sz w:val="20"/>
              </w:rPr>
            </w:pPr>
            <w:r w:rsidRPr="000E01C3">
              <w:rPr>
                <w:rFonts w:ascii="Arial Narrow" w:hAnsi="Arial Narrow"/>
                <w:b/>
                <w:sz w:val="20"/>
              </w:rPr>
              <w:t>Program</w:t>
            </w:r>
          </w:p>
        </w:tc>
        <w:tc>
          <w:tcPr>
            <w:tcW w:w="7513" w:type="dxa"/>
            <w:gridSpan w:val="6"/>
            <w:tcBorders>
              <w:top w:val="single" w:sz="4" w:space="0" w:color="auto"/>
              <w:left w:val="single" w:sz="4" w:space="0" w:color="auto"/>
              <w:bottom w:val="single" w:sz="4" w:space="0" w:color="auto"/>
              <w:right w:val="single" w:sz="4" w:space="0" w:color="auto"/>
            </w:tcBorders>
          </w:tcPr>
          <w:p w:rsidR="008716CE" w:rsidRPr="000E01C3" w:rsidRDefault="008716CE" w:rsidP="0076078A">
            <w:pPr>
              <w:rPr>
                <w:rFonts w:ascii="Arial Narrow" w:hAnsi="Arial Narrow"/>
                <w:sz w:val="20"/>
              </w:rPr>
            </w:pPr>
            <w:r w:rsidRPr="000E01C3">
              <w:rPr>
                <w:rFonts w:ascii="Arial Narrow" w:hAnsi="Arial Narrow"/>
                <w:sz w:val="20"/>
              </w:rPr>
              <w:t xml:space="preserve">Section 100 – Highly Specialised Drugs Program </w:t>
            </w:r>
          </w:p>
          <w:p w:rsidR="008716CE" w:rsidRPr="000E01C3" w:rsidRDefault="008716CE" w:rsidP="0076078A">
            <w:pPr>
              <w:rPr>
                <w:rFonts w:ascii="Arial Narrow" w:hAnsi="Arial Narrow"/>
                <w:sz w:val="20"/>
              </w:rPr>
            </w:pPr>
          </w:p>
        </w:tc>
      </w:tr>
      <w:tr w:rsidR="008716CE" w:rsidRPr="000E01C3" w:rsidTr="008716CE">
        <w:trPr>
          <w:cantSplit/>
          <w:trHeight w:val="360"/>
        </w:trPr>
        <w:tc>
          <w:tcPr>
            <w:tcW w:w="1701" w:type="dxa"/>
            <w:tcBorders>
              <w:top w:val="single" w:sz="4" w:space="0" w:color="auto"/>
              <w:left w:val="single" w:sz="4" w:space="0" w:color="auto"/>
              <w:bottom w:val="single" w:sz="4" w:space="0" w:color="auto"/>
              <w:right w:val="single" w:sz="4" w:space="0" w:color="auto"/>
            </w:tcBorders>
          </w:tcPr>
          <w:p w:rsidR="008716CE" w:rsidRPr="000E01C3" w:rsidRDefault="008716CE" w:rsidP="0076078A">
            <w:pPr>
              <w:rPr>
                <w:rFonts w:ascii="Arial Narrow" w:hAnsi="Arial Narrow"/>
                <w:b/>
                <w:sz w:val="20"/>
              </w:rPr>
            </w:pPr>
            <w:r w:rsidRPr="000E01C3">
              <w:rPr>
                <w:rFonts w:ascii="Arial Narrow" w:hAnsi="Arial Narrow"/>
                <w:b/>
                <w:sz w:val="20"/>
              </w:rPr>
              <w:t>PBS Indication:</w:t>
            </w:r>
          </w:p>
        </w:tc>
        <w:tc>
          <w:tcPr>
            <w:tcW w:w="7513" w:type="dxa"/>
            <w:gridSpan w:val="6"/>
            <w:tcBorders>
              <w:top w:val="single" w:sz="4" w:space="0" w:color="auto"/>
              <w:left w:val="single" w:sz="4" w:space="0" w:color="auto"/>
              <w:bottom w:val="single" w:sz="4" w:space="0" w:color="auto"/>
              <w:right w:val="single" w:sz="4" w:space="0" w:color="auto"/>
            </w:tcBorders>
          </w:tcPr>
          <w:p w:rsidR="008716CE" w:rsidRPr="000E01C3" w:rsidRDefault="008716CE" w:rsidP="0076078A">
            <w:pPr>
              <w:rPr>
                <w:rFonts w:ascii="Arial Narrow" w:hAnsi="Arial Narrow"/>
                <w:sz w:val="20"/>
              </w:rPr>
            </w:pPr>
            <w:r w:rsidRPr="000E01C3">
              <w:rPr>
                <w:rFonts w:ascii="Arial Narrow" w:hAnsi="Arial Narrow"/>
                <w:sz w:val="20"/>
              </w:rPr>
              <w:t>Cystic fibrosis</w:t>
            </w:r>
          </w:p>
        </w:tc>
      </w:tr>
      <w:tr w:rsidR="008716CE" w:rsidRPr="000E01C3" w:rsidTr="008716CE">
        <w:trPr>
          <w:cantSplit/>
          <w:trHeight w:val="360"/>
        </w:trPr>
        <w:tc>
          <w:tcPr>
            <w:tcW w:w="1701" w:type="dxa"/>
            <w:tcBorders>
              <w:top w:val="single" w:sz="4" w:space="0" w:color="auto"/>
              <w:left w:val="single" w:sz="4" w:space="0" w:color="auto"/>
              <w:bottom w:val="single" w:sz="4" w:space="0" w:color="auto"/>
              <w:right w:val="single" w:sz="4" w:space="0" w:color="auto"/>
            </w:tcBorders>
          </w:tcPr>
          <w:p w:rsidR="008716CE" w:rsidRPr="000E01C3" w:rsidRDefault="008716CE" w:rsidP="0076078A">
            <w:pPr>
              <w:rPr>
                <w:rFonts w:ascii="Arial Narrow" w:hAnsi="Arial Narrow"/>
                <w:b/>
                <w:sz w:val="20"/>
              </w:rPr>
            </w:pPr>
            <w:r w:rsidRPr="000E01C3">
              <w:rPr>
                <w:rFonts w:ascii="Arial Narrow" w:hAnsi="Arial Narrow"/>
                <w:b/>
                <w:sz w:val="20"/>
              </w:rPr>
              <w:t>Restriction Level / Method:</w:t>
            </w:r>
          </w:p>
          <w:p w:rsidR="008716CE" w:rsidRPr="000E01C3" w:rsidRDefault="008716CE" w:rsidP="0076078A">
            <w:pPr>
              <w:rPr>
                <w:rFonts w:ascii="Arial Narrow" w:hAnsi="Arial Narrow"/>
                <w:i/>
                <w:sz w:val="20"/>
                <w:highlight w:val="yellow"/>
              </w:rPr>
            </w:pPr>
          </w:p>
          <w:p w:rsidR="008716CE" w:rsidRPr="000E01C3" w:rsidRDefault="008716CE" w:rsidP="0076078A">
            <w:pPr>
              <w:rPr>
                <w:rFonts w:ascii="Arial Narrow" w:hAnsi="Arial Narrow"/>
                <w:i/>
                <w:sz w:val="20"/>
              </w:rPr>
            </w:pPr>
          </w:p>
          <w:p w:rsidR="008716CE" w:rsidRPr="000E01C3" w:rsidRDefault="008716CE" w:rsidP="0076078A">
            <w:pPr>
              <w:rPr>
                <w:rFonts w:ascii="Arial Narrow" w:hAnsi="Arial Narrow"/>
                <w:i/>
                <w:sz w:val="20"/>
              </w:rPr>
            </w:pPr>
          </w:p>
        </w:tc>
        <w:tc>
          <w:tcPr>
            <w:tcW w:w="7513" w:type="dxa"/>
            <w:gridSpan w:val="6"/>
            <w:tcBorders>
              <w:top w:val="single" w:sz="4" w:space="0" w:color="auto"/>
              <w:left w:val="single" w:sz="4" w:space="0" w:color="auto"/>
              <w:bottom w:val="single" w:sz="4" w:space="0" w:color="auto"/>
              <w:right w:val="single" w:sz="4" w:space="0" w:color="auto"/>
            </w:tcBorders>
          </w:tcPr>
          <w:p w:rsidR="008716CE" w:rsidRPr="000E01C3" w:rsidRDefault="008716CE" w:rsidP="0076078A">
            <w:pPr>
              <w:rPr>
                <w:rFonts w:ascii="Arial Narrow" w:hAnsi="Arial Narrow"/>
                <w:sz w:val="20"/>
              </w:rPr>
            </w:pPr>
            <w:r w:rsidRPr="000E01C3">
              <w:rPr>
                <w:rFonts w:ascii="Arial Narrow" w:hAnsi="Arial Narrow"/>
                <w:sz w:val="20"/>
              </w:rPr>
              <w:fldChar w:fldCharType="begin">
                <w:ffData>
                  <w:name w:val="Check1"/>
                  <w:enabled/>
                  <w:calcOnExit w:val="0"/>
                  <w:checkBox>
                    <w:sizeAuto/>
                    <w:default w:val="0"/>
                  </w:checkBox>
                </w:ffData>
              </w:fldChar>
            </w:r>
            <w:r w:rsidRPr="000E01C3">
              <w:rPr>
                <w:rFonts w:ascii="Arial Narrow" w:hAnsi="Arial Narrow"/>
                <w:sz w:val="20"/>
              </w:rPr>
              <w:instrText xml:space="preserve"> FORMCHECKBOX </w:instrText>
            </w:r>
            <w:r w:rsidR="004519D0">
              <w:rPr>
                <w:rFonts w:ascii="Arial Narrow" w:hAnsi="Arial Narrow"/>
                <w:sz w:val="20"/>
              </w:rPr>
            </w:r>
            <w:r w:rsidR="004519D0">
              <w:rPr>
                <w:rFonts w:ascii="Arial Narrow" w:hAnsi="Arial Narrow"/>
                <w:sz w:val="20"/>
              </w:rPr>
              <w:fldChar w:fldCharType="separate"/>
            </w:r>
            <w:r w:rsidRPr="000E01C3">
              <w:rPr>
                <w:rFonts w:ascii="Arial Narrow" w:hAnsi="Arial Narrow"/>
                <w:sz w:val="20"/>
              </w:rPr>
              <w:fldChar w:fldCharType="end"/>
            </w:r>
            <w:r w:rsidRPr="000E01C3">
              <w:rPr>
                <w:rFonts w:ascii="Arial Narrow" w:hAnsi="Arial Narrow"/>
                <w:sz w:val="20"/>
              </w:rPr>
              <w:t>Restricted benefit</w:t>
            </w:r>
          </w:p>
          <w:p w:rsidR="008716CE" w:rsidRPr="000E01C3" w:rsidRDefault="008716CE" w:rsidP="0076078A">
            <w:pPr>
              <w:rPr>
                <w:rFonts w:ascii="Arial Narrow" w:hAnsi="Arial Narrow"/>
                <w:sz w:val="20"/>
              </w:rPr>
            </w:pPr>
            <w:r w:rsidRPr="000E01C3">
              <w:rPr>
                <w:rFonts w:ascii="Arial Narrow" w:hAnsi="Arial Narrow"/>
                <w:sz w:val="20"/>
              </w:rPr>
              <w:fldChar w:fldCharType="begin">
                <w:ffData>
                  <w:name w:val=""/>
                  <w:enabled/>
                  <w:calcOnExit w:val="0"/>
                  <w:checkBox>
                    <w:sizeAuto/>
                    <w:default w:val="1"/>
                  </w:checkBox>
                </w:ffData>
              </w:fldChar>
            </w:r>
            <w:r w:rsidRPr="000E01C3">
              <w:rPr>
                <w:rFonts w:ascii="Arial Narrow" w:hAnsi="Arial Narrow"/>
                <w:sz w:val="20"/>
              </w:rPr>
              <w:instrText xml:space="preserve"> FORMCHECKBOX </w:instrText>
            </w:r>
            <w:r w:rsidR="004519D0">
              <w:rPr>
                <w:rFonts w:ascii="Arial Narrow" w:hAnsi="Arial Narrow"/>
                <w:sz w:val="20"/>
              </w:rPr>
            </w:r>
            <w:r w:rsidR="004519D0">
              <w:rPr>
                <w:rFonts w:ascii="Arial Narrow" w:hAnsi="Arial Narrow"/>
                <w:sz w:val="20"/>
              </w:rPr>
              <w:fldChar w:fldCharType="separate"/>
            </w:r>
            <w:r w:rsidRPr="000E01C3">
              <w:rPr>
                <w:rFonts w:ascii="Arial Narrow" w:hAnsi="Arial Narrow"/>
                <w:sz w:val="20"/>
              </w:rPr>
              <w:fldChar w:fldCharType="end"/>
            </w:r>
            <w:r w:rsidRPr="000E01C3">
              <w:rPr>
                <w:rFonts w:ascii="Arial Narrow" w:hAnsi="Arial Narrow"/>
                <w:sz w:val="20"/>
              </w:rPr>
              <w:t>Authority Required - In Writing (Private hospital)</w:t>
            </w:r>
          </w:p>
          <w:p w:rsidR="008716CE" w:rsidRPr="000E01C3" w:rsidRDefault="008716CE" w:rsidP="0076078A">
            <w:pPr>
              <w:rPr>
                <w:rFonts w:ascii="Arial Narrow" w:hAnsi="Arial Narrow"/>
                <w:sz w:val="20"/>
              </w:rPr>
            </w:pPr>
            <w:r w:rsidRPr="000E01C3">
              <w:rPr>
                <w:rFonts w:ascii="Arial Narrow" w:hAnsi="Arial Narrow"/>
                <w:sz w:val="20"/>
              </w:rPr>
              <w:fldChar w:fldCharType="begin">
                <w:ffData>
                  <w:name w:val="Check3"/>
                  <w:enabled/>
                  <w:calcOnExit w:val="0"/>
                  <w:checkBox>
                    <w:sizeAuto/>
                    <w:default w:val="0"/>
                  </w:checkBox>
                </w:ffData>
              </w:fldChar>
            </w:r>
            <w:r w:rsidRPr="000E01C3">
              <w:rPr>
                <w:rFonts w:ascii="Arial Narrow" w:hAnsi="Arial Narrow"/>
                <w:sz w:val="20"/>
              </w:rPr>
              <w:instrText xml:space="preserve"> FORMCHECKBOX </w:instrText>
            </w:r>
            <w:r w:rsidR="004519D0">
              <w:rPr>
                <w:rFonts w:ascii="Arial Narrow" w:hAnsi="Arial Narrow"/>
                <w:sz w:val="20"/>
              </w:rPr>
            </w:r>
            <w:r w:rsidR="004519D0">
              <w:rPr>
                <w:rFonts w:ascii="Arial Narrow" w:hAnsi="Arial Narrow"/>
                <w:sz w:val="20"/>
              </w:rPr>
              <w:fldChar w:fldCharType="separate"/>
            </w:r>
            <w:r w:rsidRPr="000E01C3">
              <w:rPr>
                <w:rFonts w:ascii="Arial Narrow" w:hAnsi="Arial Narrow"/>
                <w:sz w:val="20"/>
              </w:rPr>
              <w:fldChar w:fldCharType="end"/>
            </w:r>
            <w:r w:rsidRPr="000E01C3">
              <w:rPr>
                <w:rFonts w:ascii="Arial Narrow" w:hAnsi="Arial Narrow"/>
                <w:sz w:val="20"/>
              </w:rPr>
              <w:t>Authority Required - Telephone</w:t>
            </w:r>
          </w:p>
          <w:p w:rsidR="008716CE" w:rsidRPr="000E01C3" w:rsidRDefault="008716CE" w:rsidP="0076078A">
            <w:pPr>
              <w:rPr>
                <w:rFonts w:ascii="Arial Narrow" w:hAnsi="Arial Narrow"/>
                <w:sz w:val="20"/>
              </w:rPr>
            </w:pPr>
            <w:r w:rsidRPr="000E01C3">
              <w:rPr>
                <w:rFonts w:ascii="Arial Narrow" w:hAnsi="Arial Narrow"/>
                <w:sz w:val="20"/>
              </w:rPr>
              <w:fldChar w:fldCharType="begin">
                <w:ffData>
                  <w:name w:val=""/>
                  <w:enabled/>
                  <w:calcOnExit w:val="0"/>
                  <w:checkBox>
                    <w:sizeAuto/>
                    <w:default w:val="0"/>
                  </w:checkBox>
                </w:ffData>
              </w:fldChar>
            </w:r>
            <w:r w:rsidRPr="000E01C3">
              <w:rPr>
                <w:rFonts w:ascii="Arial Narrow" w:hAnsi="Arial Narrow"/>
                <w:sz w:val="20"/>
              </w:rPr>
              <w:instrText xml:space="preserve"> FORMCHECKBOX </w:instrText>
            </w:r>
            <w:r w:rsidR="004519D0">
              <w:rPr>
                <w:rFonts w:ascii="Arial Narrow" w:hAnsi="Arial Narrow"/>
                <w:sz w:val="20"/>
              </w:rPr>
            </w:r>
            <w:r w:rsidR="004519D0">
              <w:rPr>
                <w:rFonts w:ascii="Arial Narrow" w:hAnsi="Arial Narrow"/>
                <w:sz w:val="20"/>
              </w:rPr>
              <w:fldChar w:fldCharType="separate"/>
            </w:r>
            <w:r w:rsidRPr="000E01C3">
              <w:rPr>
                <w:rFonts w:ascii="Arial Narrow" w:hAnsi="Arial Narrow"/>
                <w:sz w:val="20"/>
              </w:rPr>
              <w:fldChar w:fldCharType="end"/>
            </w:r>
            <w:r w:rsidRPr="000E01C3">
              <w:rPr>
                <w:rFonts w:ascii="Arial Narrow" w:hAnsi="Arial Narrow"/>
                <w:sz w:val="20"/>
              </w:rPr>
              <w:t>Authority Required - Emergency</w:t>
            </w:r>
          </w:p>
          <w:p w:rsidR="008716CE" w:rsidRPr="000E01C3" w:rsidRDefault="008716CE" w:rsidP="0076078A">
            <w:pPr>
              <w:rPr>
                <w:rFonts w:ascii="Arial Narrow" w:hAnsi="Arial Narrow"/>
                <w:sz w:val="20"/>
              </w:rPr>
            </w:pPr>
            <w:r w:rsidRPr="000E01C3">
              <w:rPr>
                <w:rFonts w:ascii="Arial Narrow" w:hAnsi="Arial Narrow"/>
                <w:sz w:val="20"/>
              </w:rPr>
              <w:fldChar w:fldCharType="begin">
                <w:ffData>
                  <w:name w:val="Check5"/>
                  <w:enabled/>
                  <w:calcOnExit w:val="0"/>
                  <w:checkBox>
                    <w:sizeAuto/>
                    <w:default w:val="0"/>
                  </w:checkBox>
                </w:ffData>
              </w:fldChar>
            </w:r>
            <w:r w:rsidRPr="000E01C3">
              <w:rPr>
                <w:rFonts w:ascii="Arial Narrow" w:hAnsi="Arial Narrow"/>
                <w:sz w:val="20"/>
              </w:rPr>
              <w:instrText xml:space="preserve"> FORMCHECKBOX </w:instrText>
            </w:r>
            <w:r w:rsidR="004519D0">
              <w:rPr>
                <w:rFonts w:ascii="Arial Narrow" w:hAnsi="Arial Narrow"/>
                <w:sz w:val="20"/>
              </w:rPr>
            </w:r>
            <w:r w:rsidR="004519D0">
              <w:rPr>
                <w:rFonts w:ascii="Arial Narrow" w:hAnsi="Arial Narrow"/>
                <w:sz w:val="20"/>
              </w:rPr>
              <w:fldChar w:fldCharType="separate"/>
            </w:r>
            <w:r w:rsidRPr="000E01C3">
              <w:rPr>
                <w:rFonts w:ascii="Arial Narrow" w:hAnsi="Arial Narrow"/>
                <w:sz w:val="20"/>
              </w:rPr>
              <w:fldChar w:fldCharType="end"/>
            </w:r>
            <w:r w:rsidRPr="000E01C3">
              <w:rPr>
                <w:rFonts w:ascii="Arial Narrow" w:hAnsi="Arial Narrow"/>
                <w:sz w:val="20"/>
              </w:rPr>
              <w:t>Authority Required - Electronic</w:t>
            </w:r>
          </w:p>
          <w:p w:rsidR="008716CE" w:rsidRPr="000E01C3" w:rsidRDefault="008716CE" w:rsidP="0076078A">
            <w:pPr>
              <w:rPr>
                <w:rFonts w:ascii="Arial Narrow" w:hAnsi="Arial Narrow"/>
                <w:sz w:val="20"/>
              </w:rPr>
            </w:pPr>
            <w:r w:rsidRPr="000E01C3">
              <w:rPr>
                <w:rFonts w:ascii="Arial Narrow" w:hAnsi="Arial Narrow"/>
                <w:sz w:val="20"/>
              </w:rPr>
              <w:fldChar w:fldCharType="begin">
                <w:ffData>
                  <w:name w:val="Check5"/>
                  <w:enabled/>
                  <w:calcOnExit w:val="0"/>
                  <w:checkBox>
                    <w:sizeAuto/>
                    <w:default w:val="1"/>
                  </w:checkBox>
                </w:ffData>
              </w:fldChar>
            </w:r>
            <w:bookmarkStart w:id="5" w:name="Check5"/>
            <w:r w:rsidRPr="000E01C3">
              <w:rPr>
                <w:rFonts w:ascii="Arial Narrow" w:hAnsi="Arial Narrow"/>
                <w:sz w:val="20"/>
              </w:rPr>
              <w:instrText xml:space="preserve"> FORMCHECKBOX </w:instrText>
            </w:r>
            <w:r w:rsidR="004519D0">
              <w:rPr>
                <w:rFonts w:ascii="Arial Narrow" w:hAnsi="Arial Narrow"/>
                <w:sz w:val="20"/>
              </w:rPr>
            </w:r>
            <w:r w:rsidR="004519D0">
              <w:rPr>
                <w:rFonts w:ascii="Arial Narrow" w:hAnsi="Arial Narrow"/>
                <w:sz w:val="20"/>
              </w:rPr>
              <w:fldChar w:fldCharType="separate"/>
            </w:r>
            <w:r w:rsidRPr="000E01C3">
              <w:rPr>
                <w:rFonts w:ascii="Arial Narrow" w:hAnsi="Arial Narrow"/>
                <w:sz w:val="20"/>
              </w:rPr>
              <w:fldChar w:fldCharType="end"/>
            </w:r>
            <w:bookmarkEnd w:id="5"/>
            <w:r w:rsidRPr="000E01C3">
              <w:rPr>
                <w:rFonts w:ascii="Arial Narrow" w:hAnsi="Arial Narrow"/>
                <w:sz w:val="20"/>
              </w:rPr>
              <w:t>Streamlined (Public hospital)</w:t>
            </w:r>
          </w:p>
        </w:tc>
      </w:tr>
      <w:tr w:rsidR="008716CE" w:rsidRPr="000E01C3" w:rsidTr="008716CE">
        <w:trPr>
          <w:cantSplit/>
          <w:trHeight w:val="360"/>
        </w:trPr>
        <w:tc>
          <w:tcPr>
            <w:tcW w:w="1701" w:type="dxa"/>
            <w:tcBorders>
              <w:top w:val="single" w:sz="4" w:space="0" w:color="auto"/>
              <w:left w:val="single" w:sz="4" w:space="0" w:color="auto"/>
              <w:bottom w:val="single" w:sz="4" w:space="0" w:color="auto"/>
              <w:right w:val="single" w:sz="4" w:space="0" w:color="auto"/>
            </w:tcBorders>
          </w:tcPr>
          <w:p w:rsidR="008716CE" w:rsidRPr="000E01C3" w:rsidRDefault="008716CE" w:rsidP="0076078A">
            <w:pPr>
              <w:rPr>
                <w:rFonts w:ascii="Arial Narrow" w:hAnsi="Arial Narrow"/>
                <w:b/>
                <w:sz w:val="20"/>
              </w:rPr>
            </w:pPr>
            <w:r w:rsidRPr="000E01C3">
              <w:rPr>
                <w:rFonts w:ascii="Arial Narrow" w:hAnsi="Arial Narrow"/>
                <w:b/>
                <w:sz w:val="20"/>
              </w:rPr>
              <w:lastRenderedPageBreak/>
              <w:t>Clinical criteria:</w:t>
            </w:r>
          </w:p>
          <w:p w:rsidR="008716CE" w:rsidRPr="000E01C3" w:rsidRDefault="008716CE" w:rsidP="0076078A">
            <w:pPr>
              <w:rPr>
                <w:rFonts w:ascii="Arial Narrow" w:hAnsi="Arial Narrow"/>
                <w:i/>
                <w:sz w:val="20"/>
              </w:rPr>
            </w:pPr>
          </w:p>
          <w:p w:rsidR="008716CE" w:rsidRPr="000E01C3" w:rsidRDefault="008716CE" w:rsidP="0076078A">
            <w:pPr>
              <w:rPr>
                <w:rFonts w:ascii="Arial Narrow" w:hAnsi="Arial Narrow"/>
                <w:sz w:val="20"/>
              </w:rPr>
            </w:pPr>
          </w:p>
        </w:tc>
        <w:tc>
          <w:tcPr>
            <w:tcW w:w="7513" w:type="dxa"/>
            <w:gridSpan w:val="6"/>
            <w:tcBorders>
              <w:top w:val="single" w:sz="4" w:space="0" w:color="auto"/>
              <w:left w:val="single" w:sz="4" w:space="0" w:color="auto"/>
              <w:bottom w:val="single" w:sz="4" w:space="0" w:color="auto"/>
              <w:right w:val="single" w:sz="4" w:space="0" w:color="auto"/>
            </w:tcBorders>
          </w:tcPr>
          <w:p w:rsidR="008716CE" w:rsidRPr="000E01C3" w:rsidRDefault="008716CE" w:rsidP="0076078A">
            <w:pPr>
              <w:rPr>
                <w:rFonts w:ascii="Arial Narrow" w:hAnsi="Arial Narrow"/>
                <w:sz w:val="20"/>
              </w:rPr>
            </w:pPr>
            <w:r w:rsidRPr="000E01C3">
              <w:rPr>
                <w:rFonts w:ascii="Arial Narrow" w:hAnsi="Arial Narrow"/>
                <w:sz w:val="20"/>
              </w:rPr>
              <w:t>Patient must have been assessed for bronchial hyperresponsiveness as per the TGA approved Product Information initiation dose assessment for this drug, prior to therapy with this drug, with a negative result,</w:t>
            </w:r>
          </w:p>
          <w:p w:rsidR="008716CE" w:rsidRPr="000E01C3" w:rsidRDefault="008716CE" w:rsidP="0076078A">
            <w:pPr>
              <w:rPr>
                <w:rFonts w:ascii="Arial Narrow" w:hAnsi="Arial Narrow"/>
                <w:sz w:val="20"/>
              </w:rPr>
            </w:pPr>
            <w:r w:rsidRPr="000E01C3">
              <w:rPr>
                <w:rFonts w:ascii="Arial Narrow" w:hAnsi="Arial Narrow"/>
                <w:sz w:val="20"/>
              </w:rPr>
              <w:t>AND</w:t>
            </w:r>
          </w:p>
          <w:p w:rsidR="008716CE" w:rsidRPr="000E01C3" w:rsidRDefault="008716CE" w:rsidP="0076078A">
            <w:pPr>
              <w:rPr>
                <w:rFonts w:ascii="Arial Narrow" w:hAnsi="Arial Narrow"/>
                <w:sz w:val="20"/>
              </w:rPr>
            </w:pPr>
            <w:r w:rsidRPr="000E01C3">
              <w:rPr>
                <w:rFonts w:ascii="Arial Narrow" w:hAnsi="Arial Narrow"/>
                <w:sz w:val="20"/>
              </w:rPr>
              <w:t>Patient must be intolerant or inadequately responsive to dornase alfa.</w:t>
            </w:r>
          </w:p>
        </w:tc>
      </w:tr>
      <w:tr w:rsidR="008716CE" w:rsidRPr="000E01C3" w:rsidTr="008716CE">
        <w:trPr>
          <w:cantSplit/>
          <w:trHeight w:val="360"/>
        </w:trPr>
        <w:tc>
          <w:tcPr>
            <w:tcW w:w="1701" w:type="dxa"/>
            <w:tcBorders>
              <w:top w:val="single" w:sz="4" w:space="0" w:color="auto"/>
              <w:left w:val="single" w:sz="4" w:space="0" w:color="auto"/>
              <w:bottom w:val="single" w:sz="4" w:space="0" w:color="auto"/>
              <w:right w:val="single" w:sz="4" w:space="0" w:color="auto"/>
            </w:tcBorders>
          </w:tcPr>
          <w:p w:rsidR="008716CE" w:rsidRPr="000E01C3" w:rsidRDefault="008716CE" w:rsidP="0076078A">
            <w:pPr>
              <w:rPr>
                <w:rFonts w:ascii="Arial Narrow" w:hAnsi="Arial Narrow"/>
                <w:b/>
                <w:sz w:val="20"/>
              </w:rPr>
            </w:pPr>
            <w:r w:rsidRPr="000E01C3">
              <w:rPr>
                <w:rFonts w:ascii="Arial Narrow" w:hAnsi="Arial Narrow"/>
                <w:b/>
                <w:sz w:val="20"/>
              </w:rPr>
              <w:t>Population criteria:</w:t>
            </w:r>
          </w:p>
        </w:tc>
        <w:tc>
          <w:tcPr>
            <w:tcW w:w="7513" w:type="dxa"/>
            <w:gridSpan w:val="6"/>
            <w:tcBorders>
              <w:top w:val="single" w:sz="4" w:space="0" w:color="auto"/>
              <w:left w:val="single" w:sz="4" w:space="0" w:color="auto"/>
              <w:bottom w:val="single" w:sz="4" w:space="0" w:color="auto"/>
              <w:right w:val="single" w:sz="4" w:space="0" w:color="auto"/>
            </w:tcBorders>
          </w:tcPr>
          <w:p w:rsidR="008716CE" w:rsidRPr="000E01C3" w:rsidRDefault="008716CE" w:rsidP="0076078A">
            <w:pPr>
              <w:rPr>
                <w:rFonts w:ascii="Arial Narrow" w:hAnsi="Arial Narrow"/>
                <w:sz w:val="20"/>
              </w:rPr>
            </w:pPr>
            <w:r w:rsidRPr="000E01C3">
              <w:rPr>
                <w:rFonts w:ascii="Arial Narrow" w:hAnsi="Arial Narrow"/>
                <w:sz w:val="20"/>
              </w:rPr>
              <w:t>Patient must be 6 years of age or older.</w:t>
            </w:r>
          </w:p>
        </w:tc>
      </w:tr>
      <w:tr w:rsidR="008716CE" w:rsidRPr="000E01C3" w:rsidTr="008716CE">
        <w:trPr>
          <w:cantSplit/>
          <w:trHeight w:val="360"/>
        </w:trPr>
        <w:tc>
          <w:tcPr>
            <w:tcW w:w="1701" w:type="dxa"/>
            <w:tcBorders>
              <w:top w:val="single" w:sz="4" w:space="0" w:color="auto"/>
              <w:left w:val="single" w:sz="4" w:space="0" w:color="auto"/>
              <w:bottom w:val="single" w:sz="4" w:space="0" w:color="auto"/>
              <w:right w:val="single" w:sz="4" w:space="0" w:color="auto"/>
            </w:tcBorders>
          </w:tcPr>
          <w:p w:rsidR="008716CE" w:rsidRPr="000E01C3" w:rsidRDefault="008716CE" w:rsidP="0076078A">
            <w:pPr>
              <w:rPr>
                <w:rFonts w:ascii="Arial Narrow" w:hAnsi="Arial Narrow"/>
                <w:b/>
                <w:sz w:val="20"/>
              </w:rPr>
            </w:pPr>
            <w:r w:rsidRPr="000E01C3">
              <w:rPr>
                <w:rFonts w:ascii="Arial Narrow" w:hAnsi="Arial Narrow"/>
                <w:b/>
                <w:sz w:val="20"/>
              </w:rPr>
              <w:t>Prescriber Instructions</w:t>
            </w:r>
          </w:p>
        </w:tc>
        <w:tc>
          <w:tcPr>
            <w:tcW w:w="7513" w:type="dxa"/>
            <w:gridSpan w:val="6"/>
            <w:tcBorders>
              <w:top w:val="single" w:sz="4" w:space="0" w:color="auto"/>
              <w:left w:val="single" w:sz="4" w:space="0" w:color="auto"/>
              <w:bottom w:val="single" w:sz="4" w:space="0" w:color="auto"/>
              <w:right w:val="single" w:sz="4" w:space="0" w:color="auto"/>
            </w:tcBorders>
          </w:tcPr>
          <w:p w:rsidR="008716CE" w:rsidRPr="000E01C3" w:rsidRDefault="008716CE" w:rsidP="0076078A">
            <w:pPr>
              <w:rPr>
                <w:rFonts w:ascii="Arial Narrow" w:hAnsi="Arial Narrow"/>
                <w:sz w:val="20"/>
              </w:rPr>
            </w:pPr>
            <w:r w:rsidRPr="000E01C3">
              <w:rPr>
                <w:rFonts w:ascii="Arial Narrow" w:hAnsi="Arial Narrow"/>
                <w:sz w:val="20"/>
              </w:rPr>
              <w:t>Patient must be assessed at a cystic fibrosis clinic/centre which is under the control of specialist respiratory physicians with experience and expertise in the management of cystic fibrosis or by a specialist physician or paediatrician in consultation with such a unit.</w:t>
            </w:r>
          </w:p>
          <w:p w:rsidR="008716CE" w:rsidRPr="000E01C3" w:rsidRDefault="008716CE" w:rsidP="0076078A">
            <w:pPr>
              <w:rPr>
                <w:rFonts w:ascii="Arial Narrow" w:hAnsi="Arial Narrow"/>
                <w:sz w:val="20"/>
              </w:rPr>
            </w:pPr>
          </w:p>
          <w:p w:rsidR="008716CE" w:rsidRPr="000E01C3" w:rsidRDefault="008716CE" w:rsidP="0076078A">
            <w:pPr>
              <w:rPr>
                <w:rFonts w:ascii="Arial Narrow" w:hAnsi="Arial Narrow"/>
                <w:sz w:val="20"/>
              </w:rPr>
            </w:pPr>
            <w:r w:rsidRPr="000E01C3">
              <w:rPr>
                <w:rFonts w:ascii="Arial Narrow" w:hAnsi="Arial Narrow"/>
                <w:sz w:val="20"/>
              </w:rPr>
              <w:t>Prior to therapy with this drug, a baseline measurement of forced expiratory volume in 1 second (FEV1) must be undertaken during a stable period of the disease.</w:t>
            </w:r>
          </w:p>
          <w:p w:rsidR="008716CE" w:rsidRPr="000E01C3" w:rsidRDefault="008716CE" w:rsidP="0076078A">
            <w:pPr>
              <w:rPr>
                <w:rFonts w:ascii="Arial Narrow" w:hAnsi="Arial Narrow"/>
                <w:sz w:val="20"/>
              </w:rPr>
            </w:pPr>
          </w:p>
          <w:p w:rsidR="008716CE" w:rsidRPr="000E01C3" w:rsidRDefault="008716CE" w:rsidP="0076078A">
            <w:pPr>
              <w:rPr>
                <w:rFonts w:ascii="Arial Narrow" w:hAnsi="Arial Narrow"/>
                <w:sz w:val="20"/>
              </w:rPr>
            </w:pPr>
            <w:r w:rsidRPr="000E01C3">
              <w:rPr>
                <w:rFonts w:ascii="Arial Narrow" w:hAnsi="Arial Narrow"/>
                <w:sz w:val="20"/>
              </w:rPr>
              <w:t>Initial therapy is limited to 3 months treatment with mannitol at a dose of 400 mg twice daily.</w:t>
            </w:r>
          </w:p>
          <w:p w:rsidR="008716CE" w:rsidRPr="000E01C3" w:rsidRDefault="008716CE" w:rsidP="0076078A">
            <w:pPr>
              <w:rPr>
                <w:rFonts w:ascii="Arial Narrow" w:hAnsi="Arial Narrow"/>
                <w:sz w:val="20"/>
              </w:rPr>
            </w:pPr>
          </w:p>
          <w:p w:rsidR="008716CE" w:rsidRPr="000E01C3" w:rsidRDefault="008716CE" w:rsidP="0076078A">
            <w:pPr>
              <w:rPr>
                <w:rFonts w:ascii="Arial Narrow" w:hAnsi="Arial Narrow"/>
                <w:sz w:val="20"/>
              </w:rPr>
            </w:pPr>
            <w:r w:rsidRPr="000E01C3">
              <w:rPr>
                <w:rFonts w:ascii="Arial Narrow" w:hAnsi="Arial Narrow"/>
                <w:sz w:val="20"/>
              </w:rPr>
              <w:t>To be eligible for continued PBS-subsidised treatment with this drug following 3 months of initial treatment:</w:t>
            </w:r>
          </w:p>
          <w:p w:rsidR="008716CE" w:rsidRPr="000E01C3" w:rsidRDefault="008716CE" w:rsidP="0076078A">
            <w:pPr>
              <w:rPr>
                <w:rFonts w:ascii="Arial Narrow" w:hAnsi="Arial Narrow"/>
                <w:sz w:val="20"/>
              </w:rPr>
            </w:pPr>
            <w:r w:rsidRPr="000E01C3">
              <w:rPr>
                <w:rFonts w:ascii="Arial Narrow" w:hAnsi="Arial Narrow"/>
                <w:sz w:val="20"/>
              </w:rPr>
              <w:t>(1) the patient must demonstrate no deterioration in FEV1 compared to baseline; AND</w:t>
            </w:r>
          </w:p>
          <w:p w:rsidR="008716CE" w:rsidRPr="000E01C3" w:rsidRDefault="008716CE" w:rsidP="0076078A">
            <w:pPr>
              <w:rPr>
                <w:rFonts w:ascii="Arial Narrow" w:hAnsi="Arial Narrow"/>
                <w:sz w:val="20"/>
              </w:rPr>
            </w:pPr>
            <w:r w:rsidRPr="000E01C3">
              <w:rPr>
                <w:rFonts w:ascii="Arial Narrow" w:hAnsi="Arial Narrow"/>
                <w:sz w:val="20"/>
              </w:rPr>
              <w:t>(2) the patient or the patient's family (in the case of paediatric patients) and the treating physician(s) must report a benefit in the clinical status of the patient.</w:t>
            </w:r>
          </w:p>
          <w:p w:rsidR="008716CE" w:rsidRPr="000E01C3" w:rsidRDefault="008716CE" w:rsidP="0076078A">
            <w:pPr>
              <w:rPr>
                <w:rFonts w:ascii="Arial Narrow" w:hAnsi="Arial Narrow"/>
                <w:sz w:val="20"/>
              </w:rPr>
            </w:pPr>
          </w:p>
          <w:p w:rsidR="008716CE" w:rsidRPr="000E01C3" w:rsidRDefault="008716CE" w:rsidP="0076078A">
            <w:pPr>
              <w:rPr>
                <w:rFonts w:ascii="Arial Narrow" w:hAnsi="Arial Narrow"/>
                <w:sz w:val="20"/>
              </w:rPr>
            </w:pPr>
            <w:r w:rsidRPr="000E01C3">
              <w:rPr>
                <w:rFonts w:ascii="Arial Narrow" w:hAnsi="Arial Narrow"/>
                <w:sz w:val="20"/>
              </w:rPr>
              <w:t>Further reassessments must be undertaken and documented at six-monthly intervals. Therapy with this drug should cease if there is not general agreement of benefit as there is always the possibility of harm from unnecessary use.</w:t>
            </w:r>
          </w:p>
        </w:tc>
      </w:tr>
      <w:tr w:rsidR="008716CE" w:rsidRPr="000E01C3" w:rsidTr="008716CE">
        <w:trPr>
          <w:cantSplit/>
          <w:trHeight w:val="360"/>
        </w:trPr>
        <w:tc>
          <w:tcPr>
            <w:tcW w:w="1701" w:type="dxa"/>
            <w:tcBorders>
              <w:top w:val="single" w:sz="4" w:space="0" w:color="auto"/>
              <w:left w:val="single" w:sz="4" w:space="0" w:color="auto"/>
              <w:bottom w:val="single" w:sz="4" w:space="0" w:color="auto"/>
              <w:right w:val="single" w:sz="4" w:space="0" w:color="auto"/>
            </w:tcBorders>
          </w:tcPr>
          <w:p w:rsidR="008716CE" w:rsidRPr="000E01C3" w:rsidRDefault="008716CE" w:rsidP="0076078A">
            <w:pPr>
              <w:rPr>
                <w:rFonts w:ascii="Arial Narrow" w:hAnsi="Arial Narrow"/>
                <w:b/>
                <w:sz w:val="20"/>
              </w:rPr>
            </w:pPr>
            <w:r w:rsidRPr="000E01C3">
              <w:rPr>
                <w:rFonts w:ascii="Arial Narrow" w:hAnsi="Arial Narrow"/>
                <w:b/>
                <w:sz w:val="20"/>
              </w:rPr>
              <w:t>Administrative Advice</w:t>
            </w:r>
          </w:p>
        </w:tc>
        <w:tc>
          <w:tcPr>
            <w:tcW w:w="7513" w:type="dxa"/>
            <w:gridSpan w:val="6"/>
            <w:tcBorders>
              <w:top w:val="single" w:sz="4" w:space="0" w:color="auto"/>
              <w:left w:val="single" w:sz="4" w:space="0" w:color="auto"/>
              <w:bottom w:val="single" w:sz="4" w:space="0" w:color="auto"/>
              <w:right w:val="single" w:sz="4" w:space="0" w:color="auto"/>
            </w:tcBorders>
          </w:tcPr>
          <w:p w:rsidR="008716CE" w:rsidRPr="000E01C3" w:rsidRDefault="008716CE" w:rsidP="0076078A">
            <w:pPr>
              <w:rPr>
                <w:rFonts w:ascii="Arial Narrow" w:hAnsi="Arial Narrow"/>
                <w:strike/>
                <w:sz w:val="20"/>
              </w:rPr>
            </w:pPr>
            <w:r w:rsidRPr="000E01C3">
              <w:rPr>
                <w:rFonts w:ascii="Arial Narrow" w:hAnsi="Arial Narrow"/>
                <w:strike/>
                <w:sz w:val="20"/>
              </w:rPr>
              <w:t>This drug is not PBS-subsidised for use in combination with PBS-subsidised dornase alfa.</w:t>
            </w:r>
          </w:p>
          <w:p w:rsidR="008716CE" w:rsidRPr="000E01C3" w:rsidRDefault="008716CE" w:rsidP="0076078A">
            <w:pPr>
              <w:rPr>
                <w:rFonts w:ascii="Arial Narrow" w:hAnsi="Arial Narrow"/>
                <w:sz w:val="20"/>
              </w:rPr>
            </w:pPr>
          </w:p>
          <w:p w:rsidR="008716CE" w:rsidRPr="000E01C3" w:rsidRDefault="008716CE" w:rsidP="0076078A">
            <w:pPr>
              <w:rPr>
                <w:rFonts w:ascii="Arial Narrow" w:hAnsi="Arial Narrow"/>
                <w:sz w:val="20"/>
              </w:rPr>
            </w:pPr>
            <w:r w:rsidRPr="000E01C3">
              <w:rPr>
                <w:rFonts w:ascii="Arial Narrow" w:hAnsi="Arial Narrow"/>
                <w:sz w:val="20"/>
              </w:rPr>
              <w:t>It is highly desirable that all patients be included in the national cystic fibrosis patient database.</w:t>
            </w:r>
          </w:p>
          <w:p w:rsidR="00902875" w:rsidRPr="000E01C3" w:rsidRDefault="00902875" w:rsidP="0076078A">
            <w:pPr>
              <w:rPr>
                <w:rFonts w:ascii="Arial Narrow" w:hAnsi="Arial Narrow"/>
                <w:sz w:val="20"/>
              </w:rPr>
            </w:pPr>
          </w:p>
          <w:p w:rsidR="00902875" w:rsidRPr="000E01C3" w:rsidRDefault="00902875" w:rsidP="00902875">
            <w:pPr>
              <w:rPr>
                <w:rFonts w:ascii="Arial Narrow" w:hAnsi="Arial Narrow"/>
                <w:i/>
                <w:sz w:val="20"/>
              </w:rPr>
            </w:pPr>
            <w:r w:rsidRPr="000E01C3">
              <w:rPr>
                <w:rFonts w:ascii="Arial Narrow" w:hAnsi="Arial Narrow"/>
                <w:i/>
                <w:sz w:val="20"/>
              </w:rPr>
              <w:t>Patients should have been trialled with hypertonic saline in their treatment history before any combination use of mannitol and dornase alfa.</w:t>
            </w:r>
          </w:p>
        </w:tc>
      </w:tr>
    </w:tbl>
    <w:p w:rsidR="00D06935" w:rsidRPr="00457CD5" w:rsidRDefault="00D06935" w:rsidP="008716CE">
      <w:pPr>
        <w:widowControl/>
        <w:tabs>
          <w:tab w:val="left" w:pos="284"/>
        </w:tabs>
        <w:spacing w:after="120"/>
        <w:ind w:left="284" w:hanging="284"/>
        <w:contextualSpacing/>
        <w:rPr>
          <w:rFonts w:ascii="Arial Narrow" w:hAnsi="Arial Narrow"/>
          <w:sz w:val="20"/>
        </w:rPr>
      </w:pPr>
      <w:r w:rsidRPr="000E01C3">
        <w:rPr>
          <w:rFonts w:ascii="Arial Narrow" w:hAnsi="Arial Narrow" w:cs="Times New Roman"/>
          <w:sz w:val="20"/>
          <w:lang w:eastAsia="en-AU"/>
        </w:rPr>
        <w:t>*</w:t>
      </w:r>
      <w:r w:rsidRPr="000E01C3">
        <w:rPr>
          <w:rFonts w:ascii="Arial Narrow" w:hAnsi="Arial Narrow"/>
          <w:sz w:val="20"/>
        </w:rPr>
        <w:tab/>
      </w:r>
      <w:r w:rsidRPr="000E01C3">
        <w:rPr>
          <w:rFonts w:ascii="Arial Narrow" w:hAnsi="Arial Narrow"/>
          <w:iCs/>
          <w:sz w:val="20"/>
        </w:rPr>
        <w:t xml:space="preserve">New </w:t>
      </w:r>
      <w:r w:rsidRPr="00457CD5">
        <w:rPr>
          <w:rFonts w:ascii="Arial Narrow" w:hAnsi="Arial Narrow"/>
          <w:iCs/>
          <w:sz w:val="20"/>
        </w:rPr>
        <w:t>DPMQ with 5% price reduction from 1 April 2018 will be $</w:t>
      </w:r>
      <w:r w:rsidR="004519D0">
        <w:rPr>
          <w:rFonts w:ascii="Arial Narrow" w:hAnsi="Arial Narrow"/>
          <w:iCs/>
          <w:noProof/>
          <w:color w:val="000000"/>
          <w:sz w:val="20"/>
          <w:highlight w:val="black"/>
        </w:rPr>
        <w:t>'''''''''''''''''''''</w:t>
      </w:r>
      <w:r w:rsidRPr="00457CD5">
        <w:rPr>
          <w:rFonts w:ascii="Arial Narrow" w:hAnsi="Arial Narrow"/>
          <w:sz w:val="20"/>
        </w:rPr>
        <w:t>.</w:t>
      </w:r>
      <w:r w:rsidRPr="00457CD5">
        <w:rPr>
          <w:rFonts w:ascii="Arial Narrow" w:hAnsi="Arial Narrow" w:cs="Times New Roman"/>
          <w:sz w:val="20"/>
          <w:lang w:eastAsia="en-AU"/>
        </w:rPr>
        <w:t xml:space="preserve"> </w:t>
      </w:r>
      <w:r w:rsidRPr="00457CD5">
        <w:rPr>
          <w:rFonts w:ascii="Arial Narrow" w:hAnsi="Arial Narrow"/>
          <w:sz w:val="20"/>
        </w:rPr>
        <w:t xml:space="preserve">The new effective DPMQ (following the mandatory 5% price cut due April 2018 and the </w:t>
      </w:r>
      <w:r w:rsidR="004519D0">
        <w:rPr>
          <w:rFonts w:ascii="Arial Narrow" w:hAnsi="Arial Narrow"/>
          <w:noProof/>
          <w:color w:val="000000"/>
          <w:sz w:val="20"/>
          <w:highlight w:val="black"/>
        </w:rPr>
        <w:t>''''''''''''''''''''' '''''''''''''''''''''''''''' ''''''''''''''</w:t>
      </w:r>
      <w:r w:rsidRPr="00457CD5">
        <w:rPr>
          <w:rFonts w:ascii="Arial Narrow" w:hAnsi="Arial Narrow"/>
          <w:sz w:val="20"/>
        </w:rPr>
        <w:t>) is $</w:t>
      </w:r>
      <w:r w:rsidR="004519D0">
        <w:rPr>
          <w:rFonts w:ascii="Arial Narrow" w:hAnsi="Arial Narrow"/>
          <w:noProof/>
          <w:color w:val="000000"/>
          <w:sz w:val="20"/>
          <w:highlight w:val="black"/>
        </w:rPr>
        <w:t>''''''''''''''''''''</w:t>
      </w:r>
      <w:r w:rsidRPr="00457CD5">
        <w:rPr>
          <w:rFonts w:ascii="Arial Narrow" w:hAnsi="Arial Narrow"/>
          <w:iCs/>
          <w:sz w:val="20"/>
        </w:rPr>
        <w:t>.</w:t>
      </w:r>
    </w:p>
    <w:p w:rsidR="00D06935" w:rsidRPr="000E01C3" w:rsidRDefault="00D06935" w:rsidP="008716CE">
      <w:pPr>
        <w:widowControl/>
        <w:tabs>
          <w:tab w:val="left" w:pos="284"/>
        </w:tabs>
        <w:spacing w:after="120"/>
        <w:ind w:left="284" w:hanging="284"/>
        <w:contextualSpacing/>
        <w:rPr>
          <w:rFonts w:ascii="Arial Narrow" w:hAnsi="Arial Narrow"/>
          <w:sz w:val="20"/>
        </w:rPr>
      </w:pPr>
      <w:r w:rsidRPr="00457CD5">
        <w:rPr>
          <w:rFonts w:ascii="Arial Narrow" w:hAnsi="Arial Narrow"/>
          <w:sz w:val="20"/>
        </w:rPr>
        <w:t>#</w:t>
      </w:r>
      <w:r w:rsidRPr="00457CD5">
        <w:rPr>
          <w:rFonts w:ascii="Arial Narrow" w:hAnsi="Arial Narrow"/>
          <w:sz w:val="20"/>
        </w:rPr>
        <w:tab/>
        <w:t xml:space="preserve">The new effective DPMQ (following the mandatory 5% price cut due April 2018 and the </w:t>
      </w:r>
      <w:r w:rsidR="004519D0">
        <w:rPr>
          <w:rFonts w:ascii="Arial Narrow" w:hAnsi="Arial Narrow"/>
          <w:noProof/>
          <w:color w:val="000000"/>
          <w:sz w:val="20"/>
          <w:highlight w:val="black"/>
        </w:rPr>
        <w:t>''''''''''''''''''' ''''''''''''''''''''''''''''' '''''''''''''''</w:t>
      </w:r>
      <w:r w:rsidRPr="00457CD5">
        <w:rPr>
          <w:rFonts w:ascii="Arial Narrow" w:hAnsi="Arial Narrow"/>
          <w:sz w:val="20"/>
        </w:rPr>
        <w:t>) is $</w:t>
      </w:r>
      <w:r w:rsidR="004519D0">
        <w:rPr>
          <w:rFonts w:ascii="Arial Narrow" w:hAnsi="Arial Narrow"/>
          <w:noProof/>
          <w:color w:val="000000"/>
          <w:sz w:val="20"/>
          <w:highlight w:val="black"/>
        </w:rPr>
        <w:t>''''''''''''''''''''''</w:t>
      </w:r>
      <w:r w:rsidRPr="00457CD5">
        <w:rPr>
          <w:rFonts w:ascii="Arial Narrow" w:hAnsi="Arial Narrow"/>
          <w:sz w:val="20"/>
        </w:rPr>
        <w:t>.</w:t>
      </w:r>
    </w:p>
    <w:p w:rsidR="00D06935" w:rsidRPr="000E01C3" w:rsidRDefault="00D06935" w:rsidP="00BE33FF">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The requested basis for listing was cost-effectiveness compared with placebo (</w:t>
      </w:r>
      <w:r w:rsidR="00582CF0" w:rsidRPr="000E01C3">
        <w:rPr>
          <w:rFonts w:asciiTheme="minorHAnsi" w:hAnsiTheme="minorHAnsi" w:cstheme="minorHAnsi"/>
          <w:sz w:val="24"/>
          <w:szCs w:val="24"/>
        </w:rPr>
        <w:t xml:space="preserve">plus </w:t>
      </w:r>
      <w:r w:rsidRPr="000E01C3">
        <w:rPr>
          <w:rFonts w:asciiTheme="minorHAnsi" w:hAnsiTheme="minorHAnsi" w:cstheme="minorHAnsi"/>
          <w:sz w:val="24"/>
          <w:szCs w:val="24"/>
        </w:rPr>
        <w:t>best supportive care, which may</w:t>
      </w:r>
      <w:r w:rsidR="00876308" w:rsidRPr="000E01C3">
        <w:rPr>
          <w:rFonts w:asciiTheme="minorHAnsi" w:hAnsiTheme="minorHAnsi" w:cstheme="minorHAnsi"/>
          <w:sz w:val="24"/>
          <w:szCs w:val="24"/>
        </w:rPr>
        <w:t xml:space="preserve"> or may not</w:t>
      </w:r>
      <w:r w:rsidRPr="000E01C3">
        <w:rPr>
          <w:rFonts w:asciiTheme="minorHAnsi" w:hAnsiTheme="minorHAnsi" w:cstheme="minorHAnsi"/>
          <w:sz w:val="24"/>
          <w:szCs w:val="24"/>
        </w:rPr>
        <w:t xml:space="preserve"> include DNase).</w:t>
      </w:r>
      <w:r w:rsidR="003C0959" w:rsidRPr="000E01C3">
        <w:rPr>
          <w:rFonts w:asciiTheme="minorHAnsi" w:hAnsiTheme="minorHAnsi" w:cstheme="minorHAnsi"/>
          <w:sz w:val="24"/>
          <w:szCs w:val="24"/>
        </w:rPr>
        <w:t xml:space="preserve"> Given the requested restrictions, it was conceivable that only those patients already on DNase but obtaining inadequate response would initiate mannitol in combination therapy.</w:t>
      </w:r>
    </w:p>
    <w:p w:rsidR="002049D8" w:rsidRPr="000E01C3" w:rsidRDefault="002049D8" w:rsidP="002049D8">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The P</w:t>
      </w:r>
      <w:r w:rsidR="00A93DDD" w:rsidRPr="000E01C3">
        <w:rPr>
          <w:rFonts w:asciiTheme="minorHAnsi" w:hAnsiTheme="minorHAnsi" w:cstheme="minorHAnsi"/>
          <w:sz w:val="24"/>
          <w:szCs w:val="24"/>
        </w:rPr>
        <w:t>re-</w:t>
      </w:r>
      <w:r w:rsidRPr="000E01C3">
        <w:rPr>
          <w:rFonts w:asciiTheme="minorHAnsi" w:hAnsiTheme="minorHAnsi" w:cstheme="minorHAnsi"/>
          <w:sz w:val="24"/>
          <w:szCs w:val="24"/>
        </w:rPr>
        <w:t>S</w:t>
      </w:r>
      <w:r w:rsidR="00A93DDD" w:rsidRPr="000E01C3">
        <w:rPr>
          <w:rFonts w:asciiTheme="minorHAnsi" w:hAnsiTheme="minorHAnsi" w:cstheme="minorHAnsi"/>
          <w:sz w:val="24"/>
          <w:szCs w:val="24"/>
        </w:rPr>
        <w:t>ub-</w:t>
      </w:r>
      <w:r w:rsidRPr="000E01C3">
        <w:rPr>
          <w:rFonts w:asciiTheme="minorHAnsi" w:hAnsiTheme="minorHAnsi" w:cstheme="minorHAnsi"/>
          <w:sz w:val="24"/>
          <w:szCs w:val="24"/>
        </w:rPr>
        <w:t>C</w:t>
      </w:r>
      <w:r w:rsidR="00A93DDD" w:rsidRPr="000E01C3">
        <w:rPr>
          <w:rFonts w:asciiTheme="minorHAnsi" w:hAnsiTheme="minorHAnsi" w:cstheme="minorHAnsi"/>
          <w:sz w:val="24"/>
          <w:szCs w:val="24"/>
        </w:rPr>
        <w:t xml:space="preserve">ommittee </w:t>
      </w:r>
      <w:r w:rsidRPr="000E01C3">
        <w:rPr>
          <w:rFonts w:asciiTheme="minorHAnsi" w:hAnsiTheme="minorHAnsi" w:cstheme="minorHAnsi"/>
          <w:sz w:val="24"/>
          <w:szCs w:val="24"/>
        </w:rPr>
        <w:t>R</w:t>
      </w:r>
      <w:r w:rsidR="00A93DDD" w:rsidRPr="000E01C3">
        <w:rPr>
          <w:rFonts w:asciiTheme="minorHAnsi" w:hAnsiTheme="minorHAnsi" w:cstheme="minorHAnsi"/>
          <w:sz w:val="24"/>
          <w:szCs w:val="24"/>
        </w:rPr>
        <w:t>esponse</w:t>
      </w:r>
      <w:r w:rsidRPr="000E01C3">
        <w:rPr>
          <w:rFonts w:asciiTheme="minorHAnsi" w:hAnsiTheme="minorHAnsi" w:cstheme="minorHAnsi"/>
          <w:sz w:val="24"/>
          <w:szCs w:val="24"/>
        </w:rPr>
        <w:t xml:space="preserve"> </w:t>
      </w:r>
      <w:r w:rsidR="00767476" w:rsidRPr="000E01C3">
        <w:rPr>
          <w:rFonts w:asciiTheme="minorHAnsi" w:hAnsiTheme="minorHAnsi" w:cstheme="minorHAnsi"/>
          <w:sz w:val="24"/>
          <w:szCs w:val="24"/>
        </w:rPr>
        <w:t xml:space="preserve">(PSCR) </w:t>
      </w:r>
      <w:r w:rsidRPr="000E01C3">
        <w:rPr>
          <w:rFonts w:asciiTheme="minorHAnsi" w:hAnsiTheme="minorHAnsi" w:cstheme="minorHAnsi"/>
          <w:sz w:val="24"/>
          <w:szCs w:val="24"/>
        </w:rPr>
        <w:t xml:space="preserve">(p1) agreed to </w:t>
      </w:r>
      <w:r w:rsidR="00767476" w:rsidRPr="000E01C3">
        <w:rPr>
          <w:rFonts w:asciiTheme="minorHAnsi" w:hAnsiTheme="minorHAnsi" w:cstheme="minorHAnsi"/>
          <w:sz w:val="24"/>
          <w:szCs w:val="24"/>
        </w:rPr>
        <w:t xml:space="preserve">the addition of </w:t>
      </w:r>
      <w:r w:rsidRPr="000E01C3">
        <w:rPr>
          <w:rFonts w:asciiTheme="minorHAnsi" w:hAnsiTheme="minorHAnsi" w:cstheme="minorHAnsi"/>
          <w:sz w:val="24"/>
          <w:szCs w:val="24"/>
        </w:rPr>
        <w:t xml:space="preserve">a </w:t>
      </w:r>
      <w:r w:rsidR="000A51E8" w:rsidRPr="000E01C3">
        <w:rPr>
          <w:rFonts w:asciiTheme="minorHAnsi" w:hAnsiTheme="minorHAnsi" w:cstheme="minorHAnsi"/>
          <w:sz w:val="24"/>
          <w:szCs w:val="24"/>
        </w:rPr>
        <w:t xml:space="preserve">NOTE </w:t>
      </w:r>
      <w:r w:rsidRPr="000E01C3">
        <w:rPr>
          <w:rFonts w:asciiTheme="minorHAnsi" w:hAnsiTheme="minorHAnsi" w:cstheme="minorHAnsi"/>
          <w:sz w:val="24"/>
          <w:szCs w:val="24"/>
        </w:rPr>
        <w:t>in the PBS restriction stating “Patients should have been trialled with hypertonic saline in their treatment history before any combination use of mannitol and dornase alfa”</w:t>
      </w:r>
      <w:r w:rsidR="00026559" w:rsidRPr="000E01C3">
        <w:rPr>
          <w:rFonts w:asciiTheme="minorHAnsi" w:hAnsiTheme="minorHAnsi" w:cstheme="minorHAnsi"/>
          <w:sz w:val="24"/>
          <w:szCs w:val="24"/>
        </w:rPr>
        <w:t xml:space="preserve"> (see paragraphs 5.3-4)</w:t>
      </w:r>
      <w:r w:rsidRPr="000E01C3">
        <w:rPr>
          <w:rFonts w:asciiTheme="minorHAnsi" w:hAnsiTheme="minorHAnsi" w:cstheme="minorHAnsi"/>
          <w:sz w:val="24"/>
          <w:szCs w:val="24"/>
        </w:rPr>
        <w:t>.</w:t>
      </w:r>
      <w:r w:rsidR="000A51E8" w:rsidRPr="000E01C3">
        <w:rPr>
          <w:rFonts w:asciiTheme="minorHAnsi" w:hAnsiTheme="minorHAnsi" w:cstheme="minorHAnsi"/>
          <w:sz w:val="24"/>
          <w:szCs w:val="24"/>
        </w:rPr>
        <w:t xml:space="preserve"> </w:t>
      </w:r>
    </w:p>
    <w:p w:rsidR="007D73D4" w:rsidRPr="000E01C3" w:rsidRDefault="007D73D4" w:rsidP="007D73D4">
      <w:pPr>
        <w:pStyle w:val="ListParagraph"/>
        <w:widowControl/>
        <w:spacing w:after="120"/>
        <w:contextualSpacing w:val="0"/>
        <w:rPr>
          <w:rFonts w:asciiTheme="minorHAnsi" w:hAnsiTheme="minorHAnsi" w:cstheme="minorHAnsi"/>
          <w:sz w:val="24"/>
          <w:szCs w:val="24"/>
        </w:rPr>
      </w:pPr>
      <w:r w:rsidRPr="000E01C3">
        <w:rPr>
          <w:rFonts w:asciiTheme="minorHAnsi" w:hAnsiTheme="minorHAnsi" w:cstheme="minorHAnsi"/>
          <w:i/>
          <w:sz w:val="24"/>
          <w:szCs w:val="24"/>
        </w:rPr>
        <w:t>For more detail on PBAC’s view, see section 7 “PBAC outcome”</w:t>
      </w:r>
    </w:p>
    <w:p w:rsidR="00D06935" w:rsidRPr="000E01C3" w:rsidRDefault="00D06935" w:rsidP="009E0439">
      <w:pPr>
        <w:pStyle w:val="Heading1"/>
      </w:pPr>
      <w:bookmarkStart w:id="6" w:name="_Toc482779065"/>
      <w:r w:rsidRPr="000E01C3">
        <w:lastRenderedPageBreak/>
        <w:t>Background</w:t>
      </w:r>
      <w:bookmarkEnd w:id="6"/>
    </w:p>
    <w:p w:rsidR="00D06935" w:rsidRPr="000E01C3" w:rsidRDefault="00D06935" w:rsidP="00BE33FF">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 xml:space="preserve">Mannitol was TGA registered on 2 March 2011 for the treatment of CF in </w:t>
      </w:r>
      <w:r w:rsidR="006713AD" w:rsidRPr="000E01C3">
        <w:rPr>
          <w:rFonts w:asciiTheme="minorHAnsi" w:hAnsiTheme="minorHAnsi" w:cstheme="minorHAnsi"/>
          <w:sz w:val="24"/>
          <w:szCs w:val="24"/>
        </w:rPr>
        <w:t>patients aged 6</w:t>
      </w:r>
      <w:r w:rsidRPr="000E01C3">
        <w:rPr>
          <w:rFonts w:asciiTheme="minorHAnsi" w:hAnsiTheme="minorHAnsi" w:cstheme="minorHAnsi"/>
          <w:sz w:val="24"/>
          <w:szCs w:val="24"/>
        </w:rPr>
        <w:t xml:space="preserve"> years and above as either an add-on therapy to </w:t>
      </w:r>
      <w:r w:rsidR="003C0959" w:rsidRPr="000E01C3">
        <w:rPr>
          <w:rFonts w:asciiTheme="minorHAnsi" w:hAnsiTheme="minorHAnsi" w:cstheme="minorHAnsi"/>
          <w:sz w:val="24"/>
          <w:szCs w:val="24"/>
        </w:rPr>
        <w:t xml:space="preserve">DNase </w:t>
      </w:r>
      <w:r w:rsidR="00997371" w:rsidRPr="000E01C3">
        <w:rPr>
          <w:rFonts w:asciiTheme="minorHAnsi" w:hAnsiTheme="minorHAnsi" w:cstheme="minorHAnsi"/>
          <w:sz w:val="24"/>
          <w:szCs w:val="24"/>
        </w:rPr>
        <w:t xml:space="preserve">or </w:t>
      </w:r>
      <w:r w:rsidRPr="000E01C3">
        <w:rPr>
          <w:rFonts w:asciiTheme="minorHAnsi" w:hAnsiTheme="minorHAnsi" w:cstheme="minorHAnsi"/>
          <w:sz w:val="24"/>
          <w:szCs w:val="24"/>
        </w:rPr>
        <w:t>in patients intolerant to, or inadequately responsive to</w:t>
      </w:r>
      <w:r w:rsidR="003C0959" w:rsidRPr="000E01C3">
        <w:rPr>
          <w:rFonts w:asciiTheme="minorHAnsi" w:hAnsiTheme="minorHAnsi" w:cstheme="minorHAnsi"/>
          <w:sz w:val="24"/>
          <w:szCs w:val="24"/>
        </w:rPr>
        <w:t xml:space="preserve"> DNase</w:t>
      </w:r>
      <w:r w:rsidRPr="000E01C3">
        <w:rPr>
          <w:rFonts w:asciiTheme="minorHAnsi" w:hAnsiTheme="minorHAnsi" w:cstheme="minorHAnsi"/>
          <w:sz w:val="24"/>
          <w:szCs w:val="24"/>
        </w:rPr>
        <w:t>.</w:t>
      </w:r>
    </w:p>
    <w:p w:rsidR="00454DDD" w:rsidRPr="000E01C3" w:rsidRDefault="00D06935" w:rsidP="00BE33FF">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 xml:space="preserve">There </w:t>
      </w:r>
      <w:r w:rsidR="00143D27" w:rsidRPr="000E01C3">
        <w:rPr>
          <w:rFonts w:asciiTheme="minorHAnsi" w:hAnsiTheme="minorHAnsi" w:cstheme="minorHAnsi"/>
          <w:sz w:val="24"/>
          <w:szCs w:val="24"/>
        </w:rPr>
        <w:t xml:space="preserve">have been </w:t>
      </w:r>
      <w:r w:rsidRPr="000E01C3">
        <w:rPr>
          <w:rFonts w:asciiTheme="minorHAnsi" w:hAnsiTheme="minorHAnsi" w:cstheme="minorHAnsi"/>
          <w:sz w:val="24"/>
          <w:szCs w:val="24"/>
        </w:rPr>
        <w:t>five previous submis</w:t>
      </w:r>
      <w:r w:rsidR="00143D27" w:rsidRPr="000E01C3">
        <w:rPr>
          <w:rFonts w:asciiTheme="minorHAnsi" w:hAnsiTheme="minorHAnsi" w:cstheme="minorHAnsi"/>
          <w:sz w:val="24"/>
          <w:szCs w:val="24"/>
        </w:rPr>
        <w:t>sions to the PBAC for mannitol.</w:t>
      </w:r>
      <w:r w:rsidRPr="000E01C3">
        <w:rPr>
          <w:rFonts w:asciiTheme="minorHAnsi" w:hAnsiTheme="minorHAnsi" w:cstheme="minorHAnsi"/>
          <w:sz w:val="24"/>
          <w:szCs w:val="24"/>
        </w:rPr>
        <w:t xml:space="preserve"> </w:t>
      </w:r>
      <w:r w:rsidR="00454DDD" w:rsidRPr="000E01C3">
        <w:rPr>
          <w:rFonts w:asciiTheme="minorHAnsi" w:hAnsiTheme="minorHAnsi" w:cstheme="minorHAnsi"/>
          <w:sz w:val="24"/>
          <w:szCs w:val="24"/>
        </w:rPr>
        <w:t>In March 2011, the PBAC considered a submission for mannitol as either monotherapy in those intolerant or unresponsive to DNase or as add on therapy in those inadequately responsive</w:t>
      </w:r>
      <w:r w:rsidR="006713AD" w:rsidRPr="000E01C3">
        <w:rPr>
          <w:rFonts w:asciiTheme="minorHAnsi" w:hAnsiTheme="minorHAnsi" w:cstheme="minorHAnsi"/>
          <w:sz w:val="24"/>
          <w:szCs w:val="24"/>
        </w:rPr>
        <w:t xml:space="preserve"> to DNase</w:t>
      </w:r>
      <w:r w:rsidR="00454DDD" w:rsidRPr="000E01C3">
        <w:rPr>
          <w:rFonts w:asciiTheme="minorHAnsi" w:hAnsiTheme="minorHAnsi" w:cstheme="minorHAnsi"/>
          <w:sz w:val="24"/>
          <w:szCs w:val="24"/>
        </w:rPr>
        <w:t>.</w:t>
      </w:r>
      <w:r w:rsidR="007869A7" w:rsidRPr="000E01C3">
        <w:rPr>
          <w:rFonts w:asciiTheme="minorHAnsi" w:hAnsiTheme="minorHAnsi" w:cstheme="minorHAnsi"/>
          <w:sz w:val="24"/>
          <w:szCs w:val="24"/>
        </w:rPr>
        <w:t xml:space="preserve"> </w:t>
      </w:r>
      <w:r w:rsidR="00454DDD" w:rsidRPr="000E01C3">
        <w:rPr>
          <w:rFonts w:asciiTheme="minorHAnsi" w:hAnsiTheme="minorHAnsi" w:cstheme="minorHAnsi"/>
          <w:sz w:val="24"/>
          <w:szCs w:val="24"/>
        </w:rPr>
        <w:t xml:space="preserve">The combination therapy part of the submission was supported by a cost utility model of mannitol </w:t>
      </w:r>
      <w:r w:rsidR="00582CF0" w:rsidRPr="000E01C3">
        <w:rPr>
          <w:rFonts w:asciiTheme="minorHAnsi" w:hAnsiTheme="minorHAnsi" w:cstheme="minorHAnsi"/>
          <w:sz w:val="24"/>
          <w:szCs w:val="24"/>
        </w:rPr>
        <w:t>+</w:t>
      </w:r>
      <w:r w:rsidR="00454DDD" w:rsidRPr="000E01C3">
        <w:rPr>
          <w:rFonts w:asciiTheme="minorHAnsi" w:hAnsiTheme="minorHAnsi" w:cstheme="minorHAnsi"/>
          <w:sz w:val="24"/>
          <w:szCs w:val="24"/>
        </w:rPr>
        <w:t xml:space="preserve"> DNase </w:t>
      </w:r>
      <w:r w:rsidR="003371A2" w:rsidRPr="000E01C3">
        <w:rPr>
          <w:rFonts w:asciiTheme="minorHAnsi" w:hAnsiTheme="minorHAnsi" w:cstheme="minorHAnsi"/>
          <w:sz w:val="24"/>
          <w:szCs w:val="24"/>
        </w:rPr>
        <w:t>vs.</w:t>
      </w:r>
      <w:r w:rsidR="00454DDD" w:rsidRPr="000E01C3">
        <w:rPr>
          <w:rFonts w:asciiTheme="minorHAnsi" w:hAnsiTheme="minorHAnsi" w:cstheme="minorHAnsi"/>
          <w:sz w:val="24"/>
          <w:szCs w:val="24"/>
        </w:rPr>
        <w:t xml:space="preserve"> DNase alone.</w:t>
      </w:r>
      <w:r w:rsidR="007869A7" w:rsidRPr="000E01C3">
        <w:rPr>
          <w:rFonts w:asciiTheme="minorHAnsi" w:hAnsiTheme="minorHAnsi" w:cstheme="minorHAnsi"/>
          <w:sz w:val="24"/>
          <w:szCs w:val="24"/>
        </w:rPr>
        <w:t xml:space="preserve"> </w:t>
      </w:r>
      <w:r w:rsidR="00F92AA3" w:rsidRPr="000E01C3">
        <w:rPr>
          <w:rFonts w:asciiTheme="minorHAnsi" w:hAnsiTheme="minorHAnsi" w:cstheme="minorHAnsi"/>
          <w:sz w:val="24"/>
          <w:szCs w:val="24"/>
        </w:rPr>
        <w:t xml:space="preserve">The </w:t>
      </w:r>
      <w:r w:rsidR="00454DDD" w:rsidRPr="000E01C3">
        <w:rPr>
          <w:rFonts w:asciiTheme="minorHAnsi" w:hAnsiTheme="minorHAnsi" w:cstheme="minorHAnsi"/>
          <w:sz w:val="24"/>
          <w:szCs w:val="24"/>
        </w:rPr>
        <w:t xml:space="preserve">PBAC considered the evidence in combination therapy with DNase to be uncertain with </w:t>
      </w:r>
      <w:r w:rsidR="006319D9" w:rsidRPr="000E01C3">
        <w:rPr>
          <w:rFonts w:asciiTheme="minorHAnsi" w:hAnsiTheme="minorHAnsi" w:cstheme="minorHAnsi"/>
          <w:sz w:val="24"/>
          <w:szCs w:val="24"/>
        </w:rPr>
        <w:t xml:space="preserve">resulting </w:t>
      </w:r>
      <w:r w:rsidR="00454DDD" w:rsidRPr="000E01C3">
        <w:rPr>
          <w:rFonts w:asciiTheme="minorHAnsi" w:hAnsiTheme="minorHAnsi" w:cstheme="minorHAnsi"/>
          <w:sz w:val="24"/>
          <w:szCs w:val="24"/>
        </w:rPr>
        <w:t>uncertain cost effectiveness.</w:t>
      </w:r>
      <w:r w:rsidR="007869A7" w:rsidRPr="000E01C3">
        <w:rPr>
          <w:rFonts w:asciiTheme="minorHAnsi" w:hAnsiTheme="minorHAnsi" w:cstheme="minorHAnsi"/>
          <w:sz w:val="24"/>
          <w:szCs w:val="24"/>
        </w:rPr>
        <w:t xml:space="preserve"> </w:t>
      </w:r>
      <w:r w:rsidR="00F11E7E" w:rsidRPr="000E01C3">
        <w:rPr>
          <w:rFonts w:asciiTheme="minorHAnsi" w:hAnsiTheme="minorHAnsi" w:cstheme="minorHAnsi"/>
          <w:sz w:val="24"/>
          <w:szCs w:val="24"/>
        </w:rPr>
        <w:t>Following a major resubmission in November 2011 and a minor resubmission in March 2012</w:t>
      </w:r>
      <w:r w:rsidR="00383CB7" w:rsidRPr="000E01C3">
        <w:rPr>
          <w:rFonts w:asciiTheme="minorHAnsi" w:hAnsiTheme="minorHAnsi" w:cstheme="minorHAnsi"/>
          <w:sz w:val="24"/>
          <w:szCs w:val="24"/>
        </w:rPr>
        <w:t xml:space="preserve">, mannitol was recommended for </w:t>
      </w:r>
      <w:r w:rsidR="00454DDD" w:rsidRPr="000E01C3">
        <w:rPr>
          <w:rFonts w:asciiTheme="minorHAnsi" w:hAnsiTheme="minorHAnsi" w:cstheme="minorHAnsi"/>
          <w:sz w:val="24"/>
          <w:szCs w:val="24"/>
        </w:rPr>
        <w:t xml:space="preserve">monotherapy on a cost minimisation basis versus </w:t>
      </w:r>
      <w:r w:rsidR="00305769" w:rsidRPr="000E01C3">
        <w:rPr>
          <w:rFonts w:asciiTheme="minorHAnsi" w:hAnsiTheme="minorHAnsi" w:cstheme="minorHAnsi"/>
          <w:sz w:val="24"/>
          <w:szCs w:val="24"/>
        </w:rPr>
        <w:t xml:space="preserve">70% </w:t>
      </w:r>
      <w:r w:rsidR="00454DDD" w:rsidRPr="000E01C3">
        <w:rPr>
          <w:rFonts w:asciiTheme="minorHAnsi" w:hAnsiTheme="minorHAnsi" w:cstheme="minorHAnsi"/>
          <w:sz w:val="24"/>
          <w:szCs w:val="24"/>
        </w:rPr>
        <w:t xml:space="preserve">DNase and 30% hypertonic saline (cost assumed to be zero), </w:t>
      </w:r>
      <w:r w:rsidR="00305769" w:rsidRPr="000E01C3">
        <w:rPr>
          <w:rFonts w:asciiTheme="minorHAnsi" w:hAnsiTheme="minorHAnsi" w:cstheme="minorHAnsi"/>
          <w:sz w:val="24"/>
          <w:szCs w:val="24"/>
        </w:rPr>
        <w:t>and</w:t>
      </w:r>
      <w:r w:rsidR="00454DDD" w:rsidRPr="000E01C3">
        <w:rPr>
          <w:rFonts w:asciiTheme="minorHAnsi" w:hAnsiTheme="minorHAnsi" w:cstheme="minorHAnsi"/>
          <w:sz w:val="24"/>
          <w:szCs w:val="24"/>
        </w:rPr>
        <w:t xml:space="preserve"> was implemented in August 2012.</w:t>
      </w:r>
    </w:p>
    <w:p w:rsidR="00454DDD" w:rsidRPr="000E01C3" w:rsidRDefault="00454DDD" w:rsidP="00BE33FF">
      <w:pPr>
        <w:pStyle w:val="ListParagraph"/>
        <w:widowControl/>
        <w:numPr>
          <w:ilvl w:val="1"/>
          <w:numId w:val="5"/>
        </w:numPr>
        <w:spacing w:after="120"/>
        <w:contextualSpacing w:val="0"/>
        <w:rPr>
          <w:rFonts w:asciiTheme="minorHAnsi" w:hAnsiTheme="minorHAnsi" w:cstheme="minorHAnsi"/>
          <w:bCs/>
          <w:snapToGrid/>
          <w:sz w:val="24"/>
          <w:szCs w:val="24"/>
          <w:lang w:eastAsia="en-AU"/>
        </w:rPr>
      </w:pPr>
      <w:r w:rsidRPr="000E01C3">
        <w:rPr>
          <w:rFonts w:asciiTheme="minorHAnsi" w:hAnsiTheme="minorHAnsi" w:cstheme="minorHAnsi"/>
          <w:sz w:val="24"/>
          <w:szCs w:val="24"/>
        </w:rPr>
        <w:t>In July 2015, the PBAC rejected a minor resubmission that requested combination use with DNase (via deletion of the NOTE prohibiting combined use in the restriction</w:t>
      </w:r>
      <w:r w:rsidR="00305769" w:rsidRPr="000E01C3">
        <w:rPr>
          <w:rFonts w:asciiTheme="minorHAnsi" w:hAnsiTheme="minorHAnsi" w:cstheme="minorHAnsi"/>
          <w:sz w:val="24"/>
          <w:szCs w:val="24"/>
        </w:rPr>
        <w:t>, as per the current resubmission).</w:t>
      </w:r>
      <w:r w:rsidRPr="000E01C3">
        <w:rPr>
          <w:rFonts w:asciiTheme="minorHAnsi" w:hAnsiTheme="minorHAnsi" w:cstheme="minorHAnsi"/>
          <w:sz w:val="24"/>
          <w:szCs w:val="24"/>
        </w:rPr>
        <w:t xml:space="preserve"> No new clinical or cost effectiveness data </w:t>
      </w:r>
      <w:r w:rsidR="00711688" w:rsidRPr="000E01C3">
        <w:rPr>
          <w:rFonts w:asciiTheme="minorHAnsi" w:hAnsiTheme="minorHAnsi" w:cstheme="minorHAnsi"/>
          <w:sz w:val="24"/>
          <w:szCs w:val="24"/>
        </w:rPr>
        <w:t>was</w:t>
      </w:r>
      <w:r w:rsidRPr="000E01C3">
        <w:rPr>
          <w:rFonts w:asciiTheme="minorHAnsi" w:hAnsiTheme="minorHAnsi" w:cstheme="minorHAnsi"/>
          <w:sz w:val="24"/>
          <w:szCs w:val="24"/>
        </w:rPr>
        <w:t xml:space="preserve"> </w:t>
      </w:r>
      <w:r w:rsidR="00305769" w:rsidRPr="000E01C3">
        <w:rPr>
          <w:rFonts w:asciiTheme="minorHAnsi" w:hAnsiTheme="minorHAnsi" w:cstheme="minorHAnsi"/>
          <w:sz w:val="24"/>
          <w:szCs w:val="24"/>
        </w:rPr>
        <w:t>presented in this</w:t>
      </w:r>
      <w:r w:rsidR="00CB3B27" w:rsidRPr="000E01C3">
        <w:rPr>
          <w:rFonts w:asciiTheme="minorHAnsi" w:hAnsiTheme="minorHAnsi" w:cstheme="minorHAnsi"/>
          <w:sz w:val="24"/>
          <w:szCs w:val="24"/>
        </w:rPr>
        <w:t xml:space="preserve"> minor</w:t>
      </w:r>
      <w:r w:rsidR="00305769" w:rsidRPr="000E01C3">
        <w:rPr>
          <w:rFonts w:asciiTheme="minorHAnsi" w:hAnsiTheme="minorHAnsi" w:cstheme="minorHAnsi"/>
          <w:sz w:val="24"/>
          <w:szCs w:val="24"/>
        </w:rPr>
        <w:t xml:space="preserve"> resubmission.</w:t>
      </w:r>
      <w:r w:rsidRPr="000E01C3">
        <w:rPr>
          <w:rFonts w:asciiTheme="minorHAnsi" w:hAnsiTheme="minorHAnsi" w:cstheme="minorHAnsi"/>
          <w:sz w:val="24"/>
          <w:szCs w:val="24"/>
        </w:rPr>
        <w:t xml:space="preserve"> </w:t>
      </w:r>
      <w:r w:rsidRPr="000E01C3">
        <w:rPr>
          <w:rFonts w:asciiTheme="minorHAnsi" w:hAnsiTheme="minorHAnsi" w:cstheme="minorHAnsi"/>
          <w:bCs/>
          <w:sz w:val="24"/>
          <w:szCs w:val="24"/>
        </w:rPr>
        <w:t>The PBAC did not recommend amending the current listing of mannitol to permit the combination use of mannitol with DNase on the basis of unproven cost-effectiveness.</w:t>
      </w:r>
    </w:p>
    <w:p w:rsidR="00D06935" w:rsidRPr="000E01C3" w:rsidRDefault="00454DDD" w:rsidP="00BE33FF">
      <w:pPr>
        <w:pStyle w:val="ListParagraph"/>
        <w:widowControl/>
        <w:numPr>
          <w:ilvl w:val="1"/>
          <w:numId w:val="5"/>
        </w:numPr>
        <w:spacing w:after="120"/>
        <w:contextualSpacing w:val="0"/>
      </w:pPr>
      <w:r w:rsidRPr="000E01C3">
        <w:rPr>
          <w:rFonts w:asciiTheme="minorHAnsi" w:hAnsiTheme="minorHAnsi" w:cstheme="minorHAnsi"/>
          <w:snapToGrid/>
          <w:sz w:val="24"/>
          <w:szCs w:val="24"/>
          <w:lang w:eastAsia="en-AU"/>
        </w:rPr>
        <w:t xml:space="preserve">Some </w:t>
      </w:r>
      <w:r w:rsidRPr="000E01C3">
        <w:rPr>
          <w:rFonts w:asciiTheme="minorHAnsi" w:hAnsiTheme="minorHAnsi" w:cstheme="minorHAnsi"/>
          <w:sz w:val="24"/>
          <w:szCs w:val="24"/>
        </w:rPr>
        <w:t>outstanding</w:t>
      </w:r>
      <w:r w:rsidRPr="000E01C3">
        <w:rPr>
          <w:rFonts w:asciiTheme="minorHAnsi" w:hAnsiTheme="minorHAnsi" w:cstheme="minorHAnsi"/>
          <w:snapToGrid/>
          <w:sz w:val="24"/>
          <w:szCs w:val="24"/>
          <w:lang w:eastAsia="en-AU"/>
        </w:rPr>
        <w:t xml:space="preserve"> matters to the PBAC and key elements from both the March 2011 submission and the July 2015 resubmission are summarised in</w:t>
      </w:r>
      <w:r w:rsidR="00CB3B27" w:rsidRPr="000E01C3">
        <w:rPr>
          <w:rFonts w:asciiTheme="minorHAnsi" w:hAnsiTheme="minorHAnsi" w:cstheme="minorHAnsi"/>
          <w:snapToGrid/>
          <w:sz w:val="24"/>
          <w:szCs w:val="24"/>
          <w:lang w:eastAsia="en-AU"/>
        </w:rPr>
        <w:t xml:space="preserve"> Table 2</w:t>
      </w:r>
      <w:r w:rsidRPr="000E01C3">
        <w:rPr>
          <w:rFonts w:asciiTheme="minorHAnsi" w:hAnsiTheme="minorHAnsi" w:cstheme="minorHAnsi"/>
          <w:snapToGrid/>
          <w:sz w:val="24"/>
          <w:szCs w:val="24"/>
          <w:lang w:eastAsia="en-AU"/>
        </w:rPr>
        <w:t xml:space="preserve">. </w:t>
      </w:r>
    </w:p>
    <w:p w:rsidR="00E55C12" w:rsidRDefault="00E55C12" w:rsidP="00E55C12">
      <w:pPr>
        <w:pStyle w:val="Caption"/>
        <w:keepNext/>
      </w:pPr>
      <w:r>
        <w:t xml:space="preserve">Table </w:t>
      </w:r>
      <w:r>
        <w:rPr>
          <w:noProof/>
        </w:rPr>
        <w:t>2</w:t>
      </w:r>
      <w:r w:rsidRPr="000A60F9">
        <w:t>: Outstanding matters of concern to the PBAC and summary of the current resubmission and relevant past submissions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51"/>
        <w:gridCol w:w="2921"/>
        <w:gridCol w:w="2472"/>
        <w:gridCol w:w="2438"/>
      </w:tblGrid>
      <w:tr w:rsidR="00C31A04" w:rsidRPr="000E01C3" w:rsidTr="00552F34">
        <w:trPr>
          <w:trHeight w:val="400"/>
          <w:tblHeader/>
        </w:trPr>
        <w:tc>
          <w:tcPr>
            <w:tcW w:w="689" w:type="pct"/>
            <w:vAlign w:val="center"/>
          </w:tcPr>
          <w:p w:rsidR="00C31A04" w:rsidRPr="000E01C3" w:rsidRDefault="00C31A04" w:rsidP="000C5182">
            <w:pPr>
              <w:keepNext/>
              <w:jc w:val="center"/>
              <w:rPr>
                <w:rFonts w:ascii="Arial Narrow" w:hAnsi="Arial Narrow"/>
                <w:b/>
                <w:sz w:val="20"/>
              </w:rPr>
            </w:pPr>
            <w:r w:rsidRPr="000E01C3">
              <w:rPr>
                <w:rFonts w:ascii="Arial Narrow" w:hAnsi="Arial Narrow"/>
                <w:b/>
                <w:sz w:val="20"/>
              </w:rPr>
              <w:t>Component</w:t>
            </w:r>
          </w:p>
        </w:tc>
        <w:tc>
          <w:tcPr>
            <w:tcW w:w="1608" w:type="pct"/>
            <w:shd w:val="clear" w:color="auto" w:fill="auto"/>
            <w:vAlign w:val="center"/>
          </w:tcPr>
          <w:p w:rsidR="00C31A04" w:rsidRPr="000E01C3" w:rsidRDefault="00C31A04" w:rsidP="000C5182">
            <w:pPr>
              <w:keepNext/>
              <w:jc w:val="center"/>
              <w:rPr>
                <w:rFonts w:ascii="Arial Narrow" w:hAnsi="Arial Narrow"/>
                <w:b/>
                <w:sz w:val="20"/>
              </w:rPr>
            </w:pPr>
            <w:r w:rsidRPr="000E01C3">
              <w:rPr>
                <w:rFonts w:ascii="Arial Narrow" w:hAnsi="Arial Narrow"/>
                <w:b/>
                <w:sz w:val="20"/>
              </w:rPr>
              <w:t>March 2011 submission</w:t>
            </w:r>
          </w:p>
        </w:tc>
        <w:tc>
          <w:tcPr>
            <w:tcW w:w="1361" w:type="pct"/>
            <w:vAlign w:val="center"/>
          </w:tcPr>
          <w:p w:rsidR="00C31A04" w:rsidRPr="000E01C3" w:rsidRDefault="00C31A04" w:rsidP="000C5182">
            <w:pPr>
              <w:keepNext/>
              <w:jc w:val="center"/>
              <w:rPr>
                <w:rFonts w:ascii="Arial Narrow" w:hAnsi="Arial Narrow"/>
                <w:b/>
                <w:sz w:val="20"/>
              </w:rPr>
            </w:pPr>
            <w:r w:rsidRPr="000E01C3">
              <w:rPr>
                <w:rFonts w:ascii="Arial Narrow" w:hAnsi="Arial Narrow"/>
                <w:b/>
                <w:sz w:val="20"/>
              </w:rPr>
              <w:t>July 2015 minor resubmission</w:t>
            </w:r>
          </w:p>
        </w:tc>
        <w:tc>
          <w:tcPr>
            <w:tcW w:w="1342" w:type="pct"/>
            <w:shd w:val="clear" w:color="auto" w:fill="auto"/>
            <w:vAlign w:val="center"/>
          </w:tcPr>
          <w:p w:rsidR="00C31A04" w:rsidRPr="000E01C3" w:rsidRDefault="00C31A04" w:rsidP="000C5182">
            <w:pPr>
              <w:keepNext/>
              <w:jc w:val="center"/>
              <w:rPr>
                <w:rFonts w:ascii="Arial Narrow" w:hAnsi="Arial Narrow"/>
                <w:b/>
                <w:sz w:val="20"/>
              </w:rPr>
            </w:pPr>
            <w:r w:rsidRPr="000E01C3">
              <w:rPr>
                <w:rFonts w:ascii="Arial Narrow" w:hAnsi="Arial Narrow"/>
                <w:b/>
                <w:sz w:val="20"/>
              </w:rPr>
              <w:t>Current resubmission</w:t>
            </w:r>
          </w:p>
        </w:tc>
      </w:tr>
      <w:tr w:rsidR="009B1BB7" w:rsidRPr="000E01C3" w:rsidTr="00552F34">
        <w:trPr>
          <w:trHeight w:val="1216"/>
        </w:trPr>
        <w:tc>
          <w:tcPr>
            <w:tcW w:w="689" w:type="pct"/>
          </w:tcPr>
          <w:p w:rsidR="00C31A04" w:rsidRPr="000E01C3" w:rsidRDefault="00C31A04" w:rsidP="000C5182">
            <w:pPr>
              <w:keepNext/>
              <w:jc w:val="left"/>
              <w:rPr>
                <w:rFonts w:ascii="Arial Narrow" w:hAnsi="Arial Narrow"/>
                <w:sz w:val="20"/>
              </w:rPr>
            </w:pPr>
            <w:r w:rsidRPr="000E01C3">
              <w:rPr>
                <w:rFonts w:ascii="Arial Narrow" w:hAnsi="Arial Narrow"/>
                <w:sz w:val="20"/>
              </w:rPr>
              <w:t>Restriction</w:t>
            </w:r>
          </w:p>
        </w:tc>
        <w:tc>
          <w:tcPr>
            <w:tcW w:w="1608" w:type="pct"/>
            <w:shd w:val="clear" w:color="auto" w:fill="auto"/>
          </w:tcPr>
          <w:p w:rsidR="00C31A04" w:rsidRPr="000E01C3" w:rsidRDefault="00C31A04" w:rsidP="000C5182">
            <w:pPr>
              <w:keepNext/>
              <w:jc w:val="left"/>
              <w:rPr>
                <w:rFonts w:ascii="Arial Narrow" w:hAnsi="Arial Narrow"/>
                <w:sz w:val="20"/>
              </w:rPr>
            </w:pPr>
            <w:r w:rsidRPr="000E01C3">
              <w:rPr>
                <w:rFonts w:ascii="Arial Narrow" w:hAnsi="Arial Narrow"/>
                <w:sz w:val="20"/>
              </w:rPr>
              <w:t>Part of the request was for add on therapy to DNase in those inadequately responsive</w:t>
            </w:r>
            <w:r w:rsidR="00600F32" w:rsidRPr="000E01C3">
              <w:rPr>
                <w:rFonts w:ascii="Arial Narrow" w:hAnsi="Arial Narrow"/>
                <w:sz w:val="20"/>
              </w:rPr>
              <w:t>.</w:t>
            </w:r>
            <w:r w:rsidRPr="000E01C3">
              <w:rPr>
                <w:rFonts w:ascii="Arial Narrow" w:hAnsi="Arial Narrow"/>
                <w:sz w:val="20"/>
              </w:rPr>
              <w:t xml:space="preserve"> </w:t>
            </w:r>
            <w:r w:rsidR="00600F32" w:rsidRPr="000E01C3">
              <w:rPr>
                <w:rFonts w:ascii="Arial Narrow" w:hAnsi="Arial Narrow"/>
                <w:sz w:val="20"/>
              </w:rPr>
              <w:t>T</w:t>
            </w:r>
            <w:r w:rsidRPr="000E01C3">
              <w:rPr>
                <w:rFonts w:ascii="Arial Narrow" w:hAnsi="Arial Narrow"/>
                <w:sz w:val="20"/>
              </w:rPr>
              <w:t>he other part was for monotherapy after failing DNase (which is now listed).</w:t>
            </w:r>
          </w:p>
        </w:tc>
        <w:tc>
          <w:tcPr>
            <w:tcW w:w="1361" w:type="pct"/>
          </w:tcPr>
          <w:p w:rsidR="00C31A04" w:rsidRPr="000E01C3" w:rsidRDefault="00C31A04" w:rsidP="000C5182">
            <w:pPr>
              <w:keepNext/>
              <w:jc w:val="left"/>
              <w:rPr>
                <w:rFonts w:ascii="Arial Narrow" w:hAnsi="Arial Narrow"/>
                <w:sz w:val="20"/>
              </w:rPr>
            </w:pPr>
            <w:r w:rsidRPr="000E01C3">
              <w:rPr>
                <w:rFonts w:ascii="Arial Narrow" w:hAnsi="Arial Narrow"/>
                <w:sz w:val="20"/>
              </w:rPr>
              <w:t>Restriction: to remove the NOTE which prohibits combination therapy with DNase.</w:t>
            </w:r>
          </w:p>
        </w:tc>
        <w:tc>
          <w:tcPr>
            <w:tcW w:w="1342" w:type="pct"/>
            <w:shd w:val="clear" w:color="auto" w:fill="auto"/>
          </w:tcPr>
          <w:p w:rsidR="00C31A04" w:rsidRPr="000E01C3" w:rsidRDefault="00C31A04" w:rsidP="000C5182">
            <w:pPr>
              <w:keepNext/>
              <w:jc w:val="left"/>
              <w:rPr>
                <w:rFonts w:ascii="Arial Narrow" w:hAnsi="Arial Narrow"/>
                <w:sz w:val="20"/>
              </w:rPr>
            </w:pPr>
            <w:r w:rsidRPr="000E01C3">
              <w:rPr>
                <w:rFonts w:ascii="Arial Narrow" w:hAnsi="Arial Narrow"/>
                <w:sz w:val="20"/>
              </w:rPr>
              <w:t>Restriction: to remove the NOTE which prohibits combination therapy with DNase</w:t>
            </w:r>
          </w:p>
        </w:tc>
      </w:tr>
      <w:tr w:rsidR="00C31A04" w:rsidRPr="000E01C3" w:rsidTr="00552F34">
        <w:trPr>
          <w:trHeight w:val="240"/>
        </w:trPr>
        <w:tc>
          <w:tcPr>
            <w:tcW w:w="689" w:type="pct"/>
          </w:tcPr>
          <w:p w:rsidR="00C31A04" w:rsidRPr="000E01C3" w:rsidRDefault="00C31A04" w:rsidP="00C31A04">
            <w:pPr>
              <w:jc w:val="left"/>
              <w:rPr>
                <w:rFonts w:ascii="Arial Narrow" w:hAnsi="Arial Narrow"/>
                <w:sz w:val="20"/>
              </w:rPr>
            </w:pPr>
            <w:r w:rsidRPr="000E01C3">
              <w:rPr>
                <w:rFonts w:ascii="Arial Narrow" w:hAnsi="Arial Narrow"/>
                <w:sz w:val="20"/>
              </w:rPr>
              <w:t>Comparator</w:t>
            </w:r>
          </w:p>
        </w:tc>
        <w:tc>
          <w:tcPr>
            <w:tcW w:w="1608" w:type="pct"/>
            <w:shd w:val="clear" w:color="auto" w:fill="auto"/>
          </w:tcPr>
          <w:p w:rsidR="00C31A04" w:rsidRPr="000E01C3" w:rsidRDefault="00CB3B27" w:rsidP="00CB3B27">
            <w:pPr>
              <w:jc w:val="left"/>
              <w:rPr>
                <w:rFonts w:ascii="Arial Narrow" w:hAnsi="Arial Narrow"/>
                <w:sz w:val="20"/>
              </w:rPr>
            </w:pPr>
            <w:r w:rsidRPr="000E01C3">
              <w:rPr>
                <w:rFonts w:ascii="Arial Narrow" w:hAnsi="Arial Narrow"/>
                <w:sz w:val="20"/>
              </w:rPr>
              <w:t>DNase alone</w:t>
            </w:r>
          </w:p>
        </w:tc>
        <w:tc>
          <w:tcPr>
            <w:tcW w:w="1361" w:type="pct"/>
          </w:tcPr>
          <w:p w:rsidR="00C31A04" w:rsidRPr="000E01C3" w:rsidRDefault="00CB3B27" w:rsidP="00CB3B27">
            <w:pPr>
              <w:jc w:val="left"/>
              <w:rPr>
                <w:rFonts w:ascii="Arial Narrow" w:hAnsi="Arial Narrow"/>
                <w:sz w:val="20"/>
              </w:rPr>
            </w:pPr>
            <w:r w:rsidRPr="000E01C3">
              <w:rPr>
                <w:rFonts w:ascii="Arial Narrow" w:hAnsi="Arial Narrow"/>
                <w:sz w:val="20"/>
              </w:rPr>
              <w:t>No comparator nominated</w:t>
            </w:r>
          </w:p>
        </w:tc>
        <w:tc>
          <w:tcPr>
            <w:tcW w:w="1342" w:type="pct"/>
            <w:shd w:val="clear" w:color="auto" w:fill="auto"/>
          </w:tcPr>
          <w:p w:rsidR="00C31A04" w:rsidRPr="000E01C3" w:rsidRDefault="00C31A04" w:rsidP="00C31A04">
            <w:pPr>
              <w:jc w:val="left"/>
              <w:rPr>
                <w:rFonts w:ascii="Arial Narrow" w:hAnsi="Arial Narrow"/>
                <w:sz w:val="20"/>
              </w:rPr>
            </w:pPr>
            <w:r w:rsidRPr="000E01C3">
              <w:rPr>
                <w:rFonts w:ascii="Arial Narrow" w:hAnsi="Arial Narrow"/>
                <w:sz w:val="20"/>
              </w:rPr>
              <w:t>Placebo + BSC (that may or may not include DNase)</w:t>
            </w:r>
          </w:p>
        </w:tc>
      </w:tr>
      <w:tr w:rsidR="00C31A04" w:rsidRPr="000E01C3" w:rsidTr="00552F34">
        <w:trPr>
          <w:trHeight w:val="240"/>
        </w:trPr>
        <w:tc>
          <w:tcPr>
            <w:tcW w:w="689" w:type="pct"/>
          </w:tcPr>
          <w:p w:rsidR="00C31A04" w:rsidRPr="000E01C3" w:rsidRDefault="00C31A04" w:rsidP="00C31A04">
            <w:pPr>
              <w:jc w:val="left"/>
              <w:rPr>
                <w:rFonts w:ascii="Arial Narrow" w:hAnsi="Arial Narrow"/>
                <w:sz w:val="20"/>
              </w:rPr>
            </w:pPr>
            <w:r w:rsidRPr="000E01C3">
              <w:rPr>
                <w:rFonts w:ascii="Arial Narrow" w:hAnsi="Arial Narrow"/>
                <w:sz w:val="20"/>
              </w:rPr>
              <w:t>Main clinical evidence</w:t>
            </w:r>
          </w:p>
        </w:tc>
        <w:tc>
          <w:tcPr>
            <w:tcW w:w="1608" w:type="pct"/>
            <w:shd w:val="clear" w:color="auto" w:fill="auto"/>
          </w:tcPr>
          <w:p w:rsidR="00C31A04" w:rsidRPr="000E01C3" w:rsidRDefault="00C31A04" w:rsidP="00C31A04">
            <w:pPr>
              <w:jc w:val="left"/>
              <w:rPr>
                <w:rFonts w:ascii="Arial Narrow" w:hAnsi="Arial Narrow"/>
                <w:sz w:val="20"/>
              </w:rPr>
            </w:pPr>
            <w:r w:rsidRPr="000E01C3">
              <w:rPr>
                <w:rFonts w:ascii="Arial Narrow" w:hAnsi="Arial Narrow"/>
                <w:sz w:val="20"/>
              </w:rPr>
              <w:t>CF-301, CF302 and CF-203</w:t>
            </w:r>
          </w:p>
        </w:tc>
        <w:tc>
          <w:tcPr>
            <w:tcW w:w="1361" w:type="pct"/>
            <w:vMerge w:val="restart"/>
          </w:tcPr>
          <w:p w:rsidR="00C31A04" w:rsidRPr="000E01C3" w:rsidRDefault="00C31A04" w:rsidP="00C31A04">
            <w:pPr>
              <w:jc w:val="left"/>
              <w:rPr>
                <w:rFonts w:ascii="Arial Narrow" w:hAnsi="Arial Narrow"/>
                <w:sz w:val="20"/>
              </w:rPr>
            </w:pPr>
            <w:r w:rsidRPr="000E01C3">
              <w:rPr>
                <w:rFonts w:ascii="Arial Narrow" w:hAnsi="Arial Narrow"/>
                <w:sz w:val="20"/>
              </w:rPr>
              <w:t>No new data was presented.  The resubmission’s arguments were based on arguments around a technicality between some misalignments between the TGA approved indication and the PBS restriction and</w:t>
            </w:r>
            <w:r w:rsidR="007F5E22" w:rsidRPr="000E01C3">
              <w:rPr>
                <w:rFonts w:ascii="Arial Narrow" w:hAnsi="Arial Narrow"/>
                <w:sz w:val="20"/>
              </w:rPr>
              <w:t xml:space="preserve"> that</w:t>
            </w:r>
            <w:r w:rsidRPr="000E01C3">
              <w:rPr>
                <w:rFonts w:ascii="Arial Narrow" w:hAnsi="Arial Narrow"/>
                <w:sz w:val="20"/>
              </w:rPr>
              <w:t xml:space="preserve"> the requested a</w:t>
            </w:r>
            <w:r w:rsidR="008D20B6" w:rsidRPr="000E01C3">
              <w:rPr>
                <w:rFonts w:ascii="Arial Narrow" w:hAnsi="Arial Narrow"/>
                <w:sz w:val="20"/>
              </w:rPr>
              <w:t>dditional population was small.</w:t>
            </w:r>
            <w:r w:rsidRPr="000E01C3">
              <w:rPr>
                <w:rFonts w:ascii="Arial Narrow" w:hAnsi="Arial Narrow"/>
                <w:sz w:val="20"/>
              </w:rPr>
              <w:t xml:space="preserve"> The resubmission also had the intent of simplifying the restriction for mannitol to minimise confusion.</w:t>
            </w:r>
          </w:p>
        </w:tc>
        <w:tc>
          <w:tcPr>
            <w:tcW w:w="1342" w:type="pct"/>
            <w:shd w:val="clear" w:color="auto" w:fill="auto"/>
          </w:tcPr>
          <w:p w:rsidR="00C31A04" w:rsidRPr="000E01C3" w:rsidRDefault="00C31A04" w:rsidP="00C31A04">
            <w:pPr>
              <w:jc w:val="left"/>
              <w:rPr>
                <w:rFonts w:ascii="Arial Narrow" w:hAnsi="Arial Narrow"/>
                <w:sz w:val="20"/>
              </w:rPr>
            </w:pPr>
            <w:r w:rsidRPr="000E01C3">
              <w:rPr>
                <w:rFonts w:ascii="Arial Narrow" w:hAnsi="Arial Narrow"/>
                <w:sz w:val="20"/>
              </w:rPr>
              <w:t xml:space="preserve">CF-301 and CF-302 including new long term open label phases. </w:t>
            </w:r>
          </w:p>
          <w:p w:rsidR="00C31A04" w:rsidRPr="000E01C3" w:rsidRDefault="00C31A04" w:rsidP="00C31A04">
            <w:pPr>
              <w:jc w:val="left"/>
              <w:rPr>
                <w:rFonts w:ascii="Arial Narrow" w:hAnsi="Arial Narrow"/>
                <w:sz w:val="20"/>
              </w:rPr>
            </w:pPr>
            <w:r w:rsidRPr="000E01C3">
              <w:rPr>
                <w:rFonts w:ascii="Arial Narrow" w:hAnsi="Arial Narrow"/>
                <w:sz w:val="20"/>
              </w:rPr>
              <w:t xml:space="preserve">CF-203 was excluded in submission (included in evaluation).  </w:t>
            </w:r>
          </w:p>
          <w:p w:rsidR="00C31A04" w:rsidRPr="000E01C3" w:rsidRDefault="00C31A04" w:rsidP="00C31A04">
            <w:pPr>
              <w:jc w:val="left"/>
              <w:rPr>
                <w:rFonts w:ascii="Arial Narrow" w:hAnsi="Arial Narrow"/>
                <w:sz w:val="20"/>
              </w:rPr>
            </w:pPr>
            <w:r w:rsidRPr="000E01C3">
              <w:rPr>
                <w:rFonts w:ascii="Arial Narrow" w:hAnsi="Arial Narrow"/>
                <w:sz w:val="20"/>
              </w:rPr>
              <w:t>CF-204.</w:t>
            </w:r>
          </w:p>
        </w:tc>
      </w:tr>
      <w:tr w:rsidR="00C31A04" w:rsidRPr="000E01C3" w:rsidTr="00552F34">
        <w:trPr>
          <w:trHeight w:val="930"/>
        </w:trPr>
        <w:tc>
          <w:tcPr>
            <w:tcW w:w="689" w:type="pct"/>
          </w:tcPr>
          <w:p w:rsidR="00C31A04" w:rsidRPr="000E01C3" w:rsidRDefault="00C31A04" w:rsidP="00C31A04">
            <w:pPr>
              <w:jc w:val="left"/>
              <w:rPr>
                <w:rFonts w:ascii="Arial Narrow" w:hAnsi="Arial Narrow"/>
                <w:iCs/>
                <w:sz w:val="20"/>
              </w:rPr>
            </w:pPr>
            <w:r w:rsidRPr="000E01C3">
              <w:rPr>
                <w:rFonts w:ascii="Arial Narrow" w:hAnsi="Arial Narrow"/>
                <w:iCs/>
                <w:sz w:val="20"/>
              </w:rPr>
              <w:t>Patient population in trials</w:t>
            </w:r>
          </w:p>
        </w:tc>
        <w:tc>
          <w:tcPr>
            <w:tcW w:w="1608" w:type="pct"/>
            <w:shd w:val="clear" w:color="auto" w:fill="auto"/>
          </w:tcPr>
          <w:p w:rsidR="00C31A04" w:rsidRPr="000E01C3" w:rsidRDefault="00C31A04" w:rsidP="00C31A04">
            <w:pPr>
              <w:jc w:val="left"/>
              <w:rPr>
                <w:rFonts w:ascii="Arial Narrow" w:hAnsi="Arial Narrow"/>
                <w:color w:val="3366FF"/>
                <w:sz w:val="20"/>
              </w:rPr>
            </w:pPr>
            <w:r w:rsidRPr="000E01C3">
              <w:rPr>
                <w:rFonts w:ascii="Arial Narrow" w:hAnsi="Arial Narrow"/>
                <w:sz w:val="20"/>
              </w:rPr>
              <w:t>Given the use of DNase in some, but not all patients in the two key trials (CF-301 and CF-302), the data used in the model was not appropriate (p9 of March 2011 PSD.</w:t>
            </w:r>
          </w:p>
        </w:tc>
        <w:tc>
          <w:tcPr>
            <w:tcW w:w="1361" w:type="pct"/>
            <w:vMerge/>
          </w:tcPr>
          <w:p w:rsidR="00C31A04" w:rsidRPr="000E01C3" w:rsidRDefault="00C31A04" w:rsidP="00C31A04">
            <w:pPr>
              <w:jc w:val="left"/>
              <w:rPr>
                <w:rFonts w:ascii="Arial Narrow" w:hAnsi="Arial Narrow"/>
                <w:iCs/>
                <w:sz w:val="20"/>
              </w:rPr>
            </w:pPr>
          </w:p>
        </w:tc>
        <w:tc>
          <w:tcPr>
            <w:tcW w:w="1342" w:type="pct"/>
            <w:shd w:val="clear" w:color="auto" w:fill="auto"/>
          </w:tcPr>
          <w:p w:rsidR="00C31A04" w:rsidRPr="000E01C3" w:rsidRDefault="00C31A04" w:rsidP="000E01C3">
            <w:pPr>
              <w:jc w:val="left"/>
              <w:rPr>
                <w:rFonts w:ascii="Arial Narrow" w:hAnsi="Arial Narrow"/>
                <w:iCs/>
                <w:sz w:val="20"/>
              </w:rPr>
            </w:pPr>
            <w:r w:rsidRPr="000E01C3">
              <w:rPr>
                <w:rFonts w:ascii="Arial Narrow" w:hAnsi="Arial Narrow"/>
                <w:iCs/>
                <w:sz w:val="20"/>
              </w:rPr>
              <w:t xml:space="preserve">Not addressed in the resubmission, which uses efficacy results from the ITT population.  The economic model also assumes that 65% of </w:t>
            </w:r>
            <w:r w:rsidRPr="000E01C3">
              <w:rPr>
                <w:rFonts w:ascii="Arial Narrow" w:hAnsi="Arial Narrow"/>
                <w:iCs/>
                <w:sz w:val="20"/>
              </w:rPr>
              <w:lastRenderedPageBreak/>
              <w:t xml:space="preserve">patients are on </w:t>
            </w:r>
            <w:r w:rsidR="000E01C3" w:rsidRPr="000E01C3">
              <w:rPr>
                <w:rFonts w:ascii="Arial Narrow" w:hAnsi="Arial Narrow"/>
                <w:iCs/>
                <w:sz w:val="20"/>
              </w:rPr>
              <w:t>DN</w:t>
            </w:r>
            <w:r w:rsidR="000E01C3">
              <w:rPr>
                <w:rFonts w:ascii="Arial Narrow" w:hAnsi="Arial Narrow"/>
                <w:iCs/>
                <w:sz w:val="20"/>
              </w:rPr>
              <w:t>a</w:t>
            </w:r>
            <w:r w:rsidR="000E01C3" w:rsidRPr="000E01C3">
              <w:rPr>
                <w:rFonts w:ascii="Arial Narrow" w:hAnsi="Arial Narrow"/>
                <w:iCs/>
                <w:sz w:val="20"/>
              </w:rPr>
              <w:t>se</w:t>
            </w:r>
            <w:r w:rsidRPr="000E01C3">
              <w:rPr>
                <w:rFonts w:ascii="Arial Narrow" w:hAnsi="Arial Narrow"/>
                <w:iCs/>
                <w:sz w:val="20"/>
              </w:rPr>
              <w:t>, which does not correspond to the appropriate comparison in this resubmission.</w:t>
            </w:r>
          </w:p>
        </w:tc>
      </w:tr>
      <w:tr w:rsidR="00C31A04" w:rsidRPr="000E01C3" w:rsidTr="00552F34">
        <w:trPr>
          <w:trHeight w:val="930"/>
        </w:trPr>
        <w:tc>
          <w:tcPr>
            <w:tcW w:w="689" w:type="pct"/>
          </w:tcPr>
          <w:p w:rsidR="00C31A04" w:rsidRPr="000E01C3" w:rsidRDefault="00C31A04" w:rsidP="00C31A04">
            <w:pPr>
              <w:jc w:val="left"/>
              <w:rPr>
                <w:rFonts w:ascii="Arial Narrow" w:hAnsi="Arial Narrow"/>
                <w:iCs/>
                <w:sz w:val="20"/>
              </w:rPr>
            </w:pPr>
            <w:r w:rsidRPr="000E01C3">
              <w:rPr>
                <w:rFonts w:ascii="Arial Narrow" w:hAnsi="Arial Narrow"/>
                <w:sz w:val="20"/>
              </w:rPr>
              <w:lastRenderedPageBreak/>
              <w:t>Clinical claim</w:t>
            </w:r>
          </w:p>
        </w:tc>
        <w:tc>
          <w:tcPr>
            <w:tcW w:w="1608" w:type="pct"/>
            <w:shd w:val="clear" w:color="auto" w:fill="auto"/>
          </w:tcPr>
          <w:p w:rsidR="00C31A04" w:rsidRPr="000E01C3" w:rsidRDefault="000A6330" w:rsidP="00C31A04">
            <w:pPr>
              <w:jc w:val="left"/>
              <w:rPr>
                <w:rFonts w:ascii="Arial Narrow" w:hAnsi="Arial Narrow"/>
                <w:sz w:val="20"/>
              </w:rPr>
            </w:pPr>
            <w:r w:rsidRPr="000E01C3">
              <w:rPr>
                <w:rFonts w:ascii="Arial Narrow" w:hAnsi="Arial Narrow"/>
                <w:sz w:val="20"/>
              </w:rPr>
              <w:t>The submission described mannitol in combination with dornase alfa as superior in terms of efficacy but inferior in terms of safety compared to dornase alfa alone.</w:t>
            </w:r>
          </w:p>
          <w:p w:rsidR="00C31A04" w:rsidRPr="000E01C3" w:rsidRDefault="00C31A04" w:rsidP="00C31A04">
            <w:pPr>
              <w:jc w:val="left"/>
              <w:rPr>
                <w:rFonts w:ascii="Arial Narrow" w:hAnsi="Arial Narrow"/>
                <w:iCs/>
                <w:sz w:val="20"/>
              </w:rPr>
            </w:pPr>
            <w:r w:rsidRPr="000E01C3">
              <w:rPr>
                <w:rFonts w:ascii="Arial Narrow" w:hAnsi="Arial Narrow"/>
                <w:iCs/>
                <w:sz w:val="20"/>
              </w:rPr>
              <w:t>The PBAC was not convinced that combination use of these drugs would not lead to worse outcomes. Although acknowledging that trial CF-203 was underpowered and the larger trials CF-301/CF-302, which had subgroups of patients on either both treatments or mannitol monotherapy, did not show a consistent trend of patients performing worse when using mannitol in combination with DNase, the benefit of mannitol as an add-on therapy remains uncertain.</w:t>
            </w:r>
          </w:p>
        </w:tc>
        <w:tc>
          <w:tcPr>
            <w:tcW w:w="1361" w:type="pct"/>
          </w:tcPr>
          <w:p w:rsidR="00C31A04" w:rsidRPr="000E01C3" w:rsidRDefault="00C31A04" w:rsidP="00C31A04">
            <w:pPr>
              <w:jc w:val="left"/>
              <w:rPr>
                <w:rFonts w:ascii="Arial Narrow" w:hAnsi="Arial Narrow"/>
                <w:sz w:val="20"/>
              </w:rPr>
            </w:pPr>
            <w:r w:rsidRPr="000E01C3">
              <w:rPr>
                <w:rFonts w:ascii="Arial Narrow" w:hAnsi="Arial Narrow"/>
                <w:sz w:val="20"/>
              </w:rPr>
              <w:t>None presented.</w:t>
            </w:r>
          </w:p>
        </w:tc>
        <w:tc>
          <w:tcPr>
            <w:tcW w:w="1342" w:type="pct"/>
            <w:shd w:val="clear" w:color="auto" w:fill="auto"/>
          </w:tcPr>
          <w:p w:rsidR="00C31A04" w:rsidRPr="000E01C3" w:rsidRDefault="00C31A04" w:rsidP="00C31A04">
            <w:pPr>
              <w:jc w:val="left"/>
              <w:rPr>
                <w:rFonts w:ascii="Arial Narrow" w:hAnsi="Arial Narrow"/>
                <w:sz w:val="20"/>
              </w:rPr>
            </w:pPr>
            <w:r w:rsidRPr="000E01C3">
              <w:rPr>
                <w:rFonts w:ascii="Arial Narrow" w:hAnsi="Arial Narrow"/>
                <w:sz w:val="20"/>
              </w:rPr>
              <w:t>Mannitol + BSC is superior to BSC (which may include DNase) at improving FEV</w:t>
            </w:r>
            <w:r w:rsidRPr="000E01C3">
              <w:rPr>
                <w:rFonts w:ascii="Arial Narrow" w:hAnsi="Arial Narrow"/>
                <w:sz w:val="20"/>
                <w:vertAlign w:val="subscript"/>
              </w:rPr>
              <w:t>1</w:t>
            </w:r>
            <w:r w:rsidRPr="000E01C3">
              <w:rPr>
                <w:rFonts w:ascii="Arial Narrow" w:hAnsi="Arial Narrow"/>
                <w:sz w:val="20"/>
              </w:rPr>
              <w:t xml:space="preserve"> outcomes.  Same safety claim as March 2011 submission.</w:t>
            </w:r>
          </w:p>
        </w:tc>
      </w:tr>
      <w:tr w:rsidR="00C31A04" w:rsidRPr="000E01C3" w:rsidTr="00552F34">
        <w:trPr>
          <w:trHeight w:val="930"/>
        </w:trPr>
        <w:tc>
          <w:tcPr>
            <w:tcW w:w="689" w:type="pct"/>
          </w:tcPr>
          <w:p w:rsidR="00C31A04" w:rsidRPr="000E01C3" w:rsidRDefault="00C31A04" w:rsidP="00C31A04">
            <w:pPr>
              <w:jc w:val="left"/>
              <w:rPr>
                <w:rFonts w:ascii="Arial Narrow" w:hAnsi="Arial Narrow"/>
                <w:iCs/>
                <w:sz w:val="20"/>
              </w:rPr>
            </w:pPr>
            <w:r w:rsidRPr="000E01C3">
              <w:rPr>
                <w:rFonts w:ascii="Arial Narrow" w:hAnsi="Arial Narrow"/>
                <w:iCs/>
                <w:sz w:val="20"/>
              </w:rPr>
              <w:t>Modelled economic evaluation</w:t>
            </w:r>
          </w:p>
        </w:tc>
        <w:tc>
          <w:tcPr>
            <w:tcW w:w="1608" w:type="pct"/>
            <w:shd w:val="clear" w:color="auto" w:fill="auto"/>
          </w:tcPr>
          <w:p w:rsidR="008D20B6" w:rsidRPr="000E01C3" w:rsidRDefault="00C31A04" w:rsidP="008D20B6">
            <w:pPr>
              <w:jc w:val="left"/>
              <w:rPr>
                <w:rFonts w:ascii="Arial Narrow" w:hAnsi="Arial Narrow"/>
                <w:iCs/>
                <w:sz w:val="20"/>
              </w:rPr>
            </w:pPr>
            <w:r w:rsidRPr="000E01C3">
              <w:rPr>
                <w:rFonts w:ascii="Arial Narrow" w:hAnsi="Arial Narrow"/>
                <w:iCs/>
                <w:sz w:val="20"/>
              </w:rPr>
              <w:t>A cost utility model was presented comparing the costs and health outcomes associated with usual care, mannitol alone, DNase</w:t>
            </w:r>
            <w:r w:rsidR="007263FC" w:rsidRPr="000E01C3">
              <w:rPr>
                <w:rFonts w:ascii="Arial Narrow" w:hAnsi="Arial Narrow"/>
                <w:iCs/>
                <w:sz w:val="20"/>
              </w:rPr>
              <w:t xml:space="preserve"> alone, and the combination of m</w:t>
            </w:r>
            <w:r w:rsidRPr="000E01C3">
              <w:rPr>
                <w:rFonts w:ascii="Arial Narrow" w:hAnsi="Arial Narrow"/>
                <w:iCs/>
                <w:sz w:val="20"/>
              </w:rPr>
              <w:t>annitol with DNase in patients with cystic fibrosis.</w:t>
            </w:r>
            <w:r w:rsidR="008D20B6" w:rsidRPr="000E01C3">
              <w:rPr>
                <w:rFonts w:ascii="Arial Narrow" w:hAnsi="Arial Narrow"/>
                <w:iCs/>
                <w:sz w:val="20"/>
              </w:rPr>
              <w:t xml:space="preserve"> </w:t>
            </w:r>
          </w:p>
          <w:p w:rsidR="008D20B6" w:rsidRPr="000E01C3" w:rsidRDefault="008D20B6" w:rsidP="008D20B6">
            <w:pPr>
              <w:jc w:val="left"/>
              <w:rPr>
                <w:rFonts w:ascii="Arial Narrow" w:hAnsi="Arial Narrow"/>
                <w:iCs/>
                <w:sz w:val="20"/>
              </w:rPr>
            </w:pPr>
          </w:p>
          <w:p w:rsidR="00CB3B27" w:rsidRPr="000E01C3" w:rsidRDefault="008D20B6" w:rsidP="008D20B6">
            <w:pPr>
              <w:jc w:val="left"/>
              <w:rPr>
                <w:rFonts w:ascii="Arial Narrow" w:hAnsi="Arial Narrow"/>
                <w:sz w:val="20"/>
              </w:rPr>
            </w:pPr>
            <w:r w:rsidRPr="000E01C3">
              <w:rPr>
                <w:rFonts w:ascii="Arial Narrow" w:hAnsi="Arial Narrow"/>
                <w:sz w:val="20"/>
              </w:rPr>
              <w:t>The model was dependent on a number of assumptions, such as maintenance of treatment effect, that were not well justified in the submission (p9 of March 2011 PSD).</w:t>
            </w:r>
          </w:p>
        </w:tc>
        <w:tc>
          <w:tcPr>
            <w:tcW w:w="1361" w:type="pct"/>
          </w:tcPr>
          <w:p w:rsidR="00C31A04" w:rsidRPr="000E01C3" w:rsidRDefault="00552F34" w:rsidP="00C31A04">
            <w:pPr>
              <w:jc w:val="left"/>
              <w:rPr>
                <w:rFonts w:ascii="Arial Narrow" w:hAnsi="Arial Narrow"/>
                <w:sz w:val="20"/>
              </w:rPr>
            </w:pPr>
            <w:r w:rsidRPr="000E01C3">
              <w:rPr>
                <w:rFonts w:ascii="Arial Narrow" w:hAnsi="Arial Narrow"/>
                <w:sz w:val="20"/>
              </w:rPr>
              <w:t>None presented</w:t>
            </w:r>
          </w:p>
        </w:tc>
        <w:tc>
          <w:tcPr>
            <w:tcW w:w="1342" w:type="pct"/>
            <w:shd w:val="clear" w:color="auto" w:fill="auto"/>
          </w:tcPr>
          <w:p w:rsidR="007263FC" w:rsidRPr="000E01C3" w:rsidRDefault="00C31A04" w:rsidP="007263FC">
            <w:pPr>
              <w:jc w:val="left"/>
              <w:rPr>
                <w:rFonts w:ascii="Arial Narrow" w:hAnsi="Arial Narrow"/>
                <w:sz w:val="20"/>
              </w:rPr>
            </w:pPr>
            <w:r w:rsidRPr="000E01C3">
              <w:rPr>
                <w:rFonts w:ascii="Arial Narrow" w:hAnsi="Arial Narrow"/>
                <w:sz w:val="20"/>
              </w:rPr>
              <w:t>A cost utility model was presented comparing the costs and health outcomes associated with mannitol + BSC (may or may not include DNase) versus placebo + BSC (may or may not include DNase).</w:t>
            </w:r>
          </w:p>
        </w:tc>
      </w:tr>
      <w:tr w:rsidR="00C31A04" w:rsidRPr="000E01C3" w:rsidTr="00552F34">
        <w:trPr>
          <w:trHeight w:val="930"/>
        </w:trPr>
        <w:tc>
          <w:tcPr>
            <w:tcW w:w="689" w:type="pct"/>
          </w:tcPr>
          <w:p w:rsidR="00C31A04" w:rsidRPr="000E01C3" w:rsidRDefault="00C31A04" w:rsidP="00C31A04">
            <w:pPr>
              <w:jc w:val="left"/>
              <w:rPr>
                <w:rFonts w:ascii="Arial Narrow" w:hAnsi="Arial Narrow"/>
                <w:iCs/>
                <w:sz w:val="20"/>
              </w:rPr>
            </w:pPr>
            <w:r w:rsidRPr="000E01C3">
              <w:rPr>
                <w:rFonts w:ascii="Arial Narrow" w:hAnsi="Arial Narrow"/>
                <w:sz w:val="20"/>
              </w:rPr>
              <w:t>Estimated cost to PBS</w:t>
            </w:r>
          </w:p>
        </w:tc>
        <w:tc>
          <w:tcPr>
            <w:tcW w:w="1608" w:type="pct"/>
            <w:shd w:val="clear" w:color="auto" w:fill="auto"/>
          </w:tcPr>
          <w:p w:rsidR="00C31A04" w:rsidRPr="000E01C3" w:rsidRDefault="00747084" w:rsidP="0039554E">
            <w:pPr>
              <w:jc w:val="left"/>
              <w:rPr>
                <w:rFonts w:ascii="Arial Narrow" w:hAnsi="Arial Narrow"/>
                <w:sz w:val="20"/>
              </w:rPr>
            </w:pPr>
            <w:r w:rsidRPr="000E01C3">
              <w:rPr>
                <w:rFonts w:ascii="Arial Narrow" w:hAnsi="Arial Narrow"/>
                <w:sz w:val="20"/>
              </w:rPr>
              <w:t xml:space="preserve">Monotherapy and combination use: </w:t>
            </w:r>
            <w:r w:rsidR="00CE143A" w:rsidRPr="00CE143A">
              <w:rPr>
                <w:rFonts w:ascii="Arial Narrow" w:hAnsi="Arial Narrow"/>
                <w:sz w:val="20"/>
              </w:rPr>
              <w:t xml:space="preserve">less than $10 million </w:t>
            </w:r>
            <w:r w:rsidR="0039554E" w:rsidRPr="000E01C3">
              <w:rPr>
                <w:rFonts w:ascii="Arial Narrow" w:hAnsi="Arial Narrow"/>
                <w:sz w:val="20"/>
              </w:rPr>
              <w:t xml:space="preserve">in Year 5, </w:t>
            </w:r>
            <w:r w:rsidR="00C31A04" w:rsidRPr="000E01C3">
              <w:rPr>
                <w:rFonts w:ascii="Arial Narrow" w:hAnsi="Arial Narrow"/>
                <w:sz w:val="20"/>
              </w:rPr>
              <w:t xml:space="preserve">total of </w:t>
            </w:r>
            <w:r w:rsidR="00CE143A" w:rsidRPr="00CE143A">
              <w:rPr>
                <w:rFonts w:ascii="Arial Narrow" w:hAnsi="Arial Narrow"/>
                <w:sz w:val="20"/>
              </w:rPr>
              <w:t xml:space="preserve">$10 – $20 million </w:t>
            </w:r>
            <w:r w:rsidR="00C31A04" w:rsidRPr="000E01C3">
              <w:rPr>
                <w:rFonts w:ascii="Arial Narrow" w:hAnsi="Arial Narrow"/>
                <w:sz w:val="20"/>
              </w:rPr>
              <w:t>over the first 5 years of listing.</w:t>
            </w:r>
          </w:p>
        </w:tc>
        <w:tc>
          <w:tcPr>
            <w:tcW w:w="1361" w:type="pct"/>
          </w:tcPr>
          <w:p w:rsidR="00C31A04" w:rsidRPr="000E01C3" w:rsidRDefault="00747084" w:rsidP="0039554E">
            <w:pPr>
              <w:jc w:val="left"/>
              <w:rPr>
                <w:rFonts w:ascii="Arial Narrow" w:hAnsi="Arial Narrow"/>
                <w:sz w:val="20"/>
              </w:rPr>
            </w:pPr>
            <w:r w:rsidRPr="000E01C3">
              <w:rPr>
                <w:rFonts w:ascii="Arial Narrow" w:hAnsi="Arial Narrow"/>
                <w:sz w:val="20"/>
              </w:rPr>
              <w:t xml:space="preserve">Combination use: </w:t>
            </w:r>
            <w:r w:rsidR="00114F0B" w:rsidRPr="00114F0B">
              <w:rPr>
                <w:rFonts w:ascii="Arial Narrow" w:hAnsi="Arial Narrow"/>
                <w:sz w:val="20"/>
              </w:rPr>
              <w:t xml:space="preserve">less than $10 million </w:t>
            </w:r>
            <w:r w:rsidR="0039554E" w:rsidRPr="000E01C3">
              <w:rPr>
                <w:rFonts w:ascii="Arial Narrow" w:hAnsi="Arial Narrow"/>
                <w:sz w:val="20"/>
              </w:rPr>
              <w:t>in Year</w:t>
            </w:r>
            <w:r w:rsidR="00CF42E0" w:rsidRPr="000E01C3">
              <w:rPr>
                <w:rFonts w:ascii="Arial Narrow" w:hAnsi="Arial Narrow"/>
                <w:sz w:val="20"/>
              </w:rPr>
              <w:t> </w:t>
            </w:r>
            <w:r w:rsidR="0039554E" w:rsidRPr="000E01C3">
              <w:rPr>
                <w:rFonts w:ascii="Arial Narrow" w:hAnsi="Arial Narrow"/>
                <w:sz w:val="20"/>
              </w:rPr>
              <w:t>5,</w:t>
            </w:r>
            <w:r w:rsidR="00C31A04" w:rsidRPr="000E01C3">
              <w:rPr>
                <w:rFonts w:ascii="Arial Narrow" w:hAnsi="Arial Narrow"/>
                <w:sz w:val="20"/>
              </w:rPr>
              <w:t xml:space="preserve"> total of </w:t>
            </w:r>
            <w:r w:rsidR="00114F0B" w:rsidRPr="00114F0B">
              <w:rPr>
                <w:rFonts w:ascii="Arial Narrow" w:hAnsi="Arial Narrow"/>
                <w:sz w:val="20"/>
              </w:rPr>
              <w:t xml:space="preserve">less than $10 million </w:t>
            </w:r>
            <w:r w:rsidR="00C31A04" w:rsidRPr="000E01C3">
              <w:rPr>
                <w:rFonts w:ascii="Arial Narrow" w:hAnsi="Arial Narrow"/>
                <w:sz w:val="20"/>
              </w:rPr>
              <w:t>ov</w:t>
            </w:r>
            <w:r w:rsidRPr="000E01C3">
              <w:rPr>
                <w:rFonts w:ascii="Arial Narrow" w:hAnsi="Arial Narrow"/>
                <w:sz w:val="20"/>
              </w:rPr>
              <w:t>er the first 5 years of listing.</w:t>
            </w:r>
          </w:p>
        </w:tc>
        <w:tc>
          <w:tcPr>
            <w:tcW w:w="1342" w:type="pct"/>
            <w:shd w:val="clear" w:color="auto" w:fill="auto"/>
          </w:tcPr>
          <w:p w:rsidR="00C31A04" w:rsidRPr="000E01C3" w:rsidRDefault="00747084" w:rsidP="0039554E">
            <w:pPr>
              <w:jc w:val="left"/>
              <w:rPr>
                <w:rFonts w:ascii="Arial Narrow" w:hAnsi="Arial Narrow"/>
                <w:sz w:val="20"/>
              </w:rPr>
            </w:pPr>
            <w:r w:rsidRPr="000E01C3">
              <w:rPr>
                <w:rFonts w:ascii="Arial Narrow" w:hAnsi="Arial Narrow"/>
                <w:sz w:val="20"/>
              </w:rPr>
              <w:t xml:space="preserve">Combination use: </w:t>
            </w:r>
            <w:r w:rsidR="00C31A04" w:rsidRPr="000E01C3">
              <w:rPr>
                <w:rFonts w:ascii="Arial Narrow" w:hAnsi="Arial Narrow"/>
                <w:sz w:val="20"/>
              </w:rPr>
              <w:t>$</w:t>
            </w:r>
            <w:r w:rsidR="00114F0B">
              <w:t xml:space="preserve"> </w:t>
            </w:r>
            <w:r w:rsidR="00114F0B" w:rsidRPr="00114F0B">
              <w:rPr>
                <w:rFonts w:ascii="Arial Narrow" w:hAnsi="Arial Narrow"/>
                <w:sz w:val="20"/>
              </w:rPr>
              <w:t>less than $10 million</w:t>
            </w:r>
            <w:r w:rsidR="00C31A04" w:rsidRPr="000E01C3">
              <w:rPr>
                <w:rFonts w:ascii="Arial Narrow" w:hAnsi="Arial Narrow"/>
                <w:sz w:val="20"/>
              </w:rPr>
              <w:t xml:space="preserve"> i</w:t>
            </w:r>
            <w:r w:rsidR="0039554E" w:rsidRPr="000E01C3">
              <w:rPr>
                <w:rFonts w:ascii="Arial Narrow" w:hAnsi="Arial Narrow"/>
                <w:sz w:val="20"/>
              </w:rPr>
              <w:t>n Year</w:t>
            </w:r>
            <w:r w:rsidR="00CF42E0" w:rsidRPr="000E01C3">
              <w:rPr>
                <w:rFonts w:ascii="Arial Narrow" w:hAnsi="Arial Narrow"/>
                <w:sz w:val="20"/>
              </w:rPr>
              <w:t> </w:t>
            </w:r>
            <w:r w:rsidR="0039554E" w:rsidRPr="000E01C3">
              <w:rPr>
                <w:rFonts w:ascii="Arial Narrow" w:hAnsi="Arial Narrow"/>
                <w:sz w:val="20"/>
              </w:rPr>
              <w:t xml:space="preserve">5, total of </w:t>
            </w:r>
            <w:r w:rsidR="00114F0B" w:rsidRPr="00114F0B">
              <w:rPr>
                <w:rFonts w:ascii="Arial Narrow" w:hAnsi="Arial Narrow"/>
                <w:sz w:val="20"/>
              </w:rPr>
              <w:t xml:space="preserve">less than $10 million </w:t>
            </w:r>
            <w:r w:rsidR="00C31A04" w:rsidRPr="000E01C3">
              <w:rPr>
                <w:rFonts w:ascii="Arial Narrow" w:hAnsi="Arial Narrow"/>
                <w:sz w:val="20"/>
              </w:rPr>
              <w:t>over the first 5 years of listing</w:t>
            </w:r>
            <w:r w:rsidRPr="000E01C3">
              <w:rPr>
                <w:rFonts w:ascii="Arial Narrow" w:hAnsi="Arial Narrow"/>
                <w:sz w:val="20"/>
              </w:rPr>
              <w:t>.</w:t>
            </w:r>
          </w:p>
        </w:tc>
      </w:tr>
      <w:tr w:rsidR="00C31A04" w:rsidRPr="000E01C3" w:rsidTr="00552F34">
        <w:trPr>
          <w:trHeight w:val="930"/>
        </w:trPr>
        <w:tc>
          <w:tcPr>
            <w:tcW w:w="689" w:type="pct"/>
          </w:tcPr>
          <w:p w:rsidR="00C31A04" w:rsidRPr="000E01C3" w:rsidRDefault="00C31A04" w:rsidP="00C31A04">
            <w:pPr>
              <w:jc w:val="left"/>
              <w:rPr>
                <w:rFonts w:ascii="Arial Narrow" w:hAnsi="Arial Narrow"/>
                <w:sz w:val="20"/>
              </w:rPr>
            </w:pPr>
            <w:r w:rsidRPr="000E01C3">
              <w:rPr>
                <w:rFonts w:ascii="Arial Narrow" w:hAnsi="Arial Narrow"/>
                <w:sz w:val="20"/>
              </w:rPr>
              <w:br w:type="page"/>
              <w:t>PBAC decision</w:t>
            </w:r>
          </w:p>
        </w:tc>
        <w:tc>
          <w:tcPr>
            <w:tcW w:w="1608" w:type="pct"/>
          </w:tcPr>
          <w:p w:rsidR="00C31A04" w:rsidRPr="000E01C3" w:rsidRDefault="0039554E" w:rsidP="0039554E">
            <w:pPr>
              <w:jc w:val="left"/>
              <w:rPr>
                <w:rFonts w:ascii="Arial Narrow" w:hAnsi="Arial Narrow"/>
                <w:sz w:val="20"/>
              </w:rPr>
            </w:pPr>
            <w:r w:rsidRPr="000E01C3">
              <w:rPr>
                <w:rFonts w:ascii="Arial Narrow" w:hAnsi="Arial Narrow"/>
                <w:sz w:val="20"/>
              </w:rPr>
              <w:t xml:space="preserve">Reject – </w:t>
            </w:r>
            <w:r w:rsidR="00C31A04" w:rsidRPr="000E01C3">
              <w:rPr>
                <w:rFonts w:ascii="Arial Narrow" w:hAnsi="Arial Narrow"/>
                <w:iCs/>
                <w:sz w:val="20"/>
              </w:rPr>
              <w:t>uncertain</w:t>
            </w:r>
            <w:r w:rsidRPr="000E01C3">
              <w:rPr>
                <w:rFonts w:ascii="Arial Narrow" w:hAnsi="Arial Narrow"/>
                <w:iCs/>
                <w:sz w:val="20"/>
              </w:rPr>
              <w:t xml:space="preserve"> </w:t>
            </w:r>
            <w:r w:rsidR="00C31A04" w:rsidRPr="000E01C3">
              <w:rPr>
                <w:rFonts w:ascii="Arial Narrow" w:hAnsi="Arial Narrow"/>
                <w:iCs/>
                <w:sz w:val="20"/>
              </w:rPr>
              <w:t>effectiveness and resulting uncertain cost effectiveness, when used in combination with DNase.</w:t>
            </w:r>
          </w:p>
        </w:tc>
        <w:tc>
          <w:tcPr>
            <w:tcW w:w="1361" w:type="pct"/>
          </w:tcPr>
          <w:p w:rsidR="00C31A04" w:rsidRPr="000E01C3" w:rsidRDefault="00C31A04" w:rsidP="0039554E">
            <w:pPr>
              <w:jc w:val="left"/>
              <w:rPr>
                <w:rFonts w:ascii="Arial Narrow" w:hAnsi="Arial Narrow"/>
                <w:sz w:val="20"/>
              </w:rPr>
            </w:pPr>
            <w:r w:rsidRPr="000E01C3">
              <w:rPr>
                <w:rFonts w:ascii="Arial Narrow" w:hAnsi="Arial Narrow"/>
                <w:sz w:val="20"/>
              </w:rPr>
              <w:t xml:space="preserve">Reject </w:t>
            </w:r>
            <w:r w:rsidR="0039554E" w:rsidRPr="000E01C3">
              <w:rPr>
                <w:rFonts w:ascii="Arial Narrow" w:hAnsi="Arial Narrow"/>
                <w:sz w:val="20"/>
              </w:rPr>
              <w:t xml:space="preserve">– </w:t>
            </w:r>
            <w:r w:rsidRPr="000E01C3">
              <w:rPr>
                <w:rFonts w:ascii="Arial Narrow" w:hAnsi="Arial Narrow"/>
                <w:iCs/>
                <w:sz w:val="20"/>
              </w:rPr>
              <w:t>unproven</w:t>
            </w:r>
            <w:r w:rsidR="0039554E" w:rsidRPr="000E01C3">
              <w:rPr>
                <w:rFonts w:ascii="Arial Narrow" w:hAnsi="Arial Narrow"/>
                <w:iCs/>
                <w:sz w:val="20"/>
              </w:rPr>
              <w:t xml:space="preserve"> </w:t>
            </w:r>
            <w:r w:rsidRPr="000E01C3">
              <w:rPr>
                <w:rFonts w:ascii="Arial Narrow" w:hAnsi="Arial Narrow"/>
                <w:iCs/>
                <w:sz w:val="20"/>
              </w:rPr>
              <w:t>cost effectiveness, when used in combination with DNase.</w:t>
            </w:r>
          </w:p>
        </w:tc>
        <w:tc>
          <w:tcPr>
            <w:tcW w:w="1342" w:type="pct"/>
            <w:shd w:val="clear" w:color="auto" w:fill="auto"/>
          </w:tcPr>
          <w:p w:rsidR="00C31A04" w:rsidRPr="000E01C3" w:rsidRDefault="00C31A04" w:rsidP="00C31A04">
            <w:pPr>
              <w:jc w:val="left"/>
              <w:rPr>
                <w:rFonts w:ascii="Arial Narrow" w:hAnsi="Arial Narrow"/>
                <w:sz w:val="20"/>
              </w:rPr>
            </w:pPr>
            <w:r w:rsidRPr="000E01C3">
              <w:rPr>
                <w:rFonts w:ascii="Arial Narrow" w:hAnsi="Arial Narrow"/>
                <w:sz w:val="20"/>
              </w:rPr>
              <w:t>-</w:t>
            </w:r>
          </w:p>
        </w:tc>
      </w:tr>
    </w:tbl>
    <w:p w:rsidR="00711688" w:rsidRPr="000E01C3" w:rsidRDefault="00711688" w:rsidP="00A15B9B">
      <w:pPr>
        <w:pStyle w:val="TableFooter"/>
        <w:widowControl/>
        <w:spacing w:after="120"/>
      </w:pPr>
      <w:r w:rsidRPr="000E01C3">
        <w:t>Source: Compiled during the evaluation</w:t>
      </w:r>
    </w:p>
    <w:p w:rsidR="007D73D4" w:rsidRPr="000E01C3" w:rsidRDefault="007D73D4" w:rsidP="00A15B9B">
      <w:pPr>
        <w:widowControl/>
        <w:spacing w:after="120"/>
        <w:ind w:left="510" w:firstLine="170"/>
        <w:jc w:val="left"/>
        <w:rPr>
          <w:rFonts w:asciiTheme="minorHAnsi" w:hAnsiTheme="minorHAnsi"/>
          <w:bCs/>
          <w:sz w:val="24"/>
          <w:szCs w:val="24"/>
        </w:rPr>
      </w:pPr>
      <w:r w:rsidRPr="000E01C3">
        <w:rPr>
          <w:rFonts w:asciiTheme="minorHAnsi" w:hAnsiTheme="minorHAnsi"/>
          <w:bCs/>
          <w:i/>
          <w:sz w:val="24"/>
          <w:szCs w:val="24"/>
        </w:rPr>
        <w:t>For more detail on PBAC’s view, see section 7 “PBAC outcome”</w:t>
      </w:r>
    </w:p>
    <w:p w:rsidR="00D06935" w:rsidRPr="000E01C3" w:rsidRDefault="00353CA1" w:rsidP="009E0439">
      <w:pPr>
        <w:pStyle w:val="Heading1"/>
      </w:pPr>
      <w:bookmarkStart w:id="7" w:name="_Toc482779066"/>
      <w:r w:rsidRPr="000E01C3">
        <w:t>Population and disease</w:t>
      </w:r>
      <w:bookmarkEnd w:id="7"/>
    </w:p>
    <w:p w:rsidR="00D06935" w:rsidRPr="000E01C3" w:rsidRDefault="00D06935" w:rsidP="00BE33FF">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CF is a</w:t>
      </w:r>
      <w:r w:rsidR="004475E2" w:rsidRPr="000E01C3">
        <w:rPr>
          <w:rFonts w:asciiTheme="minorHAnsi" w:hAnsiTheme="minorHAnsi" w:cstheme="minorHAnsi"/>
          <w:sz w:val="24"/>
          <w:szCs w:val="24"/>
        </w:rPr>
        <w:t xml:space="preserve"> </w:t>
      </w:r>
      <w:r w:rsidRPr="000E01C3">
        <w:rPr>
          <w:rFonts w:asciiTheme="minorHAnsi" w:hAnsiTheme="minorHAnsi" w:cstheme="minorHAnsi"/>
          <w:sz w:val="24"/>
          <w:szCs w:val="24"/>
        </w:rPr>
        <w:t>hereditary disease which affects the entire body, causing progressive disability and often early death. CF is caused by a mutation in the gene for the protein cystic fibrosis transmembrane conductance regulator (CFTR). This gene is required to regulate the components of swea</w:t>
      </w:r>
      <w:r w:rsidR="00353CA1" w:rsidRPr="000E01C3">
        <w:rPr>
          <w:rFonts w:asciiTheme="minorHAnsi" w:hAnsiTheme="minorHAnsi" w:cstheme="minorHAnsi"/>
          <w:sz w:val="24"/>
          <w:szCs w:val="24"/>
        </w:rPr>
        <w:t>t, digestive juices, and mucus.</w:t>
      </w:r>
      <w:r w:rsidRPr="000E01C3">
        <w:rPr>
          <w:rFonts w:asciiTheme="minorHAnsi" w:hAnsiTheme="minorHAnsi" w:cstheme="minorHAnsi"/>
          <w:sz w:val="24"/>
          <w:szCs w:val="24"/>
        </w:rPr>
        <w:t xml:space="preserve"> The aim of treatment of CF is to alleviate symptoms, improve quality of life and to slow the decline in lung function. This is achieved by improving airway clearance, by eradicating or suppressing the growth of bacterial pathogens and attenuating airway inflammation. By mid-childhood, most patients have increased airway secretions, and enhancing mucus clearance is a major goal of therapy. Several strategies have been proven to be effective, including physiotherapy, local hydration with inhaled moisture, enzymes to break down the inflammatory cell products, anti-inflammatory agents and aggressive treatment of bacterial infections. In a proportion of patients, mu</w:t>
      </w:r>
      <w:r w:rsidR="00FC503F" w:rsidRPr="000E01C3">
        <w:rPr>
          <w:rFonts w:asciiTheme="minorHAnsi" w:hAnsiTheme="minorHAnsi" w:cstheme="minorHAnsi"/>
          <w:sz w:val="24"/>
          <w:szCs w:val="24"/>
        </w:rPr>
        <w:t xml:space="preserve">colytic agents </w:t>
      </w:r>
      <w:r w:rsidR="008A733F" w:rsidRPr="000E01C3">
        <w:rPr>
          <w:rFonts w:asciiTheme="minorHAnsi" w:hAnsiTheme="minorHAnsi" w:cstheme="minorHAnsi"/>
          <w:sz w:val="24"/>
          <w:szCs w:val="24"/>
        </w:rPr>
        <w:t xml:space="preserve">(i.e. DNase) </w:t>
      </w:r>
      <w:r w:rsidR="00FC503F" w:rsidRPr="000E01C3">
        <w:rPr>
          <w:rFonts w:asciiTheme="minorHAnsi" w:hAnsiTheme="minorHAnsi" w:cstheme="minorHAnsi"/>
          <w:sz w:val="24"/>
          <w:szCs w:val="24"/>
        </w:rPr>
        <w:t>are prescribed.</w:t>
      </w:r>
    </w:p>
    <w:p w:rsidR="00D06935" w:rsidRPr="000E01C3" w:rsidRDefault="00D06935" w:rsidP="00BE33FF">
      <w:pPr>
        <w:pStyle w:val="ListParagraph"/>
        <w:widowControl/>
        <w:numPr>
          <w:ilvl w:val="1"/>
          <w:numId w:val="5"/>
        </w:numPr>
        <w:spacing w:after="120"/>
        <w:ind w:left="709"/>
        <w:contextualSpacing w:val="0"/>
        <w:rPr>
          <w:rFonts w:asciiTheme="minorHAnsi" w:hAnsiTheme="minorHAnsi" w:cstheme="minorHAnsi"/>
          <w:sz w:val="24"/>
          <w:szCs w:val="24"/>
        </w:rPr>
      </w:pPr>
      <w:r w:rsidRPr="000E01C3">
        <w:rPr>
          <w:rFonts w:asciiTheme="minorHAnsi" w:hAnsiTheme="minorHAnsi" w:cstheme="minorHAnsi"/>
          <w:sz w:val="24"/>
          <w:szCs w:val="24"/>
        </w:rPr>
        <w:t>DNase and mannitol are listed on the PBS as monotherapies</w:t>
      </w:r>
      <w:r w:rsidR="00820D9E" w:rsidRPr="000E01C3">
        <w:rPr>
          <w:rFonts w:asciiTheme="minorHAnsi" w:hAnsiTheme="minorHAnsi" w:cstheme="minorHAnsi"/>
          <w:sz w:val="24"/>
          <w:szCs w:val="24"/>
        </w:rPr>
        <w:t xml:space="preserve">, with mannitol as a </w:t>
      </w:r>
      <w:r w:rsidR="005567B5" w:rsidRPr="000E01C3">
        <w:rPr>
          <w:rFonts w:asciiTheme="minorHAnsi" w:hAnsiTheme="minorHAnsi" w:cstheme="minorHAnsi"/>
          <w:sz w:val="24"/>
          <w:szCs w:val="24"/>
        </w:rPr>
        <w:t>second-</w:t>
      </w:r>
      <w:r w:rsidR="00820D9E" w:rsidRPr="000E01C3">
        <w:rPr>
          <w:rFonts w:asciiTheme="minorHAnsi" w:hAnsiTheme="minorHAnsi" w:cstheme="minorHAnsi"/>
          <w:sz w:val="24"/>
          <w:szCs w:val="24"/>
        </w:rPr>
        <w:t xml:space="preserve">line treatment for </w:t>
      </w:r>
      <w:r w:rsidRPr="000E01C3">
        <w:rPr>
          <w:rFonts w:asciiTheme="minorHAnsi" w:hAnsiTheme="minorHAnsi" w:cstheme="minorHAnsi"/>
          <w:sz w:val="24"/>
          <w:szCs w:val="24"/>
        </w:rPr>
        <w:t xml:space="preserve">patients inadequately responsive or intolerant to </w:t>
      </w:r>
      <w:r w:rsidR="00FC503F" w:rsidRPr="000E01C3">
        <w:rPr>
          <w:rFonts w:asciiTheme="minorHAnsi" w:hAnsiTheme="minorHAnsi" w:cstheme="minorHAnsi"/>
          <w:sz w:val="24"/>
          <w:szCs w:val="24"/>
        </w:rPr>
        <w:t>DNase.</w:t>
      </w:r>
      <w:r w:rsidRPr="000E01C3">
        <w:rPr>
          <w:rFonts w:asciiTheme="minorHAnsi" w:hAnsiTheme="minorHAnsi" w:cstheme="minorHAnsi"/>
          <w:sz w:val="24"/>
          <w:szCs w:val="24"/>
        </w:rPr>
        <w:t xml:space="preserve"> A third option available to patients privately is inhaled hypertonic </w:t>
      </w:r>
      <w:r w:rsidR="003371A2" w:rsidRPr="000E01C3">
        <w:rPr>
          <w:rFonts w:asciiTheme="minorHAnsi" w:hAnsiTheme="minorHAnsi" w:cstheme="minorHAnsi"/>
          <w:sz w:val="24"/>
          <w:szCs w:val="24"/>
        </w:rPr>
        <w:t>saline;</w:t>
      </w:r>
      <w:r w:rsidRPr="000E01C3">
        <w:rPr>
          <w:rFonts w:asciiTheme="minorHAnsi" w:hAnsiTheme="minorHAnsi" w:cstheme="minorHAnsi"/>
          <w:sz w:val="24"/>
          <w:szCs w:val="24"/>
        </w:rPr>
        <w:t xml:space="preserve"> it is a hyperosmotic agent like mannitol and works by drawing water into the lungs.</w:t>
      </w:r>
      <w:r w:rsidR="007869A7" w:rsidRPr="000E01C3">
        <w:rPr>
          <w:rFonts w:asciiTheme="minorHAnsi" w:hAnsiTheme="minorHAnsi" w:cstheme="minorHAnsi"/>
          <w:sz w:val="24"/>
          <w:szCs w:val="24"/>
        </w:rPr>
        <w:t xml:space="preserve"> </w:t>
      </w:r>
      <w:r w:rsidR="00454DDD" w:rsidRPr="000E01C3">
        <w:rPr>
          <w:rFonts w:asciiTheme="minorHAnsi" w:hAnsiTheme="minorHAnsi" w:cstheme="minorHAnsi"/>
          <w:sz w:val="24"/>
          <w:szCs w:val="24"/>
        </w:rPr>
        <w:t>Although h</w:t>
      </w:r>
      <w:r w:rsidR="0069301F" w:rsidRPr="000E01C3">
        <w:rPr>
          <w:rFonts w:asciiTheme="minorHAnsi" w:hAnsiTheme="minorHAnsi" w:cstheme="minorHAnsi"/>
          <w:sz w:val="24"/>
          <w:szCs w:val="24"/>
        </w:rPr>
        <w:t xml:space="preserve">ypertonic saline </w:t>
      </w:r>
      <w:r w:rsidR="00454DDD" w:rsidRPr="000E01C3">
        <w:rPr>
          <w:rFonts w:asciiTheme="minorHAnsi" w:hAnsiTheme="minorHAnsi" w:cstheme="minorHAnsi"/>
          <w:sz w:val="24"/>
          <w:szCs w:val="24"/>
        </w:rPr>
        <w:t>appear</w:t>
      </w:r>
      <w:r w:rsidR="000C736E" w:rsidRPr="000E01C3">
        <w:rPr>
          <w:rFonts w:asciiTheme="minorHAnsi" w:hAnsiTheme="minorHAnsi" w:cstheme="minorHAnsi"/>
          <w:sz w:val="24"/>
          <w:szCs w:val="24"/>
        </w:rPr>
        <w:t>s</w:t>
      </w:r>
      <w:r w:rsidR="0069301F" w:rsidRPr="000E01C3">
        <w:rPr>
          <w:rFonts w:asciiTheme="minorHAnsi" w:hAnsiTheme="minorHAnsi" w:cstheme="minorHAnsi"/>
          <w:sz w:val="24"/>
          <w:szCs w:val="24"/>
        </w:rPr>
        <w:t xml:space="preserve"> to be used throughout the disease course of </w:t>
      </w:r>
      <w:r w:rsidR="00280BB3" w:rsidRPr="000E01C3">
        <w:rPr>
          <w:rFonts w:asciiTheme="minorHAnsi" w:hAnsiTheme="minorHAnsi" w:cstheme="minorHAnsi"/>
          <w:sz w:val="24"/>
          <w:szCs w:val="24"/>
        </w:rPr>
        <w:t>CF</w:t>
      </w:r>
      <w:r w:rsidR="0069301F" w:rsidRPr="000E01C3">
        <w:rPr>
          <w:rFonts w:asciiTheme="minorHAnsi" w:hAnsiTheme="minorHAnsi" w:cstheme="minorHAnsi"/>
          <w:sz w:val="24"/>
          <w:szCs w:val="24"/>
        </w:rPr>
        <w:t>,</w:t>
      </w:r>
      <w:r w:rsidR="00CE2502" w:rsidRPr="000E01C3">
        <w:rPr>
          <w:rFonts w:asciiTheme="minorHAnsi" w:hAnsiTheme="minorHAnsi" w:cstheme="minorHAnsi"/>
          <w:sz w:val="24"/>
          <w:szCs w:val="24"/>
        </w:rPr>
        <w:t xml:space="preserve"> it can also be used</w:t>
      </w:r>
      <w:r w:rsidR="008A733F" w:rsidRPr="000E01C3">
        <w:rPr>
          <w:rFonts w:asciiTheme="minorHAnsi" w:hAnsiTheme="minorHAnsi" w:cstheme="minorHAnsi"/>
          <w:sz w:val="24"/>
          <w:szCs w:val="24"/>
        </w:rPr>
        <w:t xml:space="preserve"> in the later stages</w:t>
      </w:r>
      <w:r w:rsidR="00CE2502" w:rsidRPr="000E01C3">
        <w:rPr>
          <w:rFonts w:asciiTheme="minorHAnsi" w:hAnsiTheme="minorHAnsi" w:cstheme="minorHAnsi"/>
          <w:sz w:val="24"/>
          <w:szCs w:val="24"/>
        </w:rPr>
        <w:t xml:space="preserve"> as an alternative </w:t>
      </w:r>
      <w:r w:rsidR="005652C9" w:rsidRPr="000E01C3">
        <w:rPr>
          <w:rFonts w:asciiTheme="minorHAnsi" w:hAnsiTheme="minorHAnsi" w:cstheme="minorHAnsi"/>
          <w:sz w:val="24"/>
          <w:szCs w:val="24"/>
        </w:rPr>
        <w:t xml:space="preserve">by </w:t>
      </w:r>
      <w:r w:rsidR="00CE2502" w:rsidRPr="000E01C3">
        <w:rPr>
          <w:rFonts w:asciiTheme="minorHAnsi" w:hAnsiTheme="minorHAnsi" w:cstheme="minorHAnsi"/>
          <w:sz w:val="24"/>
          <w:szCs w:val="24"/>
        </w:rPr>
        <w:t>either replacing</w:t>
      </w:r>
      <w:r w:rsidR="008A733F" w:rsidRPr="000E01C3">
        <w:rPr>
          <w:rFonts w:asciiTheme="minorHAnsi" w:hAnsiTheme="minorHAnsi" w:cstheme="minorHAnsi"/>
          <w:sz w:val="24"/>
          <w:szCs w:val="24"/>
        </w:rPr>
        <w:t>,</w:t>
      </w:r>
      <w:r w:rsidR="00CE2502" w:rsidRPr="000E01C3">
        <w:rPr>
          <w:rFonts w:asciiTheme="minorHAnsi" w:hAnsiTheme="minorHAnsi" w:cstheme="minorHAnsi"/>
          <w:sz w:val="24"/>
          <w:szCs w:val="24"/>
        </w:rPr>
        <w:t xml:space="preserve"> or as an add-on therapy</w:t>
      </w:r>
      <w:r w:rsidR="008A733F" w:rsidRPr="000E01C3">
        <w:rPr>
          <w:rFonts w:asciiTheme="minorHAnsi" w:hAnsiTheme="minorHAnsi" w:cstheme="minorHAnsi"/>
          <w:sz w:val="24"/>
          <w:szCs w:val="24"/>
        </w:rPr>
        <w:t>,</w:t>
      </w:r>
      <w:r w:rsidR="00CE2502" w:rsidRPr="000E01C3">
        <w:rPr>
          <w:rFonts w:asciiTheme="minorHAnsi" w:hAnsiTheme="minorHAnsi" w:cstheme="minorHAnsi"/>
          <w:sz w:val="24"/>
          <w:szCs w:val="24"/>
        </w:rPr>
        <w:t xml:space="preserve"> to other</w:t>
      </w:r>
      <w:r w:rsidR="00675137" w:rsidRPr="000E01C3">
        <w:rPr>
          <w:rFonts w:asciiTheme="minorHAnsi" w:hAnsiTheme="minorHAnsi" w:cstheme="minorHAnsi"/>
          <w:sz w:val="24"/>
          <w:szCs w:val="24"/>
        </w:rPr>
        <w:t xml:space="preserve"> mucous clearing agents</w:t>
      </w:r>
      <w:r w:rsidR="00CE2502" w:rsidRPr="000E01C3">
        <w:rPr>
          <w:rFonts w:asciiTheme="minorHAnsi" w:hAnsiTheme="minorHAnsi" w:cstheme="minorHAnsi"/>
          <w:sz w:val="24"/>
          <w:szCs w:val="24"/>
        </w:rPr>
        <w:t xml:space="preserve">. </w:t>
      </w:r>
      <w:r w:rsidRPr="000E01C3">
        <w:rPr>
          <w:rFonts w:asciiTheme="minorHAnsi" w:hAnsiTheme="minorHAnsi" w:cstheme="minorHAnsi"/>
          <w:sz w:val="24"/>
          <w:szCs w:val="24"/>
        </w:rPr>
        <w:t xml:space="preserve">The </w:t>
      </w:r>
      <w:r w:rsidR="009477A1" w:rsidRPr="000E01C3">
        <w:rPr>
          <w:rFonts w:asciiTheme="minorHAnsi" w:hAnsiTheme="minorHAnsi" w:cstheme="minorHAnsi"/>
          <w:sz w:val="24"/>
          <w:szCs w:val="24"/>
        </w:rPr>
        <w:t>re</w:t>
      </w:r>
      <w:r w:rsidRPr="000E01C3">
        <w:rPr>
          <w:rFonts w:asciiTheme="minorHAnsi" w:hAnsiTheme="minorHAnsi" w:cstheme="minorHAnsi"/>
          <w:sz w:val="24"/>
          <w:szCs w:val="24"/>
        </w:rPr>
        <w:t xml:space="preserve">submission </w:t>
      </w:r>
      <w:r w:rsidR="004E0464" w:rsidRPr="000E01C3">
        <w:rPr>
          <w:rFonts w:asciiTheme="minorHAnsi" w:hAnsiTheme="minorHAnsi" w:cstheme="minorHAnsi"/>
          <w:sz w:val="24"/>
          <w:szCs w:val="24"/>
        </w:rPr>
        <w:t xml:space="preserve">requested the current restriction be changed to allow </w:t>
      </w:r>
      <w:r w:rsidRPr="000E01C3">
        <w:rPr>
          <w:rFonts w:asciiTheme="minorHAnsi" w:hAnsiTheme="minorHAnsi" w:cstheme="minorHAnsi"/>
          <w:sz w:val="24"/>
          <w:szCs w:val="24"/>
        </w:rPr>
        <w:t xml:space="preserve">patients </w:t>
      </w:r>
      <w:r w:rsidR="004E0464" w:rsidRPr="000E01C3">
        <w:rPr>
          <w:rFonts w:asciiTheme="minorHAnsi" w:hAnsiTheme="minorHAnsi" w:cstheme="minorHAnsi"/>
          <w:sz w:val="24"/>
          <w:szCs w:val="24"/>
        </w:rPr>
        <w:t xml:space="preserve">who are </w:t>
      </w:r>
      <w:r w:rsidRPr="000E01C3">
        <w:rPr>
          <w:rFonts w:asciiTheme="minorHAnsi" w:hAnsiTheme="minorHAnsi" w:cstheme="minorHAnsi"/>
          <w:sz w:val="24"/>
          <w:szCs w:val="24"/>
        </w:rPr>
        <w:t xml:space="preserve">inadequately responsive to DNase to add on </w:t>
      </w:r>
      <w:r w:rsidR="00FC503F" w:rsidRPr="000E01C3">
        <w:rPr>
          <w:rFonts w:asciiTheme="minorHAnsi" w:hAnsiTheme="minorHAnsi" w:cstheme="minorHAnsi"/>
          <w:sz w:val="24"/>
          <w:szCs w:val="24"/>
        </w:rPr>
        <w:t>mannitol rather than to switch</w:t>
      </w:r>
      <w:r w:rsidR="005567B5" w:rsidRPr="000E01C3">
        <w:rPr>
          <w:rFonts w:asciiTheme="minorHAnsi" w:hAnsiTheme="minorHAnsi" w:cstheme="minorHAnsi"/>
          <w:sz w:val="24"/>
          <w:szCs w:val="24"/>
        </w:rPr>
        <w:t xml:space="preserve"> treatments</w:t>
      </w:r>
      <w:r w:rsidR="00FC503F" w:rsidRPr="000E01C3">
        <w:rPr>
          <w:rFonts w:asciiTheme="minorHAnsi" w:hAnsiTheme="minorHAnsi" w:cstheme="minorHAnsi"/>
          <w:sz w:val="24"/>
          <w:szCs w:val="24"/>
        </w:rPr>
        <w:t>.</w:t>
      </w:r>
    </w:p>
    <w:p w:rsidR="007D73D4" w:rsidRPr="000E01C3" w:rsidRDefault="007D73D4" w:rsidP="007D73D4">
      <w:pPr>
        <w:ind w:firstLine="720"/>
        <w:rPr>
          <w:rFonts w:asciiTheme="minorHAnsi" w:hAnsiTheme="minorHAnsi"/>
          <w:bCs/>
          <w:sz w:val="24"/>
          <w:szCs w:val="24"/>
        </w:rPr>
      </w:pPr>
      <w:r w:rsidRPr="000E01C3">
        <w:rPr>
          <w:rFonts w:asciiTheme="minorHAnsi" w:hAnsiTheme="minorHAnsi"/>
          <w:bCs/>
          <w:i/>
          <w:sz w:val="24"/>
          <w:szCs w:val="24"/>
        </w:rPr>
        <w:t>For more detail on PBAC’s view, see section 7 “PBAC outcome”</w:t>
      </w:r>
    </w:p>
    <w:p w:rsidR="00D06935" w:rsidRPr="000E01C3" w:rsidRDefault="00D06935" w:rsidP="009E0439">
      <w:pPr>
        <w:pStyle w:val="Heading1"/>
      </w:pPr>
      <w:bookmarkStart w:id="8" w:name="_Toc482779067"/>
      <w:r w:rsidRPr="000E01C3">
        <w:t>Comparator</w:t>
      </w:r>
      <w:bookmarkEnd w:id="8"/>
    </w:p>
    <w:p w:rsidR="00B277CE" w:rsidRPr="000E01C3" w:rsidRDefault="00B277CE" w:rsidP="00BE33FF">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The</w:t>
      </w:r>
      <w:r w:rsidR="007C16A8" w:rsidRPr="000E01C3">
        <w:rPr>
          <w:rFonts w:asciiTheme="minorHAnsi" w:hAnsiTheme="minorHAnsi" w:cstheme="minorHAnsi"/>
          <w:sz w:val="24"/>
          <w:szCs w:val="24"/>
        </w:rPr>
        <w:t xml:space="preserve"> re</w:t>
      </w:r>
      <w:r w:rsidRPr="000E01C3">
        <w:rPr>
          <w:rFonts w:asciiTheme="minorHAnsi" w:hAnsiTheme="minorHAnsi" w:cstheme="minorHAnsi"/>
          <w:sz w:val="24"/>
          <w:szCs w:val="24"/>
        </w:rPr>
        <w:t xml:space="preserve">submission proposed </w:t>
      </w:r>
      <w:r w:rsidR="00675137" w:rsidRPr="000E01C3">
        <w:rPr>
          <w:rFonts w:asciiTheme="minorHAnsi" w:hAnsiTheme="minorHAnsi" w:cstheme="minorHAnsi"/>
          <w:sz w:val="24"/>
          <w:szCs w:val="24"/>
        </w:rPr>
        <w:t>best supportive care (</w:t>
      </w:r>
      <w:r w:rsidR="00D06935" w:rsidRPr="000E01C3">
        <w:rPr>
          <w:rFonts w:asciiTheme="minorHAnsi" w:hAnsiTheme="minorHAnsi" w:cstheme="minorHAnsi"/>
          <w:sz w:val="24"/>
          <w:szCs w:val="24"/>
        </w:rPr>
        <w:t>BSC</w:t>
      </w:r>
      <w:r w:rsidR="00675137" w:rsidRPr="000E01C3">
        <w:rPr>
          <w:rFonts w:asciiTheme="minorHAnsi" w:hAnsiTheme="minorHAnsi" w:cstheme="minorHAnsi"/>
          <w:sz w:val="24"/>
          <w:szCs w:val="24"/>
        </w:rPr>
        <w:t>)</w:t>
      </w:r>
      <w:r w:rsidR="005567B5" w:rsidRPr="000E01C3">
        <w:rPr>
          <w:rFonts w:asciiTheme="minorHAnsi" w:hAnsiTheme="minorHAnsi" w:cstheme="minorHAnsi"/>
          <w:sz w:val="24"/>
          <w:szCs w:val="24"/>
        </w:rPr>
        <w:t>,</w:t>
      </w:r>
      <w:r w:rsidR="00626558">
        <w:rPr>
          <w:rFonts w:asciiTheme="minorHAnsi" w:hAnsiTheme="minorHAnsi" w:cstheme="minorHAnsi"/>
          <w:sz w:val="24"/>
          <w:szCs w:val="24"/>
        </w:rPr>
        <w:t xml:space="preserve"> </w:t>
      </w:r>
      <w:r w:rsidR="00D06935" w:rsidRPr="000E01C3">
        <w:rPr>
          <w:rFonts w:asciiTheme="minorHAnsi" w:hAnsiTheme="minorHAnsi" w:cstheme="minorHAnsi"/>
          <w:sz w:val="24"/>
          <w:szCs w:val="24"/>
        </w:rPr>
        <w:t>which may or may not include DNase</w:t>
      </w:r>
      <w:r w:rsidR="005567B5" w:rsidRPr="000E01C3">
        <w:rPr>
          <w:rFonts w:asciiTheme="minorHAnsi" w:hAnsiTheme="minorHAnsi" w:cstheme="minorHAnsi"/>
          <w:sz w:val="24"/>
          <w:szCs w:val="24"/>
        </w:rPr>
        <w:t>,</w:t>
      </w:r>
      <w:r w:rsidRPr="000E01C3">
        <w:rPr>
          <w:rFonts w:asciiTheme="minorHAnsi" w:hAnsiTheme="minorHAnsi" w:cstheme="minorHAnsi"/>
          <w:sz w:val="24"/>
          <w:szCs w:val="24"/>
        </w:rPr>
        <w:t xml:space="preserve"> </w:t>
      </w:r>
      <w:r w:rsidR="00767476" w:rsidRPr="000E01C3">
        <w:rPr>
          <w:rFonts w:asciiTheme="minorHAnsi" w:hAnsiTheme="minorHAnsi" w:cstheme="minorHAnsi"/>
          <w:sz w:val="24"/>
          <w:szCs w:val="24"/>
        </w:rPr>
        <w:t>as</w:t>
      </w:r>
      <w:r w:rsidRPr="000E01C3">
        <w:rPr>
          <w:rFonts w:asciiTheme="minorHAnsi" w:hAnsiTheme="minorHAnsi" w:cstheme="minorHAnsi"/>
          <w:sz w:val="24"/>
          <w:szCs w:val="24"/>
        </w:rPr>
        <w:t xml:space="preserve"> the main comparator.</w:t>
      </w:r>
      <w:r w:rsidR="00D06935" w:rsidRPr="000E01C3">
        <w:rPr>
          <w:rFonts w:asciiTheme="minorHAnsi" w:hAnsiTheme="minorHAnsi" w:cstheme="minorHAnsi"/>
          <w:sz w:val="24"/>
          <w:szCs w:val="24"/>
        </w:rPr>
        <w:t xml:space="preserve"> </w:t>
      </w:r>
      <w:r w:rsidR="00026559" w:rsidRPr="000E01C3">
        <w:rPr>
          <w:rFonts w:asciiTheme="minorHAnsi" w:hAnsiTheme="minorHAnsi" w:cstheme="minorHAnsi"/>
          <w:sz w:val="24"/>
          <w:szCs w:val="24"/>
        </w:rPr>
        <w:t xml:space="preserve">The evaluation considered that a </w:t>
      </w:r>
      <w:r w:rsidRPr="000E01C3">
        <w:rPr>
          <w:rFonts w:asciiTheme="minorHAnsi" w:hAnsiTheme="minorHAnsi" w:cstheme="minorHAnsi"/>
          <w:sz w:val="24"/>
          <w:szCs w:val="24"/>
        </w:rPr>
        <w:t>more appropriate comparison</w:t>
      </w:r>
      <w:r w:rsidR="005567B5" w:rsidRPr="000E01C3">
        <w:rPr>
          <w:rFonts w:asciiTheme="minorHAnsi" w:hAnsiTheme="minorHAnsi" w:cstheme="minorHAnsi"/>
          <w:sz w:val="24"/>
          <w:szCs w:val="24"/>
        </w:rPr>
        <w:t xml:space="preserve"> for</w:t>
      </w:r>
      <w:r w:rsidRPr="000E01C3">
        <w:rPr>
          <w:rFonts w:asciiTheme="minorHAnsi" w:hAnsiTheme="minorHAnsi" w:cstheme="minorHAnsi"/>
          <w:sz w:val="24"/>
          <w:szCs w:val="24"/>
        </w:rPr>
        <w:t xml:space="preserve"> </w:t>
      </w:r>
      <w:r w:rsidR="005567B5" w:rsidRPr="000E01C3">
        <w:rPr>
          <w:rFonts w:asciiTheme="minorHAnsi" w:hAnsiTheme="minorHAnsi" w:cstheme="minorHAnsi"/>
          <w:sz w:val="24"/>
          <w:szCs w:val="24"/>
        </w:rPr>
        <w:t xml:space="preserve">mannitol + optimised DNase </w:t>
      </w:r>
      <w:r w:rsidRPr="000E01C3">
        <w:rPr>
          <w:rFonts w:asciiTheme="minorHAnsi" w:hAnsiTheme="minorHAnsi" w:cstheme="minorHAnsi"/>
          <w:sz w:val="24"/>
          <w:szCs w:val="24"/>
        </w:rPr>
        <w:t xml:space="preserve">may </w:t>
      </w:r>
      <w:r w:rsidR="00DC0C61" w:rsidRPr="000E01C3">
        <w:rPr>
          <w:rFonts w:asciiTheme="minorHAnsi" w:hAnsiTheme="minorHAnsi" w:cstheme="minorHAnsi"/>
          <w:sz w:val="24"/>
          <w:szCs w:val="24"/>
        </w:rPr>
        <w:t xml:space="preserve">have </w:t>
      </w:r>
      <w:r w:rsidRPr="000E01C3">
        <w:rPr>
          <w:rFonts w:asciiTheme="minorHAnsi" w:hAnsiTheme="minorHAnsi" w:cstheme="minorHAnsi"/>
          <w:sz w:val="24"/>
          <w:szCs w:val="24"/>
        </w:rPr>
        <w:t>be</w:t>
      </w:r>
      <w:r w:rsidR="00DC0C61" w:rsidRPr="000E01C3">
        <w:rPr>
          <w:rFonts w:asciiTheme="minorHAnsi" w:hAnsiTheme="minorHAnsi" w:cstheme="minorHAnsi"/>
          <w:sz w:val="24"/>
          <w:szCs w:val="24"/>
        </w:rPr>
        <w:t>en</w:t>
      </w:r>
      <w:r w:rsidRPr="000E01C3">
        <w:rPr>
          <w:rFonts w:asciiTheme="minorHAnsi" w:hAnsiTheme="minorHAnsi" w:cstheme="minorHAnsi"/>
          <w:sz w:val="24"/>
          <w:szCs w:val="24"/>
        </w:rPr>
        <w:t xml:space="preserve"> </w:t>
      </w:r>
      <w:r w:rsidR="000C6F08" w:rsidRPr="000E01C3">
        <w:rPr>
          <w:rFonts w:asciiTheme="minorHAnsi" w:hAnsiTheme="minorHAnsi" w:cstheme="minorHAnsi"/>
          <w:sz w:val="24"/>
          <w:szCs w:val="24"/>
        </w:rPr>
        <w:t xml:space="preserve">placebo </w:t>
      </w:r>
      <w:r w:rsidR="00582CF0" w:rsidRPr="000E01C3">
        <w:rPr>
          <w:rFonts w:asciiTheme="minorHAnsi" w:hAnsiTheme="minorHAnsi" w:cstheme="minorHAnsi"/>
          <w:sz w:val="24"/>
          <w:szCs w:val="24"/>
        </w:rPr>
        <w:t xml:space="preserve">+ </w:t>
      </w:r>
      <w:r w:rsidRPr="000E01C3">
        <w:rPr>
          <w:rFonts w:asciiTheme="minorHAnsi" w:hAnsiTheme="minorHAnsi" w:cstheme="minorHAnsi"/>
          <w:sz w:val="24"/>
          <w:szCs w:val="24"/>
        </w:rPr>
        <w:t>o</w:t>
      </w:r>
      <w:r w:rsidR="00D06935" w:rsidRPr="000E01C3">
        <w:rPr>
          <w:rFonts w:asciiTheme="minorHAnsi" w:hAnsiTheme="minorHAnsi" w:cstheme="minorHAnsi"/>
          <w:sz w:val="24"/>
          <w:szCs w:val="24"/>
        </w:rPr>
        <w:t xml:space="preserve">ptimised DNase </w:t>
      </w:r>
      <w:r w:rsidRPr="000E01C3">
        <w:rPr>
          <w:rFonts w:asciiTheme="minorHAnsi" w:hAnsiTheme="minorHAnsi" w:cstheme="minorHAnsi"/>
          <w:sz w:val="24"/>
          <w:szCs w:val="24"/>
        </w:rPr>
        <w:t>(both against the background of other BSC</w:t>
      </w:r>
      <w:r w:rsidR="00FC6047" w:rsidRPr="000E01C3">
        <w:rPr>
          <w:rFonts w:asciiTheme="minorHAnsi" w:hAnsiTheme="minorHAnsi" w:cstheme="minorHAnsi"/>
          <w:sz w:val="24"/>
          <w:szCs w:val="24"/>
        </w:rPr>
        <w:t xml:space="preserve"> therapies</w:t>
      </w:r>
      <w:r w:rsidRPr="000E01C3">
        <w:rPr>
          <w:rFonts w:asciiTheme="minorHAnsi" w:hAnsiTheme="minorHAnsi" w:cstheme="minorHAnsi"/>
          <w:sz w:val="24"/>
          <w:szCs w:val="24"/>
        </w:rPr>
        <w:t>).</w:t>
      </w:r>
      <w:r w:rsidR="007869A7" w:rsidRPr="000E01C3">
        <w:rPr>
          <w:rFonts w:asciiTheme="minorHAnsi" w:hAnsiTheme="minorHAnsi" w:cstheme="minorHAnsi"/>
          <w:sz w:val="24"/>
          <w:szCs w:val="24"/>
        </w:rPr>
        <w:t xml:space="preserve"> </w:t>
      </w:r>
      <w:r w:rsidRPr="000E01C3">
        <w:rPr>
          <w:rFonts w:asciiTheme="minorHAnsi" w:hAnsiTheme="minorHAnsi" w:cstheme="minorHAnsi"/>
          <w:sz w:val="24"/>
          <w:szCs w:val="24"/>
        </w:rPr>
        <w:t>T</w:t>
      </w:r>
      <w:r w:rsidR="00D06935" w:rsidRPr="000E01C3">
        <w:rPr>
          <w:rFonts w:asciiTheme="minorHAnsi" w:hAnsiTheme="minorHAnsi" w:cstheme="minorHAnsi"/>
          <w:sz w:val="24"/>
          <w:szCs w:val="24"/>
        </w:rPr>
        <w:t>he March 2011 submission nominated DNase as the appropriate comparator i</w:t>
      </w:r>
      <w:r w:rsidRPr="000E01C3">
        <w:rPr>
          <w:rFonts w:asciiTheme="minorHAnsi" w:hAnsiTheme="minorHAnsi" w:cstheme="minorHAnsi"/>
          <w:sz w:val="24"/>
          <w:szCs w:val="24"/>
        </w:rPr>
        <w:t>n the combination use setting.</w:t>
      </w:r>
    </w:p>
    <w:p w:rsidR="002049D8" w:rsidRPr="000E01C3" w:rsidRDefault="002049D8" w:rsidP="00BE33FF">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The PSCR (p1) argued the submission seeks to enable all patients aged 6 years</w:t>
      </w:r>
      <w:r w:rsidR="00305F32" w:rsidRPr="000E01C3">
        <w:rPr>
          <w:rFonts w:asciiTheme="minorHAnsi" w:hAnsiTheme="minorHAnsi" w:cstheme="minorHAnsi"/>
          <w:sz w:val="24"/>
          <w:szCs w:val="24"/>
        </w:rPr>
        <w:t xml:space="preserve"> and over</w:t>
      </w:r>
      <w:r w:rsidRPr="000E01C3">
        <w:rPr>
          <w:rFonts w:asciiTheme="minorHAnsi" w:hAnsiTheme="minorHAnsi" w:cstheme="minorHAnsi"/>
          <w:sz w:val="24"/>
          <w:szCs w:val="24"/>
        </w:rPr>
        <w:t xml:space="preserve"> to obtain mannitol in combination with their standard care regimen, irrespective of whether their regimen includes DNase</w:t>
      </w:r>
      <w:r w:rsidR="00305F32" w:rsidRPr="000E01C3">
        <w:rPr>
          <w:rFonts w:asciiTheme="minorHAnsi" w:hAnsiTheme="minorHAnsi" w:cstheme="minorHAnsi"/>
          <w:sz w:val="24"/>
          <w:szCs w:val="24"/>
        </w:rPr>
        <w:t>,</w:t>
      </w:r>
      <w:r w:rsidRPr="000E01C3">
        <w:rPr>
          <w:rFonts w:asciiTheme="minorHAnsi" w:hAnsiTheme="minorHAnsi" w:cstheme="minorHAnsi"/>
          <w:sz w:val="24"/>
          <w:szCs w:val="24"/>
        </w:rPr>
        <w:t xml:space="preserve"> and therefore the appropriate comparator is placebo/control </w:t>
      </w:r>
      <w:r w:rsidR="00582CF0" w:rsidRPr="000E01C3">
        <w:rPr>
          <w:rFonts w:asciiTheme="minorHAnsi" w:hAnsiTheme="minorHAnsi" w:cstheme="minorHAnsi"/>
          <w:sz w:val="24"/>
          <w:szCs w:val="24"/>
        </w:rPr>
        <w:t xml:space="preserve">+ </w:t>
      </w:r>
      <w:r w:rsidRPr="000E01C3">
        <w:rPr>
          <w:rFonts w:asciiTheme="minorHAnsi" w:hAnsiTheme="minorHAnsi" w:cstheme="minorHAnsi"/>
          <w:sz w:val="24"/>
          <w:szCs w:val="24"/>
        </w:rPr>
        <w:t>BSC.</w:t>
      </w:r>
      <w:r w:rsidR="00026559" w:rsidRPr="000E01C3">
        <w:rPr>
          <w:rFonts w:asciiTheme="minorHAnsi" w:hAnsiTheme="minorHAnsi" w:cstheme="minorHAnsi"/>
          <w:sz w:val="24"/>
          <w:szCs w:val="24"/>
        </w:rPr>
        <w:t xml:space="preserve"> The ESC agreed with the evaluation that as the purpose of the resubmission was to request use in combination with DNase, </w:t>
      </w:r>
      <w:r w:rsidR="00305F32" w:rsidRPr="000E01C3">
        <w:rPr>
          <w:rFonts w:asciiTheme="minorHAnsi" w:hAnsiTheme="minorHAnsi" w:cstheme="minorHAnsi"/>
          <w:sz w:val="24"/>
          <w:szCs w:val="24"/>
        </w:rPr>
        <w:t xml:space="preserve">and patients who are intolerant to DNase are already able to switch to PBS subsidised mannitol monotherapy, </w:t>
      </w:r>
      <w:r w:rsidR="00026559" w:rsidRPr="000E01C3">
        <w:rPr>
          <w:rFonts w:asciiTheme="minorHAnsi" w:hAnsiTheme="minorHAnsi" w:cstheme="minorHAnsi"/>
          <w:sz w:val="24"/>
          <w:szCs w:val="24"/>
        </w:rPr>
        <w:t xml:space="preserve">the appropriate comparator </w:t>
      </w:r>
      <w:r w:rsidR="00FA6261" w:rsidRPr="000E01C3">
        <w:rPr>
          <w:rFonts w:asciiTheme="minorHAnsi" w:hAnsiTheme="minorHAnsi" w:cstheme="minorHAnsi"/>
          <w:sz w:val="24"/>
          <w:szCs w:val="24"/>
        </w:rPr>
        <w:t xml:space="preserve">was placebo </w:t>
      </w:r>
      <w:r w:rsidR="00582CF0" w:rsidRPr="000E01C3">
        <w:rPr>
          <w:rFonts w:asciiTheme="minorHAnsi" w:hAnsiTheme="minorHAnsi" w:cstheme="minorHAnsi"/>
          <w:sz w:val="24"/>
          <w:szCs w:val="24"/>
        </w:rPr>
        <w:t>+</w:t>
      </w:r>
      <w:r w:rsidR="00026559" w:rsidRPr="000E01C3">
        <w:rPr>
          <w:rFonts w:asciiTheme="minorHAnsi" w:hAnsiTheme="minorHAnsi" w:cstheme="minorHAnsi"/>
          <w:sz w:val="24"/>
          <w:szCs w:val="24"/>
        </w:rPr>
        <w:t xml:space="preserve"> </w:t>
      </w:r>
      <w:r w:rsidR="00BA49E0" w:rsidRPr="000E01C3">
        <w:rPr>
          <w:rFonts w:asciiTheme="minorHAnsi" w:hAnsiTheme="minorHAnsi" w:cstheme="minorHAnsi"/>
          <w:sz w:val="24"/>
          <w:szCs w:val="24"/>
        </w:rPr>
        <w:t xml:space="preserve">optimised </w:t>
      </w:r>
      <w:r w:rsidR="00026559" w:rsidRPr="000E01C3">
        <w:rPr>
          <w:rFonts w:asciiTheme="minorHAnsi" w:hAnsiTheme="minorHAnsi" w:cstheme="minorHAnsi"/>
          <w:sz w:val="24"/>
          <w:szCs w:val="24"/>
        </w:rPr>
        <w:t>DNase.</w:t>
      </w:r>
      <w:r w:rsidR="00A41678" w:rsidRPr="000E01C3">
        <w:rPr>
          <w:rFonts w:asciiTheme="minorHAnsi" w:hAnsiTheme="minorHAnsi" w:cstheme="minorHAnsi"/>
          <w:sz w:val="24"/>
          <w:szCs w:val="24"/>
        </w:rPr>
        <w:t xml:space="preserve"> </w:t>
      </w:r>
    </w:p>
    <w:p w:rsidR="002049D8" w:rsidRPr="000E01C3" w:rsidRDefault="00D06935" w:rsidP="00305F32">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Hypertonic saline</w:t>
      </w:r>
      <w:r w:rsidR="00DC0C61" w:rsidRPr="000E01C3">
        <w:rPr>
          <w:rFonts w:asciiTheme="minorHAnsi" w:hAnsiTheme="minorHAnsi" w:cstheme="minorHAnsi"/>
          <w:sz w:val="24"/>
          <w:szCs w:val="24"/>
        </w:rPr>
        <w:t>,</w:t>
      </w:r>
      <w:r w:rsidRPr="000E01C3">
        <w:rPr>
          <w:rFonts w:asciiTheme="minorHAnsi" w:hAnsiTheme="minorHAnsi" w:cstheme="minorHAnsi"/>
          <w:sz w:val="24"/>
          <w:szCs w:val="24"/>
        </w:rPr>
        <w:t xml:space="preserve"> </w:t>
      </w:r>
      <w:r w:rsidR="0069301F" w:rsidRPr="000E01C3">
        <w:rPr>
          <w:rFonts w:asciiTheme="minorHAnsi" w:hAnsiTheme="minorHAnsi" w:cstheme="minorHAnsi"/>
          <w:sz w:val="24"/>
          <w:szCs w:val="24"/>
        </w:rPr>
        <w:t xml:space="preserve">used throughout the disease course of </w:t>
      </w:r>
      <w:r w:rsidR="00280BB3" w:rsidRPr="000E01C3">
        <w:rPr>
          <w:rFonts w:asciiTheme="minorHAnsi" w:hAnsiTheme="minorHAnsi" w:cstheme="minorHAnsi"/>
          <w:sz w:val="24"/>
          <w:szCs w:val="24"/>
        </w:rPr>
        <w:t>CF</w:t>
      </w:r>
      <w:r w:rsidR="0069301F" w:rsidRPr="000E01C3">
        <w:rPr>
          <w:rFonts w:asciiTheme="minorHAnsi" w:hAnsiTheme="minorHAnsi" w:cstheme="minorHAnsi"/>
          <w:sz w:val="24"/>
          <w:szCs w:val="24"/>
        </w:rPr>
        <w:t xml:space="preserve">, </w:t>
      </w:r>
      <w:r w:rsidRPr="000E01C3">
        <w:rPr>
          <w:rFonts w:asciiTheme="minorHAnsi" w:hAnsiTheme="minorHAnsi" w:cstheme="minorHAnsi"/>
          <w:sz w:val="24"/>
          <w:szCs w:val="24"/>
        </w:rPr>
        <w:t>may also be a relevant comparator if additional restrictive wording is not added to ensure mannitol is only added to DNase after a failed t</w:t>
      </w:r>
      <w:r w:rsidR="00B277CE" w:rsidRPr="000E01C3">
        <w:rPr>
          <w:rFonts w:asciiTheme="minorHAnsi" w:hAnsiTheme="minorHAnsi" w:cstheme="minorHAnsi"/>
          <w:sz w:val="24"/>
          <w:szCs w:val="24"/>
        </w:rPr>
        <w:t>rial of hypertonic saline.</w:t>
      </w:r>
      <w:r w:rsidR="00305F32" w:rsidRPr="000E01C3">
        <w:rPr>
          <w:rFonts w:asciiTheme="minorHAnsi" w:hAnsiTheme="minorHAnsi" w:cstheme="minorHAnsi"/>
          <w:sz w:val="24"/>
          <w:szCs w:val="24"/>
        </w:rPr>
        <w:t xml:space="preserve"> </w:t>
      </w:r>
      <w:r w:rsidR="002049D8" w:rsidRPr="000E01C3">
        <w:rPr>
          <w:rFonts w:asciiTheme="minorHAnsi" w:hAnsiTheme="minorHAnsi" w:cstheme="minorHAnsi"/>
          <w:sz w:val="24"/>
          <w:szCs w:val="24"/>
        </w:rPr>
        <w:t>The PSCR (p1)</w:t>
      </w:r>
      <w:r w:rsidR="00552E41" w:rsidRPr="000E01C3">
        <w:rPr>
          <w:rFonts w:asciiTheme="minorHAnsi" w:hAnsiTheme="minorHAnsi" w:cstheme="minorHAnsi"/>
          <w:sz w:val="24"/>
          <w:szCs w:val="24"/>
        </w:rPr>
        <w:t xml:space="preserve"> argued that hypertonic saline is not an appropriate comparator because optimal treatment regimens are not clearly defined and hypertonic saline should be trialled before combination use of mannitol and DNase. </w:t>
      </w:r>
      <w:r w:rsidR="00305F32" w:rsidRPr="000E01C3">
        <w:rPr>
          <w:rFonts w:asciiTheme="minorHAnsi" w:hAnsiTheme="minorHAnsi" w:cstheme="minorHAnsi"/>
          <w:sz w:val="24"/>
          <w:szCs w:val="24"/>
        </w:rPr>
        <w:t>T</w:t>
      </w:r>
      <w:r w:rsidR="00552E41" w:rsidRPr="000E01C3">
        <w:rPr>
          <w:rFonts w:asciiTheme="minorHAnsi" w:hAnsiTheme="minorHAnsi" w:cstheme="minorHAnsi"/>
          <w:sz w:val="24"/>
          <w:szCs w:val="24"/>
        </w:rPr>
        <w:t xml:space="preserve">he PSCR (p1) </w:t>
      </w:r>
      <w:r w:rsidR="00026559" w:rsidRPr="000E01C3">
        <w:rPr>
          <w:rFonts w:asciiTheme="minorHAnsi" w:hAnsiTheme="minorHAnsi" w:cstheme="minorHAnsi"/>
          <w:sz w:val="24"/>
          <w:szCs w:val="24"/>
        </w:rPr>
        <w:t>agreed to the addition of</w:t>
      </w:r>
      <w:r w:rsidR="00552E41" w:rsidRPr="000E01C3">
        <w:rPr>
          <w:rFonts w:asciiTheme="minorHAnsi" w:hAnsiTheme="minorHAnsi" w:cstheme="minorHAnsi"/>
          <w:sz w:val="24"/>
          <w:szCs w:val="24"/>
        </w:rPr>
        <w:t xml:space="preserve"> </w:t>
      </w:r>
      <w:r w:rsidR="002049D8" w:rsidRPr="000E01C3">
        <w:rPr>
          <w:rFonts w:asciiTheme="minorHAnsi" w:hAnsiTheme="minorHAnsi" w:cstheme="minorHAnsi"/>
          <w:sz w:val="24"/>
          <w:szCs w:val="24"/>
        </w:rPr>
        <w:t xml:space="preserve">a </w:t>
      </w:r>
      <w:r w:rsidR="00305F32" w:rsidRPr="000E01C3">
        <w:rPr>
          <w:rFonts w:asciiTheme="minorHAnsi" w:hAnsiTheme="minorHAnsi" w:cstheme="minorHAnsi"/>
          <w:sz w:val="24"/>
          <w:szCs w:val="24"/>
        </w:rPr>
        <w:t>NOTE</w:t>
      </w:r>
      <w:r w:rsidR="002049D8" w:rsidRPr="000E01C3">
        <w:rPr>
          <w:rFonts w:asciiTheme="minorHAnsi" w:hAnsiTheme="minorHAnsi" w:cstheme="minorHAnsi"/>
          <w:sz w:val="24"/>
          <w:szCs w:val="24"/>
        </w:rPr>
        <w:t xml:space="preserve"> in the PBS restriction stating “Patients should have been trialled with hypertonic saline in their treatment history before any combination use of mannitol and dornase alfa”</w:t>
      </w:r>
      <w:r w:rsidR="00305F32" w:rsidRPr="000E01C3">
        <w:rPr>
          <w:rFonts w:asciiTheme="minorHAnsi" w:hAnsiTheme="minorHAnsi" w:cstheme="minorHAnsi"/>
          <w:sz w:val="24"/>
          <w:szCs w:val="24"/>
        </w:rPr>
        <w:t xml:space="preserve"> (see paragraph 2.3)</w:t>
      </w:r>
      <w:r w:rsidR="002049D8" w:rsidRPr="000E01C3">
        <w:rPr>
          <w:rFonts w:asciiTheme="minorHAnsi" w:hAnsiTheme="minorHAnsi" w:cstheme="minorHAnsi"/>
          <w:sz w:val="24"/>
          <w:szCs w:val="24"/>
        </w:rPr>
        <w:t>.</w:t>
      </w:r>
      <w:r w:rsidR="00E536B2" w:rsidRPr="000E01C3">
        <w:rPr>
          <w:rFonts w:asciiTheme="minorHAnsi" w:hAnsiTheme="minorHAnsi" w:cstheme="minorHAnsi"/>
          <w:sz w:val="24"/>
          <w:szCs w:val="24"/>
        </w:rPr>
        <w:t xml:space="preserve"> </w:t>
      </w:r>
    </w:p>
    <w:p w:rsidR="007D73D4" w:rsidRPr="000E01C3" w:rsidRDefault="007D73D4" w:rsidP="007D73D4">
      <w:pPr>
        <w:ind w:firstLine="720"/>
        <w:rPr>
          <w:rFonts w:asciiTheme="minorHAnsi" w:hAnsiTheme="minorHAnsi" w:cstheme="minorHAnsi"/>
          <w:sz w:val="24"/>
          <w:szCs w:val="24"/>
        </w:rPr>
      </w:pPr>
      <w:r w:rsidRPr="000E01C3">
        <w:rPr>
          <w:rFonts w:asciiTheme="minorHAnsi" w:hAnsiTheme="minorHAnsi"/>
          <w:bCs/>
          <w:i/>
          <w:sz w:val="24"/>
          <w:szCs w:val="24"/>
        </w:rPr>
        <w:t>For more detail on PBAC’s view, see section 7 “PBAC outcome”</w:t>
      </w:r>
    </w:p>
    <w:p w:rsidR="00D06935" w:rsidRPr="000E01C3" w:rsidRDefault="00D06935" w:rsidP="009E0439">
      <w:pPr>
        <w:pStyle w:val="Heading1"/>
      </w:pPr>
      <w:bookmarkStart w:id="9" w:name="_Toc482779068"/>
      <w:r w:rsidRPr="000E01C3">
        <w:t>Consideration of the evidence</w:t>
      </w:r>
      <w:bookmarkEnd w:id="9"/>
    </w:p>
    <w:p w:rsidR="006E2708" w:rsidRPr="000E01C3" w:rsidRDefault="006E2708" w:rsidP="00A15B9B">
      <w:pPr>
        <w:pStyle w:val="Heading2"/>
        <w:keepNext/>
        <w:keepLines/>
        <w:widowControl/>
        <w:spacing w:before="240" w:after="120"/>
        <w:jc w:val="left"/>
        <w:rPr>
          <w:rFonts w:asciiTheme="minorHAnsi" w:eastAsiaTheme="majorEastAsia" w:hAnsiTheme="minorHAnsi" w:cstheme="majorBidi"/>
          <w:i/>
          <w:snapToGrid/>
          <w:sz w:val="28"/>
          <w:szCs w:val="28"/>
        </w:rPr>
      </w:pPr>
      <w:bookmarkStart w:id="10" w:name="_Toc482779069"/>
      <w:r w:rsidRPr="000E01C3">
        <w:rPr>
          <w:rFonts w:asciiTheme="minorHAnsi" w:eastAsiaTheme="majorEastAsia" w:hAnsiTheme="minorHAnsi" w:cstheme="majorBidi"/>
          <w:i/>
          <w:snapToGrid/>
          <w:sz w:val="28"/>
          <w:szCs w:val="28"/>
        </w:rPr>
        <w:t>Sponsor hearing</w:t>
      </w:r>
    </w:p>
    <w:p w:rsidR="006E2708" w:rsidRPr="000E01C3" w:rsidRDefault="006E2708" w:rsidP="006E2708">
      <w:pPr>
        <w:widowControl/>
        <w:numPr>
          <w:ilvl w:val="1"/>
          <w:numId w:val="5"/>
        </w:numPr>
        <w:jc w:val="left"/>
        <w:rPr>
          <w:rFonts w:asciiTheme="minorHAnsi" w:hAnsiTheme="minorHAnsi"/>
          <w:bCs/>
          <w:sz w:val="24"/>
          <w:szCs w:val="24"/>
        </w:rPr>
      </w:pPr>
      <w:r w:rsidRPr="000E01C3">
        <w:rPr>
          <w:rFonts w:asciiTheme="minorHAnsi" w:hAnsiTheme="minorHAnsi"/>
          <w:bCs/>
          <w:sz w:val="24"/>
          <w:szCs w:val="24"/>
        </w:rPr>
        <w:t>There was no hear</w:t>
      </w:r>
      <w:r w:rsidR="002347C8" w:rsidRPr="000E01C3">
        <w:rPr>
          <w:rFonts w:asciiTheme="minorHAnsi" w:hAnsiTheme="minorHAnsi"/>
          <w:bCs/>
          <w:sz w:val="24"/>
          <w:szCs w:val="24"/>
        </w:rPr>
        <w:t>ing for this item</w:t>
      </w:r>
      <w:r w:rsidRPr="000E01C3">
        <w:rPr>
          <w:rFonts w:asciiTheme="minorHAnsi" w:hAnsiTheme="minorHAnsi"/>
          <w:bCs/>
          <w:sz w:val="24"/>
          <w:szCs w:val="24"/>
        </w:rPr>
        <w:t>.</w:t>
      </w:r>
    </w:p>
    <w:p w:rsidR="006E2708" w:rsidRPr="000E01C3" w:rsidRDefault="006E2708" w:rsidP="00A15B9B">
      <w:pPr>
        <w:pStyle w:val="Heading2"/>
        <w:keepNext/>
        <w:keepLines/>
        <w:widowControl/>
        <w:spacing w:before="240" w:after="120"/>
        <w:jc w:val="left"/>
        <w:rPr>
          <w:rFonts w:asciiTheme="minorHAnsi" w:eastAsiaTheme="majorEastAsia" w:hAnsiTheme="minorHAnsi" w:cstheme="majorBidi"/>
          <w:i/>
          <w:snapToGrid/>
          <w:sz w:val="28"/>
          <w:szCs w:val="28"/>
        </w:rPr>
      </w:pPr>
      <w:r w:rsidRPr="000E01C3">
        <w:rPr>
          <w:rFonts w:asciiTheme="minorHAnsi" w:eastAsiaTheme="majorEastAsia" w:hAnsiTheme="minorHAnsi" w:cstheme="majorBidi"/>
          <w:i/>
          <w:snapToGrid/>
          <w:sz w:val="28"/>
          <w:szCs w:val="28"/>
        </w:rPr>
        <w:t>Consumer comments</w:t>
      </w:r>
    </w:p>
    <w:p w:rsidR="006E2708" w:rsidRPr="000E01C3" w:rsidRDefault="006E2708" w:rsidP="00A15B9B">
      <w:pPr>
        <w:widowControl/>
        <w:numPr>
          <w:ilvl w:val="1"/>
          <w:numId w:val="5"/>
        </w:numPr>
        <w:rPr>
          <w:rFonts w:asciiTheme="minorHAnsi" w:hAnsiTheme="minorHAnsi"/>
          <w:bCs/>
          <w:sz w:val="24"/>
          <w:szCs w:val="24"/>
        </w:rPr>
      </w:pPr>
      <w:r w:rsidRPr="000E01C3">
        <w:rPr>
          <w:rFonts w:asciiTheme="minorHAnsi" w:hAnsiTheme="minorHAnsi"/>
          <w:bCs/>
          <w:sz w:val="24"/>
          <w:szCs w:val="24"/>
        </w:rPr>
        <w:t>The PBAC noted and welcom</w:t>
      </w:r>
      <w:r w:rsidR="00E04DBD" w:rsidRPr="000E01C3">
        <w:rPr>
          <w:rFonts w:asciiTheme="minorHAnsi" w:hAnsiTheme="minorHAnsi"/>
          <w:bCs/>
          <w:sz w:val="24"/>
          <w:szCs w:val="24"/>
        </w:rPr>
        <w:t>ed the input from individuals (18), health care professionals (2) and organisations (2</w:t>
      </w:r>
      <w:r w:rsidRPr="000E01C3">
        <w:rPr>
          <w:rFonts w:asciiTheme="minorHAnsi" w:hAnsiTheme="minorHAnsi"/>
          <w:bCs/>
          <w:sz w:val="24"/>
          <w:szCs w:val="24"/>
        </w:rPr>
        <w:t xml:space="preserve">) via the Consumer Comments facility on the PBS website.  The comments described a range of benefits of </w:t>
      </w:r>
      <w:r w:rsidR="00E04DBD" w:rsidRPr="000E01C3">
        <w:rPr>
          <w:rFonts w:asciiTheme="minorHAnsi" w:hAnsiTheme="minorHAnsi"/>
          <w:bCs/>
          <w:sz w:val="24"/>
          <w:szCs w:val="24"/>
        </w:rPr>
        <w:t xml:space="preserve">combination </w:t>
      </w:r>
      <w:r w:rsidRPr="000E01C3">
        <w:rPr>
          <w:rFonts w:asciiTheme="minorHAnsi" w:hAnsiTheme="minorHAnsi"/>
          <w:bCs/>
          <w:sz w:val="24"/>
          <w:szCs w:val="24"/>
        </w:rPr>
        <w:t xml:space="preserve">treatment with </w:t>
      </w:r>
      <w:r w:rsidR="00E04DBD" w:rsidRPr="000E01C3">
        <w:rPr>
          <w:rFonts w:asciiTheme="minorHAnsi" w:hAnsiTheme="minorHAnsi"/>
          <w:bCs/>
          <w:sz w:val="24"/>
          <w:szCs w:val="24"/>
        </w:rPr>
        <w:t>mannitol</w:t>
      </w:r>
      <w:r w:rsidRPr="000E01C3">
        <w:rPr>
          <w:rFonts w:asciiTheme="minorHAnsi" w:hAnsiTheme="minorHAnsi"/>
          <w:bCs/>
          <w:sz w:val="24"/>
          <w:szCs w:val="24"/>
        </w:rPr>
        <w:t xml:space="preserve"> </w:t>
      </w:r>
      <w:r w:rsidR="00E04DBD" w:rsidRPr="000E01C3">
        <w:rPr>
          <w:rFonts w:asciiTheme="minorHAnsi" w:hAnsiTheme="minorHAnsi"/>
          <w:bCs/>
          <w:sz w:val="24"/>
          <w:szCs w:val="24"/>
        </w:rPr>
        <w:t xml:space="preserve">with </w:t>
      </w:r>
      <w:r w:rsidR="00A15B9B" w:rsidRPr="000E01C3">
        <w:rPr>
          <w:rFonts w:asciiTheme="minorHAnsi" w:hAnsiTheme="minorHAnsi"/>
          <w:bCs/>
          <w:sz w:val="24"/>
          <w:szCs w:val="24"/>
        </w:rPr>
        <w:t xml:space="preserve">DNase </w:t>
      </w:r>
      <w:r w:rsidRPr="000E01C3">
        <w:rPr>
          <w:rFonts w:asciiTheme="minorHAnsi" w:hAnsiTheme="minorHAnsi"/>
          <w:bCs/>
          <w:sz w:val="24"/>
          <w:szCs w:val="24"/>
        </w:rPr>
        <w:t xml:space="preserve">including the </w:t>
      </w:r>
      <w:r w:rsidR="00E04DBD" w:rsidRPr="000E01C3">
        <w:rPr>
          <w:rFonts w:asciiTheme="minorHAnsi" w:hAnsiTheme="minorHAnsi"/>
          <w:bCs/>
          <w:sz w:val="24"/>
          <w:szCs w:val="24"/>
        </w:rPr>
        <w:t xml:space="preserve">improved airway clearance and decreased exacerbations of symptoms. </w:t>
      </w:r>
    </w:p>
    <w:p w:rsidR="006E2708" w:rsidRPr="000E01C3" w:rsidRDefault="006E2708" w:rsidP="006E2708">
      <w:pPr>
        <w:rPr>
          <w:rFonts w:asciiTheme="minorHAnsi" w:hAnsiTheme="minorHAnsi"/>
          <w:bCs/>
          <w:sz w:val="24"/>
          <w:szCs w:val="24"/>
          <w:highlight w:val="yellow"/>
        </w:rPr>
      </w:pPr>
    </w:p>
    <w:p w:rsidR="006E2708" w:rsidRPr="000E01C3" w:rsidRDefault="006E2708" w:rsidP="006E2708">
      <w:pPr>
        <w:widowControl/>
        <w:numPr>
          <w:ilvl w:val="1"/>
          <w:numId w:val="5"/>
        </w:numPr>
        <w:rPr>
          <w:rFonts w:asciiTheme="minorHAnsi" w:hAnsiTheme="minorHAnsi"/>
          <w:bCs/>
          <w:sz w:val="24"/>
          <w:szCs w:val="24"/>
        </w:rPr>
      </w:pPr>
      <w:r w:rsidRPr="000E01C3">
        <w:rPr>
          <w:rFonts w:asciiTheme="minorHAnsi" w:hAnsiTheme="minorHAnsi"/>
          <w:bCs/>
          <w:sz w:val="24"/>
          <w:szCs w:val="24"/>
        </w:rPr>
        <w:t>The PBAC noted the advice receiv</w:t>
      </w:r>
      <w:r w:rsidR="00615039" w:rsidRPr="000E01C3">
        <w:rPr>
          <w:rFonts w:asciiTheme="minorHAnsi" w:hAnsiTheme="minorHAnsi"/>
          <w:bCs/>
          <w:sz w:val="24"/>
          <w:szCs w:val="24"/>
        </w:rPr>
        <w:t>ed from Cystic Fibrosis Australia and Cystic Fibrosis SA</w:t>
      </w:r>
      <w:r w:rsidRPr="000E01C3">
        <w:rPr>
          <w:rFonts w:asciiTheme="minorHAnsi" w:hAnsiTheme="minorHAnsi"/>
          <w:bCs/>
          <w:sz w:val="24"/>
          <w:szCs w:val="24"/>
        </w:rPr>
        <w:t xml:space="preserve"> clarifying the likely use of </w:t>
      </w:r>
      <w:r w:rsidR="00615039" w:rsidRPr="000E01C3">
        <w:rPr>
          <w:rFonts w:asciiTheme="minorHAnsi" w:hAnsiTheme="minorHAnsi"/>
          <w:bCs/>
          <w:sz w:val="24"/>
          <w:szCs w:val="24"/>
        </w:rPr>
        <w:t>mannitol</w:t>
      </w:r>
      <w:r w:rsidRPr="000E01C3">
        <w:rPr>
          <w:rFonts w:asciiTheme="minorHAnsi" w:hAnsiTheme="minorHAnsi"/>
          <w:bCs/>
          <w:sz w:val="24"/>
          <w:szCs w:val="24"/>
        </w:rPr>
        <w:t xml:space="preserve"> in clinical practice. The PBAC specifically noted the advice that the use of </w:t>
      </w:r>
      <w:r w:rsidR="00615039" w:rsidRPr="000E01C3">
        <w:rPr>
          <w:rFonts w:asciiTheme="minorHAnsi" w:hAnsiTheme="minorHAnsi"/>
          <w:bCs/>
          <w:sz w:val="24"/>
          <w:szCs w:val="24"/>
        </w:rPr>
        <w:t>mannitol</w:t>
      </w:r>
      <w:r w:rsidRPr="000E01C3">
        <w:rPr>
          <w:rFonts w:asciiTheme="minorHAnsi" w:hAnsiTheme="minorHAnsi"/>
          <w:bCs/>
          <w:sz w:val="24"/>
          <w:szCs w:val="24"/>
        </w:rPr>
        <w:t xml:space="preserve"> </w:t>
      </w:r>
      <w:r w:rsidR="00615039" w:rsidRPr="000E01C3">
        <w:rPr>
          <w:rFonts w:asciiTheme="minorHAnsi" w:hAnsiTheme="minorHAnsi"/>
          <w:bCs/>
          <w:sz w:val="24"/>
          <w:szCs w:val="24"/>
        </w:rPr>
        <w:t xml:space="preserve">in combination with dornase alfa, in some patients is the most effective regime. </w:t>
      </w:r>
      <w:r w:rsidR="00A15B9B" w:rsidRPr="000E01C3">
        <w:rPr>
          <w:rFonts w:asciiTheme="minorHAnsi" w:hAnsiTheme="minorHAnsi"/>
          <w:bCs/>
          <w:sz w:val="24"/>
          <w:szCs w:val="24"/>
        </w:rPr>
        <w:t xml:space="preserve">The PBAC also noted the concerns regarding equity of access, given that </w:t>
      </w:r>
      <w:r w:rsidR="00615039" w:rsidRPr="000E01C3">
        <w:rPr>
          <w:rFonts w:asciiTheme="minorHAnsi" w:hAnsiTheme="minorHAnsi"/>
          <w:bCs/>
          <w:sz w:val="24"/>
          <w:szCs w:val="24"/>
        </w:rPr>
        <w:t>mannitol</w:t>
      </w:r>
      <w:r w:rsidR="00A15B9B" w:rsidRPr="000E01C3">
        <w:rPr>
          <w:rFonts w:asciiTheme="minorHAnsi" w:hAnsiTheme="minorHAnsi"/>
          <w:bCs/>
          <w:sz w:val="24"/>
          <w:szCs w:val="24"/>
        </w:rPr>
        <w:t xml:space="preserve">, if given in combination with PBS-subsidised DNase </w:t>
      </w:r>
      <w:r w:rsidR="00615039" w:rsidRPr="000E01C3">
        <w:rPr>
          <w:rFonts w:asciiTheme="minorHAnsi" w:hAnsiTheme="minorHAnsi"/>
          <w:bCs/>
          <w:sz w:val="24"/>
          <w:szCs w:val="24"/>
        </w:rPr>
        <w:t xml:space="preserve">is </w:t>
      </w:r>
      <w:r w:rsidR="00A15B9B" w:rsidRPr="000E01C3">
        <w:rPr>
          <w:rFonts w:asciiTheme="minorHAnsi" w:hAnsiTheme="minorHAnsi"/>
          <w:bCs/>
          <w:sz w:val="24"/>
          <w:szCs w:val="24"/>
        </w:rPr>
        <w:t xml:space="preserve">currently only available </w:t>
      </w:r>
      <w:r w:rsidR="00615039" w:rsidRPr="000E01C3">
        <w:rPr>
          <w:rFonts w:asciiTheme="minorHAnsi" w:hAnsiTheme="minorHAnsi"/>
          <w:bCs/>
          <w:sz w:val="24"/>
          <w:szCs w:val="24"/>
        </w:rPr>
        <w:t>via a compassionate use program</w:t>
      </w:r>
      <w:r w:rsidR="00A654FB">
        <w:rPr>
          <w:rFonts w:asciiTheme="minorHAnsi" w:hAnsiTheme="minorHAnsi"/>
          <w:bCs/>
          <w:sz w:val="24"/>
          <w:szCs w:val="24"/>
        </w:rPr>
        <w:t>,</w:t>
      </w:r>
      <w:r w:rsidR="00615039" w:rsidRPr="000E01C3">
        <w:rPr>
          <w:rFonts w:asciiTheme="minorHAnsi" w:hAnsiTheme="minorHAnsi"/>
          <w:bCs/>
          <w:sz w:val="24"/>
          <w:szCs w:val="24"/>
        </w:rPr>
        <w:t xml:space="preserve"> </w:t>
      </w:r>
      <w:r w:rsidR="00A654FB">
        <w:rPr>
          <w:rFonts w:asciiTheme="minorHAnsi" w:hAnsiTheme="minorHAnsi"/>
          <w:bCs/>
          <w:sz w:val="24"/>
          <w:szCs w:val="24"/>
        </w:rPr>
        <w:t xml:space="preserve">and only 9 of the 24 Australian CF centres participate in the program, </w:t>
      </w:r>
      <w:r w:rsidR="00615039" w:rsidRPr="000E01C3">
        <w:rPr>
          <w:rFonts w:asciiTheme="minorHAnsi" w:hAnsiTheme="minorHAnsi"/>
          <w:bCs/>
          <w:sz w:val="24"/>
          <w:szCs w:val="24"/>
        </w:rPr>
        <w:t xml:space="preserve">which </w:t>
      </w:r>
      <w:r w:rsidR="00A15B9B" w:rsidRPr="000E01C3">
        <w:rPr>
          <w:rFonts w:asciiTheme="minorHAnsi" w:hAnsiTheme="minorHAnsi"/>
          <w:bCs/>
          <w:sz w:val="24"/>
          <w:szCs w:val="24"/>
        </w:rPr>
        <w:t xml:space="preserve">can make </w:t>
      </w:r>
      <w:r w:rsidR="00615039" w:rsidRPr="000E01C3">
        <w:rPr>
          <w:rFonts w:asciiTheme="minorHAnsi" w:hAnsiTheme="minorHAnsi"/>
          <w:bCs/>
          <w:sz w:val="24"/>
          <w:szCs w:val="24"/>
        </w:rPr>
        <w:t xml:space="preserve">prescribing </w:t>
      </w:r>
      <w:r w:rsidR="00A15B9B" w:rsidRPr="000E01C3">
        <w:rPr>
          <w:rFonts w:asciiTheme="minorHAnsi" w:hAnsiTheme="minorHAnsi"/>
          <w:bCs/>
          <w:sz w:val="24"/>
          <w:szCs w:val="24"/>
        </w:rPr>
        <w:t xml:space="preserve">complex for clinicians and </w:t>
      </w:r>
      <w:r w:rsidR="00615039" w:rsidRPr="000E01C3">
        <w:rPr>
          <w:rFonts w:asciiTheme="minorHAnsi" w:hAnsiTheme="minorHAnsi"/>
          <w:bCs/>
          <w:sz w:val="24"/>
          <w:szCs w:val="24"/>
        </w:rPr>
        <w:t>patients.</w:t>
      </w:r>
      <w:r w:rsidRPr="000E01C3">
        <w:rPr>
          <w:rFonts w:asciiTheme="minorHAnsi" w:hAnsiTheme="minorHAnsi"/>
          <w:bCs/>
          <w:sz w:val="24"/>
          <w:szCs w:val="24"/>
        </w:rPr>
        <w:t xml:space="preserve">  The PBAC noted that this advice was supportive of the evidence provided in the submission.</w:t>
      </w:r>
    </w:p>
    <w:p w:rsidR="00D06935" w:rsidRPr="000E01C3" w:rsidRDefault="00D06935" w:rsidP="00A04A6A">
      <w:pPr>
        <w:pStyle w:val="Heading2"/>
        <w:keepNext/>
        <w:keepLines/>
        <w:widowControl/>
        <w:spacing w:before="240" w:after="120"/>
        <w:jc w:val="left"/>
        <w:rPr>
          <w:rFonts w:asciiTheme="minorHAnsi" w:eastAsiaTheme="majorEastAsia" w:hAnsiTheme="minorHAnsi" w:cstheme="majorBidi"/>
          <w:i/>
          <w:snapToGrid/>
          <w:sz w:val="28"/>
          <w:szCs w:val="28"/>
        </w:rPr>
      </w:pPr>
      <w:r w:rsidRPr="000E01C3">
        <w:rPr>
          <w:rFonts w:asciiTheme="minorHAnsi" w:eastAsiaTheme="majorEastAsia" w:hAnsiTheme="minorHAnsi" w:cstheme="majorBidi"/>
          <w:i/>
          <w:snapToGrid/>
          <w:sz w:val="28"/>
          <w:szCs w:val="28"/>
        </w:rPr>
        <w:t>Clinical trials</w:t>
      </w:r>
      <w:bookmarkEnd w:id="10"/>
    </w:p>
    <w:p w:rsidR="00D06935" w:rsidRPr="000E01C3" w:rsidRDefault="00D06935" w:rsidP="00BE33FF">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The resubmission was based on four trials comparing mannitol to control/placebo:</w:t>
      </w:r>
    </w:p>
    <w:p w:rsidR="00D06935" w:rsidRPr="000E01C3" w:rsidRDefault="00D06935" w:rsidP="00BE33FF">
      <w:pPr>
        <w:pStyle w:val="ListParagraph"/>
        <w:widowControl/>
        <w:numPr>
          <w:ilvl w:val="0"/>
          <w:numId w:val="21"/>
        </w:numPr>
        <w:tabs>
          <w:tab w:val="left" w:pos="1134"/>
        </w:tabs>
        <w:spacing w:after="120"/>
        <w:ind w:left="1134"/>
        <w:contextualSpacing w:val="0"/>
        <w:rPr>
          <w:rFonts w:asciiTheme="minorHAnsi" w:hAnsiTheme="minorHAnsi" w:cstheme="minorHAnsi"/>
          <w:sz w:val="24"/>
          <w:szCs w:val="24"/>
        </w:rPr>
      </w:pPr>
      <w:r w:rsidRPr="000E01C3">
        <w:rPr>
          <w:rFonts w:asciiTheme="minorHAnsi" w:hAnsiTheme="minorHAnsi" w:cstheme="minorHAnsi"/>
          <w:sz w:val="24"/>
          <w:szCs w:val="24"/>
        </w:rPr>
        <w:t xml:space="preserve">Two phase III trials comparing mannitol </w:t>
      </w:r>
      <w:r w:rsidR="00BF1C21" w:rsidRPr="000E01C3">
        <w:rPr>
          <w:rFonts w:asciiTheme="minorHAnsi" w:hAnsiTheme="minorHAnsi" w:cstheme="minorHAnsi"/>
          <w:sz w:val="24"/>
          <w:szCs w:val="24"/>
        </w:rPr>
        <w:t xml:space="preserve">(400 mg twice daily) </w:t>
      </w:r>
      <w:r w:rsidR="004702A1" w:rsidRPr="000E01C3">
        <w:rPr>
          <w:rFonts w:asciiTheme="minorHAnsi" w:hAnsiTheme="minorHAnsi" w:cstheme="minorHAnsi"/>
          <w:sz w:val="24"/>
          <w:szCs w:val="24"/>
        </w:rPr>
        <w:t>to a sub</w:t>
      </w:r>
      <w:r w:rsidR="004702A1" w:rsidRPr="000E01C3">
        <w:rPr>
          <w:rFonts w:asciiTheme="minorHAnsi" w:hAnsiTheme="minorHAnsi" w:cstheme="minorHAnsi"/>
          <w:sz w:val="24"/>
          <w:szCs w:val="24"/>
        </w:rPr>
        <w:noBreakHyphen/>
      </w:r>
      <w:r w:rsidRPr="000E01C3">
        <w:rPr>
          <w:rFonts w:asciiTheme="minorHAnsi" w:hAnsiTheme="minorHAnsi" w:cstheme="minorHAnsi"/>
          <w:sz w:val="24"/>
          <w:szCs w:val="24"/>
        </w:rPr>
        <w:t xml:space="preserve">therapeutic dose of mannitol </w:t>
      </w:r>
      <w:r w:rsidR="00BF1C21" w:rsidRPr="000E01C3">
        <w:rPr>
          <w:rFonts w:asciiTheme="minorHAnsi" w:hAnsiTheme="minorHAnsi" w:cstheme="minorHAnsi"/>
          <w:sz w:val="24"/>
          <w:szCs w:val="24"/>
        </w:rPr>
        <w:t xml:space="preserve">(50 mg twice daily) </w:t>
      </w:r>
      <w:r w:rsidR="004702A1" w:rsidRPr="000E01C3">
        <w:rPr>
          <w:rFonts w:asciiTheme="minorHAnsi" w:hAnsiTheme="minorHAnsi" w:cstheme="minorHAnsi"/>
          <w:sz w:val="24"/>
          <w:szCs w:val="24"/>
        </w:rPr>
        <w:t>as control (CF-301 and CF</w:t>
      </w:r>
      <w:r w:rsidR="004702A1" w:rsidRPr="000E01C3">
        <w:rPr>
          <w:rFonts w:asciiTheme="minorHAnsi" w:hAnsiTheme="minorHAnsi" w:cstheme="minorHAnsi"/>
          <w:sz w:val="24"/>
          <w:szCs w:val="24"/>
        </w:rPr>
        <w:noBreakHyphen/>
      </w:r>
      <w:r w:rsidRPr="000E01C3">
        <w:rPr>
          <w:rFonts w:asciiTheme="minorHAnsi" w:hAnsiTheme="minorHAnsi" w:cstheme="minorHAnsi"/>
          <w:sz w:val="24"/>
          <w:szCs w:val="24"/>
        </w:rPr>
        <w:t>302) (n=600)</w:t>
      </w:r>
      <w:r w:rsidR="00536BB1" w:rsidRPr="000E01C3">
        <w:rPr>
          <w:rFonts w:asciiTheme="minorHAnsi" w:hAnsiTheme="minorHAnsi" w:cstheme="minorHAnsi"/>
          <w:sz w:val="24"/>
          <w:szCs w:val="24"/>
        </w:rPr>
        <w:t>;</w:t>
      </w:r>
    </w:p>
    <w:p w:rsidR="00D06935" w:rsidRPr="000E01C3" w:rsidRDefault="00D06935" w:rsidP="00BE33FF">
      <w:pPr>
        <w:pStyle w:val="ListParagraph"/>
        <w:widowControl/>
        <w:numPr>
          <w:ilvl w:val="0"/>
          <w:numId w:val="21"/>
        </w:numPr>
        <w:tabs>
          <w:tab w:val="left" w:pos="1134"/>
        </w:tabs>
        <w:spacing w:after="120"/>
        <w:ind w:left="1134"/>
        <w:contextualSpacing w:val="0"/>
        <w:rPr>
          <w:rFonts w:asciiTheme="minorHAnsi" w:hAnsiTheme="minorHAnsi" w:cstheme="minorHAnsi"/>
          <w:sz w:val="24"/>
          <w:szCs w:val="24"/>
        </w:rPr>
      </w:pPr>
      <w:r w:rsidRPr="000E01C3">
        <w:rPr>
          <w:rFonts w:asciiTheme="minorHAnsi" w:hAnsiTheme="minorHAnsi" w:cstheme="minorHAnsi"/>
          <w:sz w:val="24"/>
          <w:szCs w:val="24"/>
        </w:rPr>
        <w:t>Two phase II trials comparing mannitol to placebo (CF-201 and CF-204) (n=134)</w:t>
      </w:r>
      <w:r w:rsidR="00536BB1" w:rsidRPr="000E01C3">
        <w:rPr>
          <w:rFonts w:asciiTheme="minorHAnsi" w:hAnsiTheme="minorHAnsi" w:cstheme="minorHAnsi"/>
          <w:sz w:val="24"/>
          <w:szCs w:val="24"/>
        </w:rPr>
        <w:t>.</w:t>
      </w:r>
    </w:p>
    <w:p w:rsidR="00D06935" w:rsidRPr="000E01C3" w:rsidRDefault="00D06935" w:rsidP="00BE33FF">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 xml:space="preserve">The previous March 2011 submission included Trials CF-301 and CF-302. It also included </w:t>
      </w:r>
      <w:r w:rsidR="0078364E" w:rsidRPr="000E01C3">
        <w:rPr>
          <w:rFonts w:asciiTheme="minorHAnsi" w:hAnsiTheme="minorHAnsi" w:cstheme="minorHAnsi"/>
          <w:sz w:val="24"/>
          <w:szCs w:val="24"/>
        </w:rPr>
        <w:t xml:space="preserve">Trial </w:t>
      </w:r>
      <w:r w:rsidRPr="000E01C3">
        <w:rPr>
          <w:rFonts w:asciiTheme="minorHAnsi" w:hAnsiTheme="minorHAnsi" w:cstheme="minorHAnsi"/>
          <w:sz w:val="24"/>
          <w:szCs w:val="24"/>
        </w:rPr>
        <w:t xml:space="preserve">CF-203, a head-to-head cross-over trial of mannitol </w:t>
      </w:r>
      <w:r w:rsidR="00582CF0" w:rsidRPr="000E01C3">
        <w:rPr>
          <w:rFonts w:asciiTheme="minorHAnsi" w:hAnsiTheme="minorHAnsi" w:cstheme="minorHAnsi"/>
          <w:sz w:val="24"/>
          <w:szCs w:val="24"/>
        </w:rPr>
        <w:t xml:space="preserve">+ </w:t>
      </w:r>
      <w:r w:rsidRPr="000E01C3">
        <w:rPr>
          <w:rFonts w:asciiTheme="minorHAnsi" w:hAnsiTheme="minorHAnsi" w:cstheme="minorHAnsi"/>
          <w:sz w:val="24"/>
          <w:szCs w:val="24"/>
        </w:rPr>
        <w:t>DNase versus the two agents administered a</w:t>
      </w:r>
      <w:r w:rsidR="00FA05B8" w:rsidRPr="000E01C3">
        <w:rPr>
          <w:rFonts w:asciiTheme="minorHAnsi" w:hAnsiTheme="minorHAnsi" w:cstheme="minorHAnsi"/>
          <w:sz w:val="24"/>
          <w:szCs w:val="24"/>
        </w:rPr>
        <w:t>s</w:t>
      </w:r>
      <w:r w:rsidRPr="000E01C3">
        <w:rPr>
          <w:rFonts w:asciiTheme="minorHAnsi" w:hAnsiTheme="minorHAnsi" w:cstheme="minorHAnsi"/>
          <w:sz w:val="24"/>
          <w:szCs w:val="24"/>
        </w:rPr>
        <w:t xml:space="preserve"> monotherapy, in children with </w:t>
      </w:r>
      <w:r w:rsidR="00280BB3" w:rsidRPr="000E01C3">
        <w:rPr>
          <w:rFonts w:asciiTheme="minorHAnsi" w:hAnsiTheme="minorHAnsi" w:cstheme="minorHAnsi"/>
          <w:sz w:val="24"/>
          <w:szCs w:val="24"/>
        </w:rPr>
        <w:t>CF</w:t>
      </w:r>
      <w:r w:rsidRPr="000E01C3">
        <w:rPr>
          <w:rFonts w:asciiTheme="minorHAnsi" w:hAnsiTheme="minorHAnsi" w:cstheme="minorHAnsi"/>
          <w:sz w:val="24"/>
          <w:szCs w:val="24"/>
        </w:rPr>
        <w:t>, which was inappropriately excluded from</w:t>
      </w:r>
      <w:r w:rsidR="00A95A78" w:rsidRPr="000E01C3">
        <w:rPr>
          <w:rFonts w:asciiTheme="minorHAnsi" w:hAnsiTheme="minorHAnsi" w:cstheme="minorHAnsi"/>
          <w:sz w:val="24"/>
          <w:szCs w:val="24"/>
        </w:rPr>
        <w:t xml:space="preserve"> this resubmission. </w:t>
      </w:r>
      <w:r w:rsidR="005E158B" w:rsidRPr="000E01C3">
        <w:rPr>
          <w:rFonts w:asciiTheme="minorHAnsi" w:hAnsiTheme="minorHAnsi" w:cstheme="minorHAnsi"/>
          <w:sz w:val="24"/>
          <w:szCs w:val="24"/>
        </w:rPr>
        <w:t xml:space="preserve">The current resubmission also excluded Trial IIS-B-118 (Middleton et al. 2015) mainly on the basis of it being for a different indication (acute pulmonary exacerbations); however, the ESC noted that these patients would qualify for combination treatment within the proposed PBS restrictions. </w:t>
      </w:r>
      <w:r w:rsidRPr="000E01C3">
        <w:rPr>
          <w:rFonts w:asciiTheme="minorHAnsi" w:hAnsiTheme="minorHAnsi" w:cstheme="minorHAnsi"/>
          <w:sz w:val="24"/>
          <w:szCs w:val="24"/>
        </w:rPr>
        <w:t xml:space="preserve">The </w:t>
      </w:r>
      <w:r w:rsidR="00477007" w:rsidRPr="000E01C3">
        <w:rPr>
          <w:rFonts w:asciiTheme="minorHAnsi" w:hAnsiTheme="minorHAnsi" w:cstheme="minorHAnsi"/>
          <w:sz w:val="24"/>
          <w:szCs w:val="24"/>
        </w:rPr>
        <w:t xml:space="preserve">March 2011 </w:t>
      </w:r>
      <w:r w:rsidRPr="000E01C3">
        <w:rPr>
          <w:rFonts w:asciiTheme="minorHAnsi" w:hAnsiTheme="minorHAnsi" w:cstheme="minorHAnsi"/>
          <w:sz w:val="24"/>
          <w:szCs w:val="24"/>
        </w:rPr>
        <w:t>submission excluded Trial CF-201 on the basis of a higher than recommended dose of mannitol</w:t>
      </w:r>
      <w:r w:rsidR="005E158B" w:rsidRPr="000E01C3">
        <w:rPr>
          <w:rFonts w:asciiTheme="minorHAnsi" w:hAnsiTheme="minorHAnsi" w:cstheme="minorHAnsi"/>
          <w:sz w:val="24"/>
          <w:szCs w:val="24"/>
        </w:rPr>
        <w:t xml:space="preserve"> (420 mg twice daily)</w:t>
      </w:r>
      <w:r w:rsidRPr="000E01C3">
        <w:rPr>
          <w:rFonts w:asciiTheme="minorHAnsi" w:hAnsiTheme="minorHAnsi" w:cstheme="minorHAnsi"/>
          <w:sz w:val="24"/>
          <w:szCs w:val="24"/>
        </w:rPr>
        <w:t xml:space="preserve">, but this trial was included in this resubmission. </w:t>
      </w:r>
      <w:r w:rsidR="004606C9" w:rsidRPr="000E01C3">
        <w:rPr>
          <w:rFonts w:asciiTheme="minorHAnsi" w:hAnsiTheme="minorHAnsi" w:cstheme="minorHAnsi"/>
          <w:sz w:val="24"/>
          <w:szCs w:val="24"/>
        </w:rPr>
        <w:t>The pre</w:t>
      </w:r>
      <w:r w:rsidR="00A15B9B" w:rsidRPr="000E01C3">
        <w:rPr>
          <w:rFonts w:asciiTheme="minorHAnsi" w:hAnsiTheme="minorHAnsi" w:cstheme="minorHAnsi"/>
          <w:sz w:val="24"/>
          <w:szCs w:val="24"/>
        </w:rPr>
        <w:t>-</w:t>
      </w:r>
      <w:r w:rsidR="004606C9" w:rsidRPr="000E01C3">
        <w:rPr>
          <w:rFonts w:asciiTheme="minorHAnsi" w:hAnsiTheme="minorHAnsi" w:cstheme="minorHAnsi"/>
          <w:sz w:val="24"/>
          <w:szCs w:val="24"/>
        </w:rPr>
        <w:t xml:space="preserve">PBAC response (p1) </w:t>
      </w:r>
      <w:r w:rsidR="004A7F2E" w:rsidRPr="000E01C3">
        <w:rPr>
          <w:rFonts w:asciiTheme="minorHAnsi" w:hAnsiTheme="minorHAnsi" w:cstheme="minorHAnsi"/>
          <w:sz w:val="24"/>
          <w:szCs w:val="24"/>
        </w:rPr>
        <w:t>stated</w:t>
      </w:r>
      <w:r w:rsidR="004606C9" w:rsidRPr="000E01C3">
        <w:rPr>
          <w:rFonts w:asciiTheme="minorHAnsi" w:hAnsiTheme="minorHAnsi" w:cstheme="minorHAnsi"/>
          <w:sz w:val="24"/>
          <w:szCs w:val="24"/>
        </w:rPr>
        <w:t xml:space="preserve"> </w:t>
      </w:r>
      <w:r w:rsidR="00A15B9B" w:rsidRPr="000E01C3">
        <w:rPr>
          <w:rFonts w:asciiTheme="minorHAnsi" w:hAnsiTheme="minorHAnsi" w:cstheme="minorHAnsi"/>
          <w:sz w:val="24"/>
          <w:szCs w:val="24"/>
        </w:rPr>
        <w:t xml:space="preserve">that </w:t>
      </w:r>
      <w:r w:rsidR="004606C9" w:rsidRPr="000E01C3">
        <w:rPr>
          <w:rFonts w:asciiTheme="minorHAnsi" w:hAnsiTheme="minorHAnsi" w:cstheme="minorHAnsi"/>
          <w:sz w:val="24"/>
          <w:szCs w:val="24"/>
        </w:rPr>
        <w:t xml:space="preserve">the </w:t>
      </w:r>
      <w:r w:rsidR="004A7F2E" w:rsidRPr="000E01C3">
        <w:rPr>
          <w:rFonts w:asciiTheme="minorHAnsi" w:hAnsiTheme="minorHAnsi" w:cstheme="minorHAnsi"/>
          <w:sz w:val="24"/>
          <w:szCs w:val="24"/>
        </w:rPr>
        <w:t>inclusion</w:t>
      </w:r>
      <w:r w:rsidR="004606C9" w:rsidRPr="000E01C3">
        <w:rPr>
          <w:rFonts w:asciiTheme="minorHAnsi" w:hAnsiTheme="minorHAnsi" w:cstheme="minorHAnsi"/>
          <w:sz w:val="24"/>
          <w:szCs w:val="24"/>
        </w:rPr>
        <w:t xml:space="preserve"> of </w:t>
      </w:r>
      <w:r w:rsidR="00A15B9B" w:rsidRPr="000E01C3">
        <w:rPr>
          <w:rFonts w:asciiTheme="minorHAnsi" w:hAnsiTheme="minorHAnsi" w:cstheme="minorHAnsi"/>
          <w:sz w:val="24"/>
          <w:szCs w:val="24"/>
        </w:rPr>
        <w:t>T</w:t>
      </w:r>
      <w:r w:rsidR="004606C9" w:rsidRPr="000E01C3">
        <w:rPr>
          <w:rFonts w:asciiTheme="minorHAnsi" w:hAnsiTheme="minorHAnsi" w:cstheme="minorHAnsi"/>
          <w:sz w:val="24"/>
          <w:szCs w:val="24"/>
        </w:rPr>
        <w:t>rial CF-203</w:t>
      </w:r>
      <w:r w:rsidR="004702A1" w:rsidRPr="000E01C3">
        <w:rPr>
          <w:rFonts w:asciiTheme="minorHAnsi" w:hAnsiTheme="minorHAnsi" w:cstheme="minorHAnsi"/>
          <w:sz w:val="24"/>
          <w:szCs w:val="24"/>
        </w:rPr>
        <w:t xml:space="preserve"> in the evaluation</w:t>
      </w:r>
      <w:r w:rsidR="004606C9" w:rsidRPr="000E01C3">
        <w:rPr>
          <w:rFonts w:asciiTheme="minorHAnsi" w:hAnsiTheme="minorHAnsi" w:cstheme="minorHAnsi"/>
          <w:sz w:val="24"/>
          <w:szCs w:val="24"/>
        </w:rPr>
        <w:t xml:space="preserve"> </w:t>
      </w:r>
      <w:r w:rsidR="004A7F2E" w:rsidRPr="000E01C3">
        <w:rPr>
          <w:rFonts w:asciiTheme="minorHAnsi" w:hAnsiTheme="minorHAnsi" w:cstheme="minorHAnsi"/>
          <w:sz w:val="24"/>
          <w:szCs w:val="24"/>
        </w:rPr>
        <w:t xml:space="preserve">is problematic </w:t>
      </w:r>
      <w:r w:rsidR="004606C9" w:rsidRPr="000E01C3">
        <w:rPr>
          <w:rFonts w:asciiTheme="minorHAnsi" w:hAnsiTheme="minorHAnsi" w:cstheme="minorHAnsi"/>
          <w:sz w:val="24"/>
          <w:szCs w:val="24"/>
        </w:rPr>
        <w:t>as patients were not optimised on DNase treatment before the treatment period and additionally</w:t>
      </w:r>
      <w:r w:rsidR="00A15B9B" w:rsidRPr="000E01C3">
        <w:rPr>
          <w:rFonts w:asciiTheme="minorHAnsi" w:hAnsiTheme="minorHAnsi" w:cstheme="minorHAnsi"/>
          <w:sz w:val="24"/>
          <w:szCs w:val="24"/>
        </w:rPr>
        <w:t>,</w:t>
      </w:r>
      <w:r w:rsidR="004606C9" w:rsidRPr="000E01C3">
        <w:rPr>
          <w:rFonts w:asciiTheme="minorHAnsi" w:hAnsiTheme="minorHAnsi" w:cstheme="minorHAnsi"/>
          <w:sz w:val="24"/>
          <w:szCs w:val="24"/>
        </w:rPr>
        <w:t xml:space="preserve"> due to the small sample size</w:t>
      </w:r>
      <w:r w:rsidR="00A15B9B" w:rsidRPr="000E01C3">
        <w:rPr>
          <w:rFonts w:asciiTheme="minorHAnsi" w:hAnsiTheme="minorHAnsi" w:cstheme="minorHAnsi"/>
          <w:sz w:val="24"/>
          <w:szCs w:val="24"/>
        </w:rPr>
        <w:t>,</w:t>
      </w:r>
      <w:r w:rsidR="004606C9" w:rsidRPr="000E01C3">
        <w:rPr>
          <w:rFonts w:asciiTheme="minorHAnsi" w:hAnsiTheme="minorHAnsi" w:cstheme="minorHAnsi"/>
          <w:sz w:val="24"/>
          <w:szCs w:val="24"/>
        </w:rPr>
        <w:t xml:space="preserve"> no statistically differences in spirometry outcomes were observed. </w:t>
      </w:r>
    </w:p>
    <w:p w:rsidR="00D06935" w:rsidRPr="000E01C3" w:rsidRDefault="00D06935" w:rsidP="00BE33FF">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 xml:space="preserve">Details of the trials presented in the resubmission are provided in Table </w:t>
      </w:r>
      <w:r w:rsidR="00933462" w:rsidRPr="000E01C3">
        <w:rPr>
          <w:rFonts w:asciiTheme="minorHAnsi" w:hAnsiTheme="minorHAnsi" w:cstheme="minorHAnsi"/>
          <w:sz w:val="24"/>
          <w:szCs w:val="24"/>
        </w:rPr>
        <w:t>3</w:t>
      </w:r>
      <w:r w:rsidRPr="000E01C3">
        <w:rPr>
          <w:rFonts w:asciiTheme="minorHAnsi" w:hAnsiTheme="minorHAnsi" w:cstheme="minorHAnsi"/>
          <w:sz w:val="24"/>
          <w:szCs w:val="24"/>
        </w:rPr>
        <w:t>.</w:t>
      </w:r>
    </w:p>
    <w:p w:rsidR="00E55C12" w:rsidRDefault="00E55C12" w:rsidP="00E55C12">
      <w:pPr>
        <w:pStyle w:val="Caption"/>
        <w:keepNext/>
      </w:pPr>
      <w:r>
        <w:t xml:space="preserve">Table </w:t>
      </w:r>
      <w:r>
        <w:rPr>
          <w:noProof/>
        </w:rPr>
        <w:t>3</w:t>
      </w:r>
      <w:r w:rsidRPr="00880C70">
        <w:t>: Trials and associated reports presented in the resubmission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71"/>
        <w:gridCol w:w="5420"/>
        <w:gridCol w:w="2091"/>
      </w:tblGrid>
      <w:tr w:rsidR="00D06935" w:rsidRPr="000E01C3" w:rsidTr="00933462">
        <w:trPr>
          <w:cantSplit/>
          <w:tblHeader/>
        </w:trPr>
        <w:tc>
          <w:tcPr>
            <w:tcW w:w="865" w:type="pct"/>
          </w:tcPr>
          <w:p w:rsidR="00D06935" w:rsidRPr="000E01C3" w:rsidRDefault="00D06935" w:rsidP="004702A1">
            <w:pPr>
              <w:keepNext/>
              <w:widowControl/>
              <w:jc w:val="left"/>
              <w:rPr>
                <w:rFonts w:ascii="Arial Narrow" w:hAnsi="Arial Narrow"/>
                <w:b/>
                <w:sz w:val="20"/>
              </w:rPr>
            </w:pPr>
            <w:r w:rsidRPr="000E01C3">
              <w:rPr>
                <w:rFonts w:ascii="Arial Narrow" w:hAnsi="Arial Narrow"/>
                <w:b/>
                <w:sz w:val="20"/>
              </w:rPr>
              <w:t>Trial ID</w:t>
            </w:r>
          </w:p>
        </w:tc>
        <w:tc>
          <w:tcPr>
            <w:tcW w:w="2984" w:type="pct"/>
          </w:tcPr>
          <w:p w:rsidR="00D06935" w:rsidRPr="000E01C3" w:rsidRDefault="00D06935" w:rsidP="004702A1">
            <w:pPr>
              <w:keepNext/>
              <w:widowControl/>
              <w:jc w:val="center"/>
              <w:rPr>
                <w:rFonts w:ascii="Arial Narrow" w:hAnsi="Arial Narrow"/>
                <w:b/>
                <w:sz w:val="20"/>
              </w:rPr>
            </w:pPr>
            <w:r w:rsidRPr="000E01C3">
              <w:rPr>
                <w:rFonts w:ascii="Arial Narrow" w:hAnsi="Arial Narrow"/>
                <w:b/>
                <w:sz w:val="20"/>
              </w:rPr>
              <w:t>Protocol title/ Publication title</w:t>
            </w:r>
          </w:p>
        </w:tc>
        <w:tc>
          <w:tcPr>
            <w:tcW w:w="1151" w:type="pct"/>
          </w:tcPr>
          <w:p w:rsidR="00D06935" w:rsidRPr="000E01C3" w:rsidRDefault="00D06935" w:rsidP="004702A1">
            <w:pPr>
              <w:keepNext/>
              <w:widowControl/>
              <w:jc w:val="center"/>
              <w:rPr>
                <w:rFonts w:ascii="Arial Narrow" w:hAnsi="Arial Narrow"/>
                <w:b/>
                <w:sz w:val="20"/>
              </w:rPr>
            </w:pPr>
            <w:r w:rsidRPr="000E01C3">
              <w:rPr>
                <w:rFonts w:ascii="Arial Narrow" w:hAnsi="Arial Narrow"/>
                <w:b/>
                <w:sz w:val="20"/>
              </w:rPr>
              <w:t>Publication citation</w:t>
            </w:r>
          </w:p>
        </w:tc>
      </w:tr>
      <w:tr w:rsidR="00D06935" w:rsidRPr="000E01C3" w:rsidTr="00933462">
        <w:trPr>
          <w:cantSplit/>
        </w:trPr>
        <w:tc>
          <w:tcPr>
            <w:tcW w:w="5000" w:type="pct"/>
            <w:gridSpan w:val="3"/>
            <w:tcBorders>
              <w:bottom w:val="single" w:sz="4" w:space="0" w:color="auto"/>
            </w:tcBorders>
          </w:tcPr>
          <w:p w:rsidR="00D06935" w:rsidRPr="000E01C3" w:rsidRDefault="00D06935" w:rsidP="004702A1">
            <w:pPr>
              <w:keepNext/>
              <w:widowControl/>
              <w:jc w:val="left"/>
              <w:rPr>
                <w:rFonts w:ascii="Arial Narrow" w:hAnsi="Arial Narrow"/>
                <w:sz w:val="20"/>
              </w:rPr>
            </w:pPr>
            <w:r w:rsidRPr="000E01C3">
              <w:rPr>
                <w:rFonts w:ascii="Arial Narrow" w:hAnsi="Arial Narrow"/>
                <w:b/>
                <w:sz w:val="20"/>
              </w:rPr>
              <w:t>mannitol vs. control (sub-therapeutic mannitol)</w:t>
            </w:r>
          </w:p>
        </w:tc>
      </w:tr>
      <w:tr w:rsidR="00D06935" w:rsidRPr="000E01C3" w:rsidTr="00933462">
        <w:trPr>
          <w:cantSplit/>
        </w:trPr>
        <w:tc>
          <w:tcPr>
            <w:tcW w:w="865" w:type="pct"/>
            <w:tcBorders>
              <w:bottom w:val="nil"/>
            </w:tcBorders>
          </w:tcPr>
          <w:p w:rsidR="00D06935" w:rsidRPr="000E01C3" w:rsidRDefault="00D06935" w:rsidP="004702A1">
            <w:pPr>
              <w:keepNext/>
              <w:widowControl/>
              <w:jc w:val="left"/>
              <w:rPr>
                <w:rFonts w:ascii="Arial Narrow" w:hAnsi="Arial Narrow"/>
                <w:sz w:val="20"/>
              </w:rPr>
            </w:pPr>
            <w:r w:rsidRPr="000E01C3">
              <w:rPr>
                <w:rFonts w:ascii="Arial Narrow" w:hAnsi="Arial Narrow"/>
                <w:sz w:val="20"/>
              </w:rPr>
              <w:t>CF-301</w:t>
            </w:r>
          </w:p>
        </w:tc>
        <w:tc>
          <w:tcPr>
            <w:tcW w:w="2984" w:type="pct"/>
            <w:tcBorders>
              <w:bottom w:val="nil"/>
            </w:tcBorders>
          </w:tcPr>
          <w:p w:rsidR="00D06935" w:rsidRPr="000E01C3" w:rsidRDefault="00D06935" w:rsidP="004702A1">
            <w:pPr>
              <w:keepNext/>
              <w:widowControl/>
              <w:jc w:val="left"/>
              <w:rPr>
                <w:rFonts w:ascii="Arial Narrow" w:hAnsi="Arial Narrow"/>
                <w:sz w:val="20"/>
              </w:rPr>
            </w:pPr>
            <w:r w:rsidRPr="000E01C3">
              <w:rPr>
                <w:rFonts w:ascii="Arial Narrow" w:hAnsi="Arial Narrow"/>
                <w:sz w:val="20"/>
              </w:rPr>
              <w:t>Clinical Study Report DPM-CD-301. Long term administration of inhaled dry powder mannitol in cystic fibrosis - A safety and efficacy study.</w:t>
            </w:r>
          </w:p>
          <w:p w:rsidR="00BE33FF" w:rsidRPr="000E01C3" w:rsidRDefault="00BE33FF" w:rsidP="004702A1">
            <w:pPr>
              <w:keepNext/>
              <w:widowControl/>
              <w:jc w:val="left"/>
              <w:rPr>
                <w:rFonts w:ascii="Arial Narrow" w:hAnsi="Arial Narrow"/>
                <w:sz w:val="20"/>
              </w:rPr>
            </w:pPr>
          </w:p>
        </w:tc>
        <w:tc>
          <w:tcPr>
            <w:tcW w:w="1151" w:type="pct"/>
            <w:tcBorders>
              <w:bottom w:val="nil"/>
            </w:tcBorders>
          </w:tcPr>
          <w:p w:rsidR="00D06935" w:rsidRPr="000E01C3" w:rsidRDefault="00D06935" w:rsidP="004702A1">
            <w:pPr>
              <w:keepNext/>
              <w:widowControl/>
              <w:jc w:val="left"/>
              <w:rPr>
                <w:rFonts w:ascii="Arial Narrow" w:hAnsi="Arial Narrow"/>
                <w:sz w:val="20"/>
              </w:rPr>
            </w:pPr>
            <w:r w:rsidRPr="000E01C3">
              <w:rPr>
                <w:rFonts w:ascii="Arial Narrow" w:hAnsi="Arial Narrow"/>
                <w:sz w:val="20"/>
              </w:rPr>
              <w:t>2012.</w:t>
            </w:r>
          </w:p>
        </w:tc>
      </w:tr>
      <w:tr w:rsidR="00BE33FF" w:rsidRPr="000E01C3" w:rsidTr="00933462">
        <w:trPr>
          <w:cantSplit/>
        </w:trPr>
        <w:tc>
          <w:tcPr>
            <w:tcW w:w="865" w:type="pct"/>
            <w:tcBorders>
              <w:top w:val="nil"/>
              <w:bottom w:val="nil"/>
            </w:tcBorders>
          </w:tcPr>
          <w:p w:rsidR="00BE33FF" w:rsidRPr="000E01C3" w:rsidRDefault="00BE33FF" w:rsidP="004702A1">
            <w:pPr>
              <w:keepNext/>
              <w:widowControl/>
              <w:jc w:val="left"/>
              <w:rPr>
                <w:rFonts w:ascii="Arial Narrow" w:hAnsi="Arial Narrow"/>
                <w:sz w:val="20"/>
              </w:rPr>
            </w:pPr>
            <w:r w:rsidRPr="000E01C3">
              <w:rPr>
                <w:rFonts w:ascii="Arial Narrow" w:hAnsi="Arial Narrow"/>
                <w:sz w:val="20"/>
              </w:rPr>
              <w:t>CF-301 open label</w:t>
            </w:r>
          </w:p>
        </w:tc>
        <w:tc>
          <w:tcPr>
            <w:tcW w:w="2984" w:type="pct"/>
            <w:tcBorders>
              <w:top w:val="nil"/>
              <w:bottom w:val="nil"/>
            </w:tcBorders>
          </w:tcPr>
          <w:p w:rsidR="00BE33FF" w:rsidRPr="000E01C3" w:rsidRDefault="00BE33FF" w:rsidP="004702A1">
            <w:pPr>
              <w:keepNext/>
              <w:widowControl/>
              <w:jc w:val="left"/>
              <w:rPr>
                <w:rFonts w:ascii="Arial Narrow" w:hAnsi="Arial Narrow"/>
                <w:sz w:val="20"/>
              </w:rPr>
            </w:pPr>
            <w:r w:rsidRPr="000E01C3">
              <w:rPr>
                <w:rFonts w:ascii="Arial Narrow" w:hAnsi="Arial Narrow"/>
                <w:sz w:val="20"/>
              </w:rPr>
              <w:t>Abbreviated Clinical Study Report DPM-CF-301 open label phase. . Long term administration of inhaled dry powder mannitol in cystic fibrosis - A safety and efficacy study (open label phase).</w:t>
            </w:r>
          </w:p>
          <w:p w:rsidR="00BE33FF" w:rsidRPr="000E01C3" w:rsidRDefault="00BE33FF" w:rsidP="004702A1">
            <w:pPr>
              <w:keepNext/>
              <w:widowControl/>
              <w:jc w:val="left"/>
              <w:rPr>
                <w:rFonts w:ascii="Arial Narrow" w:hAnsi="Arial Narrow"/>
                <w:sz w:val="20"/>
              </w:rPr>
            </w:pPr>
          </w:p>
        </w:tc>
        <w:tc>
          <w:tcPr>
            <w:tcW w:w="1151" w:type="pct"/>
            <w:tcBorders>
              <w:top w:val="nil"/>
              <w:bottom w:val="nil"/>
            </w:tcBorders>
          </w:tcPr>
          <w:p w:rsidR="00BE33FF" w:rsidRPr="000E01C3" w:rsidRDefault="00BE33FF" w:rsidP="004702A1">
            <w:pPr>
              <w:keepNext/>
              <w:widowControl/>
              <w:jc w:val="left"/>
              <w:rPr>
                <w:rFonts w:ascii="Arial Narrow" w:hAnsi="Arial Narrow"/>
                <w:sz w:val="20"/>
              </w:rPr>
            </w:pPr>
            <w:r w:rsidRPr="000E01C3">
              <w:rPr>
                <w:rFonts w:ascii="Arial Narrow" w:hAnsi="Arial Narrow"/>
                <w:sz w:val="20"/>
              </w:rPr>
              <w:t>2012.</w:t>
            </w:r>
          </w:p>
        </w:tc>
      </w:tr>
      <w:tr w:rsidR="00BE33FF" w:rsidRPr="000E01C3" w:rsidTr="00933462">
        <w:trPr>
          <w:cantSplit/>
        </w:trPr>
        <w:tc>
          <w:tcPr>
            <w:tcW w:w="865" w:type="pct"/>
            <w:tcBorders>
              <w:top w:val="nil"/>
              <w:bottom w:val="single" w:sz="4" w:space="0" w:color="auto"/>
            </w:tcBorders>
          </w:tcPr>
          <w:p w:rsidR="00BE33FF" w:rsidRPr="000E01C3" w:rsidRDefault="00BE33FF" w:rsidP="004702A1">
            <w:pPr>
              <w:keepNext/>
              <w:widowControl/>
              <w:jc w:val="left"/>
              <w:rPr>
                <w:rFonts w:ascii="Arial Narrow" w:hAnsi="Arial Narrow"/>
                <w:sz w:val="20"/>
              </w:rPr>
            </w:pPr>
          </w:p>
        </w:tc>
        <w:tc>
          <w:tcPr>
            <w:tcW w:w="2984" w:type="pct"/>
            <w:tcBorders>
              <w:top w:val="nil"/>
              <w:bottom w:val="single" w:sz="4" w:space="0" w:color="auto"/>
            </w:tcBorders>
          </w:tcPr>
          <w:p w:rsidR="00BE33FF" w:rsidRPr="000E01C3" w:rsidRDefault="00BE33FF" w:rsidP="004702A1">
            <w:pPr>
              <w:keepNext/>
              <w:widowControl/>
              <w:jc w:val="left"/>
              <w:rPr>
                <w:rFonts w:ascii="Arial Narrow" w:hAnsi="Arial Narrow"/>
                <w:sz w:val="20"/>
              </w:rPr>
            </w:pPr>
            <w:r w:rsidRPr="000E01C3">
              <w:rPr>
                <w:rFonts w:ascii="Arial Narrow" w:hAnsi="Arial Narrow"/>
                <w:sz w:val="20"/>
              </w:rPr>
              <w:t>Bilton, D., Robinson, P., Cooper, P., Gallagher, C. G., Kolbe, J., Fox, H., Jaques, A., and Charlton, B. Inhaled dry powder mannitol in cystic fibrosis: an efficacy and safety study</w:t>
            </w:r>
          </w:p>
        </w:tc>
        <w:tc>
          <w:tcPr>
            <w:tcW w:w="1151" w:type="pct"/>
            <w:tcBorders>
              <w:top w:val="nil"/>
              <w:bottom w:val="single" w:sz="4" w:space="0" w:color="auto"/>
            </w:tcBorders>
          </w:tcPr>
          <w:p w:rsidR="00BE33FF" w:rsidRPr="000E01C3" w:rsidRDefault="00BE33FF" w:rsidP="004702A1">
            <w:pPr>
              <w:keepNext/>
              <w:widowControl/>
              <w:jc w:val="left"/>
              <w:rPr>
                <w:rFonts w:ascii="Arial Narrow" w:hAnsi="Arial Narrow"/>
                <w:sz w:val="20"/>
              </w:rPr>
            </w:pPr>
            <w:r w:rsidRPr="000E01C3">
              <w:rPr>
                <w:rFonts w:ascii="Arial Narrow" w:hAnsi="Arial Narrow"/>
                <w:iCs/>
                <w:sz w:val="20"/>
              </w:rPr>
              <w:t>European Respiratory Journal</w:t>
            </w:r>
            <w:r w:rsidRPr="000E01C3">
              <w:rPr>
                <w:rFonts w:ascii="Arial Narrow" w:hAnsi="Arial Narrow"/>
                <w:sz w:val="20"/>
              </w:rPr>
              <w:t xml:space="preserve"> 2011; 38: 1071-1080.</w:t>
            </w:r>
          </w:p>
        </w:tc>
      </w:tr>
      <w:tr w:rsidR="00D06935" w:rsidRPr="000E01C3" w:rsidTr="00933462">
        <w:trPr>
          <w:cantSplit/>
        </w:trPr>
        <w:tc>
          <w:tcPr>
            <w:tcW w:w="865" w:type="pct"/>
            <w:tcBorders>
              <w:bottom w:val="nil"/>
            </w:tcBorders>
          </w:tcPr>
          <w:p w:rsidR="00D06935" w:rsidRPr="000E01C3" w:rsidRDefault="00D06935" w:rsidP="00A04A6A">
            <w:pPr>
              <w:widowControl/>
              <w:jc w:val="left"/>
              <w:rPr>
                <w:rFonts w:ascii="Arial Narrow" w:hAnsi="Arial Narrow"/>
                <w:sz w:val="20"/>
              </w:rPr>
            </w:pPr>
            <w:r w:rsidRPr="000E01C3">
              <w:rPr>
                <w:rFonts w:ascii="Arial Narrow" w:hAnsi="Arial Narrow"/>
                <w:sz w:val="20"/>
              </w:rPr>
              <w:t>CF-302</w:t>
            </w:r>
          </w:p>
        </w:tc>
        <w:tc>
          <w:tcPr>
            <w:tcW w:w="2984" w:type="pct"/>
            <w:tcBorders>
              <w:bottom w:val="nil"/>
            </w:tcBorders>
          </w:tcPr>
          <w:p w:rsidR="00D06935" w:rsidRPr="000E01C3" w:rsidRDefault="00D06935" w:rsidP="00A04A6A">
            <w:pPr>
              <w:widowControl/>
              <w:jc w:val="left"/>
              <w:rPr>
                <w:rFonts w:ascii="Arial Narrow" w:hAnsi="Arial Narrow"/>
                <w:sz w:val="20"/>
              </w:rPr>
            </w:pPr>
            <w:r w:rsidRPr="000E01C3">
              <w:rPr>
                <w:rFonts w:ascii="Arial Narrow" w:hAnsi="Arial Narrow"/>
                <w:sz w:val="20"/>
              </w:rPr>
              <w:t>Clinical Study Report DPM-CF-302. Long term administration of inhaled mannitol in cystic fibrosis- A safety and efficacy study.</w:t>
            </w:r>
          </w:p>
          <w:p w:rsidR="00BE33FF" w:rsidRPr="000E01C3" w:rsidRDefault="00BE33FF" w:rsidP="00A04A6A">
            <w:pPr>
              <w:widowControl/>
              <w:jc w:val="left"/>
              <w:rPr>
                <w:rFonts w:ascii="Arial Narrow" w:hAnsi="Arial Narrow"/>
                <w:sz w:val="20"/>
              </w:rPr>
            </w:pPr>
          </w:p>
        </w:tc>
        <w:tc>
          <w:tcPr>
            <w:tcW w:w="1151" w:type="pct"/>
            <w:tcBorders>
              <w:bottom w:val="nil"/>
            </w:tcBorders>
          </w:tcPr>
          <w:p w:rsidR="00D06935" w:rsidRPr="000E01C3" w:rsidRDefault="00D06935" w:rsidP="00A04A6A">
            <w:pPr>
              <w:widowControl/>
              <w:jc w:val="left"/>
              <w:rPr>
                <w:rFonts w:ascii="Arial Narrow" w:hAnsi="Arial Narrow"/>
                <w:sz w:val="20"/>
              </w:rPr>
            </w:pPr>
            <w:r w:rsidRPr="000E01C3">
              <w:rPr>
                <w:rFonts w:ascii="Arial Narrow" w:hAnsi="Arial Narrow"/>
                <w:sz w:val="20"/>
              </w:rPr>
              <w:t>2012.</w:t>
            </w:r>
          </w:p>
        </w:tc>
      </w:tr>
      <w:tr w:rsidR="00BE33FF" w:rsidRPr="000E01C3" w:rsidTr="00933462">
        <w:trPr>
          <w:cantSplit/>
        </w:trPr>
        <w:tc>
          <w:tcPr>
            <w:tcW w:w="865" w:type="pct"/>
            <w:tcBorders>
              <w:top w:val="nil"/>
              <w:bottom w:val="nil"/>
            </w:tcBorders>
          </w:tcPr>
          <w:p w:rsidR="00BE33FF" w:rsidRPr="000E01C3" w:rsidRDefault="00BE33FF" w:rsidP="00A04A6A">
            <w:pPr>
              <w:widowControl/>
              <w:jc w:val="left"/>
              <w:rPr>
                <w:rFonts w:ascii="Arial Narrow" w:hAnsi="Arial Narrow"/>
                <w:sz w:val="20"/>
              </w:rPr>
            </w:pPr>
            <w:r w:rsidRPr="000E01C3">
              <w:rPr>
                <w:rFonts w:ascii="Arial Narrow" w:hAnsi="Arial Narrow"/>
                <w:sz w:val="20"/>
              </w:rPr>
              <w:t>CF-302 open label</w:t>
            </w:r>
          </w:p>
        </w:tc>
        <w:tc>
          <w:tcPr>
            <w:tcW w:w="2984" w:type="pct"/>
            <w:tcBorders>
              <w:top w:val="nil"/>
              <w:bottom w:val="nil"/>
            </w:tcBorders>
          </w:tcPr>
          <w:p w:rsidR="00BE33FF" w:rsidRPr="000E01C3" w:rsidRDefault="00BE33FF" w:rsidP="00A04A6A">
            <w:pPr>
              <w:widowControl/>
              <w:jc w:val="left"/>
              <w:rPr>
                <w:rFonts w:ascii="Arial Narrow" w:hAnsi="Arial Narrow"/>
                <w:sz w:val="20"/>
              </w:rPr>
            </w:pPr>
            <w:r w:rsidRPr="000E01C3">
              <w:rPr>
                <w:rFonts w:ascii="Arial Narrow" w:hAnsi="Arial Narrow"/>
                <w:sz w:val="20"/>
              </w:rPr>
              <w:t>Abbreviated Clinical Study Report DPM-CF-302 Open Label Phase. Long term administration of inhaled mannitol in cystic fibrosis- A safety and efficacy study (open label phase).</w:t>
            </w:r>
          </w:p>
          <w:p w:rsidR="00BE33FF" w:rsidRPr="000E01C3" w:rsidRDefault="00BE33FF" w:rsidP="00A04A6A">
            <w:pPr>
              <w:widowControl/>
              <w:jc w:val="left"/>
              <w:rPr>
                <w:rFonts w:ascii="Arial Narrow" w:hAnsi="Arial Narrow"/>
                <w:sz w:val="20"/>
              </w:rPr>
            </w:pPr>
          </w:p>
        </w:tc>
        <w:tc>
          <w:tcPr>
            <w:tcW w:w="1151" w:type="pct"/>
            <w:tcBorders>
              <w:top w:val="nil"/>
              <w:bottom w:val="nil"/>
            </w:tcBorders>
          </w:tcPr>
          <w:p w:rsidR="00BE33FF" w:rsidRPr="000E01C3" w:rsidRDefault="00BE33FF" w:rsidP="00A04A6A">
            <w:pPr>
              <w:widowControl/>
              <w:jc w:val="left"/>
              <w:rPr>
                <w:rFonts w:ascii="Arial Narrow" w:hAnsi="Arial Narrow"/>
                <w:sz w:val="20"/>
              </w:rPr>
            </w:pPr>
            <w:r w:rsidRPr="000E01C3">
              <w:rPr>
                <w:rFonts w:ascii="Arial Narrow" w:hAnsi="Arial Narrow"/>
                <w:sz w:val="20"/>
              </w:rPr>
              <w:t>2012.</w:t>
            </w:r>
          </w:p>
        </w:tc>
      </w:tr>
      <w:tr w:rsidR="00BE33FF" w:rsidRPr="000E01C3" w:rsidTr="00933462">
        <w:trPr>
          <w:cantSplit/>
        </w:trPr>
        <w:tc>
          <w:tcPr>
            <w:tcW w:w="865" w:type="pct"/>
            <w:tcBorders>
              <w:top w:val="nil"/>
            </w:tcBorders>
          </w:tcPr>
          <w:p w:rsidR="00BE33FF" w:rsidRPr="000E01C3" w:rsidRDefault="00BE33FF" w:rsidP="00A04A6A">
            <w:pPr>
              <w:widowControl/>
              <w:jc w:val="left"/>
              <w:rPr>
                <w:rFonts w:ascii="Arial Narrow" w:hAnsi="Arial Narrow"/>
                <w:sz w:val="20"/>
              </w:rPr>
            </w:pPr>
          </w:p>
        </w:tc>
        <w:tc>
          <w:tcPr>
            <w:tcW w:w="2984" w:type="pct"/>
            <w:tcBorders>
              <w:top w:val="nil"/>
            </w:tcBorders>
          </w:tcPr>
          <w:p w:rsidR="00BE33FF" w:rsidRPr="000E01C3" w:rsidRDefault="00BE33FF" w:rsidP="00A04A6A">
            <w:pPr>
              <w:widowControl/>
              <w:jc w:val="left"/>
              <w:rPr>
                <w:rFonts w:ascii="Arial Narrow" w:hAnsi="Arial Narrow"/>
                <w:sz w:val="20"/>
              </w:rPr>
            </w:pPr>
            <w:r w:rsidRPr="000E01C3">
              <w:rPr>
                <w:rFonts w:ascii="Arial Narrow" w:hAnsi="Arial Narrow"/>
                <w:sz w:val="20"/>
              </w:rPr>
              <w:t>Aitken, M. L., Bellon, G., de Boeck, K., Flume, P. A., Fox, H. G., Geller, D. E., Haarman, E. G., Hebestreit, H. U., Lapey, A., Schou, I. M., Zuckerman, J. B., and Charlton, B. Long-term inhaled dry powder mannitol in cystic fibrosis: An international randomized study.</w:t>
            </w:r>
          </w:p>
        </w:tc>
        <w:tc>
          <w:tcPr>
            <w:tcW w:w="1151" w:type="pct"/>
            <w:tcBorders>
              <w:top w:val="nil"/>
            </w:tcBorders>
          </w:tcPr>
          <w:p w:rsidR="00BE33FF" w:rsidRPr="000E01C3" w:rsidRDefault="00BE33FF" w:rsidP="00A04A6A">
            <w:pPr>
              <w:widowControl/>
              <w:jc w:val="left"/>
              <w:rPr>
                <w:rFonts w:ascii="Arial Narrow" w:hAnsi="Arial Narrow"/>
                <w:sz w:val="20"/>
              </w:rPr>
            </w:pPr>
            <w:r w:rsidRPr="000E01C3">
              <w:rPr>
                <w:rFonts w:ascii="Arial Narrow" w:hAnsi="Arial Narrow"/>
                <w:iCs/>
                <w:sz w:val="20"/>
              </w:rPr>
              <w:t>American Journal of Respiratory and Critical Care Medicine</w:t>
            </w:r>
            <w:r w:rsidRPr="000E01C3">
              <w:rPr>
                <w:rFonts w:ascii="Arial Narrow" w:hAnsi="Arial Narrow"/>
                <w:sz w:val="20"/>
              </w:rPr>
              <w:t xml:space="preserve"> 2012; 185(6): 645-652.</w:t>
            </w:r>
          </w:p>
        </w:tc>
      </w:tr>
      <w:tr w:rsidR="00D06935" w:rsidRPr="000E01C3" w:rsidTr="00933462">
        <w:trPr>
          <w:cantSplit/>
        </w:trPr>
        <w:tc>
          <w:tcPr>
            <w:tcW w:w="865" w:type="pct"/>
          </w:tcPr>
          <w:p w:rsidR="00D06935" w:rsidRPr="000E01C3" w:rsidRDefault="00D06935" w:rsidP="00A04A6A">
            <w:pPr>
              <w:widowControl/>
              <w:jc w:val="left"/>
              <w:rPr>
                <w:rFonts w:ascii="Arial Narrow" w:hAnsi="Arial Narrow"/>
                <w:sz w:val="20"/>
              </w:rPr>
            </w:pPr>
            <w:r w:rsidRPr="000E01C3">
              <w:rPr>
                <w:rFonts w:ascii="Arial Narrow" w:hAnsi="Arial Narrow"/>
                <w:sz w:val="20"/>
              </w:rPr>
              <w:t>IIS-B-118</w:t>
            </w:r>
          </w:p>
        </w:tc>
        <w:tc>
          <w:tcPr>
            <w:tcW w:w="2984" w:type="pct"/>
          </w:tcPr>
          <w:p w:rsidR="00D06935" w:rsidRPr="000E01C3" w:rsidRDefault="00D06935" w:rsidP="00A04A6A">
            <w:pPr>
              <w:widowControl/>
              <w:jc w:val="left"/>
              <w:rPr>
                <w:rFonts w:ascii="Arial Narrow" w:hAnsi="Arial Narrow"/>
                <w:sz w:val="20"/>
              </w:rPr>
            </w:pPr>
            <w:r w:rsidRPr="000E01C3">
              <w:rPr>
                <w:rFonts w:ascii="Arial Narrow" w:hAnsi="Arial Narrow"/>
                <w:sz w:val="20"/>
              </w:rPr>
              <w:t>Middleton, A., Robinson, P. D., McKay, K., Jaffe, A. and Selvadurai, H. A pilot study of inhaled dry-powder mannitol during cystic fibrosis-related pulmonary exacerbation.</w:t>
            </w:r>
          </w:p>
        </w:tc>
        <w:tc>
          <w:tcPr>
            <w:tcW w:w="1151" w:type="pct"/>
          </w:tcPr>
          <w:p w:rsidR="00D06935" w:rsidRPr="000E01C3" w:rsidRDefault="00D06935" w:rsidP="00A04A6A">
            <w:pPr>
              <w:widowControl/>
              <w:jc w:val="left"/>
              <w:rPr>
                <w:rFonts w:ascii="Arial Narrow" w:hAnsi="Arial Narrow"/>
                <w:sz w:val="20"/>
              </w:rPr>
            </w:pPr>
            <w:r w:rsidRPr="000E01C3">
              <w:rPr>
                <w:rFonts w:ascii="Arial Narrow" w:hAnsi="Arial Narrow"/>
                <w:iCs/>
                <w:sz w:val="20"/>
              </w:rPr>
              <w:t>European Respiratory Journal</w:t>
            </w:r>
            <w:r w:rsidRPr="000E01C3">
              <w:rPr>
                <w:rFonts w:ascii="Arial Narrow" w:hAnsi="Arial Narrow"/>
                <w:sz w:val="20"/>
              </w:rPr>
              <w:t xml:space="preserve"> 2015; 45: 541-544.</w:t>
            </w:r>
          </w:p>
          <w:p w:rsidR="00D06935" w:rsidRPr="000E01C3" w:rsidRDefault="00D06935" w:rsidP="00A04A6A">
            <w:pPr>
              <w:widowControl/>
              <w:jc w:val="left"/>
              <w:rPr>
                <w:rFonts w:ascii="Arial Narrow" w:hAnsi="Arial Narrow"/>
                <w:sz w:val="20"/>
              </w:rPr>
            </w:pPr>
          </w:p>
        </w:tc>
      </w:tr>
      <w:tr w:rsidR="00D06935" w:rsidRPr="000E01C3" w:rsidTr="00933462">
        <w:trPr>
          <w:cantSplit/>
        </w:trPr>
        <w:tc>
          <w:tcPr>
            <w:tcW w:w="5000" w:type="pct"/>
            <w:gridSpan w:val="3"/>
          </w:tcPr>
          <w:p w:rsidR="00D06935" w:rsidRPr="000E01C3" w:rsidRDefault="00D06935" w:rsidP="00115B0C">
            <w:pPr>
              <w:keepNext/>
              <w:widowControl/>
              <w:jc w:val="left"/>
              <w:rPr>
                <w:rFonts w:ascii="Arial Narrow" w:hAnsi="Arial Narrow"/>
                <w:iCs/>
                <w:sz w:val="20"/>
              </w:rPr>
            </w:pPr>
            <w:r w:rsidRPr="000E01C3">
              <w:rPr>
                <w:rFonts w:ascii="Arial Narrow" w:hAnsi="Arial Narrow"/>
                <w:b/>
                <w:sz w:val="20"/>
              </w:rPr>
              <w:t>mannitol versus placebo (non-respirable mannitol)</w:t>
            </w:r>
          </w:p>
        </w:tc>
      </w:tr>
      <w:tr w:rsidR="00D06935" w:rsidRPr="000E01C3" w:rsidTr="00933462">
        <w:trPr>
          <w:cantSplit/>
        </w:trPr>
        <w:tc>
          <w:tcPr>
            <w:tcW w:w="865" w:type="pct"/>
            <w:tcBorders>
              <w:bottom w:val="single" w:sz="4" w:space="0" w:color="auto"/>
            </w:tcBorders>
          </w:tcPr>
          <w:p w:rsidR="00D06935" w:rsidRPr="000E01C3" w:rsidRDefault="00D06935" w:rsidP="00A04A6A">
            <w:pPr>
              <w:widowControl/>
              <w:jc w:val="left"/>
              <w:rPr>
                <w:rFonts w:ascii="Arial Narrow" w:hAnsi="Arial Narrow"/>
                <w:sz w:val="20"/>
              </w:rPr>
            </w:pPr>
            <w:r w:rsidRPr="000E01C3">
              <w:rPr>
                <w:rFonts w:ascii="Arial Narrow" w:hAnsi="Arial Narrow"/>
                <w:sz w:val="20"/>
              </w:rPr>
              <w:t>CF-201</w:t>
            </w:r>
          </w:p>
        </w:tc>
        <w:tc>
          <w:tcPr>
            <w:tcW w:w="2984" w:type="pct"/>
            <w:tcBorders>
              <w:bottom w:val="single" w:sz="4" w:space="0" w:color="auto"/>
            </w:tcBorders>
          </w:tcPr>
          <w:p w:rsidR="00D06935" w:rsidRPr="000E01C3" w:rsidRDefault="00D06935" w:rsidP="00A04A6A">
            <w:pPr>
              <w:widowControl/>
              <w:jc w:val="left"/>
              <w:rPr>
                <w:rFonts w:ascii="Arial Narrow" w:hAnsi="Arial Narrow"/>
                <w:sz w:val="20"/>
              </w:rPr>
            </w:pPr>
            <w:r w:rsidRPr="000E01C3">
              <w:rPr>
                <w:rFonts w:ascii="Arial Narrow" w:hAnsi="Arial Narrow"/>
                <w:sz w:val="20"/>
              </w:rPr>
              <w:t>DPM-CF-201. A phase 2 study to determine the safety and efficacy of inhaled dry powder mannitol in cystic fibrosis.</w:t>
            </w:r>
          </w:p>
          <w:p w:rsidR="00D06935" w:rsidRPr="000E01C3" w:rsidRDefault="00D06935" w:rsidP="00A04A6A">
            <w:pPr>
              <w:widowControl/>
              <w:jc w:val="left"/>
              <w:rPr>
                <w:rFonts w:ascii="Arial Narrow" w:hAnsi="Arial Narrow"/>
                <w:sz w:val="20"/>
              </w:rPr>
            </w:pPr>
          </w:p>
          <w:p w:rsidR="00D06935" w:rsidRPr="000E01C3" w:rsidRDefault="00D06935" w:rsidP="00A04A6A">
            <w:pPr>
              <w:widowControl/>
              <w:jc w:val="left"/>
              <w:rPr>
                <w:rFonts w:ascii="Arial Narrow" w:hAnsi="Arial Narrow"/>
                <w:sz w:val="20"/>
              </w:rPr>
            </w:pPr>
            <w:r w:rsidRPr="000E01C3">
              <w:rPr>
                <w:rFonts w:ascii="Arial Narrow" w:hAnsi="Arial Narrow"/>
                <w:sz w:val="20"/>
              </w:rPr>
              <w:t>Jaques, A., Daviskas, E., Turton, J. McKay, K., Cooper, P., Stirling, R. G., Robertson, C. F., Bye, P. T., LeSouef, P. N., Shadbolt, B., Anderson, S. D., and Charlton, B. Inhaled mannitol improves lung function in cystic fibrosis.</w:t>
            </w:r>
          </w:p>
        </w:tc>
        <w:tc>
          <w:tcPr>
            <w:tcW w:w="1151" w:type="pct"/>
            <w:tcBorders>
              <w:bottom w:val="single" w:sz="4" w:space="0" w:color="auto"/>
            </w:tcBorders>
          </w:tcPr>
          <w:p w:rsidR="00D06935" w:rsidRPr="000E01C3" w:rsidRDefault="00D06935" w:rsidP="00A04A6A">
            <w:pPr>
              <w:widowControl/>
              <w:jc w:val="left"/>
              <w:rPr>
                <w:rFonts w:ascii="Arial Narrow" w:hAnsi="Arial Narrow"/>
                <w:sz w:val="20"/>
              </w:rPr>
            </w:pPr>
            <w:r w:rsidRPr="000E01C3">
              <w:rPr>
                <w:rFonts w:ascii="Arial Narrow" w:hAnsi="Arial Narrow"/>
                <w:sz w:val="20"/>
              </w:rPr>
              <w:t>2012.</w:t>
            </w:r>
          </w:p>
          <w:p w:rsidR="00D06935" w:rsidRPr="000E01C3" w:rsidRDefault="00D06935" w:rsidP="00A04A6A">
            <w:pPr>
              <w:widowControl/>
              <w:jc w:val="left"/>
              <w:rPr>
                <w:rFonts w:ascii="Arial Narrow" w:hAnsi="Arial Narrow"/>
                <w:b/>
                <w:sz w:val="20"/>
              </w:rPr>
            </w:pPr>
          </w:p>
          <w:p w:rsidR="00D06935" w:rsidRPr="000E01C3" w:rsidRDefault="00D06935" w:rsidP="00A04A6A">
            <w:pPr>
              <w:widowControl/>
              <w:jc w:val="left"/>
              <w:rPr>
                <w:rFonts w:ascii="Arial Narrow" w:hAnsi="Arial Narrow"/>
                <w:b/>
                <w:sz w:val="20"/>
              </w:rPr>
            </w:pPr>
          </w:p>
          <w:p w:rsidR="00D06935" w:rsidRPr="000E01C3" w:rsidRDefault="00D06935" w:rsidP="00A04A6A">
            <w:pPr>
              <w:widowControl/>
              <w:jc w:val="left"/>
              <w:rPr>
                <w:rFonts w:ascii="Arial Narrow" w:hAnsi="Arial Narrow"/>
                <w:sz w:val="20"/>
              </w:rPr>
            </w:pPr>
            <w:r w:rsidRPr="000E01C3">
              <w:rPr>
                <w:rFonts w:ascii="Arial Narrow" w:hAnsi="Arial Narrow"/>
                <w:iCs/>
                <w:sz w:val="20"/>
              </w:rPr>
              <w:t>Chest</w:t>
            </w:r>
            <w:r w:rsidRPr="000E01C3">
              <w:rPr>
                <w:rFonts w:ascii="Arial Narrow" w:hAnsi="Arial Narrow"/>
                <w:sz w:val="20"/>
              </w:rPr>
              <w:t xml:space="preserve"> 2008; 133: 1388-1396.</w:t>
            </w:r>
          </w:p>
          <w:p w:rsidR="00D06935" w:rsidRPr="000E01C3" w:rsidRDefault="00D06935" w:rsidP="00A04A6A">
            <w:pPr>
              <w:widowControl/>
              <w:jc w:val="left"/>
              <w:rPr>
                <w:rFonts w:ascii="Arial Narrow" w:hAnsi="Arial Narrow"/>
                <w:sz w:val="20"/>
              </w:rPr>
            </w:pPr>
          </w:p>
          <w:p w:rsidR="00D06935" w:rsidRPr="000E01C3" w:rsidRDefault="00D06935" w:rsidP="00A04A6A">
            <w:pPr>
              <w:widowControl/>
              <w:jc w:val="left"/>
              <w:rPr>
                <w:rFonts w:ascii="Arial Narrow" w:hAnsi="Arial Narrow"/>
                <w:iCs/>
                <w:sz w:val="20"/>
              </w:rPr>
            </w:pPr>
          </w:p>
        </w:tc>
      </w:tr>
      <w:tr w:rsidR="00D06935" w:rsidRPr="000E01C3" w:rsidTr="00933462">
        <w:trPr>
          <w:cantSplit/>
        </w:trPr>
        <w:tc>
          <w:tcPr>
            <w:tcW w:w="865" w:type="pct"/>
            <w:tcBorders>
              <w:bottom w:val="nil"/>
            </w:tcBorders>
          </w:tcPr>
          <w:p w:rsidR="00D06935" w:rsidRPr="000E01C3" w:rsidRDefault="00D06935" w:rsidP="00A04A6A">
            <w:pPr>
              <w:widowControl/>
              <w:jc w:val="left"/>
              <w:rPr>
                <w:rFonts w:ascii="Arial Narrow" w:hAnsi="Arial Narrow"/>
                <w:sz w:val="20"/>
              </w:rPr>
            </w:pPr>
            <w:r w:rsidRPr="000E01C3">
              <w:rPr>
                <w:rFonts w:ascii="Arial Narrow" w:hAnsi="Arial Narrow"/>
                <w:sz w:val="20"/>
              </w:rPr>
              <w:t>CF-204</w:t>
            </w:r>
          </w:p>
        </w:tc>
        <w:tc>
          <w:tcPr>
            <w:tcW w:w="2984" w:type="pct"/>
            <w:tcBorders>
              <w:bottom w:val="nil"/>
            </w:tcBorders>
          </w:tcPr>
          <w:p w:rsidR="00D06935" w:rsidRPr="000E01C3" w:rsidRDefault="00D06935" w:rsidP="00A04A6A">
            <w:pPr>
              <w:widowControl/>
              <w:jc w:val="left"/>
              <w:rPr>
                <w:rFonts w:ascii="Arial Narrow" w:hAnsi="Arial Narrow"/>
                <w:sz w:val="20"/>
              </w:rPr>
            </w:pPr>
            <w:r w:rsidRPr="000E01C3">
              <w:rPr>
                <w:rFonts w:ascii="Arial Narrow" w:hAnsi="Arial Narrow"/>
                <w:sz w:val="20"/>
              </w:rPr>
              <w:t>Clinical Study Report DPM-CF-204. A randomised, multicentre, double-blind, placebo-controlled, crossover trial determining the efficacy of dry powder mannitol in improving lung function in subjects with cystic fibrosis aged six to seventeen years.</w:t>
            </w:r>
          </w:p>
          <w:p w:rsidR="00BE33FF" w:rsidRPr="000E01C3" w:rsidRDefault="00BE33FF" w:rsidP="00A04A6A">
            <w:pPr>
              <w:widowControl/>
              <w:jc w:val="left"/>
              <w:rPr>
                <w:rFonts w:ascii="Arial Narrow" w:hAnsi="Arial Narrow"/>
                <w:sz w:val="20"/>
              </w:rPr>
            </w:pPr>
          </w:p>
        </w:tc>
        <w:tc>
          <w:tcPr>
            <w:tcW w:w="1151" w:type="pct"/>
            <w:tcBorders>
              <w:bottom w:val="nil"/>
            </w:tcBorders>
          </w:tcPr>
          <w:p w:rsidR="00D06935" w:rsidRPr="000E01C3" w:rsidRDefault="00D06935" w:rsidP="00A04A6A">
            <w:pPr>
              <w:widowControl/>
              <w:jc w:val="left"/>
              <w:rPr>
                <w:rFonts w:ascii="Arial Narrow" w:hAnsi="Arial Narrow"/>
                <w:sz w:val="20"/>
              </w:rPr>
            </w:pPr>
            <w:r w:rsidRPr="000E01C3">
              <w:rPr>
                <w:rFonts w:ascii="Arial Narrow" w:hAnsi="Arial Narrow"/>
                <w:sz w:val="20"/>
              </w:rPr>
              <w:t>2016.</w:t>
            </w:r>
          </w:p>
          <w:p w:rsidR="00D06935" w:rsidRPr="000E01C3" w:rsidRDefault="00D06935" w:rsidP="00A04A6A">
            <w:pPr>
              <w:widowControl/>
              <w:jc w:val="left"/>
              <w:rPr>
                <w:rFonts w:ascii="Arial Narrow" w:hAnsi="Arial Narrow"/>
                <w:iCs/>
                <w:sz w:val="20"/>
              </w:rPr>
            </w:pPr>
          </w:p>
        </w:tc>
      </w:tr>
      <w:tr w:rsidR="00BE33FF" w:rsidRPr="000E01C3" w:rsidTr="00933462">
        <w:trPr>
          <w:cantSplit/>
        </w:trPr>
        <w:tc>
          <w:tcPr>
            <w:tcW w:w="865" w:type="pct"/>
            <w:tcBorders>
              <w:top w:val="nil"/>
            </w:tcBorders>
          </w:tcPr>
          <w:p w:rsidR="00BE33FF" w:rsidRPr="000E01C3" w:rsidRDefault="00BE33FF" w:rsidP="00A04A6A">
            <w:pPr>
              <w:widowControl/>
              <w:jc w:val="left"/>
              <w:rPr>
                <w:rFonts w:ascii="Arial Narrow" w:hAnsi="Arial Narrow"/>
                <w:sz w:val="20"/>
              </w:rPr>
            </w:pPr>
          </w:p>
        </w:tc>
        <w:tc>
          <w:tcPr>
            <w:tcW w:w="2984" w:type="pct"/>
            <w:tcBorders>
              <w:top w:val="nil"/>
            </w:tcBorders>
          </w:tcPr>
          <w:p w:rsidR="00BE33FF" w:rsidRPr="000E01C3" w:rsidRDefault="00BE33FF" w:rsidP="00A04A6A">
            <w:pPr>
              <w:widowControl/>
              <w:jc w:val="left"/>
              <w:rPr>
                <w:rFonts w:ascii="Arial Narrow" w:hAnsi="Arial Narrow"/>
                <w:sz w:val="20"/>
              </w:rPr>
            </w:pPr>
            <w:r w:rsidRPr="000E01C3">
              <w:rPr>
                <w:rFonts w:ascii="Arial Narrow" w:hAnsi="Arial Narrow"/>
                <w:sz w:val="20"/>
              </w:rPr>
              <w:t>De Boeck, K., Haarman, E., Hull, J., Lands, L. C., Moeller, A., Munck, A., Riethmuller. J., Tiddens, H., Volpi, S., Leadbetter, J., Charlton, B., and Malfroot, A. Inhaled dry powder mannitol in children with cystic fibrosis: A randomised efficacy and safety trial.</w:t>
            </w:r>
          </w:p>
        </w:tc>
        <w:tc>
          <w:tcPr>
            <w:tcW w:w="1151" w:type="pct"/>
            <w:tcBorders>
              <w:top w:val="nil"/>
            </w:tcBorders>
          </w:tcPr>
          <w:p w:rsidR="00BE33FF" w:rsidRPr="000E01C3" w:rsidRDefault="00BE33FF" w:rsidP="00106D94">
            <w:pPr>
              <w:widowControl/>
              <w:jc w:val="left"/>
              <w:rPr>
                <w:rFonts w:ascii="Arial Narrow" w:hAnsi="Arial Narrow"/>
                <w:sz w:val="20"/>
              </w:rPr>
            </w:pPr>
            <w:r w:rsidRPr="000E01C3">
              <w:rPr>
                <w:rFonts w:ascii="Arial Narrow" w:hAnsi="Arial Narrow"/>
                <w:iCs/>
                <w:sz w:val="20"/>
              </w:rPr>
              <w:t>Journal of Cystic Fibrosis</w:t>
            </w:r>
            <w:r w:rsidRPr="000E01C3">
              <w:rPr>
                <w:rFonts w:ascii="Arial Narrow" w:hAnsi="Arial Narrow"/>
                <w:sz w:val="20"/>
              </w:rPr>
              <w:t xml:space="preserve"> 2017</w:t>
            </w:r>
            <w:r w:rsidR="00106D94" w:rsidRPr="000E01C3">
              <w:rPr>
                <w:rFonts w:ascii="Arial Narrow" w:hAnsi="Arial Narrow"/>
                <w:sz w:val="20"/>
              </w:rPr>
              <w:t>; 16(3): 380-387.</w:t>
            </w:r>
          </w:p>
        </w:tc>
      </w:tr>
      <w:tr w:rsidR="00D06935" w:rsidRPr="000E01C3" w:rsidTr="00933462">
        <w:trPr>
          <w:cantSplit/>
        </w:trPr>
        <w:tc>
          <w:tcPr>
            <w:tcW w:w="5000" w:type="pct"/>
            <w:gridSpan w:val="3"/>
            <w:tcBorders>
              <w:bottom w:val="single" w:sz="4" w:space="0" w:color="auto"/>
            </w:tcBorders>
          </w:tcPr>
          <w:p w:rsidR="00D06935" w:rsidRPr="000E01C3" w:rsidRDefault="00D06935" w:rsidP="00A04A6A">
            <w:pPr>
              <w:keepNext/>
              <w:widowControl/>
              <w:jc w:val="left"/>
              <w:rPr>
                <w:rFonts w:ascii="Arial Narrow" w:hAnsi="Arial Narrow"/>
                <w:sz w:val="20"/>
              </w:rPr>
            </w:pPr>
            <w:r w:rsidRPr="000E01C3">
              <w:rPr>
                <w:rFonts w:ascii="Arial Narrow" w:hAnsi="Arial Narrow"/>
                <w:b/>
                <w:sz w:val="20"/>
              </w:rPr>
              <w:t>mannitol vs. DNase vs. mannitol/DNase combination</w:t>
            </w:r>
          </w:p>
        </w:tc>
      </w:tr>
      <w:tr w:rsidR="00D06935" w:rsidRPr="000E01C3" w:rsidTr="00933462">
        <w:trPr>
          <w:cantSplit/>
        </w:trPr>
        <w:tc>
          <w:tcPr>
            <w:tcW w:w="865" w:type="pct"/>
            <w:tcBorders>
              <w:bottom w:val="nil"/>
            </w:tcBorders>
          </w:tcPr>
          <w:p w:rsidR="00D06935" w:rsidRPr="000E01C3" w:rsidRDefault="00D06935" w:rsidP="00A04A6A">
            <w:pPr>
              <w:widowControl/>
              <w:jc w:val="left"/>
              <w:rPr>
                <w:rFonts w:ascii="Arial Narrow" w:hAnsi="Arial Narrow"/>
                <w:sz w:val="20"/>
              </w:rPr>
            </w:pPr>
            <w:r w:rsidRPr="000E01C3">
              <w:rPr>
                <w:rFonts w:ascii="Arial Narrow" w:hAnsi="Arial Narrow"/>
                <w:sz w:val="20"/>
              </w:rPr>
              <w:t>CF-203</w:t>
            </w:r>
          </w:p>
        </w:tc>
        <w:tc>
          <w:tcPr>
            <w:tcW w:w="2984" w:type="pct"/>
            <w:tcBorders>
              <w:bottom w:val="nil"/>
            </w:tcBorders>
          </w:tcPr>
          <w:p w:rsidR="00D06935" w:rsidRPr="000E01C3" w:rsidRDefault="00D06935" w:rsidP="00BE33FF">
            <w:pPr>
              <w:widowControl/>
              <w:jc w:val="left"/>
              <w:rPr>
                <w:rFonts w:ascii="Arial Narrow" w:hAnsi="Arial Narrow"/>
                <w:sz w:val="20"/>
              </w:rPr>
            </w:pPr>
            <w:r w:rsidRPr="000E01C3">
              <w:rPr>
                <w:rFonts w:ascii="Arial Narrow" w:hAnsi="Arial Narrow"/>
                <w:sz w:val="20"/>
              </w:rPr>
              <w:t>Pharmaxis trial report. DPM-CF-203. A cross-over comparative study of inhaled mannitol, alone and in combination with daily rhDNase, in children with cystic fibrosis.</w:t>
            </w:r>
          </w:p>
          <w:p w:rsidR="00BE33FF" w:rsidRPr="000E01C3" w:rsidRDefault="00BE33FF" w:rsidP="00BE33FF">
            <w:pPr>
              <w:widowControl/>
              <w:jc w:val="left"/>
              <w:rPr>
                <w:rFonts w:ascii="Arial Narrow" w:hAnsi="Arial Narrow"/>
                <w:sz w:val="20"/>
              </w:rPr>
            </w:pPr>
          </w:p>
        </w:tc>
        <w:tc>
          <w:tcPr>
            <w:tcW w:w="1151" w:type="pct"/>
            <w:tcBorders>
              <w:bottom w:val="nil"/>
            </w:tcBorders>
          </w:tcPr>
          <w:p w:rsidR="00D06935" w:rsidRPr="000E01C3" w:rsidRDefault="00D06935" w:rsidP="00BE33FF">
            <w:pPr>
              <w:widowControl/>
              <w:jc w:val="left"/>
              <w:rPr>
                <w:rFonts w:ascii="Arial Narrow" w:hAnsi="Arial Narrow"/>
                <w:sz w:val="20"/>
              </w:rPr>
            </w:pPr>
            <w:r w:rsidRPr="000E01C3">
              <w:rPr>
                <w:rFonts w:ascii="Arial Narrow" w:hAnsi="Arial Narrow"/>
                <w:sz w:val="20"/>
              </w:rPr>
              <w:t>2012</w:t>
            </w:r>
            <w:r w:rsidR="000C6F08" w:rsidRPr="000E01C3">
              <w:rPr>
                <w:rFonts w:ascii="Arial Narrow" w:hAnsi="Arial Narrow"/>
                <w:sz w:val="20"/>
              </w:rPr>
              <w:t>.</w:t>
            </w:r>
          </w:p>
        </w:tc>
      </w:tr>
      <w:tr w:rsidR="00BE33FF" w:rsidRPr="000E01C3" w:rsidTr="00933462">
        <w:trPr>
          <w:cantSplit/>
        </w:trPr>
        <w:tc>
          <w:tcPr>
            <w:tcW w:w="865" w:type="pct"/>
            <w:tcBorders>
              <w:top w:val="nil"/>
            </w:tcBorders>
          </w:tcPr>
          <w:p w:rsidR="00BE33FF" w:rsidRPr="000E01C3" w:rsidRDefault="00BE33FF" w:rsidP="00A04A6A">
            <w:pPr>
              <w:widowControl/>
              <w:jc w:val="left"/>
              <w:rPr>
                <w:rFonts w:ascii="Arial Narrow" w:hAnsi="Arial Narrow"/>
                <w:sz w:val="20"/>
              </w:rPr>
            </w:pPr>
          </w:p>
        </w:tc>
        <w:tc>
          <w:tcPr>
            <w:tcW w:w="2984" w:type="pct"/>
            <w:tcBorders>
              <w:top w:val="nil"/>
            </w:tcBorders>
          </w:tcPr>
          <w:p w:rsidR="00BE33FF" w:rsidRPr="000E01C3" w:rsidRDefault="00BE33FF" w:rsidP="00A04A6A">
            <w:pPr>
              <w:widowControl/>
              <w:jc w:val="left"/>
              <w:rPr>
                <w:rFonts w:ascii="Arial Narrow" w:hAnsi="Arial Narrow"/>
                <w:sz w:val="20"/>
              </w:rPr>
            </w:pPr>
            <w:r w:rsidRPr="000E01C3">
              <w:rPr>
                <w:rFonts w:ascii="Arial Narrow" w:hAnsi="Arial Narrow"/>
                <w:sz w:val="20"/>
              </w:rPr>
              <w:t>Minasian, C., Wallis, C., Metcalfe, C., and Bush, A. Comparison of inhaled mannitol, daily rhDNase and a combination of both in children with cystic fibrosis: A randomised trial.</w:t>
            </w:r>
          </w:p>
        </w:tc>
        <w:tc>
          <w:tcPr>
            <w:tcW w:w="1151" w:type="pct"/>
            <w:tcBorders>
              <w:top w:val="nil"/>
            </w:tcBorders>
          </w:tcPr>
          <w:p w:rsidR="00BE33FF" w:rsidRPr="000E01C3" w:rsidRDefault="00BE33FF" w:rsidP="00A04A6A">
            <w:pPr>
              <w:widowControl/>
              <w:jc w:val="left"/>
              <w:rPr>
                <w:rFonts w:ascii="Arial Narrow" w:hAnsi="Arial Narrow"/>
                <w:sz w:val="20"/>
              </w:rPr>
            </w:pPr>
            <w:r w:rsidRPr="000E01C3">
              <w:rPr>
                <w:rFonts w:ascii="Arial Narrow" w:hAnsi="Arial Narrow"/>
                <w:iCs/>
                <w:sz w:val="20"/>
              </w:rPr>
              <w:t xml:space="preserve">Thorax </w:t>
            </w:r>
            <w:r w:rsidRPr="000E01C3">
              <w:rPr>
                <w:rFonts w:ascii="Arial Narrow" w:hAnsi="Arial Narrow"/>
                <w:sz w:val="20"/>
              </w:rPr>
              <w:t>2010; 65: 51-56.</w:t>
            </w:r>
          </w:p>
        </w:tc>
      </w:tr>
    </w:tbl>
    <w:p w:rsidR="00D06935" w:rsidRPr="000E01C3" w:rsidRDefault="00D06935" w:rsidP="00933462">
      <w:pPr>
        <w:pStyle w:val="TableFooter"/>
        <w:widowControl/>
        <w:spacing w:after="120"/>
      </w:pPr>
      <w:r w:rsidRPr="000E01C3">
        <w:t>Source: Table B.2.3, pp62-63 of the resubmission</w:t>
      </w:r>
    </w:p>
    <w:p w:rsidR="00D06935" w:rsidRPr="000E01C3" w:rsidRDefault="00D06935" w:rsidP="00BE33FF">
      <w:pPr>
        <w:pStyle w:val="ListParagraph"/>
        <w:widowControl/>
        <w:numPr>
          <w:ilvl w:val="1"/>
          <w:numId w:val="5"/>
        </w:numPr>
        <w:spacing w:after="120"/>
        <w:contextualSpacing w:val="0"/>
        <w:rPr>
          <w:rFonts w:asciiTheme="minorHAnsi" w:hAnsiTheme="minorHAnsi" w:cstheme="minorHAnsi"/>
          <w:iCs/>
          <w:sz w:val="24"/>
          <w:szCs w:val="24"/>
        </w:rPr>
      </w:pPr>
      <w:r w:rsidRPr="000E01C3">
        <w:rPr>
          <w:rFonts w:asciiTheme="minorHAnsi" w:hAnsiTheme="minorHAnsi" w:cstheme="minorHAnsi"/>
          <w:sz w:val="24"/>
          <w:szCs w:val="24"/>
        </w:rPr>
        <w:t xml:space="preserve">The key features of the randomised trials are summarised in Table </w:t>
      </w:r>
      <w:r w:rsidR="00933462" w:rsidRPr="000E01C3">
        <w:rPr>
          <w:rFonts w:asciiTheme="minorHAnsi" w:hAnsiTheme="minorHAnsi" w:cstheme="minorHAnsi"/>
          <w:sz w:val="24"/>
          <w:szCs w:val="24"/>
        </w:rPr>
        <w:t>4</w:t>
      </w:r>
      <w:r w:rsidRPr="000E01C3">
        <w:rPr>
          <w:rFonts w:asciiTheme="minorHAnsi" w:hAnsiTheme="minorHAnsi" w:cstheme="minorHAnsi"/>
          <w:sz w:val="24"/>
          <w:szCs w:val="24"/>
        </w:rPr>
        <w:t>.</w:t>
      </w:r>
      <w:r w:rsidR="00C1704A" w:rsidRPr="000E01C3">
        <w:rPr>
          <w:rFonts w:asciiTheme="minorHAnsi" w:hAnsiTheme="minorHAnsi" w:cstheme="minorHAnsi"/>
          <w:sz w:val="24"/>
          <w:szCs w:val="24"/>
        </w:rPr>
        <w:t xml:space="preserve"> </w:t>
      </w:r>
      <w:r w:rsidR="00C1704A" w:rsidRPr="000E01C3">
        <w:rPr>
          <w:rFonts w:asciiTheme="minorHAnsi" w:hAnsiTheme="minorHAnsi" w:cstheme="minorHAnsi"/>
          <w:iCs/>
          <w:sz w:val="24"/>
          <w:szCs w:val="24"/>
        </w:rPr>
        <w:t xml:space="preserve">Trial CF-203 and IIS-B-118 </w:t>
      </w:r>
      <w:r w:rsidR="00536BB1" w:rsidRPr="000E01C3">
        <w:rPr>
          <w:rFonts w:asciiTheme="minorHAnsi" w:hAnsiTheme="minorHAnsi" w:cstheme="minorHAnsi"/>
          <w:iCs/>
          <w:sz w:val="24"/>
          <w:szCs w:val="24"/>
        </w:rPr>
        <w:t>(</w:t>
      </w:r>
      <w:r w:rsidR="00191155" w:rsidRPr="000E01C3">
        <w:rPr>
          <w:rFonts w:asciiTheme="minorHAnsi" w:hAnsiTheme="minorHAnsi" w:cstheme="minorHAnsi"/>
          <w:iCs/>
          <w:sz w:val="24"/>
          <w:szCs w:val="24"/>
        </w:rPr>
        <w:t xml:space="preserve">which were </w:t>
      </w:r>
      <w:r w:rsidR="00DE1019" w:rsidRPr="000E01C3">
        <w:rPr>
          <w:rFonts w:asciiTheme="minorHAnsi" w:hAnsiTheme="minorHAnsi" w:cstheme="minorHAnsi"/>
          <w:iCs/>
          <w:sz w:val="24"/>
          <w:szCs w:val="24"/>
        </w:rPr>
        <w:t xml:space="preserve">inappropriately </w:t>
      </w:r>
      <w:r w:rsidR="00C1704A" w:rsidRPr="000E01C3">
        <w:rPr>
          <w:rFonts w:asciiTheme="minorHAnsi" w:hAnsiTheme="minorHAnsi" w:cstheme="minorHAnsi"/>
          <w:iCs/>
          <w:sz w:val="24"/>
          <w:szCs w:val="24"/>
        </w:rPr>
        <w:t>excluded by the resubmission</w:t>
      </w:r>
      <w:r w:rsidR="00DE1019" w:rsidRPr="000E01C3">
        <w:rPr>
          <w:rFonts w:asciiTheme="minorHAnsi" w:hAnsiTheme="minorHAnsi" w:cstheme="minorHAnsi"/>
          <w:iCs/>
          <w:sz w:val="24"/>
          <w:szCs w:val="24"/>
        </w:rPr>
        <w:t>) were included during the evaluation.</w:t>
      </w:r>
    </w:p>
    <w:p w:rsidR="00E55C12" w:rsidRDefault="00E55C12" w:rsidP="00E55C12">
      <w:pPr>
        <w:pStyle w:val="Caption"/>
        <w:keepNext/>
      </w:pPr>
      <w:r>
        <w:t xml:space="preserve">Table </w:t>
      </w:r>
      <w:r>
        <w:rPr>
          <w:noProof/>
        </w:rPr>
        <w:t>4</w:t>
      </w:r>
      <w:r w:rsidRPr="0086057D">
        <w:t>: Key features of the evidence included in the submission and evaluation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26"/>
        <w:gridCol w:w="570"/>
        <w:gridCol w:w="1286"/>
        <w:gridCol w:w="714"/>
        <w:gridCol w:w="2857"/>
        <w:gridCol w:w="1083"/>
        <w:gridCol w:w="1146"/>
      </w:tblGrid>
      <w:tr w:rsidR="00D06935" w:rsidRPr="000E01C3" w:rsidTr="00912E55">
        <w:tc>
          <w:tcPr>
            <w:tcW w:w="785" w:type="pct"/>
            <w:shd w:val="clear" w:color="auto" w:fill="auto"/>
            <w:vAlign w:val="center"/>
          </w:tcPr>
          <w:p w:rsidR="00D06935" w:rsidRPr="000E01C3" w:rsidRDefault="00D06935" w:rsidP="00A04A6A">
            <w:pPr>
              <w:widowControl/>
              <w:jc w:val="left"/>
              <w:rPr>
                <w:rFonts w:ascii="Arial Narrow" w:hAnsi="Arial Narrow"/>
                <w:b/>
                <w:sz w:val="20"/>
              </w:rPr>
            </w:pPr>
            <w:r w:rsidRPr="000E01C3">
              <w:rPr>
                <w:rFonts w:ascii="Arial Narrow" w:hAnsi="Arial Narrow"/>
                <w:b/>
                <w:sz w:val="20"/>
              </w:rPr>
              <w:t>Trial</w:t>
            </w:r>
          </w:p>
        </w:tc>
        <w:tc>
          <w:tcPr>
            <w:tcW w:w="314" w:type="pct"/>
            <w:shd w:val="clear" w:color="auto" w:fill="auto"/>
            <w:vAlign w:val="center"/>
          </w:tcPr>
          <w:p w:rsidR="00D06935" w:rsidRPr="000E01C3" w:rsidRDefault="00D06935" w:rsidP="00A04A6A">
            <w:pPr>
              <w:widowControl/>
              <w:jc w:val="center"/>
              <w:rPr>
                <w:rFonts w:ascii="Arial Narrow" w:hAnsi="Arial Narrow"/>
                <w:b/>
                <w:sz w:val="20"/>
              </w:rPr>
            </w:pPr>
            <w:r w:rsidRPr="000E01C3">
              <w:rPr>
                <w:rFonts w:ascii="Arial Narrow" w:hAnsi="Arial Narrow"/>
                <w:b/>
                <w:sz w:val="20"/>
              </w:rPr>
              <w:t>N</w:t>
            </w:r>
          </w:p>
        </w:tc>
        <w:tc>
          <w:tcPr>
            <w:tcW w:w="708" w:type="pct"/>
            <w:shd w:val="clear" w:color="auto" w:fill="auto"/>
            <w:vAlign w:val="center"/>
          </w:tcPr>
          <w:p w:rsidR="00D06935" w:rsidRPr="000E01C3" w:rsidRDefault="00D06935" w:rsidP="00A04A6A">
            <w:pPr>
              <w:widowControl/>
              <w:jc w:val="center"/>
              <w:rPr>
                <w:rFonts w:ascii="Arial Narrow" w:hAnsi="Arial Narrow"/>
                <w:b/>
                <w:sz w:val="20"/>
              </w:rPr>
            </w:pPr>
            <w:r w:rsidRPr="000E01C3">
              <w:rPr>
                <w:rFonts w:ascii="Arial Narrow" w:hAnsi="Arial Narrow"/>
                <w:b/>
                <w:sz w:val="20"/>
              </w:rPr>
              <w:t>Design/ duration</w:t>
            </w:r>
          </w:p>
        </w:tc>
        <w:tc>
          <w:tcPr>
            <w:tcW w:w="393" w:type="pct"/>
            <w:shd w:val="clear" w:color="auto" w:fill="auto"/>
            <w:vAlign w:val="center"/>
          </w:tcPr>
          <w:p w:rsidR="00D06935" w:rsidRPr="000E01C3" w:rsidRDefault="00D06935" w:rsidP="00A04A6A">
            <w:pPr>
              <w:widowControl/>
              <w:jc w:val="center"/>
              <w:rPr>
                <w:rFonts w:ascii="Arial Narrow" w:hAnsi="Arial Narrow"/>
                <w:b/>
                <w:sz w:val="20"/>
              </w:rPr>
            </w:pPr>
            <w:r w:rsidRPr="000E01C3">
              <w:rPr>
                <w:rFonts w:ascii="Arial Narrow" w:hAnsi="Arial Narrow"/>
                <w:b/>
                <w:sz w:val="20"/>
              </w:rPr>
              <w:t>Risk of bias</w:t>
            </w:r>
          </w:p>
        </w:tc>
        <w:tc>
          <w:tcPr>
            <w:tcW w:w="1573" w:type="pct"/>
            <w:shd w:val="clear" w:color="auto" w:fill="auto"/>
            <w:vAlign w:val="center"/>
          </w:tcPr>
          <w:p w:rsidR="00D06935" w:rsidRPr="000E01C3" w:rsidRDefault="00D06935" w:rsidP="00A04A6A">
            <w:pPr>
              <w:widowControl/>
              <w:jc w:val="center"/>
              <w:rPr>
                <w:rFonts w:ascii="Arial Narrow" w:hAnsi="Arial Narrow"/>
                <w:b/>
                <w:sz w:val="20"/>
              </w:rPr>
            </w:pPr>
            <w:r w:rsidRPr="000E01C3">
              <w:rPr>
                <w:rFonts w:ascii="Arial Narrow" w:hAnsi="Arial Narrow"/>
                <w:b/>
                <w:sz w:val="20"/>
              </w:rPr>
              <w:t>Patient population</w:t>
            </w:r>
          </w:p>
        </w:tc>
        <w:tc>
          <w:tcPr>
            <w:tcW w:w="596" w:type="pct"/>
            <w:shd w:val="clear" w:color="auto" w:fill="auto"/>
            <w:vAlign w:val="center"/>
          </w:tcPr>
          <w:p w:rsidR="00D06935" w:rsidRPr="000E01C3" w:rsidRDefault="00D06935" w:rsidP="00A04A6A">
            <w:pPr>
              <w:widowControl/>
              <w:jc w:val="center"/>
              <w:rPr>
                <w:rFonts w:ascii="Arial Narrow" w:hAnsi="Arial Narrow"/>
                <w:b/>
                <w:sz w:val="20"/>
              </w:rPr>
            </w:pPr>
            <w:r w:rsidRPr="000E01C3">
              <w:rPr>
                <w:rFonts w:ascii="Arial Narrow" w:hAnsi="Arial Narrow"/>
                <w:b/>
                <w:sz w:val="20"/>
              </w:rPr>
              <w:t>Outcomes</w:t>
            </w:r>
          </w:p>
        </w:tc>
        <w:tc>
          <w:tcPr>
            <w:tcW w:w="631" w:type="pct"/>
            <w:shd w:val="clear" w:color="auto" w:fill="auto"/>
            <w:vAlign w:val="center"/>
          </w:tcPr>
          <w:p w:rsidR="00D06935" w:rsidRPr="000E01C3" w:rsidRDefault="00D06935" w:rsidP="00A04A6A">
            <w:pPr>
              <w:widowControl/>
              <w:jc w:val="center"/>
              <w:rPr>
                <w:rFonts w:ascii="Arial Narrow" w:hAnsi="Arial Narrow"/>
                <w:b/>
                <w:sz w:val="20"/>
              </w:rPr>
            </w:pPr>
            <w:r w:rsidRPr="000E01C3">
              <w:rPr>
                <w:rFonts w:ascii="Arial Narrow" w:hAnsi="Arial Narrow"/>
                <w:b/>
                <w:sz w:val="20"/>
              </w:rPr>
              <w:t>Use in modelled evaluation</w:t>
            </w:r>
          </w:p>
        </w:tc>
      </w:tr>
      <w:tr w:rsidR="00D06935" w:rsidRPr="000E01C3" w:rsidTr="00912E55">
        <w:tc>
          <w:tcPr>
            <w:tcW w:w="5000" w:type="pct"/>
            <w:gridSpan w:val="7"/>
            <w:shd w:val="clear" w:color="auto" w:fill="auto"/>
            <w:vAlign w:val="center"/>
          </w:tcPr>
          <w:p w:rsidR="00D06935" w:rsidRPr="000E01C3" w:rsidRDefault="00D06935" w:rsidP="00A04A6A">
            <w:pPr>
              <w:widowControl/>
              <w:jc w:val="left"/>
              <w:rPr>
                <w:rFonts w:ascii="Arial Narrow" w:hAnsi="Arial Narrow"/>
                <w:b/>
                <w:sz w:val="20"/>
              </w:rPr>
            </w:pPr>
            <w:r w:rsidRPr="000E01C3">
              <w:rPr>
                <w:rFonts w:ascii="Arial Narrow" w:hAnsi="Arial Narrow"/>
                <w:b/>
                <w:snapToGrid/>
                <w:sz w:val="20"/>
              </w:rPr>
              <w:t>mannitol versus control (low dose mannitol)</w:t>
            </w:r>
          </w:p>
        </w:tc>
      </w:tr>
      <w:tr w:rsidR="003468A3" w:rsidRPr="000E01C3" w:rsidTr="00912E55">
        <w:tc>
          <w:tcPr>
            <w:tcW w:w="785" w:type="pct"/>
            <w:vAlign w:val="center"/>
          </w:tcPr>
          <w:p w:rsidR="003468A3" w:rsidRPr="000E01C3" w:rsidRDefault="003468A3" w:rsidP="00A04A6A">
            <w:pPr>
              <w:widowControl/>
              <w:jc w:val="left"/>
              <w:rPr>
                <w:rFonts w:ascii="Arial Narrow" w:hAnsi="Arial Narrow"/>
                <w:sz w:val="20"/>
              </w:rPr>
            </w:pPr>
            <w:r w:rsidRPr="000E01C3">
              <w:rPr>
                <w:rFonts w:ascii="Arial Narrow" w:hAnsi="Arial Narrow"/>
                <w:snapToGrid/>
                <w:sz w:val="20"/>
              </w:rPr>
              <w:t>CF-301</w:t>
            </w:r>
          </w:p>
        </w:tc>
        <w:tc>
          <w:tcPr>
            <w:tcW w:w="314" w:type="pct"/>
            <w:vAlign w:val="center"/>
          </w:tcPr>
          <w:p w:rsidR="003468A3" w:rsidRPr="000E01C3" w:rsidRDefault="003468A3" w:rsidP="00A04A6A">
            <w:pPr>
              <w:widowControl/>
              <w:jc w:val="center"/>
              <w:rPr>
                <w:rFonts w:ascii="Arial Narrow" w:hAnsi="Arial Narrow"/>
                <w:sz w:val="20"/>
              </w:rPr>
            </w:pPr>
            <w:r w:rsidRPr="000E01C3">
              <w:rPr>
                <w:rFonts w:ascii="Arial Narrow" w:hAnsi="Arial Narrow"/>
                <w:snapToGrid/>
                <w:sz w:val="20"/>
              </w:rPr>
              <w:t>295</w:t>
            </w:r>
          </w:p>
        </w:tc>
        <w:tc>
          <w:tcPr>
            <w:tcW w:w="708" w:type="pct"/>
            <w:vAlign w:val="center"/>
          </w:tcPr>
          <w:p w:rsidR="003468A3" w:rsidRPr="000E01C3" w:rsidRDefault="003468A3" w:rsidP="00A04A6A">
            <w:pPr>
              <w:widowControl/>
              <w:jc w:val="center"/>
              <w:rPr>
                <w:rFonts w:ascii="Arial Narrow" w:hAnsi="Arial Narrow"/>
                <w:snapToGrid/>
                <w:sz w:val="20"/>
              </w:rPr>
            </w:pPr>
            <w:r w:rsidRPr="000E01C3">
              <w:rPr>
                <w:rFonts w:ascii="Arial Narrow" w:hAnsi="Arial Narrow"/>
                <w:snapToGrid/>
                <w:sz w:val="20"/>
              </w:rPr>
              <w:t>R, DB, MC</w:t>
            </w:r>
          </w:p>
          <w:p w:rsidR="003468A3" w:rsidRPr="000E01C3" w:rsidRDefault="003468A3" w:rsidP="00A04A6A">
            <w:pPr>
              <w:widowControl/>
              <w:jc w:val="center"/>
              <w:rPr>
                <w:rFonts w:ascii="Arial Narrow" w:hAnsi="Arial Narrow"/>
                <w:sz w:val="20"/>
              </w:rPr>
            </w:pPr>
            <w:r w:rsidRPr="000E01C3">
              <w:rPr>
                <w:rFonts w:ascii="Arial Narrow" w:hAnsi="Arial Narrow"/>
                <w:snapToGrid/>
                <w:sz w:val="20"/>
              </w:rPr>
              <w:t>26 wks</w:t>
            </w:r>
          </w:p>
        </w:tc>
        <w:tc>
          <w:tcPr>
            <w:tcW w:w="393" w:type="pct"/>
            <w:vAlign w:val="center"/>
          </w:tcPr>
          <w:p w:rsidR="003468A3" w:rsidRPr="000E01C3" w:rsidRDefault="003468A3" w:rsidP="00A04A6A">
            <w:pPr>
              <w:widowControl/>
              <w:jc w:val="center"/>
              <w:rPr>
                <w:rFonts w:ascii="Arial Narrow" w:hAnsi="Arial Narrow"/>
                <w:sz w:val="20"/>
              </w:rPr>
            </w:pPr>
            <w:r w:rsidRPr="000E01C3">
              <w:rPr>
                <w:rFonts w:ascii="Arial Narrow" w:hAnsi="Arial Narrow"/>
                <w:snapToGrid/>
                <w:sz w:val="20"/>
              </w:rPr>
              <w:t>Low</w:t>
            </w:r>
          </w:p>
        </w:tc>
        <w:tc>
          <w:tcPr>
            <w:tcW w:w="1573" w:type="pct"/>
            <w:vAlign w:val="center"/>
          </w:tcPr>
          <w:p w:rsidR="003468A3" w:rsidRPr="000E01C3" w:rsidRDefault="003468A3" w:rsidP="00A04A6A">
            <w:pPr>
              <w:widowControl/>
              <w:tabs>
                <w:tab w:val="left" w:pos="180"/>
              </w:tabs>
              <w:snapToGrid w:val="0"/>
              <w:jc w:val="center"/>
              <w:rPr>
                <w:rFonts w:ascii="Arial Narrow" w:hAnsi="Arial Narrow"/>
                <w:snapToGrid/>
                <w:sz w:val="20"/>
              </w:rPr>
            </w:pPr>
            <w:r w:rsidRPr="000E01C3">
              <w:rPr>
                <w:rFonts w:ascii="Arial Narrow" w:hAnsi="Arial Narrow"/>
                <w:snapToGrid/>
                <w:sz w:val="20"/>
              </w:rPr>
              <w:t xml:space="preserve">&gt;6yrs; </w:t>
            </w:r>
          </w:p>
          <w:p w:rsidR="003468A3" w:rsidRPr="000E01C3" w:rsidRDefault="003468A3" w:rsidP="00A04A6A">
            <w:pPr>
              <w:widowControl/>
              <w:jc w:val="center"/>
              <w:rPr>
                <w:rFonts w:ascii="Arial Narrow" w:hAnsi="Arial Narrow"/>
                <w:sz w:val="20"/>
              </w:rPr>
            </w:pPr>
            <w:r w:rsidRPr="000E01C3">
              <w:rPr>
                <w:rFonts w:ascii="Arial Narrow" w:hAnsi="Arial Narrow"/>
                <w:snapToGrid/>
                <w:sz w:val="20"/>
              </w:rPr>
              <w:t>55% DNase users</w:t>
            </w:r>
          </w:p>
        </w:tc>
        <w:tc>
          <w:tcPr>
            <w:tcW w:w="596" w:type="pct"/>
            <w:vMerge w:val="restart"/>
            <w:shd w:val="clear" w:color="auto" w:fill="auto"/>
            <w:vAlign w:val="center"/>
          </w:tcPr>
          <w:p w:rsidR="003468A3" w:rsidRPr="000E01C3" w:rsidRDefault="003468A3" w:rsidP="00A04A6A">
            <w:pPr>
              <w:widowControl/>
              <w:jc w:val="center"/>
              <w:rPr>
                <w:rFonts w:ascii="Arial Narrow" w:hAnsi="Arial Narrow"/>
                <w:sz w:val="20"/>
              </w:rPr>
            </w:pPr>
            <w:r w:rsidRPr="000E01C3">
              <w:rPr>
                <w:rFonts w:ascii="Arial Narrow" w:hAnsi="Arial Narrow"/>
                <w:snapToGrid/>
                <w:sz w:val="20"/>
              </w:rPr>
              <w:t>Spirometry</w:t>
            </w:r>
            <w:r w:rsidR="00DE1019" w:rsidRPr="000E01C3">
              <w:rPr>
                <w:rFonts w:ascii="Arial Narrow" w:hAnsi="Arial Narrow"/>
                <w:snapToGrid/>
                <w:sz w:val="20"/>
                <w:vertAlign w:val="superscript"/>
              </w:rPr>
              <w:t>c</w:t>
            </w:r>
            <w:r w:rsidRPr="000E01C3">
              <w:rPr>
                <w:rFonts w:ascii="Arial Narrow" w:hAnsi="Arial Narrow"/>
                <w:snapToGrid/>
                <w:sz w:val="20"/>
              </w:rPr>
              <w:t>; PDPE</w:t>
            </w:r>
          </w:p>
        </w:tc>
        <w:tc>
          <w:tcPr>
            <w:tcW w:w="631" w:type="pct"/>
            <w:vMerge w:val="restart"/>
            <w:shd w:val="clear" w:color="auto" w:fill="auto"/>
            <w:vAlign w:val="center"/>
          </w:tcPr>
          <w:p w:rsidR="003468A3" w:rsidRPr="000E01C3" w:rsidRDefault="003468A3" w:rsidP="00A04A6A">
            <w:pPr>
              <w:widowControl/>
              <w:jc w:val="center"/>
              <w:rPr>
                <w:rFonts w:ascii="Arial Narrow" w:hAnsi="Arial Narrow"/>
                <w:sz w:val="20"/>
              </w:rPr>
            </w:pPr>
            <w:r w:rsidRPr="000E01C3">
              <w:rPr>
                <w:rFonts w:ascii="Arial Narrow" w:hAnsi="Arial Narrow"/>
                <w:sz w:val="20"/>
              </w:rPr>
              <w:t xml:space="preserve">% predicted </w:t>
            </w:r>
            <w:r w:rsidR="00710FD5" w:rsidRPr="000E01C3">
              <w:rPr>
                <w:rFonts w:ascii="Arial Narrow" w:hAnsi="Arial Narrow"/>
                <w:sz w:val="20"/>
              </w:rPr>
              <w:t>FEV</w:t>
            </w:r>
            <w:r w:rsidR="00710FD5" w:rsidRPr="000E01C3">
              <w:rPr>
                <w:rFonts w:ascii="Arial Narrow" w:hAnsi="Arial Narrow"/>
                <w:sz w:val="20"/>
                <w:vertAlign w:val="subscript"/>
              </w:rPr>
              <w:t>1</w:t>
            </w:r>
            <w:r w:rsidRPr="000E01C3">
              <w:rPr>
                <w:rFonts w:ascii="Arial Narrow" w:hAnsi="Arial Narrow"/>
                <w:sz w:val="20"/>
              </w:rPr>
              <w:t xml:space="preserve"> (wk 26),</w:t>
            </w:r>
          </w:p>
          <w:p w:rsidR="003468A3" w:rsidRPr="000E01C3" w:rsidRDefault="003468A3" w:rsidP="00A04A6A">
            <w:pPr>
              <w:widowControl/>
              <w:jc w:val="center"/>
              <w:rPr>
                <w:rFonts w:ascii="Arial Narrow" w:hAnsi="Arial Narrow"/>
                <w:sz w:val="20"/>
              </w:rPr>
            </w:pPr>
            <w:r w:rsidRPr="000E01C3">
              <w:rPr>
                <w:rFonts w:ascii="Arial Narrow" w:hAnsi="Arial Narrow"/>
                <w:sz w:val="20"/>
              </w:rPr>
              <w:t>response</w:t>
            </w:r>
            <w:r w:rsidRPr="000E01C3">
              <w:rPr>
                <w:rFonts w:ascii="Arial Narrow" w:hAnsi="Arial Narrow"/>
                <w:sz w:val="20"/>
                <w:vertAlign w:val="superscript"/>
              </w:rPr>
              <w:t xml:space="preserve">a </w:t>
            </w:r>
            <w:r w:rsidRPr="000E01C3">
              <w:rPr>
                <w:rFonts w:ascii="Arial Narrow" w:hAnsi="Arial Narrow"/>
                <w:sz w:val="20"/>
              </w:rPr>
              <w:t>, exacerbations</w:t>
            </w:r>
            <w:r w:rsidRPr="000E01C3">
              <w:rPr>
                <w:rFonts w:ascii="Arial Narrow" w:hAnsi="Arial Narrow"/>
                <w:sz w:val="20"/>
                <w:vertAlign w:val="superscript"/>
              </w:rPr>
              <w:t>b</w:t>
            </w:r>
          </w:p>
        </w:tc>
      </w:tr>
      <w:tr w:rsidR="003468A3" w:rsidRPr="000E01C3" w:rsidTr="00912E55">
        <w:tc>
          <w:tcPr>
            <w:tcW w:w="785" w:type="pct"/>
            <w:vAlign w:val="center"/>
          </w:tcPr>
          <w:p w:rsidR="003468A3" w:rsidRPr="000E01C3" w:rsidRDefault="003468A3" w:rsidP="00A04A6A">
            <w:pPr>
              <w:widowControl/>
              <w:jc w:val="left"/>
              <w:rPr>
                <w:rFonts w:ascii="Arial Narrow" w:hAnsi="Arial Narrow"/>
                <w:sz w:val="20"/>
              </w:rPr>
            </w:pPr>
            <w:r w:rsidRPr="000E01C3">
              <w:rPr>
                <w:rFonts w:ascii="Arial Narrow" w:hAnsi="Arial Narrow"/>
                <w:snapToGrid/>
                <w:sz w:val="20"/>
              </w:rPr>
              <w:t>CF-302</w:t>
            </w:r>
          </w:p>
        </w:tc>
        <w:tc>
          <w:tcPr>
            <w:tcW w:w="314" w:type="pct"/>
            <w:vAlign w:val="center"/>
          </w:tcPr>
          <w:p w:rsidR="003468A3" w:rsidRPr="000E01C3" w:rsidRDefault="003468A3" w:rsidP="00A04A6A">
            <w:pPr>
              <w:widowControl/>
              <w:jc w:val="center"/>
              <w:rPr>
                <w:rFonts w:ascii="Arial Narrow" w:hAnsi="Arial Narrow"/>
                <w:sz w:val="20"/>
              </w:rPr>
            </w:pPr>
            <w:r w:rsidRPr="000E01C3">
              <w:rPr>
                <w:rFonts w:ascii="Arial Narrow" w:hAnsi="Arial Narrow"/>
                <w:snapToGrid/>
                <w:sz w:val="20"/>
              </w:rPr>
              <w:t>305</w:t>
            </w:r>
          </w:p>
        </w:tc>
        <w:tc>
          <w:tcPr>
            <w:tcW w:w="708" w:type="pct"/>
            <w:vAlign w:val="center"/>
          </w:tcPr>
          <w:p w:rsidR="003468A3" w:rsidRPr="000E01C3" w:rsidRDefault="003468A3" w:rsidP="00A04A6A">
            <w:pPr>
              <w:widowControl/>
              <w:jc w:val="center"/>
              <w:rPr>
                <w:rFonts w:ascii="Arial Narrow" w:hAnsi="Arial Narrow"/>
                <w:snapToGrid/>
                <w:sz w:val="20"/>
              </w:rPr>
            </w:pPr>
            <w:r w:rsidRPr="000E01C3">
              <w:rPr>
                <w:rFonts w:ascii="Arial Narrow" w:hAnsi="Arial Narrow"/>
                <w:snapToGrid/>
                <w:sz w:val="20"/>
              </w:rPr>
              <w:t>R, DB, MC</w:t>
            </w:r>
          </w:p>
          <w:p w:rsidR="003468A3" w:rsidRPr="000E01C3" w:rsidRDefault="003468A3" w:rsidP="00A04A6A">
            <w:pPr>
              <w:widowControl/>
              <w:jc w:val="center"/>
              <w:rPr>
                <w:rFonts w:ascii="Arial Narrow" w:hAnsi="Arial Narrow"/>
                <w:sz w:val="20"/>
              </w:rPr>
            </w:pPr>
            <w:r w:rsidRPr="000E01C3">
              <w:rPr>
                <w:rFonts w:ascii="Arial Narrow" w:hAnsi="Arial Narrow"/>
                <w:snapToGrid/>
                <w:sz w:val="20"/>
              </w:rPr>
              <w:t>26 wks</w:t>
            </w:r>
          </w:p>
        </w:tc>
        <w:tc>
          <w:tcPr>
            <w:tcW w:w="393" w:type="pct"/>
            <w:vAlign w:val="center"/>
          </w:tcPr>
          <w:p w:rsidR="003468A3" w:rsidRPr="000E01C3" w:rsidRDefault="003468A3" w:rsidP="00A04A6A">
            <w:pPr>
              <w:widowControl/>
              <w:jc w:val="center"/>
              <w:rPr>
                <w:rFonts w:ascii="Arial Narrow" w:hAnsi="Arial Narrow"/>
                <w:sz w:val="20"/>
              </w:rPr>
            </w:pPr>
            <w:r w:rsidRPr="000E01C3">
              <w:rPr>
                <w:rFonts w:ascii="Arial Narrow" w:hAnsi="Arial Narrow"/>
                <w:snapToGrid/>
                <w:sz w:val="20"/>
              </w:rPr>
              <w:t>Low</w:t>
            </w:r>
          </w:p>
        </w:tc>
        <w:tc>
          <w:tcPr>
            <w:tcW w:w="1573" w:type="pct"/>
            <w:vAlign w:val="center"/>
          </w:tcPr>
          <w:p w:rsidR="003468A3" w:rsidRPr="000E01C3" w:rsidRDefault="003468A3" w:rsidP="00A04A6A">
            <w:pPr>
              <w:widowControl/>
              <w:tabs>
                <w:tab w:val="left" w:pos="180"/>
              </w:tabs>
              <w:snapToGrid w:val="0"/>
              <w:jc w:val="center"/>
              <w:rPr>
                <w:rFonts w:ascii="Arial Narrow" w:hAnsi="Arial Narrow"/>
                <w:snapToGrid/>
                <w:sz w:val="20"/>
              </w:rPr>
            </w:pPr>
            <w:r w:rsidRPr="000E01C3">
              <w:rPr>
                <w:rFonts w:ascii="Arial Narrow" w:hAnsi="Arial Narrow"/>
                <w:snapToGrid/>
                <w:sz w:val="20"/>
              </w:rPr>
              <w:t xml:space="preserve">&gt;6yrs; </w:t>
            </w:r>
          </w:p>
          <w:p w:rsidR="003468A3" w:rsidRPr="000E01C3" w:rsidRDefault="003468A3" w:rsidP="00A04A6A">
            <w:pPr>
              <w:widowControl/>
              <w:jc w:val="center"/>
              <w:rPr>
                <w:rFonts w:ascii="Arial Narrow" w:hAnsi="Arial Narrow"/>
                <w:sz w:val="20"/>
              </w:rPr>
            </w:pPr>
            <w:r w:rsidRPr="000E01C3">
              <w:rPr>
                <w:rFonts w:ascii="Arial Narrow" w:hAnsi="Arial Narrow"/>
                <w:snapToGrid/>
                <w:sz w:val="20"/>
              </w:rPr>
              <w:t>75% DNase users</w:t>
            </w:r>
          </w:p>
        </w:tc>
        <w:tc>
          <w:tcPr>
            <w:tcW w:w="596" w:type="pct"/>
            <w:vMerge/>
            <w:shd w:val="clear" w:color="auto" w:fill="auto"/>
            <w:vAlign w:val="center"/>
          </w:tcPr>
          <w:p w:rsidR="003468A3" w:rsidRPr="000E01C3" w:rsidRDefault="003468A3" w:rsidP="00A04A6A">
            <w:pPr>
              <w:widowControl/>
              <w:jc w:val="center"/>
              <w:rPr>
                <w:rFonts w:ascii="Arial Narrow" w:hAnsi="Arial Narrow"/>
                <w:sz w:val="20"/>
              </w:rPr>
            </w:pPr>
          </w:p>
        </w:tc>
        <w:tc>
          <w:tcPr>
            <w:tcW w:w="631" w:type="pct"/>
            <w:vMerge/>
            <w:shd w:val="clear" w:color="auto" w:fill="auto"/>
            <w:vAlign w:val="center"/>
          </w:tcPr>
          <w:p w:rsidR="003468A3" w:rsidRPr="000E01C3" w:rsidRDefault="003468A3" w:rsidP="00A04A6A">
            <w:pPr>
              <w:widowControl/>
              <w:jc w:val="center"/>
              <w:rPr>
                <w:rFonts w:ascii="Arial Narrow" w:hAnsi="Arial Narrow"/>
                <w:sz w:val="20"/>
              </w:rPr>
            </w:pPr>
          </w:p>
        </w:tc>
      </w:tr>
      <w:tr w:rsidR="00D06935" w:rsidRPr="000E01C3" w:rsidTr="00912E55">
        <w:tc>
          <w:tcPr>
            <w:tcW w:w="785" w:type="pct"/>
            <w:vAlign w:val="center"/>
          </w:tcPr>
          <w:p w:rsidR="00D06935" w:rsidRPr="000E01C3" w:rsidRDefault="00D06935" w:rsidP="00A04A6A">
            <w:pPr>
              <w:widowControl/>
              <w:jc w:val="left"/>
              <w:rPr>
                <w:rFonts w:ascii="Arial Narrow" w:hAnsi="Arial Narrow"/>
                <w:snapToGrid/>
                <w:sz w:val="20"/>
              </w:rPr>
            </w:pPr>
            <w:r w:rsidRPr="000E01C3">
              <w:rPr>
                <w:rFonts w:ascii="Arial Narrow" w:hAnsi="Arial Narrow"/>
                <w:sz w:val="20"/>
              </w:rPr>
              <w:t>Meta-analysis</w:t>
            </w:r>
          </w:p>
        </w:tc>
        <w:tc>
          <w:tcPr>
            <w:tcW w:w="314" w:type="pct"/>
            <w:vAlign w:val="center"/>
          </w:tcPr>
          <w:p w:rsidR="00D06935" w:rsidRPr="000E01C3" w:rsidRDefault="00D06935" w:rsidP="00A04A6A">
            <w:pPr>
              <w:widowControl/>
              <w:jc w:val="center"/>
              <w:rPr>
                <w:rFonts w:ascii="Arial Narrow" w:hAnsi="Arial Narrow"/>
                <w:snapToGrid/>
                <w:sz w:val="20"/>
              </w:rPr>
            </w:pPr>
            <w:r w:rsidRPr="000E01C3">
              <w:rPr>
                <w:rFonts w:ascii="Arial Narrow" w:hAnsi="Arial Narrow"/>
                <w:snapToGrid/>
                <w:sz w:val="20"/>
              </w:rPr>
              <w:t>600</w:t>
            </w:r>
          </w:p>
        </w:tc>
        <w:tc>
          <w:tcPr>
            <w:tcW w:w="3270" w:type="pct"/>
            <w:gridSpan w:val="4"/>
            <w:vAlign w:val="center"/>
          </w:tcPr>
          <w:p w:rsidR="00D06935" w:rsidRPr="000E01C3" w:rsidRDefault="00D06935" w:rsidP="00A04A6A">
            <w:pPr>
              <w:widowControl/>
              <w:jc w:val="center"/>
              <w:rPr>
                <w:rFonts w:ascii="Arial Narrow" w:hAnsi="Arial Narrow"/>
                <w:sz w:val="20"/>
              </w:rPr>
            </w:pPr>
            <w:r w:rsidRPr="000E01C3">
              <w:rPr>
                <w:rFonts w:ascii="Arial Narrow" w:hAnsi="Arial Narrow"/>
                <w:sz w:val="20"/>
              </w:rPr>
              <w:t>Included CF-301 and CF-302; sub-group analysis by DNase use</w:t>
            </w:r>
          </w:p>
        </w:tc>
        <w:tc>
          <w:tcPr>
            <w:tcW w:w="631" w:type="pct"/>
            <w:vMerge/>
            <w:shd w:val="clear" w:color="auto" w:fill="auto"/>
            <w:vAlign w:val="center"/>
          </w:tcPr>
          <w:p w:rsidR="00D06935" w:rsidRPr="000E01C3" w:rsidRDefault="00D06935" w:rsidP="00A04A6A">
            <w:pPr>
              <w:widowControl/>
              <w:jc w:val="center"/>
              <w:rPr>
                <w:rFonts w:ascii="Arial Narrow" w:hAnsi="Arial Narrow"/>
                <w:sz w:val="20"/>
              </w:rPr>
            </w:pPr>
          </w:p>
        </w:tc>
      </w:tr>
      <w:tr w:rsidR="00D06935" w:rsidRPr="000E01C3" w:rsidTr="00912E55">
        <w:tc>
          <w:tcPr>
            <w:tcW w:w="785" w:type="pct"/>
            <w:vAlign w:val="center"/>
          </w:tcPr>
          <w:p w:rsidR="00D06935" w:rsidRPr="000E01C3" w:rsidRDefault="00D06935" w:rsidP="00A04A6A">
            <w:pPr>
              <w:widowControl/>
              <w:snapToGrid w:val="0"/>
              <w:jc w:val="left"/>
              <w:rPr>
                <w:rFonts w:ascii="Arial Narrow" w:hAnsi="Arial Narrow"/>
                <w:iCs/>
                <w:sz w:val="20"/>
              </w:rPr>
            </w:pPr>
            <w:r w:rsidRPr="000E01C3">
              <w:rPr>
                <w:rFonts w:ascii="Arial Narrow" w:hAnsi="Arial Narrow"/>
                <w:iCs/>
                <w:sz w:val="20"/>
              </w:rPr>
              <w:t>IIS-B-118</w:t>
            </w:r>
          </w:p>
          <w:p w:rsidR="00D06935" w:rsidRPr="000E01C3" w:rsidRDefault="00D06935" w:rsidP="00A04A6A">
            <w:pPr>
              <w:widowControl/>
              <w:jc w:val="left"/>
              <w:rPr>
                <w:rFonts w:ascii="Arial Narrow" w:hAnsi="Arial Narrow"/>
                <w:sz w:val="20"/>
              </w:rPr>
            </w:pPr>
            <w:r w:rsidRPr="000E01C3">
              <w:rPr>
                <w:rFonts w:ascii="Arial Narrow" w:hAnsi="Arial Narrow"/>
                <w:iCs/>
                <w:sz w:val="20"/>
              </w:rPr>
              <w:t>(Middleton 2015)</w:t>
            </w:r>
          </w:p>
        </w:tc>
        <w:tc>
          <w:tcPr>
            <w:tcW w:w="314" w:type="pct"/>
            <w:vAlign w:val="center"/>
          </w:tcPr>
          <w:p w:rsidR="00D06935" w:rsidRPr="000E01C3" w:rsidRDefault="00D06935" w:rsidP="00A04A6A">
            <w:pPr>
              <w:widowControl/>
              <w:jc w:val="center"/>
              <w:rPr>
                <w:rFonts w:ascii="Arial Narrow" w:hAnsi="Arial Narrow"/>
                <w:sz w:val="20"/>
              </w:rPr>
            </w:pPr>
            <w:r w:rsidRPr="000E01C3">
              <w:rPr>
                <w:rFonts w:ascii="Arial Narrow" w:hAnsi="Arial Narrow"/>
                <w:iCs/>
                <w:snapToGrid/>
                <w:sz w:val="20"/>
              </w:rPr>
              <w:t>22</w:t>
            </w:r>
          </w:p>
        </w:tc>
        <w:tc>
          <w:tcPr>
            <w:tcW w:w="708" w:type="pct"/>
            <w:vAlign w:val="center"/>
          </w:tcPr>
          <w:p w:rsidR="00D06935" w:rsidRPr="000E01C3" w:rsidRDefault="00D06935" w:rsidP="00A04A6A">
            <w:pPr>
              <w:widowControl/>
              <w:jc w:val="center"/>
              <w:rPr>
                <w:rFonts w:ascii="Arial Narrow" w:hAnsi="Arial Narrow"/>
                <w:iCs/>
                <w:snapToGrid/>
                <w:sz w:val="20"/>
              </w:rPr>
            </w:pPr>
            <w:r w:rsidRPr="000E01C3">
              <w:rPr>
                <w:rFonts w:ascii="Arial Narrow" w:hAnsi="Arial Narrow"/>
                <w:iCs/>
                <w:snapToGrid/>
                <w:sz w:val="20"/>
              </w:rPr>
              <w:t>R, DB, MC</w:t>
            </w:r>
          </w:p>
          <w:p w:rsidR="00D06935" w:rsidRPr="000E01C3" w:rsidRDefault="00D06935" w:rsidP="00A04A6A">
            <w:pPr>
              <w:widowControl/>
              <w:jc w:val="center"/>
              <w:rPr>
                <w:rFonts w:ascii="Arial Narrow" w:hAnsi="Arial Narrow"/>
                <w:sz w:val="20"/>
              </w:rPr>
            </w:pPr>
            <w:r w:rsidRPr="000E01C3">
              <w:rPr>
                <w:rFonts w:ascii="Arial Narrow" w:hAnsi="Arial Narrow"/>
                <w:iCs/>
                <w:snapToGrid/>
                <w:sz w:val="20"/>
              </w:rPr>
              <w:t>12 days</w:t>
            </w:r>
          </w:p>
        </w:tc>
        <w:tc>
          <w:tcPr>
            <w:tcW w:w="393" w:type="pct"/>
            <w:vAlign w:val="center"/>
          </w:tcPr>
          <w:p w:rsidR="00D06935" w:rsidRPr="000E01C3" w:rsidRDefault="00D06935" w:rsidP="00A04A6A">
            <w:pPr>
              <w:widowControl/>
              <w:jc w:val="center"/>
              <w:rPr>
                <w:rFonts w:ascii="Arial Narrow" w:hAnsi="Arial Narrow"/>
                <w:sz w:val="20"/>
              </w:rPr>
            </w:pPr>
            <w:r w:rsidRPr="000E01C3">
              <w:rPr>
                <w:rFonts w:ascii="Arial Narrow" w:hAnsi="Arial Narrow"/>
                <w:iCs/>
                <w:snapToGrid/>
                <w:sz w:val="20"/>
              </w:rPr>
              <w:t>High</w:t>
            </w:r>
          </w:p>
        </w:tc>
        <w:tc>
          <w:tcPr>
            <w:tcW w:w="1573" w:type="pct"/>
            <w:vAlign w:val="center"/>
          </w:tcPr>
          <w:p w:rsidR="00D06935" w:rsidRPr="000E01C3" w:rsidRDefault="00D06935" w:rsidP="00A04A6A">
            <w:pPr>
              <w:widowControl/>
              <w:jc w:val="center"/>
              <w:rPr>
                <w:rFonts w:ascii="Arial Narrow" w:hAnsi="Arial Narrow"/>
                <w:sz w:val="20"/>
              </w:rPr>
            </w:pPr>
            <w:r w:rsidRPr="000E01C3">
              <w:rPr>
                <w:rFonts w:ascii="Arial Narrow" w:hAnsi="Arial Narrow"/>
                <w:iCs/>
                <w:sz w:val="20"/>
              </w:rPr>
              <w:t>&gt;6yrs; hospitalised with acute pulmonary exacerbation treated with IV antibiotics</w:t>
            </w:r>
            <w:r w:rsidR="00D04B01" w:rsidRPr="000E01C3">
              <w:rPr>
                <w:rFonts w:ascii="Arial Narrow" w:hAnsi="Arial Narrow"/>
                <w:sz w:val="20"/>
              </w:rPr>
              <w:t>; 59% DNase users</w:t>
            </w:r>
          </w:p>
        </w:tc>
        <w:tc>
          <w:tcPr>
            <w:tcW w:w="596" w:type="pct"/>
            <w:shd w:val="clear" w:color="auto" w:fill="auto"/>
            <w:vAlign w:val="center"/>
          </w:tcPr>
          <w:p w:rsidR="00D06935" w:rsidRPr="000E01C3" w:rsidRDefault="00D06935" w:rsidP="00A04A6A">
            <w:pPr>
              <w:widowControl/>
              <w:jc w:val="center"/>
              <w:rPr>
                <w:rFonts w:ascii="Arial Narrow" w:hAnsi="Arial Narrow"/>
                <w:iCs/>
                <w:sz w:val="20"/>
                <w:vertAlign w:val="superscript"/>
              </w:rPr>
            </w:pPr>
            <w:r w:rsidRPr="000E01C3">
              <w:rPr>
                <w:rFonts w:ascii="Arial Narrow" w:hAnsi="Arial Narrow"/>
                <w:iCs/>
                <w:sz w:val="20"/>
              </w:rPr>
              <w:t>Spirometry</w:t>
            </w:r>
            <w:r w:rsidR="00DE1019" w:rsidRPr="000E01C3">
              <w:rPr>
                <w:rFonts w:ascii="Arial Narrow" w:hAnsi="Arial Narrow"/>
                <w:iCs/>
                <w:sz w:val="20"/>
                <w:vertAlign w:val="superscript"/>
              </w:rPr>
              <w:t>c</w:t>
            </w:r>
          </w:p>
        </w:tc>
        <w:tc>
          <w:tcPr>
            <w:tcW w:w="631" w:type="pct"/>
            <w:shd w:val="clear" w:color="auto" w:fill="auto"/>
            <w:vAlign w:val="center"/>
          </w:tcPr>
          <w:p w:rsidR="00D06935" w:rsidRPr="000E01C3" w:rsidRDefault="00D06935" w:rsidP="00A04A6A">
            <w:pPr>
              <w:widowControl/>
              <w:jc w:val="center"/>
              <w:rPr>
                <w:rFonts w:ascii="Arial Narrow" w:hAnsi="Arial Narrow"/>
                <w:sz w:val="20"/>
              </w:rPr>
            </w:pPr>
            <w:r w:rsidRPr="000E01C3">
              <w:rPr>
                <w:rFonts w:ascii="Arial Narrow" w:hAnsi="Arial Narrow"/>
                <w:sz w:val="20"/>
              </w:rPr>
              <w:t>Not used</w:t>
            </w:r>
          </w:p>
        </w:tc>
      </w:tr>
      <w:tr w:rsidR="00D06935" w:rsidRPr="000E01C3" w:rsidTr="00912E55">
        <w:tc>
          <w:tcPr>
            <w:tcW w:w="5000" w:type="pct"/>
            <w:gridSpan w:val="7"/>
            <w:shd w:val="clear" w:color="auto" w:fill="auto"/>
            <w:vAlign w:val="center"/>
          </w:tcPr>
          <w:p w:rsidR="00D06935" w:rsidRPr="000E01C3" w:rsidRDefault="00D06935" w:rsidP="00A04A6A">
            <w:pPr>
              <w:widowControl/>
              <w:jc w:val="left"/>
              <w:rPr>
                <w:rFonts w:ascii="Arial Narrow" w:hAnsi="Arial Narrow"/>
                <w:sz w:val="20"/>
              </w:rPr>
            </w:pPr>
            <w:r w:rsidRPr="000E01C3">
              <w:rPr>
                <w:rFonts w:ascii="Arial Narrow" w:hAnsi="Arial Narrow"/>
                <w:b/>
                <w:bCs/>
                <w:snapToGrid/>
                <w:sz w:val="20"/>
              </w:rPr>
              <w:t>mannitol versus placebo (non-respirable mannitol)</w:t>
            </w:r>
          </w:p>
        </w:tc>
      </w:tr>
      <w:tr w:rsidR="00D1771F" w:rsidRPr="000E01C3" w:rsidTr="00912E55">
        <w:tc>
          <w:tcPr>
            <w:tcW w:w="785" w:type="pct"/>
            <w:shd w:val="clear" w:color="auto" w:fill="auto"/>
            <w:vAlign w:val="center"/>
          </w:tcPr>
          <w:p w:rsidR="00D1771F" w:rsidRPr="000E01C3" w:rsidRDefault="00D1771F" w:rsidP="00A04A6A">
            <w:pPr>
              <w:widowControl/>
              <w:jc w:val="left"/>
              <w:rPr>
                <w:rFonts w:ascii="Arial Narrow" w:hAnsi="Arial Narrow"/>
                <w:sz w:val="20"/>
              </w:rPr>
            </w:pPr>
            <w:r w:rsidRPr="000E01C3">
              <w:rPr>
                <w:rFonts w:ascii="Arial Narrow" w:hAnsi="Arial Narrow"/>
                <w:sz w:val="20"/>
              </w:rPr>
              <w:t>CF-201</w:t>
            </w:r>
          </w:p>
        </w:tc>
        <w:tc>
          <w:tcPr>
            <w:tcW w:w="314" w:type="pct"/>
            <w:vAlign w:val="center"/>
          </w:tcPr>
          <w:p w:rsidR="00D1771F" w:rsidRPr="000E01C3" w:rsidRDefault="00D1771F" w:rsidP="00A04A6A">
            <w:pPr>
              <w:widowControl/>
              <w:jc w:val="center"/>
              <w:rPr>
                <w:rFonts w:ascii="Arial Narrow" w:hAnsi="Arial Narrow"/>
                <w:sz w:val="20"/>
              </w:rPr>
            </w:pPr>
            <w:r w:rsidRPr="000E01C3">
              <w:rPr>
                <w:rFonts w:ascii="Arial Narrow" w:hAnsi="Arial Narrow"/>
                <w:snapToGrid/>
                <w:sz w:val="20"/>
              </w:rPr>
              <w:t>39</w:t>
            </w:r>
          </w:p>
        </w:tc>
        <w:tc>
          <w:tcPr>
            <w:tcW w:w="708" w:type="pct"/>
            <w:vAlign w:val="center"/>
          </w:tcPr>
          <w:p w:rsidR="00D1771F" w:rsidRPr="000E01C3" w:rsidRDefault="00D1771F" w:rsidP="00A04A6A">
            <w:pPr>
              <w:widowControl/>
              <w:jc w:val="center"/>
              <w:rPr>
                <w:rFonts w:ascii="Arial Narrow" w:hAnsi="Arial Narrow"/>
                <w:snapToGrid/>
                <w:sz w:val="20"/>
              </w:rPr>
            </w:pPr>
            <w:r w:rsidRPr="000E01C3">
              <w:rPr>
                <w:rFonts w:ascii="Arial Narrow" w:hAnsi="Arial Narrow"/>
                <w:snapToGrid/>
                <w:sz w:val="20"/>
              </w:rPr>
              <w:t>R, DB, MC, 2A crossover</w:t>
            </w:r>
          </w:p>
          <w:p w:rsidR="00D1771F" w:rsidRPr="000E01C3" w:rsidRDefault="00D1771F" w:rsidP="00A04A6A">
            <w:pPr>
              <w:widowControl/>
              <w:jc w:val="center"/>
              <w:rPr>
                <w:rFonts w:ascii="Arial Narrow" w:hAnsi="Arial Narrow"/>
                <w:sz w:val="20"/>
              </w:rPr>
            </w:pPr>
            <w:r w:rsidRPr="000E01C3">
              <w:rPr>
                <w:rFonts w:ascii="Arial Narrow" w:hAnsi="Arial Narrow"/>
                <w:snapToGrid/>
                <w:sz w:val="20"/>
              </w:rPr>
              <w:t>2 wks</w:t>
            </w:r>
          </w:p>
        </w:tc>
        <w:tc>
          <w:tcPr>
            <w:tcW w:w="393" w:type="pct"/>
            <w:vAlign w:val="center"/>
          </w:tcPr>
          <w:p w:rsidR="00D1771F" w:rsidRPr="000E01C3" w:rsidRDefault="00D1771F" w:rsidP="00A04A6A">
            <w:pPr>
              <w:widowControl/>
              <w:jc w:val="center"/>
              <w:rPr>
                <w:rFonts w:ascii="Arial Narrow" w:hAnsi="Arial Narrow"/>
                <w:sz w:val="20"/>
              </w:rPr>
            </w:pPr>
            <w:r w:rsidRPr="000E01C3">
              <w:rPr>
                <w:rFonts w:ascii="Arial Narrow" w:hAnsi="Arial Narrow"/>
                <w:sz w:val="20"/>
              </w:rPr>
              <w:t>Low</w:t>
            </w:r>
          </w:p>
        </w:tc>
        <w:tc>
          <w:tcPr>
            <w:tcW w:w="1573" w:type="pct"/>
            <w:vAlign w:val="center"/>
          </w:tcPr>
          <w:p w:rsidR="00D1771F" w:rsidRPr="000E01C3" w:rsidRDefault="00D1771F" w:rsidP="00A04A6A">
            <w:pPr>
              <w:widowControl/>
              <w:tabs>
                <w:tab w:val="left" w:pos="180"/>
              </w:tabs>
              <w:snapToGrid w:val="0"/>
              <w:jc w:val="center"/>
              <w:rPr>
                <w:rFonts w:ascii="Arial Narrow" w:hAnsi="Arial Narrow"/>
                <w:snapToGrid/>
                <w:sz w:val="20"/>
              </w:rPr>
            </w:pPr>
            <w:r w:rsidRPr="000E01C3">
              <w:rPr>
                <w:rFonts w:ascii="Arial Narrow" w:hAnsi="Arial Narrow"/>
                <w:snapToGrid/>
                <w:sz w:val="20"/>
              </w:rPr>
              <w:t>&gt;8 yrs;</w:t>
            </w:r>
          </w:p>
          <w:p w:rsidR="00D1771F" w:rsidRPr="000E01C3" w:rsidRDefault="00D1771F" w:rsidP="00A04A6A">
            <w:pPr>
              <w:widowControl/>
              <w:jc w:val="center"/>
              <w:rPr>
                <w:rFonts w:ascii="Arial Narrow" w:hAnsi="Arial Narrow"/>
                <w:sz w:val="20"/>
              </w:rPr>
            </w:pPr>
            <w:r w:rsidRPr="000E01C3">
              <w:rPr>
                <w:rFonts w:ascii="Arial Narrow" w:hAnsi="Arial Narrow"/>
                <w:snapToGrid/>
                <w:sz w:val="20"/>
              </w:rPr>
              <w:t>46% DNase users</w:t>
            </w:r>
          </w:p>
        </w:tc>
        <w:tc>
          <w:tcPr>
            <w:tcW w:w="596" w:type="pct"/>
            <w:shd w:val="clear" w:color="auto" w:fill="auto"/>
            <w:vAlign w:val="center"/>
          </w:tcPr>
          <w:p w:rsidR="00D1771F" w:rsidRPr="000E01C3" w:rsidRDefault="00D1771F" w:rsidP="00A04A6A">
            <w:pPr>
              <w:widowControl/>
              <w:jc w:val="center"/>
              <w:rPr>
                <w:rFonts w:ascii="Arial Narrow" w:hAnsi="Arial Narrow"/>
                <w:sz w:val="20"/>
                <w:vertAlign w:val="superscript"/>
              </w:rPr>
            </w:pPr>
            <w:r w:rsidRPr="000E01C3">
              <w:rPr>
                <w:rFonts w:ascii="Arial Narrow" w:hAnsi="Arial Narrow"/>
                <w:sz w:val="20"/>
              </w:rPr>
              <w:t>Spirometry</w:t>
            </w:r>
            <w:r w:rsidR="00DE1019" w:rsidRPr="000E01C3">
              <w:rPr>
                <w:rFonts w:ascii="Arial Narrow" w:hAnsi="Arial Narrow"/>
                <w:sz w:val="20"/>
                <w:vertAlign w:val="superscript"/>
              </w:rPr>
              <w:t>c</w:t>
            </w:r>
          </w:p>
        </w:tc>
        <w:tc>
          <w:tcPr>
            <w:tcW w:w="631" w:type="pct"/>
            <w:shd w:val="clear" w:color="auto" w:fill="auto"/>
            <w:vAlign w:val="center"/>
          </w:tcPr>
          <w:p w:rsidR="00D1771F" w:rsidRPr="000E01C3" w:rsidRDefault="00D1771F" w:rsidP="00A04A6A">
            <w:pPr>
              <w:widowControl/>
              <w:jc w:val="center"/>
              <w:rPr>
                <w:rFonts w:ascii="Arial Narrow" w:hAnsi="Arial Narrow"/>
                <w:sz w:val="20"/>
              </w:rPr>
            </w:pPr>
            <w:r w:rsidRPr="000E01C3">
              <w:rPr>
                <w:rFonts w:ascii="Arial Narrow" w:hAnsi="Arial Narrow"/>
                <w:sz w:val="20"/>
              </w:rPr>
              <w:t>Not used</w:t>
            </w:r>
          </w:p>
        </w:tc>
      </w:tr>
      <w:tr w:rsidR="00D1771F" w:rsidRPr="000E01C3" w:rsidTr="002E5F27">
        <w:trPr>
          <w:trHeight w:val="720"/>
        </w:trPr>
        <w:tc>
          <w:tcPr>
            <w:tcW w:w="785" w:type="pct"/>
            <w:shd w:val="clear" w:color="auto" w:fill="auto"/>
            <w:vAlign w:val="center"/>
          </w:tcPr>
          <w:p w:rsidR="00D1771F" w:rsidRPr="000E01C3" w:rsidRDefault="00D1771F" w:rsidP="00A04A6A">
            <w:pPr>
              <w:widowControl/>
              <w:jc w:val="left"/>
              <w:rPr>
                <w:rFonts w:ascii="Arial Narrow" w:hAnsi="Arial Narrow"/>
                <w:sz w:val="20"/>
              </w:rPr>
            </w:pPr>
            <w:r w:rsidRPr="000E01C3">
              <w:rPr>
                <w:rFonts w:ascii="Arial Narrow" w:hAnsi="Arial Narrow"/>
                <w:sz w:val="20"/>
              </w:rPr>
              <w:t>CF-204</w:t>
            </w:r>
          </w:p>
        </w:tc>
        <w:tc>
          <w:tcPr>
            <w:tcW w:w="314" w:type="pct"/>
            <w:vAlign w:val="center"/>
          </w:tcPr>
          <w:p w:rsidR="00D1771F" w:rsidRPr="000E01C3" w:rsidRDefault="00D1771F" w:rsidP="00A04A6A">
            <w:pPr>
              <w:widowControl/>
              <w:jc w:val="center"/>
              <w:rPr>
                <w:rFonts w:ascii="Arial Narrow" w:hAnsi="Arial Narrow"/>
                <w:sz w:val="20"/>
              </w:rPr>
            </w:pPr>
            <w:r w:rsidRPr="000E01C3">
              <w:rPr>
                <w:rFonts w:ascii="Arial Narrow" w:hAnsi="Arial Narrow"/>
                <w:snapToGrid/>
                <w:sz w:val="20"/>
              </w:rPr>
              <w:t>95</w:t>
            </w:r>
          </w:p>
        </w:tc>
        <w:tc>
          <w:tcPr>
            <w:tcW w:w="708" w:type="pct"/>
            <w:vAlign w:val="center"/>
          </w:tcPr>
          <w:p w:rsidR="00D1771F" w:rsidRPr="000E01C3" w:rsidRDefault="00D1771F" w:rsidP="00A04A6A">
            <w:pPr>
              <w:widowControl/>
              <w:jc w:val="center"/>
              <w:rPr>
                <w:rFonts w:ascii="Arial Narrow" w:hAnsi="Arial Narrow"/>
                <w:snapToGrid/>
                <w:sz w:val="20"/>
              </w:rPr>
            </w:pPr>
            <w:r w:rsidRPr="000E01C3">
              <w:rPr>
                <w:rFonts w:ascii="Arial Narrow" w:hAnsi="Arial Narrow"/>
                <w:snapToGrid/>
                <w:sz w:val="20"/>
              </w:rPr>
              <w:t>R, DB, MC, 2A crossover</w:t>
            </w:r>
          </w:p>
          <w:p w:rsidR="00D1771F" w:rsidRPr="000E01C3" w:rsidRDefault="00D1771F" w:rsidP="00A04A6A">
            <w:pPr>
              <w:widowControl/>
              <w:jc w:val="center"/>
              <w:rPr>
                <w:rFonts w:ascii="Arial Narrow" w:hAnsi="Arial Narrow"/>
                <w:sz w:val="20"/>
              </w:rPr>
            </w:pPr>
            <w:r w:rsidRPr="000E01C3">
              <w:rPr>
                <w:rFonts w:ascii="Arial Narrow" w:hAnsi="Arial Narrow"/>
                <w:snapToGrid/>
                <w:sz w:val="20"/>
              </w:rPr>
              <w:t>8wks</w:t>
            </w:r>
          </w:p>
        </w:tc>
        <w:tc>
          <w:tcPr>
            <w:tcW w:w="393" w:type="pct"/>
            <w:vAlign w:val="center"/>
          </w:tcPr>
          <w:p w:rsidR="00D1771F" w:rsidRPr="000E01C3" w:rsidRDefault="00D1771F" w:rsidP="00A04A6A">
            <w:pPr>
              <w:widowControl/>
              <w:jc w:val="center"/>
              <w:rPr>
                <w:rFonts w:ascii="Arial Narrow" w:hAnsi="Arial Narrow"/>
                <w:sz w:val="20"/>
              </w:rPr>
            </w:pPr>
            <w:r w:rsidRPr="000E01C3">
              <w:rPr>
                <w:rFonts w:ascii="Arial Narrow" w:hAnsi="Arial Narrow"/>
                <w:sz w:val="20"/>
              </w:rPr>
              <w:t>Low</w:t>
            </w:r>
          </w:p>
        </w:tc>
        <w:tc>
          <w:tcPr>
            <w:tcW w:w="1573" w:type="pct"/>
            <w:vAlign w:val="center"/>
          </w:tcPr>
          <w:p w:rsidR="00D1771F" w:rsidRPr="000E01C3" w:rsidRDefault="00D1771F" w:rsidP="00A04A6A">
            <w:pPr>
              <w:widowControl/>
              <w:tabs>
                <w:tab w:val="left" w:pos="180"/>
              </w:tabs>
              <w:snapToGrid w:val="0"/>
              <w:jc w:val="center"/>
              <w:rPr>
                <w:rFonts w:ascii="Arial Narrow" w:hAnsi="Arial Narrow"/>
                <w:snapToGrid/>
                <w:sz w:val="20"/>
              </w:rPr>
            </w:pPr>
            <w:r w:rsidRPr="000E01C3">
              <w:rPr>
                <w:rFonts w:ascii="Arial Narrow" w:hAnsi="Arial Narrow"/>
                <w:snapToGrid/>
                <w:sz w:val="20"/>
              </w:rPr>
              <w:t>6-18 yrs;</w:t>
            </w:r>
          </w:p>
          <w:p w:rsidR="00D1771F" w:rsidRPr="000E01C3" w:rsidRDefault="00D1771F" w:rsidP="00A04A6A">
            <w:pPr>
              <w:widowControl/>
              <w:jc w:val="center"/>
              <w:rPr>
                <w:rFonts w:ascii="Arial Narrow" w:hAnsi="Arial Narrow"/>
                <w:sz w:val="20"/>
              </w:rPr>
            </w:pPr>
            <w:r w:rsidRPr="000E01C3">
              <w:rPr>
                <w:rFonts w:ascii="Arial Narrow" w:hAnsi="Arial Narrow"/>
                <w:snapToGrid/>
                <w:sz w:val="20"/>
              </w:rPr>
              <w:t>69% DNase users</w:t>
            </w:r>
          </w:p>
        </w:tc>
        <w:tc>
          <w:tcPr>
            <w:tcW w:w="596" w:type="pct"/>
            <w:shd w:val="clear" w:color="auto" w:fill="auto"/>
            <w:vAlign w:val="center"/>
          </w:tcPr>
          <w:p w:rsidR="00D1771F" w:rsidRPr="000E01C3" w:rsidRDefault="00D1771F" w:rsidP="00A04A6A">
            <w:pPr>
              <w:widowControl/>
              <w:jc w:val="center"/>
              <w:rPr>
                <w:rFonts w:ascii="Arial Narrow" w:hAnsi="Arial Narrow"/>
                <w:sz w:val="20"/>
                <w:vertAlign w:val="superscript"/>
              </w:rPr>
            </w:pPr>
            <w:r w:rsidRPr="000E01C3">
              <w:rPr>
                <w:rFonts w:ascii="Arial Narrow" w:hAnsi="Arial Narrow"/>
                <w:sz w:val="20"/>
              </w:rPr>
              <w:t>Spirometry</w:t>
            </w:r>
            <w:r w:rsidR="00DE1019" w:rsidRPr="000E01C3">
              <w:rPr>
                <w:rFonts w:ascii="Arial Narrow" w:hAnsi="Arial Narrow"/>
                <w:sz w:val="20"/>
                <w:vertAlign w:val="superscript"/>
              </w:rPr>
              <w:t>c</w:t>
            </w:r>
          </w:p>
        </w:tc>
        <w:tc>
          <w:tcPr>
            <w:tcW w:w="631" w:type="pct"/>
            <w:shd w:val="clear" w:color="auto" w:fill="auto"/>
            <w:vAlign w:val="center"/>
          </w:tcPr>
          <w:p w:rsidR="00D1771F" w:rsidRPr="000E01C3" w:rsidRDefault="00D1771F" w:rsidP="00A04A6A">
            <w:pPr>
              <w:widowControl/>
              <w:jc w:val="center"/>
              <w:rPr>
                <w:rFonts w:ascii="Arial Narrow" w:hAnsi="Arial Narrow"/>
                <w:sz w:val="20"/>
              </w:rPr>
            </w:pPr>
            <w:r w:rsidRPr="000E01C3">
              <w:rPr>
                <w:rFonts w:ascii="Arial Narrow" w:hAnsi="Arial Narrow"/>
                <w:sz w:val="20"/>
              </w:rPr>
              <w:t>Not used</w:t>
            </w:r>
          </w:p>
        </w:tc>
      </w:tr>
      <w:tr w:rsidR="00D06935" w:rsidRPr="000E01C3" w:rsidTr="00912E55">
        <w:tc>
          <w:tcPr>
            <w:tcW w:w="5000" w:type="pct"/>
            <w:gridSpan w:val="7"/>
            <w:shd w:val="clear" w:color="auto" w:fill="auto"/>
            <w:vAlign w:val="center"/>
          </w:tcPr>
          <w:p w:rsidR="00D06935" w:rsidRPr="000E01C3" w:rsidRDefault="00D06935" w:rsidP="00A04A6A">
            <w:pPr>
              <w:widowControl/>
              <w:jc w:val="left"/>
              <w:rPr>
                <w:rFonts w:ascii="Arial Narrow" w:hAnsi="Arial Narrow"/>
                <w:sz w:val="20"/>
              </w:rPr>
            </w:pPr>
            <w:r w:rsidRPr="000E01C3">
              <w:rPr>
                <w:rFonts w:ascii="Arial Narrow" w:hAnsi="Arial Narrow"/>
                <w:b/>
                <w:bCs/>
                <w:iCs/>
                <w:snapToGrid/>
                <w:sz w:val="20"/>
              </w:rPr>
              <w:t xml:space="preserve">mannitol + DNase versus DNase </w:t>
            </w:r>
          </w:p>
        </w:tc>
      </w:tr>
      <w:tr w:rsidR="00D06935" w:rsidRPr="000E01C3" w:rsidTr="00912E55">
        <w:tc>
          <w:tcPr>
            <w:tcW w:w="785" w:type="pct"/>
            <w:vAlign w:val="center"/>
          </w:tcPr>
          <w:p w:rsidR="00D06935" w:rsidRPr="000E01C3" w:rsidRDefault="00D06935" w:rsidP="00A04A6A">
            <w:pPr>
              <w:widowControl/>
              <w:jc w:val="left"/>
              <w:rPr>
                <w:rFonts w:ascii="Arial Narrow" w:hAnsi="Arial Narrow"/>
                <w:sz w:val="20"/>
              </w:rPr>
            </w:pPr>
            <w:r w:rsidRPr="000E01C3">
              <w:rPr>
                <w:rFonts w:ascii="Arial Narrow" w:hAnsi="Arial Narrow"/>
                <w:iCs/>
                <w:snapToGrid/>
                <w:sz w:val="20"/>
              </w:rPr>
              <w:t>CF-203</w:t>
            </w:r>
          </w:p>
        </w:tc>
        <w:tc>
          <w:tcPr>
            <w:tcW w:w="314" w:type="pct"/>
            <w:vAlign w:val="center"/>
          </w:tcPr>
          <w:p w:rsidR="00D06935" w:rsidRPr="000E01C3" w:rsidRDefault="00D06935" w:rsidP="00A04A6A">
            <w:pPr>
              <w:widowControl/>
              <w:jc w:val="center"/>
              <w:rPr>
                <w:rFonts w:ascii="Arial Narrow" w:hAnsi="Arial Narrow"/>
                <w:sz w:val="20"/>
              </w:rPr>
            </w:pPr>
            <w:r w:rsidRPr="000E01C3">
              <w:rPr>
                <w:rFonts w:ascii="Arial Narrow" w:hAnsi="Arial Narrow"/>
                <w:iCs/>
                <w:snapToGrid/>
                <w:sz w:val="20"/>
              </w:rPr>
              <w:t>26</w:t>
            </w:r>
          </w:p>
        </w:tc>
        <w:tc>
          <w:tcPr>
            <w:tcW w:w="708" w:type="pct"/>
            <w:vAlign w:val="center"/>
          </w:tcPr>
          <w:p w:rsidR="00D06935" w:rsidRPr="000E01C3" w:rsidRDefault="00D06935" w:rsidP="00A04A6A">
            <w:pPr>
              <w:widowControl/>
              <w:jc w:val="center"/>
              <w:rPr>
                <w:rFonts w:ascii="Arial Narrow" w:hAnsi="Arial Narrow"/>
                <w:iCs/>
                <w:snapToGrid/>
                <w:sz w:val="20"/>
              </w:rPr>
            </w:pPr>
            <w:r w:rsidRPr="000E01C3">
              <w:rPr>
                <w:rFonts w:ascii="Arial Narrow" w:hAnsi="Arial Narrow"/>
                <w:iCs/>
                <w:snapToGrid/>
                <w:sz w:val="20"/>
              </w:rPr>
              <w:t>R, OL,MC, 3A crossover</w:t>
            </w:r>
          </w:p>
          <w:p w:rsidR="00D06935" w:rsidRPr="000E01C3" w:rsidRDefault="00D06935" w:rsidP="00A04A6A">
            <w:pPr>
              <w:widowControl/>
              <w:jc w:val="center"/>
              <w:rPr>
                <w:rFonts w:ascii="Arial Narrow" w:hAnsi="Arial Narrow"/>
                <w:sz w:val="20"/>
              </w:rPr>
            </w:pPr>
            <w:r w:rsidRPr="000E01C3">
              <w:rPr>
                <w:rFonts w:ascii="Arial Narrow" w:hAnsi="Arial Narrow"/>
                <w:iCs/>
                <w:snapToGrid/>
                <w:sz w:val="20"/>
              </w:rPr>
              <w:t>12 wks</w:t>
            </w:r>
          </w:p>
        </w:tc>
        <w:tc>
          <w:tcPr>
            <w:tcW w:w="393" w:type="pct"/>
            <w:vAlign w:val="center"/>
          </w:tcPr>
          <w:p w:rsidR="00D06935" w:rsidRPr="000E01C3" w:rsidRDefault="00D06935" w:rsidP="00A04A6A">
            <w:pPr>
              <w:widowControl/>
              <w:jc w:val="center"/>
              <w:rPr>
                <w:rFonts w:ascii="Arial Narrow" w:hAnsi="Arial Narrow"/>
                <w:sz w:val="20"/>
              </w:rPr>
            </w:pPr>
            <w:r w:rsidRPr="000E01C3">
              <w:rPr>
                <w:rFonts w:ascii="Arial Narrow" w:hAnsi="Arial Narrow"/>
                <w:iCs/>
                <w:snapToGrid/>
                <w:sz w:val="20"/>
              </w:rPr>
              <w:t>High</w:t>
            </w:r>
          </w:p>
        </w:tc>
        <w:tc>
          <w:tcPr>
            <w:tcW w:w="1573" w:type="pct"/>
            <w:vAlign w:val="center"/>
          </w:tcPr>
          <w:p w:rsidR="00D1771F" w:rsidRPr="000E01C3" w:rsidRDefault="00D1771F" w:rsidP="00A04A6A">
            <w:pPr>
              <w:widowControl/>
              <w:tabs>
                <w:tab w:val="left" w:pos="180"/>
              </w:tabs>
              <w:snapToGrid w:val="0"/>
              <w:jc w:val="center"/>
              <w:rPr>
                <w:rFonts w:ascii="Arial Narrow" w:hAnsi="Arial Narrow"/>
                <w:iCs/>
                <w:snapToGrid/>
                <w:sz w:val="20"/>
              </w:rPr>
            </w:pPr>
            <w:r w:rsidRPr="000E01C3">
              <w:rPr>
                <w:rFonts w:ascii="Arial Narrow" w:hAnsi="Arial Narrow"/>
                <w:iCs/>
                <w:snapToGrid/>
                <w:sz w:val="20"/>
              </w:rPr>
              <w:t>8-19 yrs;</w:t>
            </w:r>
          </w:p>
          <w:p w:rsidR="00D06935" w:rsidRPr="000E01C3" w:rsidRDefault="00D1771F" w:rsidP="00A04A6A">
            <w:pPr>
              <w:widowControl/>
              <w:jc w:val="center"/>
              <w:rPr>
                <w:rFonts w:ascii="Arial Narrow" w:hAnsi="Arial Narrow"/>
                <w:sz w:val="20"/>
              </w:rPr>
            </w:pPr>
            <w:r w:rsidRPr="000E01C3">
              <w:rPr>
                <w:rFonts w:ascii="Arial Narrow" w:hAnsi="Arial Narrow"/>
                <w:iCs/>
                <w:snapToGrid/>
                <w:sz w:val="20"/>
              </w:rPr>
              <w:t>89% DNase users</w:t>
            </w:r>
          </w:p>
        </w:tc>
        <w:tc>
          <w:tcPr>
            <w:tcW w:w="596" w:type="pct"/>
            <w:vAlign w:val="center"/>
          </w:tcPr>
          <w:p w:rsidR="00D06935" w:rsidRPr="000E01C3" w:rsidRDefault="00D06935" w:rsidP="00A04A6A">
            <w:pPr>
              <w:widowControl/>
              <w:jc w:val="center"/>
              <w:rPr>
                <w:rFonts w:ascii="Arial Narrow" w:hAnsi="Arial Narrow"/>
                <w:sz w:val="20"/>
              </w:rPr>
            </w:pPr>
            <w:r w:rsidRPr="000E01C3">
              <w:rPr>
                <w:rFonts w:ascii="Arial Narrow" w:hAnsi="Arial Narrow"/>
                <w:iCs/>
                <w:snapToGrid/>
                <w:sz w:val="20"/>
              </w:rPr>
              <w:t>Spirometry</w:t>
            </w:r>
            <w:r w:rsidR="00DE1019" w:rsidRPr="000E01C3">
              <w:rPr>
                <w:rFonts w:ascii="Arial Narrow" w:hAnsi="Arial Narrow"/>
                <w:iCs/>
                <w:snapToGrid/>
                <w:sz w:val="20"/>
                <w:vertAlign w:val="superscript"/>
              </w:rPr>
              <w:t>c</w:t>
            </w:r>
            <w:r w:rsidRPr="000E01C3">
              <w:rPr>
                <w:rFonts w:ascii="Arial Narrow" w:hAnsi="Arial Narrow"/>
                <w:iCs/>
                <w:snapToGrid/>
                <w:sz w:val="20"/>
              </w:rPr>
              <w:t>; PDPE</w:t>
            </w:r>
          </w:p>
        </w:tc>
        <w:tc>
          <w:tcPr>
            <w:tcW w:w="631" w:type="pct"/>
            <w:shd w:val="clear" w:color="auto" w:fill="auto"/>
            <w:vAlign w:val="center"/>
          </w:tcPr>
          <w:p w:rsidR="00D06935" w:rsidRPr="000E01C3" w:rsidRDefault="00D06935" w:rsidP="00A04A6A">
            <w:pPr>
              <w:widowControl/>
              <w:jc w:val="center"/>
              <w:rPr>
                <w:rFonts w:ascii="Arial Narrow" w:hAnsi="Arial Narrow"/>
                <w:sz w:val="20"/>
              </w:rPr>
            </w:pPr>
            <w:r w:rsidRPr="000E01C3">
              <w:rPr>
                <w:rFonts w:ascii="Arial Narrow" w:hAnsi="Arial Narrow"/>
                <w:sz w:val="20"/>
              </w:rPr>
              <w:t>Not used</w:t>
            </w:r>
          </w:p>
        </w:tc>
      </w:tr>
    </w:tbl>
    <w:p w:rsidR="00D06935" w:rsidRPr="000E01C3" w:rsidRDefault="00D06935" w:rsidP="00A04A6A">
      <w:pPr>
        <w:widowControl/>
        <w:rPr>
          <w:rFonts w:ascii="Arial Narrow" w:hAnsi="Arial Narrow"/>
          <w:snapToGrid/>
          <w:sz w:val="18"/>
          <w:szCs w:val="18"/>
        </w:rPr>
      </w:pPr>
      <w:r w:rsidRPr="000E01C3">
        <w:rPr>
          <w:rFonts w:ascii="Arial Narrow" w:hAnsi="Arial Narrow"/>
          <w:snapToGrid/>
          <w:sz w:val="18"/>
          <w:szCs w:val="18"/>
        </w:rPr>
        <w:t xml:space="preserve">Abbreviations: DB=double blind; DNase=dornase alfa; MC=multicentre, OL=open-label; </w:t>
      </w:r>
      <w:r w:rsidRPr="000E01C3">
        <w:rPr>
          <w:rFonts w:ascii="Arial Narrow" w:hAnsi="Arial Narrow"/>
          <w:sz w:val="18"/>
          <w:szCs w:val="18"/>
        </w:rPr>
        <w:t xml:space="preserve">PDPE=protocol defined pulmonary exacerbations; </w:t>
      </w:r>
      <w:r w:rsidRPr="000E01C3">
        <w:rPr>
          <w:rFonts w:ascii="Arial Narrow" w:hAnsi="Arial Narrow"/>
          <w:snapToGrid/>
          <w:sz w:val="18"/>
          <w:szCs w:val="18"/>
        </w:rPr>
        <w:t>R=randomised; 2A=2-arm; 3A=3-arm, N=number analysed.</w:t>
      </w:r>
    </w:p>
    <w:p w:rsidR="00D06935" w:rsidRPr="000E01C3" w:rsidRDefault="00D06935" w:rsidP="00A04A6A">
      <w:pPr>
        <w:pStyle w:val="TableFooter"/>
        <w:widowControl/>
        <w:rPr>
          <w:szCs w:val="18"/>
        </w:rPr>
      </w:pPr>
      <w:r w:rsidRPr="000E01C3">
        <w:rPr>
          <w:szCs w:val="18"/>
        </w:rPr>
        <w:t>Source: compiled during the evaluation</w:t>
      </w:r>
    </w:p>
    <w:p w:rsidR="00D06935" w:rsidRPr="000E01C3" w:rsidRDefault="00D06935" w:rsidP="00A04A6A">
      <w:pPr>
        <w:widowControl/>
        <w:jc w:val="left"/>
        <w:rPr>
          <w:rFonts w:ascii="Arial Narrow" w:hAnsi="Arial Narrow"/>
          <w:sz w:val="18"/>
          <w:szCs w:val="18"/>
        </w:rPr>
      </w:pPr>
      <w:r w:rsidRPr="000E01C3">
        <w:rPr>
          <w:rFonts w:ascii="Arial Narrow" w:hAnsi="Arial Narrow"/>
          <w:sz w:val="18"/>
          <w:szCs w:val="18"/>
          <w:vertAlign w:val="superscript"/>
        </w:rPr>
        <w:t>a</w:t>
      </w:r>
      <w:r w:rsidRPr="000E01C3">
        <w:rPr>
          <w:rFonts w:ascii="Arial Narrow" w:hAnsi="Arial Narrow"/>
          <w:sz w:val="18"/>
          <w:szCs w:val="18"/>
          <w:vertAlign w:val="superscript"/>
        </w:rPr>
        <w:tab/>
      </w:r>
      <w:r w:rsidRPr="000E01C3">
        <w:rPr>
          <w:rFonts w:ascii="Arial Narrow" w:hAnsi="Arial Narrow"/>
          <w:sz w:val="18"/>
          <w:szCs w:val="18"/>
        </w:rPr>
        <w:t>Model uses response rates derived from data on patients with no changes from baseline in pp</w:t>
      </w:r>
      <w:r w:rsidR="00710FD5" w:rsidRPr="000E01C3">
        <w:rPr>
          <w:rFonts w:ascii="Arial Narrow" w:hAnsi="Arial Narrow"/>
          <w:sz w:val="18"/>
          <w:szCs w:val="18"/>
        </w:rPr>
        <w:t>FEV</w:t>
      </w:r>
      <w:r w:rsidR="00710FD5" w:rsidRPr="000E01C3">
        <w:rPr>
          <w:rFonts w:ascii="Arial Narrow" w:hAnsi="Arial Narrow"/>
          <w:sz w:val="18"/>
          <w:szCs w:val="18"/>
          <w:vertAlign w:val="subscript"/>
        </w:rPr>
        <w:t>1</w:t>
      </w:r>
      <w:r w:rsidRPr="000E01C3">
        <w:rPr>
          <w:rFonts w:ascii="Arial Narrow" w:hAnsi="Arial Narrow"/>
          <w:sz w:val="18"/>
          <w:szCs w:val="18"/>
        </w:rPr>
        <w:t xml:space="preserve"> at 14 weeks.</w:t>
      </w:r>
    </w:p>
    <w:p w:rsidR="00D06935" w:rsidRPr="000E01C3" w:rsidRDefault="00D06935" w:rsidP="00A04A6A">
      <w:pPr>
        <w:widowControl/>
        <w:ind w:left="170" w:hanging="170"/>
        <w:rPr>
          <w:rFonts w:ascii="Arial Narrow" w:hAnsi="Arial Narrow"/>
          <w:sz w:val="18"/>
          <w:szCs w:val="18"/>
        </w:rPr>
      </w:pPr>
      <w:r w:rsidRPr="000E01C3">
        <w:rPr>
          <w:rFonts w:ascii="Arial Narrow" w:hAnsi="Arial Narrow"/>
          <w:sz w:val="18"/>
          <w:szCs w:val="18"/>
          <w:vertAlign w:val="superscript"/>
        </w:rPr>
        <w:t>b</w:t>
      </w:r>
      <w:r w:rsidRPr="000E01C3">
        <w:rPr>
          <w:rFonts w:ascii="Arial Narrow" w:hAnsi="Arial Narrow"/>
          <w:sz w:val="18"/>
          <w:szCs w:val="18"/>
          <w:vertAlign w:val="superscript"/>
        </w:rPr>
        <w:tab/>
      </w:r>
      <w:r w:rsidRPr="000E01C3">
        <w:rPr>
          <w:rFonts w:ascii="Arial Narrow" w:hAnsi="Arial Narrow"/>
          <w:sz w:val="18"/>
          <w:szCs w:val="18"/>
        </w:rPr>
        <w:t xml:space="preserve">Those patients who continue to remain in the ‘mannitol responders’ group experience a reduction in their rate of exacerbations. </w:t>
      </w:r>
    </w:p>
    <w:p w:rsidR="00DE1019" w:rsidRPr="000E01C3" w:rsidRDefault="00DE1019" w:rsidP="00A04A6A">
      <w:pPr>
        <w:widowControl/>
        <w:ind w:left="170" w:hanging="170"/>
        <w:rPr>
          <w:sz w:val="18"/>
          <w:szCs w:val="18"/>
          <w:vertAlign w:val="superscript"/>
        </w:rPr>
      </w:pPr>
      <w:r w:rsidRPr="000E01C3">
        <w:rPr>
          <w:rFonts w:ascii="Arial Narrow" w:hAnsi="Arial Narrow"/>
          <w:sz w:val="18"/>
          <w:szCs w:val="18"/>
          <w:vertAlign w:val="superscript"/>
        </w:rPr>
        <w:t>c</w:t>
      </w:r>
      <w:r w:rsidRPr="000E01C3">
        <w:rPr>
          <w:rFonts w:ascii="Arial Narrow" w:hAnsi="Arial Narrow"/>
          <w:sz w:val="18"/>
          <w:szCs w:val="18"/>
          <w:vertAlign w:val="superscript"/>
        </w:rPr>
        <w:tab/>
      </w:r>
      <w:r w:rsidR="008F0009" w:rsidRPr="000E01C3">
        <w:rPr>
          <w:rFonts w:ascii="Arial Narrow" w:hAnsi="Arial Narrow"/>
          <w:sz w:val="18"/>
          <w:szCs w:val="18"/>
        </w:rPr>
        <w:t>R</w:t>
      </w:r>
      <w:r w:rsidRPr="000E01C3">
        <w:rPr>
          <w:rFonts w:ascii="Arial Narrow" w:hAnsi="Arial Narrow"/>
          <w:sz w:val="18"/>
          <w:szCs w:val="18"/>
        </w:rPr>
        <w:t>eported spirometry outcomes include forced expiratory volume over one second (FEV</w:t>
      </w:r>
      <w:r w:rsidRPr="000E01C3">
        <w:rPr>
          <w:rFonts w:ascii="Arial Narrow" w:hAnsi="Arial Narrow"/>
          <w:sz w:val="18"/>
          <w:szCs w:val="18"/>
          <w:vertAlign w:val="subscript"/>
        </w:rPr>
        <w:t>1</w:t>
      </w:r>
      <w:r w:rsidRPr="000E01C3">
        <w:rPr>
          <w:rFonts w:ascii="Arial Narrow" w:hAnsi="Arial Narrow"/>
          <w:sz w:val="18"/>
          <w:szCs w:val="18"/>
        </w:rPr>
        <w:t xml:space="preserve">), </w:t>
      </w:r>
      <w:r w:rsidR="008F0009" w:rsidRPr="000E01C3">
        <w:rPr>
          <w:rFonts w:ascii="Arial Narrow" w:hAnsi="Arial Narrow"/>
          <w:sz w:val="18"/>
          <w:szCs w:val="18"/>
        </w:rPr>
        <w:t>forced</w:t>
      </w:r>
      <w:r w:rsidRPr="000E01C3">
        <w:rPr>
          <w:rFonts w:ascii="Arial Narrow" w:hAnsi="Arial Narrow"/>
          <w:sz w:val="18"/>
          <w:szCs w:val="18"/>
        </w:rPr>
        <w:t xml:space="preserve"> vital capacity (</w:t>
      </w:r>
      <w:r w:rsidRPr="000E01C3">
        <w:rPr>
          <w:rFonts w:ascii="Arial Narrow" w:hAnsi="Arial Narrow"/>
          <w:iCs/>
          <w:sz w:val="18"/>
          <w:szCs w:val="18"/>
        </w:rPr>
        <w:t>FVC), FEV</w:t>
      </w:r>
      <w:r w:rsidRPr="000E01C3">
        <w:rPr>
          <w:rFonts w:ascii="Arial Narrow" w:hAnsi="Arial Narrow"/>
          <w:iCs/>
          <w:sz w:val="18"/>
          <w:szCs w:val="18"/>
          <w:vertAlign w:val="subscript"/>
        </w:rPr>
        <w:t>1</w:t>
      </w:r>
      <w:r w:rsidRPr="000E01C3">
        <w:rPr>
          <w:rFonts w:ascii="Arial Narrow" w:hAnsi="Arial Narrow"/>
          <w:iCs/>
          <w:sz w:val="18"/>
          <w:szCs w:val="18"/>
        </w:rPr>
        <w:t xml:space="preserve">/FVC, </w:t>
      </w:r>
      <w:r w:rsidR="00C45259" w:rsidRPr="000E01C3">
        <w:rPr>
          <w:rFonts w:ascii="Arial Narrow" w:hAnsi="Arial Narrow"/>
          <w:iCs/>
          <w:sz w:val="18"/>
          <w:szCs w:val="18"/>
        </w:rPr>
        <w:t>f</w:t>
      </w:r>
      <w:r w:rsidRPr="000E01C3">
        <w:rPr>
          <w:rFonts w:ascii="Arial Narrow" w:hAnsi="Arial Narrow"/>
          <w:iCs/>
          <w:sz w:val="18"/>
          <w:szCs w:val="18"/>
        </w:rPr>
        <w:t>orced expiratory flow 25-75%</w:t>
      </w:r>
      <w:r w:rsidR="00C45259" w:rsidRPr="000E01C3">
        <w:rPr>
          <w:rFonts w:ascii="Arial Narrow" w:hAnsi="Arial Narrow"/>
          <w:iCs/>
          <w:sz w:val="18"/>
          <w:szCs w:val="18"/>
        </w:rPr>
        <w:t xml:space="preserve"> in middle half of an expiration</w:t>
      </w:r>
      <w:r w:rsidRPr="000E01C3">
        <w:rPr>
          <w:rFonts w:ascii="Arial Narrow" w:hAnsi="Arial Narrow"/>
          <w:iCs/>
          <w:sz w:val="18"/>
          <w:szCs w:val="18"/>
        </w:rPr>
        <w:t xml:space="preserve"> (FEF</w:t>
      </w:r>
      <w:r w:rsidRPr="000E01C3">
        <w:rPr>
          <w:rFonts w:ascii="Arial Narrow" w:hAnsi="Arial Narrow"/>
          <w:iCs/>
          <w:sz w:val="18"/>
          <w:szCs w:val="18"/>
          <w:vertAlign w:val="subscript"/>
        </w:rPr>
        <w:t>25-75</w:t>
      </w:r>
      <w:r w:rsidR="003371A2" w:rsidRPr="000E01C3">
        <w:rPr>
          <w:rFonts w:ascii="Arial Narrow" w:hAnsi="Arial Narrow"/>
          <w:iCs/>
          <w:sz w:val="18"/>
          <w:szCs w:val="18"/>
        </w:rPr>
        <w:t>)</w:t>
      </w:r>
      <w:r w:rsidR="003371A2" w:rsidRPr="000E01C3">
        <w:rPr>
          <w:rFonts w:ascii="Arial Narrow" w:hAnsi="Arial Narrow"/>
          <w:iCs/>
          <w:sz w:val="18"/>
          <w:szCs w:val="18"/>
          <w:vertAlign w:val="subscript"/>
        </w:rPr>
        <w:t>,</w:t>
      </w:r>
      <w:r w:rsidRPr="000E01C3">
        <w:rPr>
          <w:rFonts w:ascii="Arial Narrow" w:hAnsi="Arial Narrow"/>
          <w:iCs/>
          <w:sz w:val="18"/>
          <w:szCs w:val="18"/>
          <w:vertAlign w:val="subscript"/>
        </w:rPr>
        <w:t xml:space="preserve"> </w:t>
      </w:r>
      <w:r w:rsidR="00C45259" w:rsidRPr="000E01C3">
        <w:rPr>
          <w:rFonts w:ascii="Arial Narrow" w:hAnsi="Arial Narrow"/>
          <w:iCs/>
          <w:sz w:val="18"/>
          <w:szCs w:val="18"/>
        </w:rPr>
        <w:t>p</w:t>
      </w:r>
      <w:r w:rsidRPr="000E01C3">
        <w:rPr>
          <w:rFonts w:ascii="Arial Narrow" w:hAnsi="Arial Narrow"/>
          <w:iCs/>
          <w:sz w:val="18"/>
          <w:szCs w:val="18"/>
        </w:rPr>
        <w:t>eak expiratory flow (PEF)</w:t>
      </w:r>
      <w:r w:rsidR="00E6434E" w:rsidRPr="000E01C3">
        <w:rPr>
          <w:rFonts w:ascii="Arial Narrow" w:hAnsi="Arial Narrow"/>
          <w:iCs/>
          <w:sz w:val="18"/>
          <w:szCs w:val="18"/>
        </w:rPr>
        <w:t>.</w:t>
      </w:r>
    </w:p>
    <w:p w:rsidR="00D06935" w:rsidRPr="000E01C3" w:rsidRDefault="00D06935" w:rsidP="00A04A6A">
      <w:pPr>
        <w:pStyle w:val="Heading2"/>
        <w:keepNext/>
        <w:keepLines/>
        <w:widowControl/>
        <w:spacing w:before="240" w:after="120"/>
        <w:jc w:val="left"/>
        <w:rPr>
          <w:rFonts w:asciiTheme="minorHAnsi" w:eastAsiaTheme="majorEastAsia" w:hAnsiTheme="minorHAnsi" w:cstheme="majorBidi"/>
          <w:i/>
          <w:snapToGrid/>
          <w:sz w:val="28"/>
          <w:szCs w:val="28"/>
        </w:rPr>
      </w:pPr>
      <w:bookmarkStart w:id="11" w:name="_Toc482779070"/>
      <w:r w:rsidRPr="000E01C3">
        <w:rPr>
          <w:rFonts w:asciiTheme="minorHAnsi" w:eastAsiaTheme="majorEastAsia" w:hAnsiTheme="minorHAnsi" w:cstheme="majorBidi"/>
          <w:i/>
          <w:snapToGrid/>
          <w:sz w:val="28"/>
          <w:szCs w:val="28"/>
        </w:rPr>
        <w:t>Comparative effectiveness</w:t>
      </w:r>
      <w:bookmarkEnd w:id="11"/>
    </w:p>
    <w:p w:rsidR="00D06935" w:rsidRPr="000E01C3" w:rsidRDefault="00D06935" w:rsidP="00BE33FF">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The results for Tr</w:t>
      </w:r>
      <w:r w:rsidR="00FA05B8" w:rsidRPr="000E01C3">
        <w:rPr>
          <w:rFonts w:asciiTheme="minorHAnsi" w:hAnsiTheme="minorHAnsi" w:cstheme="minorHAnsi"/>
          <w:sz w:val="24"/>
          <w:szCs w:val="24"/>
        </w:rPr>
        <w:t>ials CF-301, CF-302 and CF-203 we</w:t>
      </w:r>
      <w:r w:rsidRPr="000E01C3">
        <w:rPr>
          <w:rFonts w:asciiTheme="minorHAnsi" w:hAnsiTheme="minorHAnsi" w:cstheme="minorHAnsi"/>
          <w:sz w:val="24"/>
          <w:szCs w:val="24"/>
        </w:rPr>
        <w:t xml:space="preserve">re </w:t>
      </w:r>
      <w:r w:rsidR="00E6434E" w:rsidRPr="000E01C3">
        <w:rPr>
          <w:rFonts w:asciiTheme="minorHAnsi" w:hAnsiTheme="minorHAnsi" w:cstheme="minorHAnsi"/>
          <w:sz w:val="24"/>
          <w:szCs w:val="24"/>
        </w:rPr>
        <w:t>previously presented in the</w:t>
      </w:r>
      <w:r w:rsidRPr="000E01C3">
        <w:rPr>
          <w:rFonts w:asciiTheme="minorHAnsi" w:hAnsiTheme="minorHAnsi" w:cstheme="minorHAnsi"/>
          <w:sz w:val="24"/>
          <w:szCs w:val="24"/>
        </w:rPr>
        <w:t xml:space="preserve"> March 2011 submission</w:t>
      </w:r>
      <w:r w:rsidR="00E6434E" w:rsidRPr="000E01C3">
        <w:rPr>
          <w:rFonts w:asciiTheme="minorHAnsi" w:hAnsiTheme="minorHAnsi" w:cstheme="minorHAnsi"/>
          <w:sz w:val="24"/>
          <w:szCs w:val="24"/>
        </w:rPr>
        <w:t xml:space="preserve"> and remain unchanged.</w:t>
      </w:r>
      <w:r w:rsidR="007869A7" w:rsidRPr="000E01C3">
        <w:rPr>
          <w:rFonts w:asciiTheme="minorHAnsi" w:hAnsiTheme="minorHAnsi" w:cstheme="minorHAnsi"/>
          <w:sz w:val="24"/>
          <w:szCs w:val="24"/>
        </w:rPr>
        <w:t xml:space="preserve"> </w:t>
      </w:r>
      <w:r w:rsidR="00E6434E" w:rsidRPr="000E01C3">
        <w:rPr>
          <w:rFonts w:asciiTheme="minorHAnsi" w:hAnsiTheme="minorHAnsi" w:cstheme="minorHAnsi"/>
          <w:sz w:val="24"/>
          <w:szCs w:val="24"/>
        </w:rPr>
        <w:t xml:space="preserve">Table </w:t>
      </w:r>
      <w:r w:rsidR="004D13F6" w:rsidRPr="000E01C3">
        <w:rPr>
          <w:rFonts w:asciiTheme="minorHAnsi" w:hAnsiTheme="minorHAnsi" w:cstheme="minorHAnsi"/>
          <w:sz w:val="24"/>
          <w:szCs w:val="24"/>
        </w:rPr>
        <w:t>5</w:t>
      </w:r>
      <w:r w:rsidR="00E6434E" w:rsidRPr="000E01C3">
        <w:rPr>
          <w:rFonts w:asciiTheme="minorHAnsi" w:hAnsiTheme="minorHAnsi" w:cstheme="minorHAnsi"/>
          <w:sz w:val="24"/>
          <w:szCs w:val="24"/>
        </w:rPr>
        <w:t xml:space="preserve"> summarises the main spirometry outcomes </w:t>
      </w:r>
      <w:r w:rsidR="008179BB" w:rsidRPr="000E01C3">
        <w:rPr>
          <w:rFonts w:asciiTheme="minorHAnsi" w:hAnsiTheme="minorHAnsi" w:cstheme="minorHAnsi"/>
          <w:sz w:val="24"/>
          <w:szCs w:val="24"/>
        </w:rPr>
        <w:t>(absolute and relative changes in FEV</w:t>
      </w:r>
      <w:r w:rsidR="008179BB" w:rsidRPr="000E01C3">
        <w:rPr>
          <w:rFonts w:asciiTheme="minorHAnsi" w:hAnsiTheme="minorHAnsi" w:cstheme="minorHAnsi"/>
          <w:sz w:val="24"/>
          <w:szCs w:val="24"/>
          <w:vertAlign w:val="subscript"/>
        </w:rPr>
        <w:t>1</w:t>
      </w:r>
      <w:r w:rsidR="008179BB" w:rsidRPr="000E01C3">
        <w:rPr>
          <w:rFonts w:asciiTheme="minorHAnsi" w:hAnsiTheme="minorHAnsi" w:cstheme="minorHAnsi"/>
          <w:sz w:val="24"/>
          <w:szCs w:val="24"/>
        </w:rPr>
        <w:t xml:space="preserve"> from baseline) </w:t>
      </w:r>
      <w:r w:rsidR="00E6434E" w:rsidRPr="000E01C3">
        <w:rPr>
          <w:rFonts w:asciiTheme="minorHAnsi" w:hAnsiTheme="minorHAnsi" w:cstheme="minorHAnsi"/>
          <w:sz w:val="24"/>
          <w:szCs w:val="24"/>
        </w:rPr>
        <w:t>reported for Trials CF-301, CF-302, CF-201 and CF-203.</w:t>
      </w:r>
    </w:p>
    <w:p w:rsidR="00E55C12" w:rsidRDefault="00E55C12" w:rsidP="00E55C12">
      <w:pPr>
        <w:pStyle w:val="Caption"/>
        <w:keepNext/>
      </w:pPr>
      <w:r>
        <w:t xml:space="preserve">Table </w:t>
      </w:r>
      <w:r>
        <w:rPr>
          <w:noProof/>
        </w:rPr>
        <w:t>5</w:t>
      </w:r>
      <w:r w:rsidRPr="00323A56">
        <w:t>: Results of absolute and relative change in FEV1 from baseline across the randomised trials</w:t>
      </w:r>
    </w:p>
    <w:tbl>
      <w:tblPr>
        <w:tblW w:w="9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20" w:firstRow="1" w:lastRow="0" w:firstColumn="0" w:lastColumn="0" w:noHBand="0" w:noVBand="1"/>
      </w:tblPr>
      <w:tblGrid>
        <w:gridCol w:w="1560"/>
        <w:gridCol w:w="1559"/>
        <w:gridCol w:w="993"/>
        <w:gridCol w:w="1133"/>
        <w:gridCol w:w="1229"/>
        <w:gridCol w:w="1181"/>
        <w:gridCol w:w="1418"/>
      </w:tblGrid>
      <w:tr w:rsidR="00D06935" w:rsidRPr="000E01C3" w:rsidTr="00E6434E">
        <w:trPr>
          <w:trHeight w:val="161"/>
        </w:trPr>
        <w:tc>
          <w:tcPr>
            <w:tcW w:w="1560" w:type="dxa"/>
            <w:vMerge w:val="restart"/>
            <w:tcBorders>
              <w:top w:val="single" w:sz="4" w:space="0" w:color="auto"/>
              <w:left w:val="single" w:sz="4" w:space="0" w:color="auto"/>
              <w:bottom w:val="single" w:sz="2" w:space="0" w:color="auto"/>
              <w:right w:val="single" w:sz="2" w:space="0" w:color="auto"/>
            </w:tcBorders>
            <w:shd w:val="clear" w:color="auto" w:fill="auto"/>
          </w:tcPr>
          <w:p w:rsidR="00D06935" w:rsidRPr="000E01C3" w:rsidRDefault="00D06935" w:rsidP="00A04A6A">
            <w:pPr>
              <w:keepNext/>
              <w:widowControl/>
              <w:rPr>
                <w:rFonts w:ascii="Arial Narrow" w:hAnsi="Arial Narrow"/>
                <w:b/>
                <w:bCs/>
                <w:sz w:val="20"/>
              </w:rPr>
            </w:pPr>
            <w:r w:rsidRPr="000E01C3">
              <w:rPr>
                <w:rFonts w:ascii="Arial Narrow" w:hAnsi="Arial Narrow"/>
                <w:b/>
                <w:bCs/>
                <w:sz w:val="20"/>
              </w:rPr>
              <w:t>Trials</w:t>
            </w:r>
          </w:p>
        </w:tc>
        <w:tc>
          <w:tcPr>
            <w:tcW w:w="3685" w:type="dxa"/>
            <w:gridSpan w:val="3"/>
            <w:tcBorders>
              <w:top w:val="single" w:sz="4" w:space="0" w:color="auto"/>
              <w:left w:val="single" w:sz="2" w:space="0" w:color="auto"/>
              <w:bottom w:val="single" w:sz="2" w:space="0" w:color="auto"/>
              <w:right w:val="single" w:sz="12" w:space="0" w:color="auto"/>
            </w:tcBorders>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b/>
                <w:bCs/>
                <w:sz w:val="20"/>
              </w:rPr>
              <w:t>Absolute change from baseline (mL)</w:t>
            </w:r>
            <w:r w:rsidRPr="000E01C3">
              <w:rPr>
                <w:rFonts w:ascii="Arial Narrow" w:hAnsi="Arial Narrow"/>
                <w:b/>
                <w:bCs/>
                <w:sz w:val="20"/>
                <w:vertAlign w:val="superscript"/>
              </w:rPr>
              <w:t xml:space="preserve"> </w:t>
            </w:r>
            <w:r w:rsidRPr="000E01C3">
              <w:rPr>
                <w:rFonts w:ascii="Arial Narrow" w:hAnsi="Arial Narrow"/>
                <w:b/>
                <w:bCs/>
                <w:sz w:val="20"/>
              </w:rPr>
              <w:t>(95% CI)</w:t>
            </w:r>
          </w:p>
        </w:tc>
        <w:tc>
          <w:tcPr>
            <w:tcW w:w="3828" w:type="dxa"/>
            <w:gridSpan w:val="3"/>
            <w:tcBorders>
              <w:top w:val="single" w:sz="4" w:space="0" w:color="auto"/>
              <w:left w:val="single" w:sz="12" w:space="0" w:color="auto"/>
              <w:bottom w:val="single" w:sz="2" w:space="0" w:color="auto"/>
              <w:right w:val="single" w:sz="4" w:space="0" w:color="auto"/>
            </w:tcBorders>
            <w:shd w:val="clear" w:color="auto" w:fill="auto"/>
            <w:vAlign w:val="center"/>
          </w:tcPr>
          <w:p w:rsidR="00D06935" w:rsidRPr="000E01C3" w:rsidRDefault="00D06935" w:rsidP="00A04A6A">
            <w:pPr>
              <w:keepNext/>
              <w:widowControl/>
              <w:jc w:val="center"/>
              <w:rPr>
                <w:rFonts w:ascii="Arial Narrow" w:hAnsi="Arial Narrow"/>
                <w:b/>
                <w:bCs/>
                <w:sz w:val="20"/>
              </w:rPr>
            </w:pPr>
            <w:r w:rsidRPr="000E01C3">
              <w:rPr>
                <w:rFonts w:ascii="Arial Narrow" w:hAnsi="Arial Narrow"/>
                <w:b/>
                <w:bCs/>
                <w:sz w:val="20"/>
              </w:rPr>
              <w:t>Relative % change from baseline (mL)</w:t>
            </w:r>
            <w:r w:rsidRPr="000E01C3">
              <w:rPr>
                <w:rFonts w:ascii="Arial Narrow" w:hAnsi="Arial Narrow"/>
                <w:b/>
                <w:bCs/>
                <w:sz w:val="20"/>
                <w:vertAlign w:val="superscript"/>
              </w:rPr>
              <w:t xml:space="preserve"> </w:t>
            </w:r>
            <w:r w:rsidRPr="000E01C3">
              <w:rPr>
                <w:rFonts w:ascii="Arial Narrow" w:hAnsi="Arial Narrow"/>
                <w:b/>
                <w:bCs/>
                <w:sz w:val="20"/>
              </w:rPr>
              <w:t>(95% CI)</w:t>
            </w:r>
          </w:p>
        </w:tc>
      </w:tr>
      <w:tr w:rsidR="00D06935" w:rsidRPr="000E01C3" w:rsidTr="00E6434E">
        <w:trPr>
          <w:trHeight w:val="286"/>
        </w:trPr>
        <w:tc>
          <w:tcPr>
            <w:tcW w:w="1560" w:type="dxa"/>
            <w:vMerge/>
            <w:tcBorders>
              <w:top w:val="single" w:sz="2" w:space="0" w:color="auto"/>
              <w:left w:val="single" w:sz="4" w:space="0" w:color="auto"/>
              <w:bottom w:val="single" w:sz="4" w:space="0" w:color="auto"/>
              <w:right w:val="single" w:sz="2" w:space="0" w:color="auto"/>
            </w:tcBorders>
            <w:shd w:val="clear" w:color="auto" w:fill="auto"/>
            <w:hideMark/>
          </w:tcPr>
          <w:p w:rsidR="00D06935" w:rsidRPr="000E01C3" w:rsidRDefault="00D06935" w:rsidP="00A04A6A">
            <w:pPr>
              <w:keepNext/>
              <w:widowControl/>
              <w:rPr>
                <w:rFonts w:ascii="Arial Narrow" w:hAnsi="Arial Narrow"/>
                <w:sz w:val="20"/>
              </w:rPr>
            </w:pPr>
          </w:p>
        </w:tc>
        <w:tc>
          <w:tcPr>
            <w:tcW w:w="1559" w:type="dxa"/>
            <w:tcBorders>
              <w:top w:val="single" w:sz="2" w:space="0" w:color="auto"/>
              <w:left w:val="single" w:sz="2" w:space="0" w:color="auto"/>
              <w:bottom w:val="single" w:sz="4" w:space="0" w:color="auto"/>
              <w:right w:val="single" w:sz="2" w:space="0" w:color="auto"/>
            </w:tcBorders>
            <w:vAlign w:val="center"/>
          </w:tcPr>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mannitol</w:t>
            </w:r>
          </w:p>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400mg BD</w:t>
            </w:r>
            <w:r w:rsidRPr="000E01C3">
              <w:rPr>
                <w:rFonts w:ascii="Arial Narrow" w:hAnsi="Arial Narrow"/>
                <w:b/>
                <w:sz w:val="20"/>
                <w:vertAlign w:val="superscript"/>
              </w:rPr>
              <w:t>#</w:t>
            </w:r>
          </w:p>
        </w:tc>
        <w:tc>
          <w:tcPr>
            <w:tcW w:w="993" w:type="dxa"/>
            <w:tcBorders>
              <w:top w:val="single" w:sz="2" w:space="0" w:color="auto"/>
              <w:left w:val="single" w:sz="2" w:space="0" w:color="auto"/>
              <w:bottom w:val="single" w:sz="4" w:space="0" w:color="auto"/>
              <w:right w:val="single" w:sz="2" w:space="0" w:color="auto"/>
            </w:tcBorders>
            <w:vAlign w:val="center"/>
          </w:tcPr>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Comparator</w:t>
            </w:r>
          </w:p>
        </w:tc>
        <w:tc>
          <w:tcPr>
            <w:tcW w:w="1133" w:type="dxa"/>
            <w:tcBorders>
              <w:top w:val="single" w:sz="2" w:space="0" w:color="auto"/>
              <w:left w:val="single" w:sz="2" w:space="0" w:color="auto"/>
              <w:bottom w:val="single" w:sz="4" w:space="0" w:color="auto"/>
              <w:right w:val="single" w:sz="12" w:space="0" w:color="auto"/>
            </w:tcBorders>
            <w:vAlign w:val="center"/>
          </w:tcPr>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Difference</w:t>
            </w:r>
          </w:p>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 xml:space="preserve">Mannitol </w:t>
            </w:r>
            <w:r w:rsidR="003371A2" w:rsidRPr="000E01C3">
              <w:rPr>
                <w:rFonts w:ascii="Arial Narrow" w:hAnsi="Arial Narrow"/>
                <w:b/>
                <w:sz w:val="20"/>
              </w:rPr>
              <w:t>vs.</w:t>
            </w:r>
            <w:r w:rsidRPr="000E01C3">
              <w:rPr>
                <w:rFonts w:ascii="Arial Narrow" w:hAnsi="Arial Narrow"/>
                <w:b/>
                <w:sz w:val="20"/>
              </w:rPr>
              <w:t xml:space="preserve"> comparator</w:t>
            </w:r>
          </w:p>
        </w:tc>
        <w:tc>
          <w:tcPr>
            <w:tcW w:w="1229" w:type="dxa"/>
            <w:tcBorders>
              <w:top w:val="single" w:sz="2" w:space="0" w:color="auto"/>
              <w:left w:val="single" w:sz="12" w:space="0" w:color="auto"/>
              <w:bottom w:val="single" w:sz="4" w:space="0" w:color="auto"/>
              <w:right w:val="single" w:sz="2" w:space="0" w:color="auto"/>
            </w:tcBorders>
            <w:shd w:val="clear" w:color="auto" w:fill="auto"/>
            <w:vAlign w:val="center"/>
            <w:hideMark/>
          </w:tcPr>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mannitol</w:t>
            </w:r>
          </w:p>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400mg BD</w:t>
            </w:r>
            <w:r w:rsidRPr="000E01C3">
              <w:rPr>
                <w:rFonts w:ascii="Arial Narrow" w:hAnsi="Arial Narrow"/>
                <w:b/>
                <w:sz w:val="20"/>
                <w:vertAlign w:val="superscript"/>
              </w:rPr>
              <w:t>#</w:t>
            </w:r>
          </w:p>
        </w:tc>
        <w:tc>
          <w:tcPr>
            <w:tcW w:w="1181" w:type="dxa"/>
            <w:tcBorders>
              <w:top w:val="single" w:sz="2" w:space="0" w:color="auto"/>
              <w:left w:val="single" w:sz="2" w:space="0" w:color="auto"/>
              <w:bottom w:val="single" w:sz="4" w:space="0" w:color="auto"/>
              <w:right w:val="single" w:sz="2" w:space="0" w:color="auto"/>
            </w:tcBorders>
            <w:vAlign w:val="center"/>
          </w:tcPr>
          <w:p w:rsidR="00D06935" w:rsidRPr="000E01C3" w:rsidRDefault="00D06935" w:rsidP="00A04A6A">
            <w:pPr>
              <w:keepNext/>
              <w:widowControl/>
              <w:jc w:val="center"/>
              <w:rPr>
                <w:rFonts w:ascii="Arial Narrow" w:hAnsi="Arial Narrow"/>
                <w:b/>
                <w:sz w:val="20"/>
                <w:vertAlign w:val="superscript"/>
              </w:rPr>
            </w:pPr>
            <w:r w:rsidRPr="000E01C3">
              <w:rPr>
                <w:rFonts w:ascii="Arial Narrow" w:hAnsi="Arial Narrow"/>
                <w:b/>
                <w:sz w:val="20"/>
              </w:rPr>
              <w:t xml:space="preserve">Comparator </w:t>
            </w:r>
          </w:p>
        </w:tc>
        <w:tc>
          <w:tcPr>
            <w:tcW w:w="1418" w:type="dxa"/>
            <w:tcBorders>
              <w:top w:val="single" w:sz="2" w:space="0" w:color="auto"/>
              <w:left w:val="single" w:sz="2" w:space="0" w:color="auto"/>
              <w:bottom w:val="single" w:sz="4" w:space="0" w:color="auto"/>
              <w:right w:val="single" w:sz="4" w:space="0" w:color="auto"/>
            </w:tcBorders>
            <w:vAlign w:val="center"/>
          </w:tcPr>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 xml:space="preserve">Difference </w:t>
            </w:r>
          </w:p>
          <w:p w:rsidR="00D06935" w:rsidRPr="000E01C3" w:rsidRDefault="00D06935" w:rsidP="00A04A6A">
            <w:pPr>
              <w:keepNext/>
              <w:widowControl/>
              <w:jc w:val="center"/>
              <w:rPr>
                <w:rFonts w:ascii="Arial Narrow" w:hAnsi="Arial Narrow"/>
                <w:b/>
                <w:sz w:val="20"/>
                <w:vertAlign w:val="superscript"/>
              </w:rPr>
            </w:pPr>
            <w:r w:rsidRPr="000E01C3">
              <w:rPr>
                <w:rFonts w:ascii="Arial Narrow" w:hAnsi="Arial Narrow"/>
                <w:b/>
                <w:sz w:val="20"/>
              </w:rPr>
              <w:t xml:space="preserve">Mannitol </w:t>
            </w:r>
            <w:r w:rsidR="003371A2" w:rsidRPr="000E01C3">
              <w:rPr>
                <w:rFonts w:ascii="Arial Narrow" w:hAnsi="Arial Narrow"/>
                <w:b/>
                <w:sz w:val="20"/>
              </w:rPr>
              <w:t>vs.</w:t>
            </w:r>
            <w:r w:rsidRPr="000E01C3">
              <w:rPr>
                <w:rFonts w:ascii="Arial Narrow" w:hAnsi="Arial Narrow"/>
                <w:b/>
                <w:sz w:val="20"/>
              </w:rPr>
              <w:t xml:space="preserve"> comparator </w:t>
            </w:r>
          </w:p>
        </w:tc>
      </w:tr>
      <w:tr w:rsidR="00D06935" w:rsidRPr="000E01C3" w:rsidTr="00C545D4">
        <w:trPr>
          <w:trHeight w:val="64"/>
        </w:trPr>
        <w:tc>
          <w:tcPr>
            <w:tcW w:w="9073" w:type="dxa"/>
            <w:gridSpan w:val="7"/>
            <w:tcBorders>
              <w:top w:val="single" w:sz="4" w:space="0" w:color="auto"/>
              <w:left w:val="single" w:sz="4" w:space="0" w:color="auto"/>
              <w:bottom w:val="single" w:sz="4" w:space="0" w:color="auto"/>
              <w:right w:val="single" w:sz="4" w:space="0" w:color="auto"/>
            </w:tcBorders>
            <w:shd w:val="clear" w:color="auto" w:fill="auto"/>
          </w:tcPr>
          <w:p w:rsidR="00D06935" w:rsidRPr="000E01C3" w:rsidRDefault="00D06935" w:rsidP="00A04A6A">
            <w:pPr>
              <w:keepNext/>
              <w:widowControl/>
              <w:rPr>
                <w:rFonts w:ascii="Arial Narrow" w:hAnsi="Arial Narrow"/>
                <w:sz w:val="20"/>
              </w:rPr>
            </w:pPr>
            <w:r w:rsidRPr="000E01C3">
              <w:rPr>
                <w:rFonts w:ascii="Arial Narrow" w:hAnsi="Arial Narrow"/>
                <w:b/>
                <w:iCs/>
                <w:sz w:val="20"/>
              </w:rPr>
              <w:t xml:space="preserve">Mannitol + DNase versus DNase alone </w:t>
            </w:r>
          </w:p>
        </w:tc>
      </w:tr>
      <w:tr w:rsidR="00D06935" w:rsidRPr="000E01C3" w:rsidTr="00E6434E">
        <w:trPr>
          <w:trHeight w:val="489"/>
        </w:trPr>
        <w:tc>
          <w:tcPr>
            <w:tcW w:w="1560" w:type="dxa"/>
            <w:tcBorders>
              <w:top w:val="single" w:sz="4" w:space="0" w:color="auto"/>
              <w:left w:val="single" w:sz="4" w:space="0" w:color="auto"/>
              <w:bottom w:val="double" w:sz="4" w:space="0" w:color="auto"/>
              <w:right w:val="single" w:sz="2" w:space="0" w:color="auto"/>
            </w:tcBorders>
            <w:shd w:val="clear" w:color="auto" w:fill="D9D9D9" w:themeFill="background1" w:themeFillShade="D9"/>
            <w:vAlign w:val="center"/>
          </w:tcPr>
          <w:p w:rsidR="00D06935" w:rsidRPr="000E01C3" w:rsidRDefault="00D06935" w:rsidP="00A04A6A">
            <w:pPr>
              <w:keepNext/>
              <w:widowControl/>
              <w:jc w:val="left"/>
              <w:rPr>
                <w:rFonts w:ascii="Arial Narrow" w:hAnsi="Arial Narrow"/>
                <w:iCs/>
                <w:sz w:val="20"/>
              </w:rPr>
            </w:pPr>
            <w:r w:rsidRPr="000E01C3">
              <w:rPr>
                <w:rFonts w:ascii="Arial Narrow" w:hAnsi="Arial Narrow"/>
                <w:iCs/>
                <w:sz w:val="20"/>
              </w:rPr>
              <w:t>CF-203 (N=26^)</w:t>
            </w:r>
          </w:p>
        </w:tc>
        <w:tc>
          <w:tcPr>
            <w:tcW w:w="1559" w:type="dxa"/>
            <w:tcBorders>
              <w:top w:val="single" w:sz="4" w:space="0" w:color="auto"/>
              <w:left w:val="single" w:sz="2" w:space="0" w:color="auto"/>
              <w:bottom w:val="double" w:sz="4" w:space="0" w:color="auto"/>
              <w:right w:val="single" w:sz="2" w:space="0" w:color="auto"/>
            </w:tcBorders>
            <w:shd w:val="clear" w:color="auto" w:fill="D9D9D9" w:themeFill="background1" w:themeFillShade="D9"/>
            <w:vAlign w:val="center"/>
          </w:tcPr>
          <w:p w:rsidR="00D06935" w:rsidRPr="000E01C3" w:rsidRDefault="00D06935" w:rsidP="00A04A6A">
            <w:pPr>
              <w:keepNext/>
              <w:widowControl/>
              <w:jc w:val="center"/>
              <w:rPr>
                <w:rFonts w:ascii="Arial Narrow" w:hAnsi="Arial Narrow"/>
                <w:iCs/>
                <w:sz w:val="20"/>
              </w:rPr>
            </w:pPr>
            <w:r w:rsidRPr="000E01C3">
              <w:rPr>
                <w:rFonts w:ascii="Arial Narrow" w:hAnsi="Arial Narrow"/>
                <w:iCs/>
                <w:sz w:val="20"/>
              </w:rPr>
              <w:t>9mL</w:t>
            </w:r>
            <w:r w:rsidR="00767476" w:rsidRPr="000E01C3">
              <w:rPr>
                <w:rFonts w:ascii="Arial Narrow" w:hAnsi="Arial Narrow" w:cs="Times-Roman"/>
                <w:iCs/>
                <w:snapToGrid/>
                <w:sz w:val="18"/>
                <w:vertAlign w:val="superscript"/>
                <w:lang w:eastAsia="en-AU"/>
              </w:rPr>
              <w:t xml:space="preserve"> </w:t>
            </w:r>
          </w:p>
          <w:p w:rsidR="00D06935" w:rsidRPr="000E01C3" w:rsidRDefault="00D06935" w:rsidP="00767476">
            <w:pPr>
              <w:keepNext/>
              <w:widowControl/>
              <w:jc w:val="center"/>
              <w:rPr>
                <w:rFonts w:ascii="Arial Narrow" w:hAnsi="Arial Narrow"/>
                <w:iCs/>
                <w:sz w:val="20"/>
              </w:rPr>
            </w:pPr>
            <w:r w:rsidRPr="000E01C3">
              <w:rPr>
                <w:rFonts w:ascii="Arial Narrow" w:hAnsi="Arial Narrow"/>
                <w:iCs/>
                <w:sz w:val="20"/>
              </w:rPr>
              <w:t>(SD=0.30)</w:t>
            </w:r>
          </w:p>
        </w:tc>
        <w:tc>
          <w:tcPr>
            <w:tcW w:w="993" w:type="dxa"/>
            <w:tcBorders>
              <w:top w:val="single" w:sz="4" w:space="0" w:color="auto"/>
              <w:left w:val="single" w:sz="2" w:space="0" w:color="auto"/>
              <w:bottom w:val="double" w:sz="4" w:space="0" w:color="auto"/>
              <w:right w:val="single" w:sz="2" w:space="0" w:color="auto"/>
            </w:tcBorders>
            <w:shd w:val="clear" w:color="auto" w:fill="D9D9D9" w:themeFill="background1" w:themeFillShade="D9"/>
            <w:vAlign w:val="center"/>
          </w:tcPr>
          <w:p w:rsidR="00D06935" w:rsidRPr="000E01C3" w:rsidRDefault="00D06935" w:rsidP="00A04A6A">
            <w:pPr>
              <w:keepNext/>
              <w:widowControl/>
              <w:jc w:val="center"/>
              <w:rPr>
                <w:rFonts w:ascii="Arial Narrow" w:hAnsi="Arial Narrow"/>
                <w:iCs/>
                <w:sz w:val="20"/>
              </w:rPr>
            </w:pPr>
            <w:r w:rsidRPr="000E01C3">
              <w:rPr>
                <w:rFonts w:ascii="Arial Narrow" w:hAnsi="Arial Narrow"/>
                <w:iCs/>
                <w:sz w:val="20"/>
              </w:rPr>
              <w:t>105mL</w:t>
            </w:r>
          </w:p>
          <w:p w:rsidR="00D06935" w:rsidRPr="000E01C3" w:rsidRDefault="00D06935" w:rsidP="00767476">
            <w:pPr>
              <w:keepNext/>
              <w:widowControl/>
              <w:jc w:val="center"/>
              <w:rPr>
                <w:rFonts w:ascii="Arial Narrow" w:hAnsi="Arial Narrow"/>
                <w:iCs/>
                <w:sz w:val="20"/>
              </w:rPr>
            </w:pPr>
            <w:r w:rsidRPr="000E01C3">
              <w:rPr>
                <w:rFonts w:ascii="Arial Narrow" w:hAnsi="Arial Narrow"/>
                <w:iCs/>
                <w:sz w:val="20"/>
              </w:rPr>
              <w:t>(SD=0.22)</w:t>
            </w:r>
          </w:p>
        </w:tc>
        <w:tc>
          <w:tcPr>
            <w:tcW w:w="1133" w:type="dxa"/>
            <w:tcBorders>
              <w:top w:val="single" w:sz="4" w:space="0" w:color="auto"/>
              <w:left w:val="single" w:sz="2" w:space="0" w:color="auto"/>
              <w:bottom w:val="double" w:sz="4" w:space="0" w:color="auto"/>
              <w:right w:val="single" w:sz="12" w:space="0" w:color="auto"/>
            </w:tcBorders>
            <w:shd w:val="clear" w:color="auto" w:fill="D9D9D9" w:themeFill="background1" w:themeFillShade="D9"/>
            <w:vAlign w:val="center"/>
          </w:tcPr>
          <w:p w:rsidR="00D06935" w:rsidRPr="000E01C3" w:rsidRDefault="00D06935" w:rsidP="00A04A6A">
            <w:pPr>
              <w:keepNext/>
              <w:widowControl/>
              <w:jc w:val="center"/>
              <w:rPr>
                <w:rFonts w:ascii="Arial Narrow" w:hAnsi="Arial Narrow"/>
                <w:iCs/>
                <w:sz w:val="20"/>
              </w:rPr>
            </w:pPr>
            <w:r w:rsidRPr="000E01C3">
              <w:rPr>
                <w:rFonts w:ascii="Arial Narrow" w:hAnsi="Arial Narrow"/>
                <w:iCs/>
                <w:sz w:val="20"/>
              </w:rPr>
              <w:t>-96mL</w:t>
            </w:r>
          </w:p>
          <w:p w:rsidR="00D06935" w:rsidRPr="000E01C3" w:rsidRDefault="00D06935" w:rsidP="00767476">
            <w:pPr>
              <w:keepNext/>
              <w:widowControl/>
              <w:jc w:val="center"/>
              <w:rPr>
                <w:rFonts w:ascii="Arial Narrow" w:hAnsi="Arial Narrow"/>
                <w:iCs/>
                <w:sz w:val="20"/>
              </w:rPr>
            </w:pPr>
            <w:r w:rsidRPr="000E01C3">
              <w:rPr>
                <w:rFonts w:ascii="Arial Narrow" w:hAnsi="Arial Narrow"/>
                <w:iCs/>
                <w:sz w:val="20"/>
              </w:rPr>
              <w:t>p=0.1337</w:t>
            </w:r>
          </w:p>
        </w:tc>
        <w:tc>
          <w:tcPr>
            <w:tcW w:w="1229" w:type="dxa"/>
            <w:tcBorders>
              <w:top w:val="single" w:sz="4" w:space="0" w:color="auto"/>
              <w:left w:val="single" w:sz="12" w:space="0" w:color="auto"/>
              <w:bottom w:val="double" w:sz="4" w:space="0" w:color="auto"/>
              <w:right w:val="single" w:sz="2" w:space="0" w:color="auto"/>
            </w:tcBorders>
            <w:shd w:val="clear" w:color="auto" w:fill="D9D9D9" w:themeFill="background1" w:themeFillShade="D9"/>
            <w:vAlign w:val="center"/>
          </w:tcPr>
          <w:p w:rsidR="00D06935" w:rsidRPr="000E01C3" w:rsidRDefault="00D06935" w:rsidP="00A04A6A">
            <w:pPr>
              <w:keepNext/>
              <w:widowControl/>
              <w:jc w:val="center"/>
              <w:rPr>
                <w:rFonts w:ascii="Arial Narrow" w:hAnsi="Arial Narrow"/>
                <w:iCs/>
                <w:sz w:val="20"/>
              </w:rPr>
            </w:pPr>
            <w:r w:rsidRPr="000E01C3">
              <w:rPr>
                <w:rFonts w:ascii="Arial Narrow" w:hAnsi="Arial Narrow"/>
                <w:iCs/>
                <w:sz w:val="20"/>
              </w:rPr>
              <w:t>-0.77%***</w:t>
            </w:r>
          </w:p>
          <w:p w:rsidR="00D06935" w:rsidRPr="000E01C3" w:rsidRDefault="00D06935" w:rsidP="00767476">
            <w:pPr>
              <w:keepNext/>
              <w:widowControl/>
              <w:jc w:val="center"/>
              <w:rPr>
                <w:rFonts w:ascii="Arial Narrow" w:hAnsi="Arial Narrow"/>
                <w:iCs/>
                <w:sz w:val="20"/>
              </w:rPr>
            </w:pPr>
            <w:r w:rsidRPr="000E01C3">
              <w:rPr>
                <w:rFonts w:ascii="Arial Narrow" w:hAnsi="Arial Narrow"/>
                <w:iCs/>
                <w:sz w:val="20"/>
              </w:rPr>
              <w:t>(SD=17.53)</w:t>
            </w:r>
          </w:p>
        </w:tc>
        <w:tc>
          <w:tcPr>
            <w:tcW w:w="1181" w:type="dxa"/>
            <w:tcBorders>
              <w:top w:val="single" w:sz="4" w:space="0" w:color="auto"/>
              <w:left w:val="single" w:sz="2" w:space="0" w:color="auto"/>
              <w:bottom w:val="double" w:sz="4" w:space="0" w:color="auto"/>
              <w:right w:val="single" w:sz="2" w:space="0" w:color="auto"/>
            </w:tcBorders>
            <w:shd w:val="clear" w:color="auto" w:fill="D9D9D9" w:themeFill="background1" w:themeFillShade="D9"/>
            <w:vAlign w:val="center"/>
          </w:tcPr>
          <w:p w:rsidR="00D06935" w:rsidRPr="000E01C3" w:rsidRDefault="00D06935" w:rsidP="00767476">
            <w:pPr>
              <w:keepNext/>
              <w:widowControl/>
              <w:jc w:val="center"/>
              <w:rPr>
                <w:rFonts w:ascii="Arial Narrow" w:hAnsi="Arial Narrow"/>
                <w:iCs/>
                <w:sz w:val="20"/>
              </w:rPr>
            </w:pPr>
            <w:r w:rsidRPr="000E01C3">
              <w:rPr>
                <w:rFonts w:ascii="Arial Narrow" w:hAnsi="Arial Narrow"/>
                <w:iCs/>
                <w:sz w:val="20"/>
              </w:rPr>
              <w:t>9.07 %</w:t>
            </w:r>
            <w:r w:rsidR="00767476" w:rsidRPr="000E01C3">
              <w:rPr>
                <w:rFonts w:ascii="Arial Narrow" w:hAnsi="Arial Narrow"/>
                <w:iCs/>
                <w:sz w:val="20"/>
              </w:rPr>
              <w:t xml:space="preserve"> </w:t>
            </w:r>
            <w:r w:rsidRPr="000E01C3">
              <w:rPr>
                <w:rFonts w:ascii="Arial Narrow" w:hAnsi="Arial Narrow"/>
                <w:iCs/>
                <w:sz w:val="20"/>
              </w:rPr>
              <w:t>(SD=17.67)</w:t>
            </w:r>
          </w:p>
        </w:tc>
        <w:tc>
          <w:tcPr>
            <w:tcW w:w="1418" w:type="dxa"/>
            <w:tcBorders>
              <w:top w:val="single" w:sz="4" w:space="0" w:color="auto"/>
              <w:left w:val="single" w:sz="2" w:space="0" w:color="auto"/>
              <w:bottom w:val="single" w:sz="4" w:space="0" w:color="auto"/>
              <w:right w:val="single" w:sz="4" w:space="0" w:color="auto"/>
            </w:tcBorders>
            <w:shd w:val="clear" w:color="auto" w:fill="D9D9D9" w:themeFill="background1" w:themeFillShade="D9"/>
            <w:vAlign w:val="center"/>
          </w:tcPr>
          <w:p w:rsidR="00D06935" w:rsidRPr="000E01C3" w:rsidRDefault="00D06935" w:rsidP="00A04A6A">
            <w:pPr>
              <w:keepNext/>
              <w:widowControl/>
              <w:jc w:val="center"/>
              <w:rPr>
                <w:rFonts w:ascii="Arial Narrow" w:hAnsi="Arial Narrow"/>
                <w:iCs/>
                <w:sz w:val="20"/>
              </w:rPr>
            </w:pPr>
            <w:r w:rsidRPr="000E01C3">
              <w:rPr>
                <w:rFonts w:ascii="Arial Narrow" w:hAnsi="Arial Narrow"/>
                <w:iCs/>
                <w:sz w:val="20"/>
              </w:rPr>
              <w:t>-9.84%</w:t>
            </w:r>
          </w:p>
          <w:p w:rsidR="00D06935" w:rsidRPr="000E01C3" w:rsidRDefault="00D06935" w:rsidP="00767476">
            <w:pPr>
              <w:keepNext/>
              <w:widowControl/>
              <w:jc w:val="center"/>
              <w:rPr>
                <w:rFonts w:ascii="Arial Narrow" w:hAnsi="Arial Narrow"/>
                <w:iCs/>
                <w:sz w:val="20"/>
              </w:rPr>
            </w:pPr>
            <w:r w:rsidRPr="000E01C3">
              <w:rPr>
                <w:rFonts w:ascii="Arial Narrow" w:hAnsi="Arial Narrow"/>
                <w:iCs/>
                <w:sz w:val="20"/>
              </w:rPr>
              <w:t>(-20.25, 0.57)</w:t>
            </w:r>
          </w:p>
        </w:tc>
      </w:tr>
      <w:tr w:rsidR="00D06935" w:rsidRPr="000E01C3" w:rsidTr="00C545D4">
        <w:trPr>
          <w:trHeight w:val="64"/>
        </w:trPr>
        <w:tc>
          <w:tcPr>
            <w:tcW w:w="9073" w:type="dxa"/>
            <w:gridSpan w:val="7"/>
            <w:tcBorders>
              <w:top w:val="double" w:sz="4" w:space="0" w:color="auto"/>
              <w:left w:val="single" w:sz="4" w:space="0" w:color="auto"/>
              <w:bottom w:val="single" w:sz="4" w:space="0" w:color="auto"/>
              <w:right w:val="single" w:sz="4" w:space="0" w:color="auto"/>
            </w:tcBorders>
            <w:shd w:val="clear" w:color="auto" w:fill="auto"/>
          </w:tcPr>
          <w:p w:rsidR="00D06935" w:rsidRPr="000E01C3" w:rsidRDefault="00D06935" w:rsidP="00A04A6A">
            <w:pPr>
              <w:keepNext/>
              <w:widowControl/>
              <w:rPr>
                <w:rFonts w:ascii="Arial Narrow" w:hAnsi="Arial Narrow"/>
                <w:b/>
                <w:bCs/>
                <w:sz w:val="20"/>
              </w:rPr>
            </w:pPr>
            <w:r w:rsidRPr="000E01C3">
              <w:rPr>
                <w:rFonts w:ascii="Arial Narrow" w:hAnsi="Arial Narrow"/>
                <w:b/>
                <w:bCs/>
                <w:sz w:val="20"/>
              </w:rPr>
              <w:t>Mannitol versus placebo (phase 2 trials)</w:t>
            </w:r>
          </w:p>
        </w:tc>
      </w:tr>
      <w:tr w:rsidR="00D06935" w:rsidRPr="000E01C3" w:rsidTr="00E6434E">
        <w:trPr>
          <w:trHeight w:val="686"/>
        </w:trPr>
        <w:tc>
          <w:tcPr>
            <w:tcW w:w="1560" w:type="dxa"/>
            <w:tcBorders>
              <w:top w:val="single" w:sz="4" w:space="0" w:color="auto"/>
              <w:left w:val="single" w:sz="4" w:space="0" w:color="auto"/>
              <w:bottom w:val="single" w:sz="2" w:space="0" w:color="auto"/>
              <w:right w:val="single" w:sz="2" w:space="0" w:color="auto"/>
            </w:tcBorders>
            <w:shd w:val="clear" w:color="auto" w:fill="auto"/>
            <w:vAlign w:val="center"/>
            <w:hideMark/>
          </w:tcPr>
          <w:p w:rsidR="00D06935" w:rsidRPr="000E01C3" w:rsidRDefault="00D06935" w:rsidP="00A04A6A">
            <w:pPr>
              <w:keepNext/>
              <w:widowControl/>
              <w:jc w:val="left"/>
              <w:rPr>
                <w:rFonts w:ascii="Arial Narrow" w:hAnsi="Arial Narrow"/>
                <w:sz w:val="20"/>
              </w:rPr>
            </w:pPr>
            <w:r w:rsidRPr="000E01C3">
              <w:rPr>
                <w:rFonts w:ascii="Arial Narrow" w:hAnsi="Arial Narrow"/>
                <w:sz w:val="20"/>
              </w:rPr>
              <w:t>CF-201</w:t>
            </w:r>
            <w:r w:rsidRPr="000E01C3">
              <w:rPr>
                <w:rFonts w:ascii="Arial Narrow" w:hAnsi="Arial Narrow"/>
                <w:sz w:val="20"/>
                <w:vertAlign w:val="superscript"/>
              </w:rPr>
              <w:t>#</w:t>
            </w:r>
            <w:r w:rsidRPr="000E01C3">
              <w:rPr>
                <w:rFonts w:ascii="Arial Narrow" w:hAnsi="Arial Narrow"/>
                <w:sz w:val="20"/>
              </w:rPr>
              <w:t xml:space="preserve"> (N=39)</w:t>
            </w:r>
          </w:p>
        </w:tc>
        <w:tc>
          <w:tcPr>
            <w:tcW w:w="1559" w:type="dxa"/>
            <w:tcBorders>
              <w:top w:val="single" w:sz="4" w:space="0" w:color="auto"/>
              <w:left w:val="single" w:sz="2" w:space="0" w:color="auto"/>
              <w:bottom w:val="single" w:sz="2" w:space="0" w:color="auto"/>
              <w:right w:val="single" w:sz="2" w:space="0" w:color="auto"/>
            </w:tcBorders>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120.3 mL</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(56.6, 184.0)</w:t>
            </w:r>
          </w:p>
        </w:tc>
        <w:tc>
          <w:tcPr>
            <w:tcW w:w="993" w:type="dxa"/>
            <w:tcBorders>
              <w:top w:val="single" w:sz="4" w:space="0" w:color="auto"/>
              <w:left w:val="single" w:sz="2" w:space="0" w:color="auto"/>
              <w:bottom w:val="single" w:sz="2" w:space="0" w:color="auto"/>
              <w:right w:val="single" w:sz="2" w:space="0" w:color="auto"/>
            </w:tcBorders>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1.0mL</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(-64.4, 66.3)</w:t>
            </w:r>
          </w:p>
        </w:tc>
        <w:tc>
          <w:tcPr>
            <w:tcW w:w="1133" w:type="dxa"/>
            <w:tcBorders>
              <w:top w:val="single" w:sz="4" w:space="0" w:color="auto"/>
              <w:left w:val="single" w:sz="2" w:space="0" w:color="auto"/>
              <w:bottom w:val="single" w:sz="2" w:space="0" w:color="auto"/>
              <w:right w:val="single" w:sz="12" w:space="0" w:color="auto"/>
            </w:tcBorders>
            <w:vAlign w:val="center"/>
          </w:tcPr>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119.3mL</w:t>
            </w:r>
          </w:p>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 xml:space="preserve">(29.3, 209.4) </w:t>
            </w:r>
          </w:p>
          <w:p w:rsidR="00D06935" w:rsidRPr="000E01C3" w:rsidRDefault="00D06935" w:rsidP="00A04A6A">
            <w:pPr>
              <w:keepNext/>
              <w:widowControl/>
              <w:jc w:val="center"/>
              <w:rPr>
                <w:rFonts w:ascii="Arial Narrow" w:hAnsi="Arial Narrow"/>
                <w:sz w:val="20"/>
              </w:rPr>
            </w:pPr>
            <w:r w:rsidRPr="000E01C3">
              <w:rPr>
                <w:rFonts w:ascii="Arial Narrow" w:hAnsi="Arial Narrow"/>
                <w:b/>
                <w:bCs/>
                <w:sz w:val="20"/>
              </w:rPr>
              <w:t>p&lt;0.05</w:t>
            </w:r>
          </w:p>
        </w:tc>
        <w:tc>
          <w:tcPr>
            <w:tcW w:w="1229" w:type="dxa"/>
            <w:tcBorders>
              <w:top w:val="single" w:sz="4" w:space="0" w:color="auto"/>
              <w:left w:val="single" w:sz="12" w:space="0" w:color="auto"/>
              <w:bottom w:val="single" w:sz="2" w:space="0" w:color="auto"/>
              <w:right w:val="single" w:sz="2" w:space="0" w:color="auto"/>
            </w:tcBorders>
            <w:shd w:val="clear" w:color="auto" w:fill="auto"/>
            <w:vAlign w:val="center"/>
            <w:hideMark/>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 xml:space="preserve">6.97* </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(3.44, 10.50)</w:t>
            </w:r>
          </w:p>
        </w:tc>
        <w:tc>
          <w:tcPr>
            <w:tcW w:w="1181" w:type="dxa"/>
            <w:tcBorders>
              <w:top w:val="single" w:sz="4" w:space="0" w:color="auto"/>
              <w:left w:val="single" w:sz="2" w:space="0" w:color="auto"/>
              <w:bottom w:val="single" w:sz="2" w:space="0" w:color="auto"/>
              <w:right w:val="single" w:sz="2" w:space="0" w:color="auto"/>
            </w:tcBorders>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0.30</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(-3.31, 3.92)</w:t>
            </w:r>
          </w:p>
        </w:tc>
        <w:tc>
          <w:tcPr>
            <w:tcW w:w="1418" w:type="dxa"/>
            <w:tcBorders>
              <w:top w:val="single" w:sz="4" w:space="0" w:color="auto"/>
              <w:left w:val="single" w:sz="2" w:space="0" w:color="auto"/>
              <w:bottom w:val="single" w:sz="2" w:space="0" w:color="auto"/>
              <w:right w:val="single" w:sz="4" w:space="0" w:color="auto"/>
            </w:tcBorders>
            <w:vAlign w:val="center"/>
          </w:tcPr>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6.67</w:t>
            </w:r>
          </w:p>
          <w:p w:rsidR="00D06935" w:rsidRPr="000E01C3" w:rsidRDefault="00D06935" w:rsidP="00A04A6A">
            <w:pPr>
              <w:keepNext/>
              <w:widowControl/>
              <w:jc w:val="center"/>
              <w:rPr>
                <w:rFonts w:ascii="Arial Narrow" w:hAnsi="Arial Narrow"/>
                <w:sz w:val="20"/>
              </w:rPr>
            </w:pPr>
            <w:r w:rsidRPr="000E01C3">
              <w:rPr>
                <w:rFonts w:ascii="Arial Narrow" w:hAnsi="Arial Narrow"/>
                <w:b/>
                <w:sz w:val="20"/>
              </w:rPr>
              <w:t>(1.98, 11.35)</w:t>
            </w:r>
            <w:r w:rsidRPr="000E01C3">
              <w:rPr>
                <w:rFonts w:ascii="Arial Narrow" w:hAnsi="Arial Narrow"/>
                <w:sz w:val="20"/>
              </w:rPr>
              <w:t xml:space="preserve"> (</w:t>
            </w:r>
            <w:r w:rsidRPr="000E01C3">
              <w:rPr>
                <w:rFonts w:ascii="Arial Narrow" w:hAnsi="Arial Narrow"/>
                <w:b/>
                <w:bCs/>
                <w:sz w:val="20"/>
              </w:rPr>
              <w:t>p&lt;0.01)</w:t>
            </w:r>
          </w:p>
        </w:tc>
      </w:tr>
      <w:tr w:rsidR="00D06935" w:rsidRPr="000E01C3" w:rsidTr="00C545D4">
        <w:trPr>
          <w:trHeight w:val="121"/>
        </w:trPr>
        <w:tc>
          <w:tcPr>
            <w:tcW w:w="9073" w:type="dxa"/>
            <w:gridSpan w:val="7"/>
            <w:tcBorders>
              <w:top w:val="single" w:sz="4" w:space="0" w:color="auto"/>
              <w:left w:val="single" w:sz="4" w:space="0" w:color="auto"/>
              <w:bottom w:val="single" w:sz="2" w:space="0" w:color="auto"/>
              <w:right w:val="single" w:sz="4" w:space="0" w:color="auto"/>
            </w:tcBorders>
            <w:shd w:val="clear" w:color="auto" w:fill="auto"/>
            <w:vAlign w:val="center"/>
          </w:tcPr>
          <w:p w:rsidR="00D06935" w:rsidRPr="000E01C3" w:rsidRDefault="00D06935" w:rsidP="00A04A6A">
            <w:pPr>
              <w:keepNext/>
              <w:widowControl/>
              <w:jc w:val="left"/>
              <w:rPr>
                <w:rFonts w:ascii="Arial Narrow" w:hAnsi="Arial Narrow"/>
                <w:sz w:val="20"/>
              </w:rPr>
            </w:pPr>
            <w:r w:rsidRPr="000E01C3">
              <w:rPr>
                <w:rFonts w:ascii="Arial Narrow" w:hAnsi="Arial Narrow"/>
                <w:sz w:val="20"/>
              </w:rPr>
              <w:t>Subgroup results from CF-201</w:t>
            </w:r>
          </w:p>
        </w:tc>
      </w:tr>
      <w:tr w:rsidR="00D06935" w:rsidRPr="000E01C3" w:rsidTr="00E6434E">
        <w:trPr>
          <w:trHeight w:val="255"/>
        </w:trPr>
        <w:tc>
          <w:tcPr>
            <w:tcW w:w="1560" w:type="dxa"/>
            <w:tcBorders>
              <w:top w:val="single" w:sz="4" w:space="0" w:color="auto"/>
              <w:left w:val="single" w:sz="4" w:space="0" w:color="auto"/>
              <w:bottom w:val="single" w:sz="2" w:space="0" w:color="auto"/>
              <w:right w:val="single" w:sz="2" w:space="0" w:color="auto"/>
            </w:tcBorders>
            <w:shd w:val="clear" w:color="auto" w:fill="D9D9D9" w:themeFill="background1" w:themeFillShade="D9"/>
          </w:tcPr>
          <w:p w:rsidR="00D06935" w:rsidRPr="000E01C3" w:rsidRDefault="00D06935" w:rsidP="00A04A6A">
            <w:pPr>
              <w:keepNext/>
              <w:widowControl/>
              <w:jc w:val="right"/>
              <w:rPr>
                <w:rFonts w:ascii="Arial Narrow" w:hAnsi="Arial Narrow"/>
                <w:iCs/>
                <w:sz w:val="20"/>
              </w:rPr>
            </w:pPr>
            <w:r w:rsidRPr="000E01C3">
              <w:rPr>
                <w:rFonts w:ascii="Arial Narrow" w:hAnsi="Arial Narrow"/>
                <w:iCs/>
                <w:sz w:val="20"/>
              </w:rPr>
              <w:t>DNase users</w:t>
            </w:r>
          </w:p>
          <w:p w:rsidR="00D06935" w:rsidRPr="000E01C3" w:rsidRDefault="00D06935" w:rsidP="00A04A6A">
            <w:pPr>
              <w:keepNext/>
              <w:widowControl/>
              <w:jc w:val="right"/>
              <w:rPr>
                <w:rFonts w:ascii="Arial Narrow" w:hAnsi="Arial Narrow"/>
                <w:iCs/>
                <w:sz w:val="20"/>
                <w:vertAlign w:val="superscript"/>
              </w:rPr>
            </w:pPr>
            <w:r w:rsidRPr="000E01C3">
              <w:rPr>
                <w:rFonts w:ascii="Arial Narrow" w:hAnsi="Arial Narrow"/>
                <w:iCs/>
                <w:sz w:val="20"/>
              </w:rPr>
              <w:t>(N=18)</w:t>
            </w:r>
          </w:p>
        </w:tc>
        <w:tc>
          <w:tcPr>
            <w:tcW w:w="1559" w:type="dxa"/>
            <w:tcBorders>
              <w:top w:val="single" w:sz="4" w:space="0" w:color="auto"/>
              <w:left w:val="single" w:sz="2" w:space="0" w:color="auto"/>
              <w:bottom w:val="single" w:sz="2" w:space="0" w:color="auto"/>
              <w:right w:val="single" w:sz="2" w:space="0" w:color="auto"/>
            </w:tcBorders>
            <w:shd w:val="clear" w:color="auto" w:fill="D9D9D9" w:themeFill="background1" w:themeFillShade="D9"/>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w:t>
            </w:r>
          </w:p>
        </w:tc>
        <w:tc>
          <w:tcPr>
            <w:tcW w:w="993" w:type="dxa"/>
            <w:tcBorders>
              <w:top w:val="single" w:sz="4" w:space="0" w:color="auto"/>
              <w:left w:val="single" w:sz="2" w:space="0" w:color="auto"/>
              <w:bottom w:val="single" w:sz="2" w:space="0" w:color="auto"/>
              <w:right w:val="single" w:sz="2" w:space="0" w:color="auto"/>
            </w:tcBorders>
            <w:shd w:val="clear" w:color="auto" w:fill="D9D9D9" w:themeFill="background1" w:themeFillShade="D9"/>
            <w:vAlign w:val="center"/>
          </w:tcPr>
          <w:p w:rsidR="00D06935" w:rsidRPr="000E01C3" w:rsidRDefault="00D06935" w:rsidP="00A04A6A">
            <w:pPr>
              <w:pStyle w:val="ListParagraph"/>
              <w:keepNext/>
              <w:widowControl/>
              <w:ind w:left="360"/>
              <w:jc w:val="center"/>
              <w:rPr>
                <w:rFonts w:ascii="Arial Narrow" w:hAnsi="Arial Narrow"/>
                <w:sz w:val="20"/>
              </w:rPr>
            </w:pPr>
            <w:r w:rsidRPr="000E01C3">
              <w:rPr>
                <w:rFonts w:ascii="Arial Narrow" w:hAnsi="Arial Narrow"/>
                <w:sz w:val="20"/>
              </w:rPr>
              <w:t>-</w:t>
            </w:r>
          </w:p>
        </w:tc>
        <w:tc>
          <w:tcPr>
            <w:tcW w:w="1133" w:type="dxa"/>
            <w:tcBorders>
              <w:top w:val="single" w:sz="4" w:space="0" w:color="auto"/>
              <w:left w:val="single" w:sz="2" w:space="0" w:color="auto"/>
              <w:bottom w:val="single" w:sz="2" w:space="0" w:color="auto"/>
              <w:right w:val="single" w:sz="12" w:space="0" w:color="auto"/>
            </w:tcBorders>
            <w:shd w:val="clear" w:color="auto" w:fill="D9D9D9" w:themeFill="background1" w:themeFillShade="D9"/>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w:t>
            </w:r>
          </w:p>
        </w:tc>
        <w:tc>
          <w:tcPr>
            <w:tcW w:w="1229" w:type="dxa"/>
            <w:tcBorders>
              <w:top w:val="single" w:sz="4" w:space="0" w:color="auto"/>
              <w:left w:val="single" w:sz="12" w:space="0" w:color="auto"/>
              <w:bottom w:val="single" w:sz="2" w:space="0" w:color="auto"/>
              <w:right w:val="single" w:sz="2" w:space="0" w:color="auto"/>
            </w:tcBorders>
            <w:shd w:val="clear" w:color="auto" w:fill="D9D9D9" w:themeFill="background1" w:themeFillShade="D9"/>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5.42* (SD=12.54)</w:t>
            </w:r>
          </w:p>
        </w:tc>
        <w:tc>
          <w:tcPr>
            <w:tcW w:w="1181" w:type="dxa"/>
            <w:tcBorders>
              <w:top w:val="single" w:sz="4" w:space="0" w:color="auto"/>
              <w:left w:val="single" w:sz="2" w:space="0" w:color="auto"/>
              <w:bottom w:val="single" w:sz="2" w:space="0" w:color="auto"/>
              <w:right w:val="single" w:sz="2" w:space="0" w:color="auto"/>
            </w:tcBorders>
            <w:shd w:val="clear" w:color="auto" w:fill="D9D9D9" w:themeFill="background1" w:themeFillShade="D9"/>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0.08</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(SD=8.98)</w:t>
            </w:r>
          </w:p>
        </w:tc>
        <w:tc>
          <w:tcPr>
            <w:tcW w:w="1418" w:type="dxa"/>
            <w:tcBorders>
              <w:top w:val="single" w:sz="4" w:space="0" w:color="auto"/>
              <w:left w:val="single" w:sz="2" w:space="0" w:color="auto"/>
              <w:bottom w:val="single" w:sz="2" w:space="0" w:color="auto"/>
              <w:right w:val="single" w:sz="4" w:space="0" w:color="auto"/>
            </w:tcBorders>
            <w:shd w:val="clear" w:color="auto" w:fill="D9D9D9" w:themeFill="background1" w:themeFillShade="D9"/>
            <w:vAlign w:val="center"/>
          </w:tcPr>
          <w:p w:rsidR="00D06935" w:rsidRPr="000E01C3" w:rsidRDefault="00D06935" w:rsidP="00A04A6A">
            <w:pPr>
              <w:keepNext/>
              <w:widowControl/>
              <w:jc w:val="center"/>
              <w:rPr>
                <w:rFonts w:ascii="Arial Narrow" w:hAnsi="Arial Narrow"/>
                <w:iCs/>
                <w:sz w:val="20"/>
              </w:rPr>
            </w:pPr>
            <w:r w:rsidRPr="000E01C3">
              <w:rPr>
                <w:rFonts w:ascii="Arial Narrow" w:hAnsi="Arial Narrow"/>
                <w:iCs/>
                <w:sz w:val="20"/>
              </w:rPr>
              <w:t>5.34</w:t>
            </w:r>
            <w:r w:rsidR="00767476" w:rsidRPr="000E01C3">
              <w:rPr>
                <w:rFonts w:ascii="Arial Narrow" w:hAnsi="Arial Narrow" w:cs="Times-Roman"/>
                <w:iCs/>
                <w:snapToGrid/>
                <w:sz w:val="18"/>
                <w:vertAlign w:val="superscript"/>
                <w:lang w:eastAsia="en-AU"/>
              </w:rPr>
              <w:t xml:space="preserve"> b</w:t>
            </w:r>
          </w:p>
          <w:p w:rsidR="00D06935" w:rsidRPr="000E01C3" w:rsidRDefault="00D06935" w:rsidP="00767476">
            <w:pPr>
              <w:keepNext/>
              <w:widowControl/>
              <w:jc w:val="center"/>
              <w:rPr>
                <w:rFonts w:ascii="Arial Narrow" w:hAnsi="Arial Narrow"/>
                <w:iCs/>
                <w:sz w:val="20"/>
              </w:rPr>
            </w:pPr>
            <w:r w:rsidRPr="000E01C3">
              <w:rPr>
                <w:rFonts w:ascii="Arial Narrow" w:hAnsi="Arial Narrow"/>
                <w:iCs/>
                <w:sz w:val="20"/>
              </w:rPr>
              <w:t>(-1.79, 12.47)</w:t>
            </w:r>
          </w:p>
        </w:tc>
      </w:tr>
      <w:tr w:rsidR="00D06935" w:rsidRPr="000E01C3" w:rsidTr="00E6434E">
        <w:trPr>
          <w:trHeight w:val="552"/>
        </w:trPr>
        <w:tc>
          <w:tcPr>
            <w:tcW w:w="1560" w:type="dxa"/>
            <w:tcBorders>
              <w:top w:val="single" w:sz="4" w:space="0" w:color="auto"/>
              <w:left w:val="single" w:sz="4" w:space="0" w:color="auto"/>
              <w:bottom w:val="double" w:sz="4" w:space="0" w:color="auto"/>
              <w:right w:val="single" w:sz="2" w:space="0" w:color="auto"/>
            </w:tcBorders>
            <w:shd w:val="clear" w:color="auto" w:fill="auto"/>
          </w:tcPr>
          <w:p w:rsidR="00D06935" w:rsidRPr="000E01C3" w:rsidRDefault="00D06935" w:rsidP="00A04A6A">
            <w:pPr>
              <w:keepNext/>
              <w:widowControl/>
              <w:jc w:val="right"/>
              <w:rPr>
                <w:rFonts w:ascii="Arial Narrow" w:hAnsi="Arial Narrow"/>
                <w:iCs/>
                <w:sz w:val="20"/>
                <w:vertAlign w:val="superscript"/>
              </w:rPr>
            </w:pPr>
            <w:r w:rsidRPr="000E01C3">
              <w:rPr>
                <w:rFonts w:ascii="Arial Narrow" w:hAnsi="Arial Narrow"/>
                <w:iCs/>
                <w:sz w:val="20"/>
              </w:rPr>
              <w:t>DNase non-users</w:t>
            </w:r>
            <w:r w:rsidRPr="000E01C3">
              <w:rPr>
                <w:rFonts w:ascii="Arial Narrow" w:hAnsi="Arial Narrow"/>
                <w:iCs/>
                <w:sz w:val="20"/>
                <w:vertAlign w:val="superscript"/>
              </w:rPr>
              <w:t xml:space="preserve"> </w:t>
            </w:r>
            <w:r w:rsidRPr="000E01C3">
              <w:rPr>
                <w:rFonts w:ascii="Arial Narrow" w:hAnsi="Arial Narrow"/>
                <w:iCs/>
                <w:sz w:val="20"/>
              </w:rPr>
              <w:t>(N=21)</w:t>
            </w:r>
          </w:p>
        </w:tc>
        <w:tc>
          <w:tcPr>
            <w:tcW w:w="1559" w:type="dxa"/>
            <w:tcBorders>
              <w:top w:val="single" w:sz="4" w:space="0" w:color="auto"/>
              <w:left w:val="single" w:sz="2" w:space="0" w:color="auto"/>
              <w:bottom w:val="double" w:sz="4" w:space="0" w:color="auto"/>
              <w:right w:val="single" w:sz="2" w:space="0" w:color="auto"/>
            </w:tcBorders>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w:t>
            </w:r>
          </w:p>
        </w:tc>
        <w:tc>
          <w:tcPr>
            <w:tcW w:w="993" w:type="dxa"/>
            <w:tcBorders>
              <w:top w:val="single" w:sz="4" w:space="0" w:color="auto"/>
              <w:left w:val="single" w:sz="2" w:space="0" w:color="auto"/>
              <w:bottom w:val="double" w:sz="4" w:space="0" w:color="auto"/>
              <w:right w:val="single" w:sz="2" w:space="0" w:color="auto"/>
            </w:tcBorders>
            <w:vAlign w:val="center"/>
          </w:tcPr>
          <w:p w:rsidR="00D06935" w:rsidRPr="000E01C3" w:rsidRDefault="00D06935" w:rsidP="00A04A6A">
            <w:pPr>
              <w:pStyle w:val="ListParagraph"/>
              <w:keepNext/>
              <w:widowControl/>
              <w:ind w:left="360"/>
              <w:jc w:val="center"/>
              <w:rPr>
                <w:rFonts w:ascii="Arial Narrow" w:hAnsi="Arial Narrow"/>
                <w:sz w:val="20"/>
              </w:rPr>
            </w:pPr>
            <w:r w:rsidRPr="000E01C3">
              <w:rPr>
                <w:rFonts w:ascii="Arial Narrow" w:hAnsi="Arial Narrow"/>
                <w:sz w:val="20"/>
              </w:rPr>
              <w:t>-</w:t>
            </w:r>
          </w:p>
        </w:tc>
        <w:tc>
          <w:tcPr>
            <w:tcW w:w="1133" w:type="dxa"/>
            <w:tcBorders>
              <w:top w:val="single" w:sz="4" w:space="0" w:color="auto"/>
              <w:left w:val="single" w:sz="2" w:space="0" w:color="auto"/>
              <w:bottom w:val="double" w:sz="4" w:space="0" w:color="auto"/>
              <w:right w:val="single" w:sz="12" w:space="0" w:color="auto"/>
            </w:tcBorders>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w:t>
            </w:r>
          </w:p>
        </w:tc>
        <w:tc>
          <w:tcPr>
            <w:tcW w:w="1229" w:type="dxa"/>
            <w:tcBorders>
              <w:top w:val="single" w:sz="4" w:space="0" w:color="auto"/>
              <w:left w:val="single" w:sz="12" w:space="0" w:color="auto"/>
              <w:bottom w:val="double" w:sz="4" w:space="0" w:color="auto"/>
              <w:right w:val="single" w:sz="2" w:space="0" w:color="auto"/>
            </w:tcBorders>
            <w:shd w:val="clear" w:color="auto" w:fill="auto"/>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8.35* (SD=14.02)</w:t>
            </w:r>
          </w:p>
        </w:tc>
        <w:tc>
          <w:tcPr>
            <w:tcW w:w="1181" w:type="dxa"/>
            <w:tcBorders>
              <w:top w:val="single" w:sz="4" w:space="0" w:color="auto"/>
              <w:left w:val="single" w:sz="2" w:space="0" w:color="auto"/>
              <w:bottom w:val="double" w:sz="4" w:space="0" w:color="auto"/>
              <w:right w:val="single" w:sz="2" w:space="0" w:color="auto"/>
            </w:tcBorders>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0.22</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(SD=7.74)</w:t>
            </w:r>
          </w:p>
        </w:tc>
        <w:tc>
          <w:tcPr>
            <w:tcW w:w="1418" w:type="dxa"/>
            <w:tcBorders>
              <w:top w:val="single" w:sz="4" w:space="0" w:color="auto"/>
              <w:left w:val="single" w:sz="2" w:space="0" w:color="auto"/>
              <w:bottom w:val="single" w:sz="2" w:space="0" w:color="auto"/>
              <w:right w:val="single" w:sz="4" w:space="0" w:color="auto"/>
            </w:tcBorders>
            <w:vAlign w:val="center"/>
          </w:tcPr>
          <w:p w:rsidR="00D06935" w:rsidRPr="000E01C3" w:rsidRDefault="00D06935" w:rsidP="00A04A6A">
            <w:pPr>
              <w:keepNext/>
              <w:widowControl/>
              <w:jc w:val="center"/>
              <w:rPr>
                <w:rFonts w:ascii="Arial Narrow" w:hAnsi="Arial Narrow"/>
                <w:b/>
                <w:iCs/>
                <w:sz w:val="20"/>
              </w:rPr>
            </w:pPr>
            <w:r w:rsidRPr="000E01C3">
              <w:rPr>
                <w:rFonts w:ascii="Arial Narrow" w:hAnsi="Arial Narrow"/>
                <w:b/>
                <w:iCs/>
                <w:sz w:val="20"/>
              </w:rPr>
              <w:t>8.13</w:t>
            </w:r>
            <w:r w:rsidR="00767476" w:rsidRPr="000E01C3">
              <w:rPr>
                <w:rFonts w:ascii="Arial Narrow" w:hAnsi="Arial Narrow" w:cs="Times-Roman"/>
                <w:iCs/>
                <w:snapToGrid/>
                <w:sz w:val="18"/>
                <w:vertAlign w:val="superscript"/>
                <w:lang w:eastAsia="en-AU"/>
              </w:rPr>
              <w:t xml:space="preserve"> b</w:t>
            </w:r>
          </w:p>
          <w:p w:rsidR="00D06935" w:rsidRPr="000E01C3" w:rsidRDefault="00D06935" w:rsidP="00767476">
            <w:pPr>
              <w:keepNext/>
              <w:widowControl/>
              <w:jc w:val="center"/>
              <w:rPr>
                <w:rFonts w:ascii="Arial Narrow" w:hAnsi="Arial Narrow"/>
                <w:b/>
                <w:iCs/>
                <w:sz w:val="20"/>
              </w:rPr>
            </w:pPr>
            <w:r w:rsidRPr="000E01C3">
              <w:rPr>
                <w:rFonts w:ascii="Arial Narrow" w:hAnsi="Arial Narrow"/>
                <w:b/>
                <w:iCs/>
                <w:sz w:val="20"/>
              </w:rPr>
              <w:t>(1.28, 14.98)</w:t>
            </w:r>
          </w:p>
        </w:tc>
      </w:tr>
      <w:tr w:rsidR="00D06935" w:rsidRPr="000E01C3" w:rsidTr="00C545D4">
        <w:trPr>
          <w:trHeight w:val="301"/>
        </w:trPr>
        <w:tc>
          <w:tcPr>
            <w:tcW w:w="9073" w:type="dxa"/>
            <w:gridSpan w:val="7"/>
            <w:tcBorders>
              <w:top w:val="double" w:sz="4" w:space="0" w:color="auto"/>
              <w:left w:val="single" w:sz="4" w:space="0" w:color="auto"/>
              <w:bottom w:val="single" w:sz="4" w:space="0" w:color="auto"/>
              <w:right w:val="single" w:sz="4" w:space="0" w:color="auto"/>
            </w:tcBorders>
            <w:shd w:val="clear" w:color="auto" w:fill="auto"/>
          </w:tcPr>
          <w:p w:rsidR="00D06935" w:rsidRPr="000E01C3" w:rsidRDefault="00D06935" w:rsidP="00A04A6A">
            <w:pPr>
              <w:keepNext/>
              <w:widowControl/>
              <w:rPr>
                <w:rFonts w:ascii="Arial Narrow" w:hAnsi="Arial Narrow"/>
                <w:b/>
                <w:bCs/>
                <w:sz w:val="20"/>
              </w:rPr>
            </w:pPr>
            <w:r w:rsidRPr="000E01C3">
              <w:rPr>
                <w:rFonts w:ascii="Arial Narrow" w:hAnsi="Arial Narrow"/>
                <w:b/>
                <w:bCs/>
                <w:sz w:val="20"/>
              </w:rPr>
              <w:t>Mannitol versus control (50 mg BD mannitol) (phase 3 trials)</w:t>
            </w:r>
          </w:p>
        </w:tc>
      </w:tr>
      <w:tr w:rsidR="00D06935" w:rsidRPr="000E01C3" w:rsidTr="00E6434E">
        <w:trPr>
          <w:trHeight w:val="488"/>
        </w:trPr>
        <w:tc>
          <w:tcPr>
            <w:tcW w:w="1560" w:type="dxa"/>
            <w:tcBorders>
              <w:top w:val="single" w:sz="4" w:space="0" w:color="auto"/>
              <w:left w:val="single" w:sz="4" w:space="0" w:color="auto"/>
              <w:bottom w:val="single" w:sz="2" w:space="0" w:color="auto"/>
              <w:right w:val="single" w:sz="2" w:space="0" w:color="auto"/>
            </w:tcBorders>
            <w:shd w:val="clear" w:color="auto" w:fill="auto"/>
            <w:vAlign w:val="center"/>
            <w:hideMark/>
          </w:tcPr>
          <w:p w:rsidR="00D06935" w:rsidRPr="000E01C3" w:rsidRDefault="00D06935" w:rsidP="00A04A6A">
            <w:pPr>
              <w:keepNext/>
              <w:widowControl/>
              <w:jc w:val="left"/>
              <w:rPr>
                <w:rFonts w:ascii="Arial Narrow" w:hAnsi="Arial Narrow"/>
                <w:sz w:val="20"/>
              </w:rPr>
            </w:pPr>
            <w:r w:rsidRPr="000E01C3">
              <w:rPr>
                <w:rFonts w:ascii="Arial Narrow" w:hAnsi="Arial Narrow"/>
                <w:sz w:val="20"/>
              </w:rPr>
              <w:t>CF-301 (N=295)</w:t>
            </w:r>
          </w:p>
        </w:tc>
        <w:tc>
          <w:tcPr>
            <w:tcW w:w="1559" w:type="dxa"/>
            <w:tcBorders>
              <w:top w:val="single" w:sz="4" w:space="0" w:color="auto"/>
              <w:left w:val="single" w:sz="2" w:space="0" w:color="auto"/>
              <w:bottom w:val="single" w:sz="2" w:space="0" w:color="auto"/>
              <w:right w:val="single" w:sz="2" w:space="0" w:color="auto"/>
            </w:tcBorders>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121.35mL (89.2, 153.5)</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p&lt;0.001</w:t>
            </w:r>
          </w:p>
        </w:tc>
        <w:tc>
          <w:tcPr>
            <w:tcW w:w="993" w:type="dxa"/>
            <w:tcBorders>
              <w:top w:val="single" w:sz="4" w:space="0" w:color="auto"/>
              <w:left w:val="single" w:sz="2" w:space="0" w:color="auto"/>
              <w:bottom w:val="single" w:sz="2" w:space="0" w:color="auto"/>
              <w:right w:val="single" w:sz="2" w:space="0" w:color="auto"/>
            </w:tcBorders>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26.9mL</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(-10.2, 63.9)</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p=0.154</w:t>
            </w:r>
          </w:p>
        </w:tc>
        <w:tc>
          <w:tcPr>
            <w:tcW w:w="1133" w:type="dxa"/>
            <w:tcBorders>
              <w:top w:val="single" w:sz="4" w:space="0" w:color="auto"/>
              <w:left w:val="single" w:sz="2" w:space="0" w:color="auto"/>
              <w:bottom w:val="single" w:sz="2" w:space="0" w:color="auto"/>
              <w:right w:val="single" w:sz="12" w:space="0" w:color="auto"/>
            </w:tcBorders>
            <w:vAlign w:val="center"/>
          </w:tcPr>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94.45mL</w:t>
            </w:r>
          </w:p>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(46.2, 142.7)</w:t>
            </w:r>
          </w:p>
          <w:p w:rsidR="00D06935" w:rsidRPr="000E01C3" w:rsidRDefault="00D06935" w:rsidP="00A04A6A">
            <w:pPr>
              <w:keepNext/>
              <w:widowControl/>
              <w:jc w:val="center"/>
              <w:rPr>
                <w:rFonts w:ascii="Arial Narrow" w:hAnsi="Arial Narrow"/>
                <w:b/>
                <w:bCs/>
                <w:sz w:val="20"/>
              </w:rPr>
            </w:pPr>
            <w:r w:rsidRPr="000E01C3">
              <w:rPr>
                <w:rFonts w:ascii="Arial Narrow" w:hAnsi="Arial Narrow"/>
                <w:b/>
                <w:bCs/>
                <w:sz w:val="20"/>
              </w:rPr>
              <w:t>p&lt;0.001</w:t>
            </w:r>
          </w:p>
        </w:tc>
        <w:tc>
          <w:tcPr>
            <w:tcW w:w="1229" w:type="dxa"/>
            <w:tcBorders>
              <w:top w:val="single" w:sz="4" w:space="0" w:color="auto"/>
              <w:left w:val="single" w:sz="12" w:space="0" w:color="auto"/>
              <w:bottom w:val="single" w:sz="2" w:space="0" w:color="auto"/>
              <w:right w:val="single" w:sz="2" w:space="0" w:color="auto"/>
            </w:tcBorders>
            <w:shd w:val="clear" w:color="auto" w:fill="auto"/>
            <w:vAlign w:val="center"/>
            <w:hideMark/>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 xml:space="preserve">6.32%** </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(4.6, 8.1)</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p&lt;0.001</w:t>
            </w:r>
          </w:p>
        </w:tc>
        <w:tc>
          <w:tcPr>
            <w:tcW w:w="1181" w:type="dxa"/>
            <w:tcBorders>
              <w:top w:val="single" w:sz="4" w:space="0" w:color="auto"/>
              <w:left w:val="single" w:sz="2" w:space="0" w:color="auto"/>
              <w:bottom w:val="single" w:sz="2" w:space="0" w:color="auto"/>
              <w:right w:val="single" w:sz="2" w:space="0" w:color="auto"/>
            </w:tcBorders>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 xml:space="preserve">2.42% </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(0.4, 4.4)</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p=0.018</w:t>
            </w:r>
          </w:p>
        </w:tc>
        <w:tc>
          <w:tcPr>
            <w:tcW w:w="1418" w:type="dxa"/>
            <w:tcBorders>
              <w:top w:val="single" w:sz="4" w:space="0" w:color="auto"/>
              <w:left w:val="single" w:sz="2" w:space="0" w:color="auto"/>
              <w:bottom w:val="single" w:sz="2" w:space="0" w:color="auto"/>
              <w:right w:val="single" w:sz="4" w:space="0" w:color="auto"/>
            </w:tcBorders>
            <w:vAlign w:val="center"/>
          </w:tcPr>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3.91%</w:t>
            </w:r>
          </w:p>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(1.31, 6.50)</w:t>
            </w:r>
          </w:p>
          <w:p w:rsidR="00D06935" w:rsidRPr="000E01C3" w:rsidRDefault="00D06935" w:rsidP="00A04A6A">
            <w:pPr>
              <w:keepNext/>
              <w:widowControl/>
              <w:jc w:val="center"/>
              <w:rPr>
                <w:rFonts w:ascii="Arial Narrow" w:hAnsi="Arial Narrow"/>
                <w:b/>
                <w:bCs/>
                <w:sz w:val="20"/>
              </w:rPr>
            </w:pPr>
            <w:r w:rsidRPr="000E01C3">
              <w:rPr>
                <w:rFonts w:ascii="Arial Narrow" w:hAnsi="Arial Narrow"/>
                <w:b/>
                <w:bCs/>
                <w:sz w:val="20"/>
              </w:rPr>
              <w:t>p=0.003</w:t>
            </w:r>
          </w:p>
        </w:tc>
      </w:tr>
      <w:tr w:rsidR="00D06935" w:rsidRPr="000E01C3" w:rsidTr="00E6434E">
        <w:trPr>
          <w:trHeight w:val="489"/>
        </w:trPr>
        <w:tc>
          <w:tcPr>
            <w:tcW w:w="1560" w:type="dxa"/>
            <w:tcBorders>
              <w:top w:val="single" w:sz="2" w:space="0" w:color="auto"/>
              <w:left w:val="single" w:sz="4" w:space="0" w:color="auto"/>
              <w:bottom w:val="single" w:sz="2" w:space="0" w:color="auto"/>
              <w:right w:val="single" w:sz="2" w:space="0" w:color="auto"/>
            </w:tcBorders>
            <w:shd w:val="clear" w:color="auto" w:fill="auto"/>
            <w:vAlign w:val="center"/>
            <w:hideMark/>
          </w:tcPr>
          <w:p w:rsidR="00D06935" w:rsidRPr="000E01C3" w:rsidRDefault="00D06935" w:rsidP="00A04A6A">
            <w:pPr>
              <w:keepNext/>
              <w:widowControl/>
              <w:jc w:val="left"/>
              <w:rPr>
                <w:rFonts w:ascii="Arial Narrow" w:hAnsi="Arial Narrow"/>
                <w:sz w:val="20"/>
              </w:rPr>
            </w:pPr>
            <w:r w:rsidRPr="000E01C3">
              <w:rPr>
                <w:rFonts w:ascii="Arial Narrow" w:hAnsi="Arial Narrow"/>
                <w:sz w:val="20"/>
              </w:rPr>
              <w:t>CF-302 (N=305)</w:t>
            </w:r>
          </w:p>
        </w:tc>
        <w:tc>
          <w:tcPr>
            <w:tcW w:w="1559" w:type="dxa"/>
            <w:tcBorders>
              <w:top w:val="single" w:sz="2" w:space="0" w:color="auto"/>
              <w:left w:val="single" w:sz="2" w:space="0" w:color="auto"/>
              <w:bottom w:val="single" w:sz="2" w:space="0" w:color="auto"/>
              <w:right w:val="single" w:sz="2" w:space="0" w:color="auto"/>
            </w:tcBorders>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106.53 mL (62.4, 150.6) p&lt;0.001</w:t>
            </w:r>
          </w:p>
        </w:tc>
        <w:tc>
          <w:tcPr>
            <w:tcW w:w="993" w:type="dxa"/>
            <w:tcBorders>
              <w:top w:val="single" w:sz="2" w:space="0" w:color="auto"/>
              <w:left w:val="single" w:sz="2" w:space="0" w:color="auto"/>
              <w:bottom w:val="single" w:sz="2" w:space="0" w:color="auto"/>
              <w:right w:val="single" w:sz="2" w:space="0" w:color="auto"/>
            </w:tcBorders>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52.38mL</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(2.1, 102.7) p=0.041</w:t>
            </w:r>
          </w:p>
        </w:tc>
        <w:tc>
          <w:tcPr>
            <w:tcW w:w="1133" w:type="dxa"/>
            <w:tcBorders>
              <w:top w:val="single" w:sz="2" w:space="0" w:color="auto"/>
              <w:left w:val="single" w:sz="2" w:space="0" w:color="auto"/>
              <w:bottom w:val="single" w:sz="2" w:space="0" w:color="auto"/>
              <w:right w:val="single" w:sz="12" w:space="0" w:color="auto"/>
            </w:tcBorders>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54.14mL</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(-2.0, 110.3) p=0.059</w:t>
            </w:r>
          </w:p>
        </w:tc>
        <w:tc>
          <w:tcPr>
            <w:tcW w:w="1229" w:type="dxa"/>
            <w:tcBorders>
              <w:top w:val="single" w:sz="2" w:space="0" w:color="auto"/>
              <w:left w:val="single" w:sz="12" w:space="0" w:color="auto"/>
              <w:bottom w:val="single" w:sz="2" w:space="0" w:color="auto"/>
              <w:right w:val="single" w:sz="2" w:space="0" w:color="auto"/>
            </w:tcBorders>
            <w:shd w:val="clear" w:color="auto" w:fill="auto"/>
            <w:vAlign w:val="center"/>
            <w:hideMark/>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8.22%**</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(5.6, 10.9)</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p&lt;0.001</w:t>
            </w:r>
          </w:p>
        </w:tc>
        <w:tc>
          <w:tcPr>
            <w:tcW w:w="1181" w:type="dxa"/>
            <w:tcBorders>
              <w:top w:val="single" w:sz="2" w:space="0" w:color="auto"/>
              <w:left w:val="single" w:sz="2" w:space="0" w:color="auto"/>
              <w:bottom w:val="single" w:sz="2" w:space="0" w:color="auto"/>
              <w:right w:val="single" w:sz="2" w:space="0" w:color="auto"/>
            </w:tcBorders>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4.47%</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(1.4, 7.5)</w:t>
            </w:r>
          </w:p>
          <w:p w:rsidR="00D06935" w:rsidRPr="000E01C3" w:rsidRDefault="00D06935" w:rsidP="00A04A6A">
            <w:pPr>
              <w:keepNext/>
              <w:widowControl/>
              <w:jc w:val="center"/>
              <w:rPr>
                <w:rFonts w:ascii="Arial Narrow" w:hAnsi="Arial Narrow"/>
                <w:sz w:val="20"/>
                <w:highlight w:val="yellow"/>
              </w:rPr>
            </w:pPr>
            <w:r w:rsidRPr="000E01C3">
              <w:rPr>
                <w:rFonts w:ascii="Arial Narrow" w:hAnsi="Arial Narrow"/>
                <w:sz w:val="20"/>
              </w:rPr>
              <w:t>p=0.004</w:t>
            </w:r>
          </w:p>
        </w:tc>
        <w:tc>
          <w:tcPr>
            <w:tcW w:w="1418" w:type="dxa"/>
            <w:tcBorders>
              <w:top w:val="single" w:sz="2" w:space="0" w:color="auto"/>
              <w:left w:val="single" w:sz="2" w:space="0" w:color="auto"/>
              <w:bottom w:val="single" w:sz="2" w:space="0" w:color="auto"/>
              <w:right w:val="single" w:sz="4" w:space="0" w:color="auto"/>
            </w:tcBorders>
            <w:vAlign w:val="center"/>
          </w:tcPr>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3.75%</w:t>
            </w:r>
          </w:p>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(0.38, 7.12)</w:t>
            </w:r>
          </w:p>
          <w:p w:rsidR="00D06935" w:rsidRPr="000E01C3" w:rsidRDefault="00D06935" w:rsidP="00A04A6A">
            <w:pPr>
              <w:keepNext/>
              <w:widowControl/>
              <w:jc w:val="center"/>
              <w:rPr>
                <w:rFonts w:ascii="Arial Narrow" w:hAnsi="Arial Narrow"/>
                <w:b/>
                <w:bCs/>
                <w:sz w:val="20"/>
                <w:highlight w:val="yellow"/>
              </w:rPr>
            </w:pPr>
            <w:r w:rsidRPr="000E01C3">
              <w:rPr>
                <w:rFonts w:ascii="Arial Narrow" w:hAnsi="Arial Narrow"/>
                <w:b/>
                <w:bCs/>
                <w:sz w:val="20"/>
              </w:rPr>
              <w:t>p=0.0291</w:t>
            </w:r>
          </w:p>
        </w:tc>
      </w:tr>
      <w:tr w:rsidR="00D06935" w:rsidRPr="000E01C3" w:rsidTr="00E6434E">
        <w:trPr>
          <w:trHeight w:val="489"/>
        </w:trPr>
        <w:tc>
          <w:tcPr>
            <w:tcW w:w="1560" w:type="dxa"/>
            <w:tcBorders>
              <w:top w:val="single" w:sz="2" w:space="0" w:color="auto"/>
              <w:left w:val="single" w:sz="4" w:space="0" w:color="auto"/>
              <w:bottom w:val="single" w:sz="2" w:space="0" w:color="auto"/>
              <w:right w:val="single" w:sz="2" w:space="0" w:color="auto"/>
            </w:tcBorders>
            <w:shd w:val="clear" w:color="auto" w:fill="auto"/>
            <w:vAlign w:val="center"/>
          </w:tcPr>
          <w:p w:rsidR="00D06935" w:rsidRPr="000E01C3" w:rsidRDefault="00D06935" w:rsidP="00A04A6A">
            <w:pPr>
              <w:keepNext/>
              <w:widowControl/>
              <w:jc w:val="right"/>
              <w:rPr>
                <w:rFonts w:ascii="Arial Narrow" w:hAnsi="Arial Narrow"/>
                <w:bCs/>
                <w:sz w:val="20"/>
              </w:rPr>
            </w:pPr>
            <w:r w:rsidRPr="000E01C3">
              <w:rPr>
                <w:rFonts w:ascii="Arial Narrow" w:hAnsi="Arial Narrow"/>
                <w:bCs/>
                <w:sz w:val="20"/>
              </w:rPr>
              <w:t>Pooled CF-301/302</w:t>
            </w:r>
          </w:p>
        </w:tc>
        <w:tc>
          <w:tcPr>
            <w:tcW w:w="1559" w:type="dxa"/>
            <w:tcBorders>
              <w:top w:val="single" w:sz="2" w:space="0" w:color="auto"/>
              <w:left w:val="single" w:sz="2" w:space="0" w:color="auto"/>
              <w:bottom w:val="single" w:sz="2" w:space="0" w:color="auto"/>
              <w:right w:val="single" w:sz="2" w:space="0" w:color="auto"/>
            </w:tcBorders>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114.05 mL (87.2, 140.9)</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p&lt;0.001</w:t>
            </w:r>
          </w:p>
        </w:tc>
        <w:tc>
          <w:tcPr>
            <w:tcW w:w="993" w:type="dxa"/>
            <w:tcBorders>
              <w:top w:val="single" w:sz="2" w:space="0" w:color="auto"/>
              <w:left w:val="single" w:sz="2" w:space="0" w:color="auto"/>
              <w:bottom w:val="single" w:sz="2" w:space="0" w:color="auto"/>
              <w:right w:val="single" w:sz="2" w:space="0" w:color="auto"/>
            </w:tcBorders>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40.63mL</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(9.9, 71.4)</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p=0.01</w:t>
            </w:r>
          </w:p>
        </w:tc>
        <w:tc>
          <w:tcPr>
            <w:tcW w:w="1133" w:type="dxa"/>
            <w:tcBorders>
              <w:top w:val="single" w:sz="2" w:space="0" w:color="auto"/>
              <w:left w:val="single" w:sz="2" w:space="0" w:color="auto"/>
              <w:bottom w:val="single" w:sz="2" w:space="0" w:color="auto"/>
              <w:right w:val="single" w:sz="12" w:space="0" w:color="auto"/>
            </w:tcBorders>
            <w:vAlign w:val="center"/>
          </w:tcPr>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73.42mL</w:t>
            </w:r>
          </w:p>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(36.2, 110.7)</w:t>
            </w:r>
          </w:p>
          <w:p w:rsidR="00D06935" w:rsidRPr="000E01C3" w:rsidRDefault="00D06935" w:rsidP="00A04A6A">
            <w:pPr>
              <w:keepNext/>
              <w:widowControl/>
              <w:jc w:val="center"/>
              <w:rPr>
                <w:rFonts w:ascii="Arial Narrow" w:hAnsi="Arial Narrow"/>
                <w:b/>
                <w:bCs/>
                <w:sz w:val="20"/>
              </w:rPr>
            </w:pPr>
            <w:r w:rsidRPr="000E01C3">
              <w:rPr>
                <w:rFonts w:ascii="Arial Narrow" w:hAnsi="Arial Narrow"/>
                <w:b/>
                <w:bCs/>
                <w:sz w:val="20"/>
              </w:rPr>
              <w:t>p&lt;0.001</w:t>
            </w:r>
          </w:p>
        </w:tc>
        <w:tc>
          <w:tcPr>
            <w:tcW w:w="1229" w:type="dxa"/>
            <w:tcBorders>
              <w:top w:val="single" w:sz="2" w:space="0" w:color="auto"/>
              <w:left w:val="single" w:sz="12" w:space="0" w:color="auto"/>
              <w:bottom w:val="single" w:sz="2" w:space="0" w:color="auto"/>
              <w:right w:val="single" w:sz="2" w:space="0" w:color="auto"/>
            </w:tcBorders>
            <w:shd w:val="clear" w:color="auto" w:fill="auto"/>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 xml:space="preserve">7.32% </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(5.8, 8.9)</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p&lt;0.001</w:t>
            </w:r>
          </w:p>
        </w:tc>
        <w:tc>
          <w:tcPr>
            <w:tcW w:w="1181" w:type="dxa"/>
            <w:tcBorders>
              <w:top w:val="single" w:sz="2" w:space="0" w:color="auto"/>
              <w:left w:val="single" w:sz="2" w:space="0" w:color="auto"/>
              <w:bottom w:val="single" w:sz="2" w:space="0" w:color="auto"/>
              <w:right w:val="single" w:sz="2" w:space="0" w:color="auto"/>
            </w:tcBorders>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3.52%</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(1.7, 5.3)</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p&lt;0.001</w:t>
            </w:r>
          </w:p>
        </w:tc>
        <w:tc>
          <w:tcPr>
            <w:tcW w:w="1418" w:type="dxa"/>
            <w:tcBorders>
              <w:top w:val="single" w:sz="2" w:space="0" w:color="auto"/>
              <w:left w:val="single" w:sz="2" w:space="0" w:color="auto"/>
              <w:bottom w:val="single" w:sz="2" w:space="0" w:color="auto"/>
              <w:right w:val="single" w:sz="4" w:space="0" w:color="auto"/>
            </w:tcBorders>
            <w:vAlign w:val="center"/>
          </w:tcPr>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3.80%</w:t>
            </w:r>
          </w:p>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(1.64, 5.96)</w:t>
            </w:r>
          </w:p>
          <w:p w:rsidR="00D06935" w:rsidRPr="000E01C3" w:rsidRDefault="00D06935" w:rsidP="00A04A6A">
            <w:pPr>
              <w:keepNext/>
              <w:widowControl/>
              <w:jc w:val="center"/>
              <w:rPr>
                <w:rFonts w:ascii="Arial Narrow" w:hAnsi="Arial Narrow"/>
                <w:b/>
                <w:bCs/>
                <w:sz w:val="20"/>
              </w:rPr>
            </w:pPr>
            <w:r w:rsidRPr="000E01C3">
              <w:rPr>
                <w:rFonts w:ascii="Arial Narrow" w:hAnsi="Arial Narrow"/>
                <w:b/>
                <w:bCs/>
                <w:sz w:val="20"/>
              </w:rPr>
              <w:t>p&lt;0.001</w:t>
            </w:r>
          </w:p>
        </w:tc>
      </w:tr>
      <w:tr w:rsidR="00D06935" w:rsidRPr="000E01C3" w:rsidTr="00C545D4">
        <w:trPr>
          <w:trHeight w:val="186"/>
        </w:trPr>
        <w:tc>
          <w:tcPr>
            <w:tcW w:w="9073" w:type="dxa"/>
            <w:gridSpan w:val="7"/>
            <w:tcBorders>
              <w:top w:val="single" w:sz="2" w:space="0" w:color="auto"/>
              <w:left w:val="single" w:sz="4" w:space="0" w:color="auto"/>
              <w:bottom w:val="single" w:sz="2" w:space="0" w:color="auto"/>
              <w:right w:val="single" w:sz="4" w:space="0" w:color="auto"/>
            </w:tcBorders>
            <w:shd w:val="clear" w:color="auto" w:fill="auto"/>
            <w:vAlign w:val="center"/>
          </w:tcPr>
          <w:p w:rsidR="00D06935" w:rsidRPr="000E01C3" w:rsidRDefault="00D06935" w:rsidP="00A04A6A">
            <w:pPr>
              <w:keepNext/>
              <w:widowControl/>
              <w:jc w:val="left"/>
              <w:rPr>
                <w:rFonts w:ascii="Arial Narrow" w:hAnsi="Arial Narrow"/>
                <w:sz w:val="20"/>
              </w:rPr>
            </w:pPr>
            <w:r w:rsidRPr="000E01C3">
              <w:rPr>
                <w:rFonts w:ascii="Arial Narrow" w:hAnsi="Arial Narrow"/>
                <w:bCs/>
                <w:sz w:val="20"/>
              </w:rPr>
              <w:t>Subgroups of the combined CF</w:t>
            </w:r>
            <w:r w:rsidR="003F1A49" w:rsidRPr="000E01C3">
              <w:rPr>
                <w:rFonts w:ascii="Arial Narrow" w:hAnsi="Arial Narrow"/>
                <w:bCs/>
                <w:sz w:val="20"/>
              </w:rPr>
              <w:t>-</w:t>
            </w:r>
            <w:r w:rsidRPr="000E01C3">
              <w:rPr>
                <w:rFonts w:ascii="Arial Narrow" w:hAnsi="Arial Narrow"/>
                <w:bCs/>
                <w:sz w:val="20"/>
              </w:rPr>
              <w:t>301/302 populations</w:t>
            </w:r>
          </w:p>
        </w:tc>
      </w:tr>
      <w:tr w:rsidR="00D06935" w:rsidRPr="000E01C3" w:rsidTr="00E6434E">
        <w:trPr>
          <w:trHeight w:val="489"/>
        </w:trPr>
        <w:tc>
          <w:tcPr>
            <w:tcW w:w="1560" w:type="dxa"/>
            <w:tcBorders>
              <w:top w:val="single" w:sz="2" w:space="0" w:color="auto"/>
              <w:left w:val="single" w:sz="4" w:space="0" w:color="auto"/>
              <w:bottom w:val="single" w:sz="2" w:space="0" w:color="auto"/>
              <w:right w:val="single" w:sz="2" w:space="0" w:color="auto"/>
            </w:tcBorders>
            <w:shd w:val="clear" w:color="auto" w:fill="D9D9D9" w:themeFill="background1" w:themeFillShade="D9"/>
            <w:vAlign w:val="center"/>
          </w:tcPr>
          <w:p w:rsidR="00D06935" w:rsidRPr="000E01C3" w:rsidRDefault="00D06935" w:rsidP="00A04A6A">
            <w:pPr>
              <w:keepNext/>
              <w:widowControl/>
              <w:jc w:val="right"/>
              <w:rPr>
                <w:rFonts w:ascii="Arial Narrow" w:hAnsi="Arial Narrow"/>
                <w:sz w:val="20"/>
              </w:rPr>
            </w:pPr>
            <w:r w:rsidRPr="000E01C3">
              <w:rPr>
                <w:rFonts w:ascii="Arial Narrow" w:hAnsi="Arial Narrow"/>
                <w:sz w:val="20"/>
              </w:rPr>
              <w:t>DNase users</w:t>
            </w:r>
          </w:p>
          <w:p w:rsidR="00D06935" w:rsidRPr="000E01C3" w:rsidRDefault="00D06935" w:rsidP="00A04A6A">
            <w:pPr>
              <w:keepNext/>
              <w:widowControl/>
              <w:jc w:val="right"/>
              <w:rPr>
                <w:rFonts w:ascii="Arial Narrow" w:hAnsi="Arial Narrow"/>
                <w:sz w:val="20"/>
              </w:rPr>
            </w:pPr>
            <w:r w:rsidRPr="000E01C3">
              <w:rPr>
                <w:rFonts w:ascii="Arial Narrow" w:hAnsi="Arial Narrow"/>
                <w:sz w:val="20"/>
              </w:rPr>
              <w:t xml:space="preserve">(N=392) </w:t>
            </w:r>
          </w:p>
        </w:tc>
        <w:tc>
          <w:tcPr>
            <w:tcW w:w="155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79.38mL (46.6, 112.2)</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p&lt;0.001</w:t>
            </w:r>
          </w:p>
        </w:tc>
        <w:tc>
          <w:tcPr>
            <w:tcW w:w="99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22.65mL</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(-14.6, 60.0)</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p=0.233</w:t>
            </w:r>
          </w:p>
        </w:tc>
        <w:tc>
          <w:tcPr>
            <w:tcW w:w="1133" w:type="dxa"/>
            <w:tcBorders>
              <w:top w:val="single" w:sz="2" w:space="0" w:color="auto"/>
              <w:left w:val="single" w:sz="2" w:space="0" w:color="auto"/>
              <w:bottom w:val="single" w:sz="2" w:space="0" w:color="auto"/>
              <w:right w:val="single" w:sz="12" w:space="0" w:color="auto"/>
            </w:tcBorders>
            <w:shd w:val="clear" w:color="auto" w:fill="D9D9D9" w:themeFill="background1" w:themeFillShade="D9"/>
            <w:vAlign w:val="center"/>
          </w:tcPr>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56.73mL</w:t>
            </w:r>
          </w:p>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(12.1, 101.4)</w:t>
            </w:r>
          </w:p>
          <w:p w:rsidR="00D06935" w:rsidRPr="000E01C3" w:rsidRDefault="00D06935" w:rsidP="00A04A6A">
            <w:pPr>
              <w:keepNext/>
              <w:widowControl/>
              <w:jc w:val="center"/>
              <w:rPr>
                <w:rFonts w:ascii="Arial Narrow" w:hAnsi="Arial Narrow"/>
                <w:b/>
                <w:bCs/>
                <w:sz w:val="20"/>
              </w:rPr>
            </w:pPr>
            <w:r w:rsidRPr="000E01C3">
              <w:rPr>
                <w:rFonts w:ascii="Arial Narrow" w:hAnsi="Arial Narrow"/>
                <w:b/>
                <w:bCs/>
                <w:sz w:val="20"/>
              </w:rPr>
              <w:t>p=0.013</w:t>
            </w:r>
          </w:p>
        </w:tc>
        <w:tc>
          <w:tcPr>
            <w:tcW w:w="1229" w:type="dxa"/>
            <w:tcBorders>
              <w:top w:val="single" w:sz="2" w:space="0" w:color="auto"/>
              <w:left w:val="single" w:sz="12" w:space="0" w:color="auto"/>
              <w:bottom w:val="single" w:sz="2" w:space="0" w:color="auto"/>
              <w:right w:val="single" w:sz="2" w:space="0" w:color="auto"/>
            </w:tcBorders>
            <w:shd w:val="clear" w:color="auto" w:fill="D9D9D9" w:themeFill="background1" w:themeFillShade="D9"/>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5.34%</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(3.4, 7.3)</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p&lt;0.001</w:t>
            </w:r>
          </w:p>
        </w:tc>
        <w:tc>
          <w:tcPr>
            <w:tcW w:w="118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2.21%</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(0.01, 4.4)</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p=0.049</w:t>
            </w:r>
          </w:p>
        </w:tc>
        <w:tc>
          <w:tcPr>
            <w:tcW w:w="1418"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3.14%</w:t>
            </w:r>
          </w:p>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(0.50, 5.78)</w:t>
            </w:r>
          </w:p>
          <w:p w:rsidR="00D06935" w:rsidRPr="000E01C3" w:rsidRDefault="00D06935" w:rsidP="00A04A6A">
            <w:pPr>
              <w:keepNext/>
              <w:widowControl/>
              <w:jc w:val="center"/>
              <w:rPr>
                <w:rFonts w:ascii="Arial Narrow" w:hAnsi="Arial Narrow"/>
                <w:b/>
                <w:bCs/>
                <w:sz w:val="20"/>
              </w:rPr>
            </w:pPr>
            <w:r w:rsidRPr="000E01C3">
              <w:rPr>
                <w:rFonts w:ascii="Arial Narrow" w:hAnsi="Arial Narrow"/>
                <w:b/>
                <w:bCs/>
                <w:sz w:val="20"/>
              </w:rPr>
              <w:t>p=0.02</w:t>
            </w:r>
          </w:p>
        </w:tc>
      </w:tr>
      <w:tr w:rsidR="00D06935" w:rsidRPr="000E01C3" w:rsidTr="00E6434E">
        <w:trPr>
          <w:trHeight w:val="489"/>
        </w:trPr>
        <w:tc>
          <w:tcPr>
            <w:tcW w:w="1560" w:type="dxa"/>
            <w:tcBorders>
              <w:top w:val="single" w:sz="2" w:space="0" w:color="auto"/>
              <w:left w:val="single" w:sz="4" w:space="0" w:color="auto"/>
              <w:bottom w:val="single" w:sz="2" w:space="0" w:color="auto"/>
              <w:right w:val="single" w:sz="2" w:space="0" w:color="auto"/>
            </w:tcBorders>
            <w:shd w:val="clear" w:color="auto" w:fill="auto"/>
            <w:vAlign w:val="center"/>
          </w:tcPr>
          <w:p w:rsidR="00D06935" w:rsidRPr="000E01C3" w:rsidRDefault="00D06935" w:rsidP="00A04A6A">
            <w:pPr>
              <w:keepNext/>
              <w:widowControl/>
              <w:jc w:val="right"/>
              <w:rPr>
                <w:rFonts w:ascii="Arial Narrow" w:hAnsi="Arial Narrow"/>
                <w:sz w:val="20"/>
              </w:rPr>
            </w:pPr>
            <w:r w:rsidRPr="000E01C3">
              <w:rPr>
                <w:rFonts w:ascii="Arial Narrow" w:hAnsi="Arial Narrow"/>
                <w:sz w:val="20"/>
              </w:rPr>
              <w:t>DNase non-users</w:t>
            </w:r>
          </w:p>
          <w:p w:rsidR="00D06935" w:rsidRPr="000E01C3" w:rsidRDefault="00D06935" w:rsidP="00A04A6A">
            <w:pPr>
              <w:keepNext/>
              <w:widowControl/>
              <w:jc w:val="right"/>
              <w:rPr>
                <w:rFonts w:ascii="Arial Narrow" w:hAnsi="Arial Narrow"/>
                <w:sz w:val="20"/>
              </w:rPr>
            </w:pPr>
            <w:r w:rsidRPr="000E01C3">
              <w:rPr>
                <w:rFonts w:ascii="Arial Narrow" w:hAnsi="Arial Narrow"/>
                <w:sz w:val="20"/>
              </w:rPr>
              <w:t>(N=208)</w:t>
            </w:r>
          </w:p>
        </w:tc>
        <w:tc>
          <w:tcPr>
            <w:tcW w:w="1559" w:type="dxa"/>
            <w:tcBorders>
              <w:top w:val="single" w:sz="2" w:space="0" w:color="auto"/>
              <w:left w:val="single" w:sz="2" w:space="0" w:color="auto"/>
              <w:bottom w:val="single" w:sz="2" w:space="0" w:color="auto"/>
              <w:right w:val="single" w:sz="2" w:space="0" w:color="auto"/>
            </w:tcBorders>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150.98mL</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(109.9, 192.1)</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p&lt;0.001</w:t>
            </w:r>
          </w:p>
        </w:tc>
        <w:tc>
          <w:tcPr>
            <w:tcW w:w="993" w:type="dxa"/>
            <w:tcBorders>
              <w:top w:val="single" w:sz="2" w:space="0" w:color="auto"/>
              <w:left w:val="single" w:sz="2" w:space="0" w:color="auto"/>
              <w:bottom w:val="single" w:sz="2" w:space="0" w:color="auto"/>
              <w:right w:val="single" w:sz="2" w:space="0" w:color="auto"/>
            </w:tcBorders>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54.49mL</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(5.9, 103.1)</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p=0.028</w:t>
            </w:r>
          </w:p>
        </w:tc>
        <w:tc>
          <w:tcPr>
            <w:tcW w:w="1133" w:type="dxa"/>
            <w:tcBorders>
              <w:top w:val="single" w:sz="2" w:space="0" w:color="auto"/>
              <w:left w:val="single" w:sz="2" w:space="0" w:color="auto"/>
              <w:bottom w:val="single" w:sz="2" w:space="0" w:color="auto"/>
              <w:right w:val="single" w:sz="12" w:space="0" w:color="auto"/>
            </w:tcBorders>
            <w:vAlign w:val="center"/>
          </w:tcPr>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96.50mL</w:t>
            </w:r>
          </w:p>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(34.9, 158.1)</w:t>
            </w:r>
          </w:p>
          <w:p w:rsidR="00D06935" w:rsidRPr="000E01C3" w:rsidRDefault="00D06935" w:rsidP="00A04A6A">
            <w:pPr>
              <w:keepNext/>
              <w:widowControl/>
              <w:jc w:val="center"/>
              <w:rPr>
                <w:rFonts w:ascii="Arial Narrow" w:hAnsi="Arial Narrow"/>
                <w:sz w:val="20"/>
              </w:rPr>
            </w:pPr>
            <w:r w:rsidRPr="000E01C3">
              <w:rPr>
                <w:rFonts w:ascii="Arial Narrow" w:hAnsi="Arial Narrow"/>
                <w:b/>
                <w:bCs/>
                <w:sz w:val="20"/>
              </w:rPr>
              <w:t>p=0.002</w:t>
            </w:r>
          </w:p>
        </w:tc>
        <w:tc>
          <w:tcPr>
            <w:tcW w:w="1229" w:type="dxa"/>
            <w:tcBorders>
              <w:top w:val="single" w:sz="2" w:space="0" w:color="auto"/>
              <w:left w:val="single" w:sz="12" w:space="0" w:color="auto"/>
              <w:bottom w:val="single" w:sz="2" w:space="0" w:color="auto"/>
              <w:right w:val="single" w:sz="2" w:space="0" w:color="auto"/>
            </w:tcBorders>
            <w:shd w:val="clear" w:color="auto" w:fill="auto"/>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9.44%</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(7.0, 11.9)</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p&lt;0.001</w:t>
            </w:r>
          </w:p>
        </w:tc>
        <w:tc>
          <w:tcPr>
            <w:tcW w:w="1181" w:type="dxa"/>
            <w:tcBorders>
              <w:top w:val="single" w:sz="2" w:space="0" w:color="auto"/>
              <w:left w:val="single" w:sz="2" w:space="0" w:color="auto"/>
              <w:bottom w:val="single" w:sz="2" w:space="0" w:color="auto"/>
              <w:right w:val="single" w:sz="2" w:space="0" w:color="auto"/>
            </w:tcBorders>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4.57%</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(1.7, 7.4)</w:t>
            </w:r>
          </w:p>
          <w:p w:rsidR="00D06935" w:rsidRPr="000E01C3" w:rsidRDefault="00D06935" w:rsidP="00A04A6A">
            <w:pPr>
              <w:keepNext/>
              <w:widowControl/>
              <w:jc w:val="center"/>
              <w:rPr>
                <w:rFonts w:ascii="Arial Narrow" w:hAnsi="Arial Narrow"/>
                <w:sz w:val="20"/>
              </w:rPr>
            </w:pPr>
            <w:r w:rsidRPr="000E01C3">
              <w:rPr>
                <w:rFonts w:ascii="Arial Narrow" w:hAnsi="Arial Narrow"/>
                <w:sz w:val="20"/>
              </w:rPr>
              <w:t>p=0.002</w:t>
            </w:r>
          </w:p>
        </w:tc>
        <w:tc>
          <w:tcPr>
            <w:tcW w:w="1418" w:type="dxa"/>
            <w:tcBorders>
              <w:top w:val="single" w:sz="2" w:space="0" w:color="auto"/>
              <w:left w:val="single" w:sz="2" w:space="0" w:color="auto"/>
              <w:bottom w:val="single" w:sz="2" w:space="0" w:color="auto"/>
              <w:right w:val="single" w:sz="4" w:space="0" w:color="auto"/>
            </w:tcBorders>
            <w:vAlign w:val="center"/>
          </w:tcPr>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4.88%</w:t>
            </w:r>
          </w:p>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(1.24, 8.51)</w:t>
            </w:r>
          </w:p>
          <w:p w:rsidR="00D06935" w:rsidRPr="000E01C3" w:rsidRDefault="00D06935" w:rsidP="00A04A6A">
            <w:pPr>
              <w:keepNext/>
              <w:widowControl/>
              <w:jc w:val="center"/>
              <w:rPr>
                <w:rFonts w:ascii="Arial Narrow" w:hAnsi="Arial Narrow"/>
                <w:b/>
                <w:bCs/>
                <w:sz w:val="20"/>
              </w:rPr>
            </w:pPr>
            <w:r w:rsidRPr="000E01C3">
              <w:rPr>
                <w:rFonts w:ascii="Arial Narrow" w:hAnsi="Arial Narrow"/>
                <w:b/>
                <w:bCs/>
                <w:sz w:val="20"/>
              </w:rPr>
              <w:t>p=0.009</w:t>
            </w:r>
          </w:p>
        </w:tc>
      </w:tr>
    </w:tbl>
    <w:p w:rsidR="00D06935" w:rsidRPr="000E01C3" w:rsidRDefault="00D06935" w:rsidP="00A04A6A">
      <w:pPr>
        <w:keepNext/>
        <w:widowControl/>
        <w:rPr>
          <w:rFonts w:ascii="Arial Narrow" w:eastAsia="Arial" w:hAnsi="Arial Narrow"/>
          <w:bCs/>
          <w:sz w:val="18"/>
        </w:rPr>
      </w:pPr>
      <w:r w:rsidRPr="000E01C3">
        <w:rPr>
          <w:rFonts w:ascii="Arial Narrow" w:eastAsia="Arial" w:hAnsi="Arial Narrow"/>
          <w:bCs/>
          <w:sz w:val="18"/>
        </w:rPr>
        <w:t>Abbreviations: N=number analysed, DNase=dornase alfa, BD=twice daily</w:t>
      </w:r>
    </w:p>
    <w:p w:rsidR="00D06935" w:rsidRPr="000E01C3" w:rsidRDefault="00D06935" w:rsidP="00A04A6A">
      <w:pPr>
        <w:keepNext/>
        <w:widowControl/>
        <w:rPr>
          <w:rFonts w:ascii="Arial Narrow" w:eastAsia="Arial" w:hAnsi="Arial Narrow"/>
          <w:bCs/>
          <w:sz w:val="18"/>
        </w:rPr>
      </w:pPr>
      <w:r w:rsidRPr="000E01C3">
        <w:rPr>
          <w:rFonts w:ascii="Arial Narrow" w:eastAsia="Arial" w:hAnsi="Arial Narrow"/>
          <w:bCs/>
          <w:sz w:val="18"/>
        </w:rPr>
        <w:t>Shaded cells represent the comparisons of interest of mannitol + DNase versus DNase alone.</w:t>
      </w:r>
    </w:p>
    <w:p w:rsidR="00D06935" w:rsidRPr="000E01C3" w:rsidRDefault="00D06935" w:rsidP="00A04A6A">
      <w:pPr>
        <w:keepNext/>
        <w:widowControl/>
        <w:rPr>
          <w:rFonts w:ascii="Arial Narrow" w:hAnsi="Arial Narrow"/>
          <w:sz w:val="18"/>
        </w:rPr>
      </w:pPr>
      <w:r w:rsidRPr="000E01C3">
        <w:rPr>
          <w:rFonts w:ascii="Arial Narrow" w:hAnsi="Arial Narrow" w:cstheme="minorBidi"/>
          <w:iCs/>
          <w:sz w:val="18"/>
        </w:rPr>
        <w:t xml:space="preserve">Note: CF-301a refers to re-run of analyses without baseline (i.e. week 6-26) – refer p90 of the resubmission. </w:t>
      </w:r>
      <w:r w:rsidRPr="000E01C3">
        <w:rPr>
          <w:rFonts w:ascii="Arial Narrow" w:hAnsi="Arial Narrow"/>
          <w:sz w:val="18"/>
        </w:rPr>
        <w:t xml:space="preserve">The minimum </w:t>
      </w:r>
      <w:r w:rsidR="00710FD5" w:rsidRPr="000E01C3">
        <w:rPr>
          <w:rFonts w:ascii="Arial Narrow" w:hAnsi="Arial Narrow"/>
          <w:sz w:val="18"/>
        </w:rPr>
        <w:t>FEV</w:t>
      </w:r>
      <w:r w:rsidR="00710FD5" w:rsidRPr="000E01C3">
        <w:rPr>
          <w:rFonts w:ascii="Arial Narrow" w:hAnsi="Arial Narrow"/>
          <w:sz w:val="18"/>
          <w:vertAlign w:val="subscript"/>
        </w:rPr>
        <w:t>1</w:t>
      </w:r>
      <w:r w:rsidRPr="000E01C3">
        <w:rPr>
          <w:rFonts w:ascii="Arial Narrow" w:hAnsi="Arial Narrow"/>
          <w:sz w:val="18"/>
          <w:vertAlign w:val="subscript"/>
        </w:rPr>
        <w:t xml:space="preserve"> </w:t>
      </w:r>
      <w:r w:rsidRPr="000E01C3">
        <w:rPr>
          <w:rFonts w:ascii="Arial Narrow" w:hAnsi="Arial Narrow"/>
          <w:sz w:val="18"/>
        </w:rPr>
        <w:t xml:space="preserve">inclusion threshold was higher in CF-302 (≥40% predicted versus ≥30% in CF-301).To enable integration (pooling) and direct comparison of the two studies, a common approach was employed, using the data derivation conventions and analysis models defined in the Statistical Analysis Plan for CF-302. </w:t>
      </w:r>
    </w:p>
    <w:p w:rsidR="00D06935" w:rsidRPr="000E01C3" w:rsidRDefault="00D06935" w:rsidP="00A04A6A">
      <w:pPr>
        <w:keepNext/>
        <w:widowControl/>
        <w:tabs>
          <w:tab w:val="left" w:pos="288"/>
        </w:tabs>
        <w:rPr>
          <w:rFonts w:ascii="Arial Narrow" w:hAnsi="Arial Narrow"/>
          <w:sz w:val="18"/>
        </w:rPr>
      </w:pPr>
      <w:r w:rsidRPr="000E01C3">
        <w:rPr>
          <w:rFonts w:ascii="Arial Narrow" w:hAnsi="Arial Narrow"/>
          <w:sz w:val="18"/>
          <w:vertAlign w:val="superscript"/>
        </w:rPr>
        <w:t xml:space="preserve"># </w:t>
      </w:r>
      <w:r w:rsidRPr="000E01C3">
        <w:rPr>
          <w:rFonts w:ascii="Arial Narrow" w:hAnsi="Arial Narrow"/>
          <w:sz w:val="18"/>
        </w:rPr>
        <w:t>Trial CF-201 used a Mannitol dose of 420mg BD which is outside the TGA-approved dose of 400mg BD</w:t>
      </w:r>
    </w:p>
    <w:p w:rsidR="00D06935" w:rsidRPr="000E01C3" w:rsidRDefault="00D06935" w:rsidP="00A04A6A">
      <w:pPr>
        <w:widowControl/>
        <w:tabs>
          <w:tab w:val="left" w:pos="288"/>
        </w:tabs>
        <w:rPr>
          <w:rFonts w:ascii="Arial Narrow" w:hAnsi="Arial Narrow"/>
          <w:sz w:val="18"/>
        </w:rPr>
      </w:pPr>
      <w:r w:rsidRPr="000E01C3">
        <w:rPr>
          <w:rFonts w:ascii="Arial Narrow" w:hAnsi="Arial Narrow"/>
          <w:sz w:val="18"/>
        </w:rPr>
        <w:t>^</w:t>
      </w:r>
      <w:r w:rsidR="00743995" w:rsidRPr="000E01C3">
        <w:rPr>
          <w:rFonts w:ascii="Arial Narrow" w:hAnsi="Arial Narrow"/>
          <w:sz w:val="18"/>
        </w:rPr>
        <w:t xml:space="preserve"> </w:t>
      </w:r>
      <w:r w:rsidRPr="000E01C3">
        <w:rPr>
          <w:rFonts w:ascii="Arial Narrow" w:hAnsi="Arial Narrow"/>
          <w:sz w:val="18"/>
        </w:rPr>
        <w:t>Number analysed as per the trial report for CF-203, which conflicts with the main publication for CF-203 by Minasian 2010.</w:t>
      </w:r>
    </w:p>
    <w:p w:rsidR="00D06935" w:rsidRPr="000E01C3" w:rsidRDefault="00D06935" w:rsidP="00A04A6A">
      <w:pPr>
        <w:widowControl/>
        <w:tabs>
          <w:tab w:val="left" w:pos="288"/>
        </w:tabs>
        <w:rPr>
          <w:rFonts w:ascii="Arial Narrow" w:hAnsi="Arial Narrow"/>
          <w:iCs/>
          <w:sz w:val="18"/>
        </w:rPr>
      </w:pPr>
      <w:r w:rsidRPr="000E01C3">
        <w:rPr>
          <w:rFonts w:ascii="Arial Narrow" w:hAnsi="Arial Narrow"/>
          <w:iCs/>
          <w:sz w:val="18"/>
        </w:rPr>
        <w:t>*CF-201: 2 weeks;</w:t>
      </w:r>
    </w:p>
    <w:p w:rsidR="00D06935" w:rsidRPr="000E01C3" w:rsidRDefault="00D06935" w:rsidP="00A04A6A">
      <w:pPr>
        <w:widowControl/>
        <w:tabs>
          <w:tab w:val="left" w:pos="288"/>
        </w:tabs>
        <w:rPr>
          <w:rFonts w:ascii="Arial Narrow" w:hAnsi="Arial Narrow"/>
          <w:iCs/>
          <w:sz w:val="18"/>
        </w:rPr>
      </w:pPr>
      <w:r w:rsidRPr="000E01C3">
        <w:rPr>
          <w:rFonts w:ascii="Arial Narrow" w:hAnsi="Arial Narrow"/>
          <w:iCs/>
          <w:sz w:val="18"/>
        </w:rPr>
        <w:t>** CF-301a/CF-302: 26 weeks, Mixed effect Model Repeated Measurement (MMRM);</w:t>
      </w:r>
    </w:p>
    <w:p w:rsidR="00D06935" w:rsidRPr="000E01C3" w:rsidRDefault="00D06935" w:rsidP="00A04A6A">
      <w:pPr>
        <w:widowControl/>
        <w:tabs>
          <w:tab w:val="left" w:pos="288"/>
        </w:tabs>
        <w:rPr>
          <w:rFonts w:ascii="Arial Narrow" w:hAnsi="Arial Narrow" w:cs="Times-Roman"/>
          <w:iCs/>
          <w:snapToGrid/>
          <w:sz w:val="18"/>
          <w:lang w:eastAsia="en-AU"/>
        </w:rPr>
      </w:pPr>
      <w:r w:rsidRPr="000E01C3">
        <w:rPr>
          <w:rFonts w:ascii="Arial Narrow" w:hAnsi="Arial Narrow"/>
          <w:sz w:val="18"/>
        </w:rPr>
        <w:t>*** CF-203: 12 weeks,</w:t>
      </w:r>
      <w:r w:rsidRPr="000E01C3">
        <w:rPr>
          <w:rFonts w:ascii="Arial Narrow" w:hAnsi="Arial Narrow"/>
          <w:iCs/>
          <w:sz w:val="18"/>
        </w:rPr>
        <w:t xml:space="preserve"> </w:t>
      </w:r>
      <w:r w:rsidRPr="000E01C3">
        <w:rPr>
          <w:rFonts w:ascii="Arial Narrow" w:hAnsi="Arial Narrow" w:cs="Times-Roman"/>
          <w:iCs/>
          <w:snapToGrid/>
          <w:sz w:val="18"/>
          <w:lang w:eastAsia="en-AU"/>
        </w:rPr>
        <w:t>generalized linear mixed model analysis.</w:t>
      </w:r>
    </w:p>
    <w:p w:rsidR="00D06935" w:rsidRPr="000E01C3" w:rsidRDefault="00D06935" w:rsidP="00BE33FF">
      <w:pPr>
        <w:widowControl/>
        <w:tabs>
          <w:tab w:val="left" w:pos="288"/>
        </w:tabs>
        <w:spacing w:after="120"/>
        <w:rPr>
          <w:rFonts w:ascii="Arial Narrow" w:hAnsi="Arial Narrow"/>
          <w:sz w:val="18"/>
        </w:rPr>
      </w:pPr>
      <w:r w:rsidRPr="000E01C3">
        <w:rPr>
          <w:rFonts w:ascii="Arial Narrow" w:hAnsi="Arial Narrow"/>
          <w:iCs/>
          <w:sz w:val="18"/>
        </w:rPr>
        <w:t xml:space="preserve">Source: Table B.6.1, B.6.9, Table C.3.1; pp.108-120, 171 of resubmission; </w:t>
      </w:r>
      <w:r w:rsidRPr="000E01C3">
        <w:rPr>
          <w:rFonts w:ascii="Arial Narrow" w:hAnsi="Arial Narrow"/>
          <w:sz w:val="18"/>
        </w:rPr>
        <w:t>Attachment 7.C3.1.T; Table 11.4.2.1, p56 of CSR for CF-201; Table 11.4.1.1, 11.4.1.3, pp.56-57 of CSR for CF-203</w:t>
      </w:r>
      <w:r w:rsidR="00BC16DC" w:rsidRPr="000E01C3">
        <w:rPr>
          <w:rFonts w:ascii="Arial Narrow" w:hAnsi="Arial Narrow"/>
          <w:sz w:val="18"/>
        </w:rPr>
        <w:t xml:space="preserve"> and calculated during the evaluation in RevMan 5.1</w:t>
      </w:r>
      <w:r w:rsidRPr="000E01C3">
        <w:rPr>
          <w:rFonts w:ascii="Arial Narrow" w:hAnsi="Arial Narrow"/>
          <w:sz w:val="18"/>
        </w:rPr>
        <w:t>.</w:t>
      </w:r>
    </w:p>
    <w:p w:rsidR="00E6434E" w:rsidRPr="000E01C3" w:rsidRDefault="00E6434E" w:rsidP="00BE33FF">
      <w:pPr>
        <w:pStyle w:val="ListParagraph"/>
        <w:widowControl/>
        <w:numPr>
          <w:ilvl w:val="1"/>
          <w:numId w:val="5"/>
        </w:numPr>
        <w:spacing w:after="120"/>
        <w:contextualSpacing w:val="0"/>
        <w:rPr>
          <w:rFonts w:asciiTheme="minorHAnsi" w:hAnsiTheme="minorHAnsi" w:cstheme="minorHAnsi"/>
          <w:iCs/>
          <w:sz w:val="24"/>
          <w:szCs w:val="24"/>
        </w:rPr>
      </w:pPr>
      <w:r w:rsidRPr="000E01C3">
        <w:rPr>
          <w:rFonts w:asciiTheme="minorHAnsi" w:hAnsiTheme="minorHAnsi" w:cstheme="minorHAnsi"/>
          <w:iCs/>
          <w:sz w:val="24"/>
          <w:szCs w:val="24"/>
        </w:rPr>
        <w:t>Mannitol was associated with statistically significant improvements in</w:t>
      </w:r>
      <w:r w:rsidR="00A85AFD" w:rsidRPr="000E01C3">
        <w:rPr>
          <w:rFonts w:asciiTheme="minorHAnsi" w:hAnsiTheme="minorHAnsi" w:cstheme="minorHAnsi"/>
          <w:iCs/>
          <w:sz w:val="24"/>
          <w:szCs w:val="24"/>
        </w:rPr>
        <w:t xml:space="preserve"> </w:t>
      </w:r>
      <w:r w:rsidRPr="000E01C3">
        <w:rPr>
          <w:rFonts w:asciiTheme="minorHAnsi" w:hAnsiTheme="minorHAnsi" w:cstheme="minorHAnsi"/>
          <w:iCs/>
          <w:sz w:val="24"/>
          <w:szCs w:val="24"/>
        </w:rPr>
        <w:t>FEV</w:t>
      </w:r>
      <w:r w:rsidRPr="000E01C3">
        <w:rPr>
          <w:rFonts w:asciiTheme="minorHAnsi" w:hAnsiTheme="minorHAnsi" w:cstheme="minorHAnsi"/>
          <w:iCs/>
          <w:sz w:val="24"/>
          <w:szCs w:val="24"/>
          <w:vertAlign w:val="subscript"/>
        </w:rPr>
        <w:t>1</w:t>
      </w:r>
      <w:r w:rsidRPr="000E01C3">
        <w:rPr>
          <w:rFonts w:asciiTheme="minorHAnsi" w:hAnsiTheme="minorHAnsi" w:cstheme="minorHAnsi"/>
          <w:iCs/>
          <w:sz w:val="24"/>
          <w:szCs w:val="24"/>
        </w:rPr>
        <w:t xml:space="preserve"> compared </w:t>
      </w:r>
      <w:r w:rsidR="007B2618" w:rsidRPr="000E01C3">
        <w:rPr>
          <w:rFonts w:asciiTheme="minorHAnsi" w:hAnsiTheme="minorHAnsi" w:cstheme="minorHAnsi"/>
          <w:iCs/>
          <w:sz w:val="24"/>
          <w:szCs w:val="24"/>
        </w:rPr>
        <w:t xml:space="preserve">with </w:t>
      </w:r>
      <w:r w:rsidRPr="000E01C3">
        <w:rPr>
          <w:rFonts w:asciiTheme="minorHAnsi" w:hAnsiTheme="minorHAnsi" w:cstheme="minorHAnsi"/>
          <w:iCs/>
          <w:sz w:val="24"/>
          <w:szCs w:val="24"/>
        </w:rPr>
        <w:t>placebo/control in the o</w:t>
      </w:r>
      <w:r w:rsidR="00CE5F2F" w:rsidRPr="000E01C3">
        <w:rPr>
          <w:rFonts w:asciiTheme="minorHAnsi" w:hAnsiTheme="minorHAnsi" w:cstheme="minorHAnsi"/>
          <w:iCs/>
          <w:sz w:val="24"/>
          <w:szCs w:val="24"/>
        </w:rPr>
        <w:t>verall populations of Trials CF</w:t>
      </w:r>
      <w:r w:rsidR="00CE5F2F" w:rsidRPr="000E01C3">
        <w:rPr>
          <w:rFonts w:asciiTheme="minorHAnsi" w:hAnsiTheme="minorHAnsi" w:cstheme="minorHAnsi"/>
          <w:iCs/>
          <w:sz w:val="24"/>
          <w:szCs w:val="24"/>
        </w:rPr>
        <w:noBreakHyphen/>
        <w:t>301, CF-302, and CF-201.</w:t>
      </w:r>
      <w:r w:rsidRPr="000E01C3">
        <w:rPr>
          <w:rFonts w:asciiTheme="minorHAnsi" w:hAnsiTheme="minorHAnsi" w:cstheme="minorHAnsi"/>
          <w:iCs/>
          <w:sz w:val="24"/>
          <w:szCs w:val="24"/>
        </w:rPr>
        <w:t xml:space="preserve"> However</w:t>
      </w:r>
      <w:r w:rsidR="00625F2C" w:rsidRPr="000E01C3">
        <w:rPr>
          <w:rFonts w:asciiTheme="minorHAnsi" w:hAnsiTheme="minorHAnsi" w:cstheme="minorHAnsi"/>
          <w:iCs/>
          <w:sz w:val="24"/>
          <w:szCs w:val="24"/>
        </w:rPr>
        <w:t>,</w:t>
      </w:r>
      <w:r w:rsidRPr="000E01C3">
        <w:rPr>
          <w:rFonts w:asciiTheme="minorHAnsi" w:hAnsiTheme="minorHAnsi" w:cstheme="minorHAnsi"/>
          <w:iCs/>
          <w:sz w:val="24"/>
          <w:szCs w:val="24"/>
        </w:rPr>
        <w:t xml:space="preserve"> </w:t>
      </w:r>
      <w:r w:rsidR="00625F2C" w:rsidRPr="000E01C3">
        <w:rPr>
          <w:rFonts w:asciiTheme="minorHAnsi" w:hAnsiTheme="minorHAnsi" w:cstheme="minorHAnsi"/>
          <w:iCs/>
          <w:sz w:val="24"/>
          <w:szCs w:val="24"/>
        </w:rPr>
        <w:t xml:space="preserve">although the results favoured mannitol </w:t>
      </w:r>
      <w:r w:rsidRPr="000E01C3">
        <w:rPr>
          <w:rFonts w:asciiTheme="minorHAnsi" w:hAnsiTheme="minorHAnsi" w:cstheme="minorHAnsi"/>
          <w:iCs/>
          <w:sz w:val="24"/>
          <w:szCs w:val="24"/>
        </w:rPr>
        <w:t>for Trial CF-302, the difference in absolute change in FEV</w:t>
      </w:r>
      <w:r w:rsidRPr="000E01C3">
        <w:rPr>
          <w:rFonts w:asciiTheme="minorHAnsi" w:hAnsiTheme="minorHAnsi" w:cstheme="minorHAnsi"/>
          <w:iCs/>
          <w:sz w:val="24"/>
          <w:szCs w:val="24"/>
          <w:vertAlign w:val="subscript"/>
        </w:rPr>
        <w:t>1</w:t>
      </w:r>
      <w:r w:rsidRPr="000E01C3">
        <w:rPr>
          <w:rFonts w:asciiTheme="minorHAnsi" w:hAnsiTheme="minorHAnsi" w:cstheme="minorHAnsi"/>
          <w:iCs/>
          <w:sz w:val="24"/>
          <w:szCs w:val="24"/>
        </w:rPr>
        <w:t xml:space="preserve"> was not statistically significant versus control treatment with low dose mannitol (54.14mL, 95%</w:t>
      </w:r>
      <w:r w:rsidR="00E43879" w:rsidRPr="000E01C3">
        <w:rPr>
          <w:rFonts w:asciiTheme="minorHAnsi" w:hAnsiTheme="minorHAnsi" w:cstheme="minorHAnsi"/>
          <w:iCs/>
          <w:sz w:val="24"/>
          <w:szCs w:val="24"/>
        </w:rPr>
        <w:t xml:space="preserve"> </w:t>
      </w:r>
      <w:r w:rsidRPr="000E01C3">
        <w:rPr>
          <w:rFonts w:asciiTheme="minorHAnsi" w:hAnsiTheme="minorHAnsi" w:cstheme="minorHAnsi"/>
          <w:iCs/>
          <w:sz w:val="24"/>
          <w:szCs w:val="24"/>
        </w:rPr>
        <w:t>CI: -2.0, 110.3 p=0.059).</w:t>
      </w:r>
    </w:p>
    <w:p w:rsidR="007B4F93" w:rsidRPr="000E01C3" w:rsidRDefault="00F5248A" w:rsidP="00622D02">
      <w:pPr>
        <w:pStyle w:val="ListParagraph"/>
        <w:widowControl/>
        <w:numPr>
          <w:ilvl w:val="1"/>
          <w:numId w:val="5"/>
        </w:numPr>
        <w:spacing w:after="120"/>
        <w:contextualSpacing w:val="0"/>
        <w:rPr>
          <w:rFonts w:asciiTheme="minorHAnsi" w:hAnsiTheme="minorHAnsi" w:cstheme="minorHAnsi"/>
          <w:iCs/>
          <w:sz w:val="24"/>
          <w:szCs w:val="24"/>
        </w:rPr>
      </w:pPr>
      <w:r w:rsidRPr="000E01C3">
        <w:rPr>
          <w:rFonts w:asciiTheme="minorHAnsi" w:hAnsiTheme="minorHAnsi" w:cstheme="minorHAnsi"/>
          <w:iCs/>
          <w:sz w:val="24"/>
          <w:szCs w:val="24"/>
        </w:rPr>
        <w:t xml:space="preserve">In </w:t>
      </w:r>
      <w:r w:rsidRPr="000E01C3">
        <w:rPr>
          <w:rFonts w:asciiTheme="minorHAnsi" w:hAnsiTheme="minorHAnsi" w:cstheme="minorHAnsi"/>
          <w:sz w:val="24"/>
          <w:szCs w:val="24"/>
        </w:rPr>
        <w:t>the</w:t>
      </w:r>
      <w:r w:rsidRPr="000E01C3">
        <w:rPr>
          <w:rFonts w:asciiTheme="minorHAnsi" w:hAnsiTheme="minorHAnsi" w:cstheme="minorHAnsi"/>
          <w:iCs/>
          <w:sz w:val="24"/>
          <w:szCs w:val="24"/>
        </w:rPr>
        <w:t xml:space="preserve"> population most representative of the requested PBS population (</w:t>
      </w:r>
      <w:r w:rsidR="00713ECF" w:rsidRPr="000E01C3">
        <w:rPr>
          <w:rFonts w:asciiTheme="minorHAnsi" w:hAnsiTheme="minorHAnsi" w:cstheme="minorHAnsi"/>
          <w:iCs/>
          <w:sz w:val="24"/>
          <w:szCs w:val="24"/>
        </w:rPr>
        <w:t xml:space="preserve">i.e. DNase users, </w:t>
      </w:r>
      <w:r w:rsidRPr="000E01C3">
        <w:rPr>
          <w:rFonts w:asciiTheme="minorHAnsi" w:hAnsiTheme="minorHAnsi" w:cstheme="minorHAnsi"/>
          <w:iCs/>
          <w:sz w:val="24"/>
          <w:szCs w:val="24"/>
        </w:rPr>
        <w:t>repres</w:t>
      </w:r>
      <w:r w:rsidR="00160F6E" w:rsidRPr="000E01C3">
        <w:rPr>
          <w:rFonts w:asciiTheme="minorHAnsi" w:hAnsiTheme="minorHAnsi" w:cstheme="minorHAnsi"/>
          <w:iCs/>
          <w:sz w:val="24"/>
          <w:szCs w:val="24"/>
        </w:rPr>
        <w:t xml:space="preserve">ented by shaded cells in Table </w:t>
      </w:r>
      <w:r w:rsidR="004D13F6" w:rsidRPr="000E01C3">
        <w:rPr>
          <w:rFonts w:asciiTheme="minorHAnsi" w:hAnsiTheme="minorHAnsi" w:cstheme="minorHAnsi"/>
          <w:iCs/>
          <w:sz w:val="24"/>
          <w:szCs w:val="24"/>
        </w:rPr>
        <w:t>5</w:t>
      </w:r>
      <w:r w:rsidRPr="000E01C3">
        <w:rPr>
          <w:rFonts w:asciiTheme="minorHAnsi" w:hAnsiTheme="minorHAnsi" w:cstheme="minorHAnsi"/>
          <w:iCs/>
          <w:sz w:val="24"/>
          <w:szCs w:val="24"/>
        </w:rPr>
        <w:t>), the treat</w:t>
      </w:r>
      <w:r w:rsidR="00CE5F2F" w:rsidRPr="000E01C3">
        <w:rPr>
          <w:rFonts w:asciiTheme="minorHAnsi" w:hAnsiTheme="minorHAnsi" w:cstheme="minorHAnsi"/>
          <w:iCs/>
          <w:sz w:val="24"/>
          <w:szCs w:val="24"/>
        </w:rPr>
        <w:t>ment effect of mannitol varied.</w:t>
      </w:r>
      <w:r w:rsidRPr="000E01C3">
        <w:rPr>
          <w:rFonts w:asciiTheme="minorHAnsi" w:hAnsiTheme="minorHAnsi" w:cstheme="minorHAnsi"/>
          <w:iCs/>
          <w:sz w:val="24"/>
          <w:szCs w:val="24"/>
        </w:rPr>
        <w:t xml:space="preserve"> In Trials CF</w:t>
      </w:r>
      <w:r w:rsidR="00CE5F2F" w:rsidRPr="000E01C3">
        <w:rPr>
          <w:rFonts w:asciiTheme="minorHAnsi" w:hAnsiTheme="minorHAnsi" w:cstheme="minorHAnsi"/>
          <w:iCs/>
          <w:sz w:val="24"/>
          <w:szCs w:val="24"/>
        </w:rPr>
        <w:noBreakHyphen/>
      </w:r>
      <w:r w:rsidRPr="000E01C3">
        <w:rPr>
          <w:rFonts w:asciiTheme="minorHAnsi" w:hAnsiTheme="minorHAnsi" w:cstheme="minorHAnsi"/>
          <w:iCs/>
          <w:sz w:val="24"/>
          <w:szCs w:val="24"/>
        </w:rPr>
        <w:t>301/302, mannitol treatment was associated with statistically significant improvements in FEV</w:t>
      </w:r>
      <w:r w:rsidRPr="000E01C3">
        <w:rPr>
          <w:rFonts w:asciiTheme="minorHAnsi" w:hAnsiTheme="minorHAnsi" w:cstheme="minorHAnsi"/>
          <w:iCs/>
          <w:sz w:val="24"/>
          <w:szCs w:val="24"/>
          <w:vertAlign w:val="subscript"/>
        </w:rPr>
        <w:t xml:space="preserve">1 </w:t>
      </w:r>
      <w:r w:rsidRPr="000E01C3">
        <w:rPr>
          <w:rFonts w:asciiTheme="minorHAnsi" w:hAnsiTheme="minorHAnsi" w:cstheme="minorHAnsi"/>
          <w:iCs/>
          <w:sz w:val="24"/>
          <w:szCs w:val="24"/>
        </w:rPr>
        <w:t xml:space="preserve">outcomes compared </w:t>
      </w:r>
      <w:r w:rsidR="00B53962" w:rsidRPr="000E01C3">
        <w:rPr>
          <w:rFonts w:asciiTheme="minorHAnsi" w:hAnsiTheme="minorHAnsi" w:cstheme="minorHAnsi"/>
          <w:iCs/>
          <w:sz w:val="24"/>
          <w:szCs w:val="24"/>
        </w:rPr>
        <w:t>with control in the DNase users sub</w:t>
      </w:r>
      <w:r w:rsidRPr="000E01C3">
        <w:rPr>
          <w:rFonts w:asciiTheme="minorHAnsi" w:hAnsiTheme="minorHAnsi" w:cstheme="minorHAnsi"/>
          <w:iCs/>
          <w:sz w:val="24"/>
          <w:szCs w:val="24"/>
        </w:rPr>
        <w:t>group.</w:t>
      </w:r>
      <w:r w:rsidR="007869A7" w:rsidRPr="000E01C3">
        <w:rPr>
          <w:rFonts w:asciiTheme="minorHAnsi" w:hAnsiTheme="minorHAnsi" w:cstheme="minorHAnsi"/>
          <w:iCs/>
          <w:sz w:val="24"/>
          <w:szCs w:val="24"/>
        </w:rPr>
        <w:t xml:space="preserve"> </w:t>
      </w:r>
      <w:r w:rsidR="00713ECF" w:rsidRPr="000E01C3">
        <w:rPr>
          <w:rFonts w:asciiTheme="minorHAnsi" w:hAnsiTheme="minorHAnsi" w:cstheme="minorHAnsi"/>
          <w:iCs/>
          <w:sz w:val="24"/>
          <w:szCs w:val="24"/>
        </w:rPr>
        <w:t>H</w:t>
      </w:r>
      <w:r w:rsidRPr="000E01C3">
        <w:rPr>
          <w:rFonts w:asciiTheme="minorHAnsi" w:hAnsiTheme="minorHAnsi" w:cstheme="minorHAnsi"/>
          <w:iCs/>
          <w:sz w:val="24"/>
          <w:szCs w:val="24"/>
        </w:rPr>
        <w:t>owever</w:t>
      </w:r>
      <w:r w:rsidR="00713ECF" w:rsidRPr="000E01C3">
        <w:rPr>
          <w:rFonts w:asciiTheme="minorHAnsi" w:hAnsiTheme="minorHAnsi" w:cstheme="minorHAnsi"/>
          <w:iCs/>
          <w:sz w:val="24"/>
          <w:szCs w:val="24"/>
        </w:rPr>
        <w:t>, this</w:t>
      </w:r>
      <w:r w:rsidRPr="000E01C3">
        <w:rPr>
          <w:rFonts w:asciiTheme="minorHAnsi" w:hAnsiTheme="minorHAnsi" w:cstheme="minorHAnsi"/>
          <w:iCs/>
          <w:sz w:val="24"/>
          <w:szCs w:val="24"/>
        </w:rPr>
        <w:t xml:space="preserve"> contrasted with the result of Trial CF-203</w:t>
      </w:r>
      <w:r w:rsidR="00713ECF" w:rsidRPr="000E01C3">
        <w:rPr>
          <w:rFonts w:asciiTheme="minorHAnsi" w:hAnsiTheme="minorHAnsi" w:cstheme="minorHAnsi"/>
          <w:iCs/>
          <w:sz w:val="24"/>
          <w:szCs w:val="24"/>
        </w:rPr>
        <w:t>,</w:t>
      </w:r>
      <w:r w:rsidRPr="000E01C3">
        <w:rPr>
          <w:rFonts w:asciiTheme="minorHAnsi" w:hAnsiTheme="minorHAnsi" w:cstheme="minorHAnsi"/>
          <w:iCs/>
          <w:sz w:val="24"/>
          <w:szCs w:val="24"/>
        </w:rPr>
        <w:t xml:space="preserve"> and the subgroup of DNase users in Trial </w:t>
      </w:r>
      <w:r w:rsidR="005804E0" w:rsidRPr="000E01C3">
        <w:rPr>
          <w:rFonts w:asciiTheme="minorHAnsi" w:hAnsiTheme="minorHAnsi" w:cstheme="minorHAnsi"/>
          <w:iCs/>
          <w:sz w:val="24"/>
          <w:szCs w:val="24"/>
        </w:rPr>
        <w:t>CF-</w:t>
      </w:r>
      <w:r w:rsidRPr="000E01C3">
        <w:rPr>
          <w:rFonts w:asciiTheme="minorHAnsi" w:hAnsiTheme="minorHAnsi" w:cstheme="minorHAnsi"/>
          <w:iCs/>
          <w:sz w:val="24"/>
          <w:szCs w:val="24"/>
        </w:rPr>
        <w:t>201, where there were no statistically significant differences in FEV</w:t>
      </w:r>
      <w:r w:rsidRPr="000E01C3">
        <w:rPr>
          <w:rFonts w:asciiTheme="minorHAnsi" w:hAnsiTheme="minorHAnsi" w:cstheme="minorHAnsi"/>
          <w:iCs/>
          <w:sz w:val="24"/>
          <w:szCs w:val="24"/>
          <w:vertAlign w:val="subscript"/>
        </w:rPr>
        <w:t>1</w:t>
      </w:r>
      <w:r w:rsidRPr="000E01C3">
        <w:rPr>
          <w:rFonts w:asciiTheme="minorHAnsi" w:hAnsiTheme="minorHAnsi" w:cstheme="minorHAnsi"/>
          <w:iCs/>
          <w:sz w:val="24"/>
          <w:szCs w:val="24"/>
        </w:rPr>
        <w:t xml:space="preserve"> outcomes for patients who added on mannitol to DNase (</w:t>
      </w:r>
      <w:r w:rsidR="007610DD" w:rsidRPr="000E01C3">
        <w:rPr>
          <w:rFonts w:asciiTheme="minorHAnsi" w:hAnsiTheme="minorHAnsi" w:cstheme="minorHAnsi"/>
          <w:iCs/>
          <w:sz w:val="24"/>
          <w:szCs w:val="24"/>
        </w:rPr>
        <w:t>although</w:t>
      </w:r>
      <w:r w:rsidRPr="000E01C3">
        <w:rPr>
          <w:rFonts w:asciiTheme="minorHAnsi" w:hAnsiTheme="minorHAnsi" w:cstheme="minorHAnsi"/>
          <w:iCs/>
          <w:sz w:val="24"/>
          <w:szCs w:val="24"/>
        </w:rPr>
        <w:t xml:space="preserve"> the number of patients contribut</w:t>
      </w:r>
      <w:r w:rsidR="005804E0" w:rsidRPr="000E01C3">
        <w:rPr>
          <w:rFonts w:asciiTheme="minorHAnsi" w:hAnsiTheme="minorHAnsi" w:cstheme="minorHAnsi"/>
          <w:iCs/>
          <w:sz w:val="24"/>
          <w:szCs w:val="24"/>
        </w:rPr>
        <w:t>ing results were small</w:t>
      </w:r>
      <w:r w:rsidR="00B53962" w:rsidRPr="000E01C3">
        <w:rPr>
          <w:rFonts w:asciiTheme="minorHAnsi" w:hAnsiTheme="minorHAnsi" w:cstheme="minorHAnsi"/>
          <w:iCs/>
          <w:sz w:val="24"/>
          <w:szCs w:val="24"/>
        </w:rPr>
        <w:t>:</w:t>
      </w:r>
      <w:r w:rsidR="005804E0" w:rsidRPr="000E01C3">
        <w:rPr>
          <w:rFonts w:asciiTheme="minorHAnsi" w:hAnsiTheme="minorHAnsi" w:cstheme="minorHAnsi"/>
          <w:iCs/>
          <w:sz w:val="24"/>
          <w:szCs w:val="24"/>
        </w:rPr>
        <w:t xml:space="preserve"> 18 in </w:t>
      </w:r>
      <w:r w:rsidR="00236008" w:rsidRPr="000E01C3">
        <w:rPr>
          <w:rFonts w:asciiTheme="minorHAnsi" w:hAnsiTheme="minorHAnsi" w:cstheme="minorHAnsi"/>
          <w:iCs/>
          <w:sz w:val="24"/>
          <w:szCs w:val="24"/>
        </w:rPr>
        <w:t xml:space="preserve">Trial </w:t>
      </w:r>
      <w:r w:rsidR="005804E0" w:rsidRPr="000E01C3">
        <w:rPr>
          <w:rFonts w:asciiTheme="minorHAnsi" w:hAnsiTheme="minorHAnsi" w:cstheme="minorHAnsi"/>
          <w:iCs/>
          <w:sz w:val="24"/>
          <w:szCs w:val="24"/>
        </w:rPr>
        <w:t>CF-</w:t>
      </w:r>
      <w:r w:rsidR="00CE5F2F" w:rsidRPr="000E01C3">
        <w:rPr>
          <w:rFonts w:asciiTheme="minorHAnsi" w:hAnsiTheme="minorHAnsi" w:cstheme="minorHAnsi"/>
          <w:iCs/>
          <w:sz w:val="24"/>
          <w:szCs w:val="24"/>
        </w:rPr>
        <w:t>201 and 26 in Trial CF-203).</w:t>
      </w:r>
      <w:r w:rsidRPr="000E01C3">
        <w:rPr>
          <w:rFonts w:asciiTheme="minorHAnsi" w:hAnsiTheme="minorHAnsi" w:cstheme="minorHAnsi"/>
          <w:iCs/>
          <w:sz w:val="24"/>
          <w:szCs w:val="24"/>
        </w:rPr>
        <w:t xml:space="preserve"> </w:t>
      </w:r>
      <w:r w:rsidR="007610DD" w:rsidRPr="000E01C3">
        <w:rPr>
          <w:rFonts w:asciiTheme="minorHAnsi" w:hAnsiTheme="minorHAnsi" w:cstheme="minorHAnsi"/>
          <w:iCs/>
          <w:sz w:val="24"/>
          <w:szCs w:val="24"/>
        </w:rPr>
        <w:t>The ESC noted that i</w:t>
      </w:r>
      <w:r w:rsidR="00622D02" w:rsidRPr="000E01C3">
        <w:rPr>
          <w:rFonts w:asciiTheme="minorHAnsi" w:hAnsiTheme="minorHAnsi" w:cstheme="minorHAnsi"/>
          <w:iCs/>
          <w:sz w:val="24"/>
          <w:szCs w:val="24"/>
        </w:rPr>
        <w:t>n Trial CF-203, t</w:t>
      </w:r>
      <w:r w:rsidR="00622D02" w:rsidRPr="000E01C3">
        <w:rPr>
          <w:rFonts w:asciiTheme="minorHAnsi" w:hAnsiTheme="minorHAnsi"/>
          <w:bCs/>
          <w:sz w:val="24"/>
          <w:szCs w:val="24"/>
        </w:rPr>
        <w:t>he  combination of mannitol and DNase showed no change from baseline to endpoint in mean change in FEV</w:t>
      </w:r>
      <w:r w:rsidR="00622D02" w:rsidRPr="000E01C3">
        <w:rPr>
          <w:rFonts w:asciiTheme="minorHAnsi" w:hAnsiTheme="minorHAnsi"/>
          <w:bCs/>
          <w:sz w:val="24"/>
          <w:szCs w:val="24"/>
          <w:vertAlign w:val="subscript"/>
        </w:rPr>
        <w:t>1</w:t>
      </w:r>
      <w:r w:rsidR="00622D02" w:rsidRPr="000E01C3">
        <w:rPr>
          <w:rFonts w:asciiTheme="minorHAnsi" w:hAnsiTheme="minorHAnsi"/>
          <w:bCs/>
          <w:sz w:val="24"/>
          <w:szCs w:val="24"/>
        </w:rPr>
        <w:t xml:space="preserve"> and appeared to perform worse than either treatment administered separately (although these differences were not statistically significant).</w:t>
      </w:r>
    </w:p>
    <w:p w:rsidR="00D94A64" w:rsidRPr="000E01C3" w:rsidRDefault="000802FC" w:rsidP="00BE33FF">
      <w:pPr>
        <w:pStyle w:val="ListParagraph"/>
        <w:widowControl/>
        <w:numPr>
          <w:ilvl w:val="1"/>
          <w:numId w:val="5"/>
        </w:numPr>
        <w:spacing w:after="120"/>
        <w:ind w:left="709"/>
        <w:contextualSpacing w:val="0"/>
        <w:rPr>
          <w:rFonts w:asciiTheme="minorHAnsi" w:hAnsiTheme="minorHAnsi" w:cstheme="minorHAnsi"/>
          <w:sz w:val="24"/>
          <w:szCs w:val="24"/>
        </w:rPr>
      </w:pPr>
      <w:r w:rsidRPr="000E01C3">
        <w:rPr>
          <w:rFonts w:asciiTheme="minorHAnsi" w:hAnsiTheme="minorHAnsi" w:cstheme="minorHAnsi"/>
          <w:sz w:val="24"/>
          <w:szCs w:val="24"/>
        </w:rPr>
        <w:t>The results</w:t>
      </w:r>
      <w:r w:rsidR="00E6434E" w:rsidRPr="000E01C3">
        <w:rPr>
          <w:rFonts w:asciiTheme="minorHAnsi" w:hAnsiTheme="minorHAnsi" w:cstheme="minorHAnsi"/>
          <w:sz w:val="24"/>
          <w:szCs w:val="24"/>
        </w:rPr>
        <w:t xml:space="preserve"> </w:t>
      </w:r>
      <w:r w:rsidR="00170E73" w:rsidRPr="000E01C3">
        <w:rPr>
          <w:rFonts w:asciiTheme="minorHAnsi" w:hAnsiTheme="minorHAnsi" w:cstheme="minorHAnsi"/>
          <w:sz w:val="24"/>
          <w:szCs w:val="24"/>
        </w:rPr>
        <w:t xml:space="preserve">for </w:t>
      </w:r>
      <w:r w:rsidR="00E6434E" w:rsidRPr="000E01C3">
        <w:rPr>
          <w:rFonts w:asciiTheme="minorHAnsi" w:hAnsiTheme="minorHAnsi" w:cstheme="minorHAnsi"/>
          <w:sz w:val="24"/>
          <w:szCs w:val="24"/>
        </w:rPr>
        <w:t>the open-label phases in Trials CF-301 and CF-302</w:t>
      </w:r>
      <w:r w:rsidR="00643729" w:rsidRPr="000E01C3">
        <w:rPr>
          <w:rFonts w:asciiTheme="minorHAnsi" w:hAnsiTheme="minorHAnsi" w:cstheme="minorHAnsi"/>
          <w:sz w:val="24"/>
          <w:szCs w:val="24"/>
        </w:rPr>
        <w:t xml:space="preserve"> indicated that the </w:t>
      </w:r>
      <w:r w:rsidR="00D06935" w:rsidRPr="000E01C3">
        <w:rPr>
          <w:rFonts w:asciiTheme="minorHAnsi" w:hAnsiTheme="minorHAnsi" w:cstheme="minorHAnsi"/>
          <w:sz w:val="24"/>
          <w:szCs w:val="24"/>
        </w:rPr>
        <w:t>treatment benefit of mannitol was m</w:t>
      </w:r>
      <w:r w:rsidR="000854AE" w:rsidRPr="000E01C3">
        <w:rPr>
          <w:rFonts w:asciiTheme="minorHAnsi" w:hAnsiTheme="minorHAnsi" w:cstheme="minorHAnsi"/>
          <w:sz w:val="24"/>
          <w:szCs w:val="24"/>
        </w:rPr>
        <w:t xml:space="preserve">aintained over 52 </w:t>
      </w:r>
      <w:r w:rsidR="00AF592C" w:rsidRPr="000E01C3">
        <w:rPr>
          <w:rFonts w:asciiTheme="minorHAnsi" w:hAnsiTheme="minorHAnsi" w:cstheme="minorHAnsi"/>
          <w:sz w:val="24"/>
          <w:szCs w:val="24"/>
        </w:rPr>
        <w:t xml:space="preserve">weeks, </w:t>
      </w:r>
      <w:r w:rsidR="000854AE" w:rsidRPr="000E01C3">
        <w:rPr>
          <w:rFonts w:asciiTheme="minorHAnsi" w:hAnsiTheme="minorHAnsi" w:cstheme="minorHAnsi"/>
          <w:sz w:val="24"/>
          <w:szCs w:val="24"/>
        </w:rPr>
        <w:t xml:space="preserve">and </w:t>
      </w:r>
      <w:r w:rsidR="00643729" w:rsidRPr="000E01C3">
        <w:rPr>
          <w:rFonts w:asciiTheme="minorHAnsi" w:hAnsiTheme="minorHAnsi" w:cstheme="minorHAnsi"/>
          <w:sz w:val="24"/>
          <w:szCs w:val="24"/>
        </w:rPr>
        <w:t xml:space="preserve">over </w:t>
      </w:r>
      <w:r w:rsidR="000854AE" w:rsidRPr="000E01C3">
        <w:rPr>
          <w:rFonts w:asciiTheme="minorHAnsi" w:hAnsiTheme="minorHAnsi" w:cstheme="minorHAnsi"/>
          <w:sz w:val="24"/>
          <w:szCs w:val="24"/>
        </w:rPr>
        <w:t>78 weeks</w:t>
      </w:r>
      <w:r w:rsidR="007869A7" w:rsidRPr="000E01C3">
        <w:rPr>
          <w:rFonts w:asciiTheme="minorHAnsi" w:hAnsiTheme="minorHAnsi" w:cstheme="minorHAnsi"/>
          <w:sz w:val="24"/>
          <w:szCs w:val="24"/>
        </w:rPr>
        <w:t xml:space="preserve"> </w:t>
      </w:r>
      <w:r w:rsidR="00643729" w:rsidRPr="000E01C3">
        <w:rPr>
          <w:rFonts w:asciiTheme="minorHAnsi" w:hAnsiTheme="minorHAnsi" w:cstheme="minorHAnsi"/>
          <w:sz w:val="24"/>
          <w:szCs w:val="24"/>
        </w:rPr>
        <w:t>for a smal</w:t>
      </w:r>
      <w:r w:rsidRPr="000E01C3">
        <w:rPr>
          <w:rFonts w:asciiTheme="minorHAnsi" w:hAnsiTheme="minorHAnsi" w:cstheme="minorHAnsi"/>
          <w:sz w:val="24"/>
          <w:szCs w:val="24"/>
        </w:rPr>
        <w:t>l</w:t>
      </w:r>
      <w:r w:rsidR="00643729" w:rsidRPr="000E01C3">
        <w:rPr>
          <w:rFonts w:asciiTheme="minorHAnsi" w:hAnsiTheme="minorHAnsi" w:cstheme="minorHAnsi"/>
          <w:sz w:val="24"/>
          <w:szCs w:val="24"/>
        </w:rPr>
        <w:t xml:space="preserve"> number of patients</w:t>
      </w:r>
      <w:r w:rsidR="00AF592C" w:rsidRPr="000E01C3">
        <w:rPr>
          <w:rFonts w:asciiTheme="minorHAnsi" w:hAnsiTheme="minorHAnsi" w:cstheme="minorHAnsi"/>
          <w:sz w:val="24"/>
          <w:szCs w:val="24"/>
        </w:rPr>
        <w:t xml:space="preserve"> (n=36)</w:t>
      </w:r>
      <w:r w:rsidR="000854AE" w:rsidRPr="000E01C3">
        <w:rPr>
          <w:rFonts w:asciiTheme="minorHAnsi" w:hAnsiTheme="minorHAnsi" w:cstheme="minorHAnsi"/>
          <w:sz w:val="24"/>
          <w:szCs w:val="24"/>
        </w:rPr>
        <w:t>.</w:t>
      </w:r>
      <w:r w:rsidR="007869A7" w:rsidRPr="000E01C3">
        <w:rPr>
          <w:rFonts w:asciiTheme="minorHAnsi" w:hAnsiTheme="minorHAnsi" w:cstheme="minorHAnsi"/>
          <w:sz w:val="24"/>
          <w:szCs w:val="24"/>
        </w:rPr>
        <w:t xml:space="preserve"> </w:t>
      </w:r>
      <w:r w:rsidR="00643729" w:rsidRPr="000E01C3">
        <w:rPr>
          <w:rFonts w:asciiTheme="minorHAnsi" w:hAnsiTheme="minorHAnsi" w:cstheme="minorHAnsi"/>
          <w:sz w:val="24"/>
          <w:szCs w:val="24"/>
        </w:rPr>
        <w:t>In Trial CF-302, the open</w:t>
      </w:r>
      <w:r w:rsidR="00B53962" w:rsidRPr="000E01C3">
        <w:rPr>
          <w:rFonts w:asciiTheme="minorHAnsi" w:hAnsiTheme="minorHAnsi" w:cstheme="minorHAnsi"/>
          <w:sz w:val="24"/>
          <w:szCs w:val="24"/>
        </w:rPr>
        <w:t xml:space="preserve"> label phase ended at 52 </w:t>
      </w:r>
      <w:r w:rsidR="00AF592C" w:rsidRPr="000E01C3">
        <w:rPr>
          <w:rFonts w:asciiTheme="minorHAnsi" w:hAnsiTheme="minorHAnsi" w:cstheme="minorHAnsi"/>
          <w:sz w:val="24"/>
          <w:szCs w:val="24"/>
        </w:rPr>
        <w:t>weeks.</w:t>
      </w:r>
      <w:r w:rsidR="00643729" w:rsidRPr="000E01C3">
        <w:rPr>
          <w:rFonts w:asciiTheme="minorHAnsi" w:hAnsiTheme="minorHAnsi" w:cstheme="minorHAnsi"/>
          <w:sz w:val="24"/>
          <w:szCs w:val="24"/>
        </w:rPr>
        <w:t xml:space="preserve"> For Trial CF</w:t>
      </w:r>
      <w:r w:rsidR="00170E73" w:rsidRPr="000E01C3">
        <w:rPr>
          <w:rFonts w:asciiTheme="minorHAnsi" w:hAnsiTheme="minorHAnsi" w:cstheme="minorHAnsi"/>
          <w:sz w:val="24"/>
          <w:szCs w:val="24"/>
        </w:rPr>
        <w:noBreakHyphen/>
      </w:r>
      <w:r w:rsidR="00643729" w:rsidRPr="000E01C3">
        <w:rPr>
          <w:rFonts w:asciiTheme="minorHAnsi" w:hAnsiTheme="minorHAnsi" w:cstheme="minorHAnsi"/>
          <w:sz w:val="24"/>
          <w:szCs w:val="24"/>
        </w:rPr>
        <w:t>301, only a small number of subjects were available for analysis at Week 78 (17 and 36 in the control and mannitol groups, respectively).</w:t>
      </w:r>
    </w:p>
    <w:p w:rsidR="00DB40AB" w:rsidRPr="000E01C3" w:rsidRDefault="00D06935" w:rsidP="00BE33FF">
      <w:pPr>
        <w:pStyle w:val="ListParagraph"/>
        <w:widowControl/>
        <w:numPr>
          <w:ilvl w:val="1"/>
          <w:numId w:val="5"/>
        </w:numPr>
        <w:spacing w:after="120"/>
        <w:ind w:left="709"/>
        <w:contextualSpacing w:val="0"/>
        <w:rPr>
          <w:rFonts w:asciiTheme="minorHAnsi" w:hAnsiTheme="minorHAnsi" w:cstheme="minorHAnsi"/>
          <w:sz w:val="24"/>
          <w:szCs w:val="24"/>
        </w:rPr>
      </w:pPr>
      <w:r w:rsidRPr="000E01C3">
        <w:rPr>
          <w:rFonts w:asciiTheme="minorHAnsi" w:hAnsiTheme="minorHAnsi" w:cstheme="minorHAnsi"/>
          <w:sz w:val="24"/>
          <w:szCs w:val="24"/>
        </w:rPr>
        <w:t xml:space="preserve">Table </w:t>
      </w:r>
      <w:r w:rsidR="00016DB9" w:rsidRPr="000E01C3">
        <w:rPr>
          <w:rFonts w:asciiTheme="minorHAnsi" w:hAnsiTheme="minorHAnsi" w:cstheme="minorHAnsi"/>
          <w:sz w:val="24"/>
          <w:szCs w:val="24"/>
        </w:rPr>
        <w:t>6</w:t>
      </w:r>
      <w:r w:rsidRPr="000E01C3">
        <w:rPr>
          <w:rFonts w:asciiTheme="minorHAnsi" w:hAnsiTheme="minorHAnsi" w:cstheme="minorHAnsi"/>
          <w:sz w:val="24"/>
          <w:szCs w:val="24"/>
        </w:rPr>
        <w:t xml:space="preserve"> illustrate</w:t>
      </w:r>
      <w:r w:rsidR="00E05689" w:rsidRPr="000E01C3">
        <w:rPr>
          <w:rFonts w:asciiTheme="minorHAnsi" w:hAnsiTheme="minorHAnsi" w:cstheme="minorHAnsi"/>
          <w:sz w:val="24"/>
          <w:szCs w:val="24"/>
        </w:rPr>
        <w:t>s</w:t>
      </w:r>
      <w:r w:rsidRPr="000E01C3">
        <w:rPr>
          <w:rFonts w:asciiTheme="minorHAnsi" w:hAnsiTheme="minorHAnsi" w:cstheme="minorHAnsi"/>
          <w:sz w:val="24"/>
          <w:szCs w:val="24"/>
        </w:rPr>
        <w:t xml:space="preserve"> the </w:t>
      </w:r>
      <w:r w:rsidR="007610DD" w:rsidRPr="000E01C3">
        <w:rPr>
          <w:rFonts w:asciiTheme="minorHAnsi" w:hAnsiTheme="minorHAnsi" w:cstheme="minorHAnsi"/>
          <w:sz w:val="24"/>
          <w:szCs w:val="24"/>
        </w:rPr>
        <w:t xml:space="preserve">results for </w:t>
      </w:r>
      <w:r w:rsidR="00911994" w:rsidRPr="000E01C3">
        <w:rPr>
          <w:rFonts w:asciiTheme="minorHAnsi" w:hAnsiTheme="minorHAnsi" w:cstheme="minorHAnsi"/>
          <w:sz w:val="24"/>
          <w:szCs w:val="24"/>
        </w:rPr>
        <w:t xml:space="preserve">pulmonary exacerbations and hospitalisations </w:t>
      </w:r>
      <w:r w:rsidRPr="000E01C3">
        <w:rPr>
          <w:rFonts w:asciiTheme="minorHAnsi" w:hAnsiTheme="minorHAnsi" w:cstheme="minorHAnsi"/>
          <w:sz w:val="24"/>
          <w:szCs w:val="24"/>
        </w:rPr>
        <w:t>report</w:t>
      </w:r>
      <w:r w:rsidR="000854AE" w:rsidRPr="000E01C3">
        <w:rPr>
          <w:rFonts w:asciiTheme="minorHAnsi" w:hAnsiTheme="minorHAnsi" w:cstheme="minorHAnsi"/>
          <w:sz w:val="24"/>
          <w:szCs w:val="24"/>
        </w:rPr>
        <w:t>ed in Trials CF-301 and CF-302.</w:t>
      </w:r>
      <w:r w:rsidR="007869A7" w:rsidRPr="000E01C3">
        <w:rPr>
          <w:rFonts w:asciiTheme="minorHAnsi" w:hAnsiTheme="minorHAnsi" w:cstheme="minorHAnsi"/>
          <w:sz w:val="24"/>
          <w:szCs w:val="24"/>
        </w:rPr>
        <w:t xml:space="preserve"> </w:t>
      </w:r>
      <w:r w:rsidR="00DB40AB" w:rsidRPr="000E01C3">
        <w:rPr>
          <w:rFonts w:asciiTheme="minorHAnsi" w:hAnsiTheme="minorHAnsi" w:cstheme="minorHAnsi"/>
          <w:sz w:val="24"/>
          <w:szCs w:val="24"/>
        </w:rPr>
        <w:t xml:space="preserve">Table </w:t>
      </w:r>
      <w:r w:rsidR="00016DB9" w:rsidRPr="000E01C3">
        <w:rPr>
          <w:rFonts w:asciiTheme="minorHAnsi" w:hAnsiTheme="minorHAnsi" w:cstheme="minorHAnsi"/>
          <w:sz w:val="24"/>
          <w:szCs w:val="24"/>
        </w:rPr>
        <w:t>7</w:t>
      </w:r>
      <w:r w:rsidR="00DB40AB" w:rsidRPr="000E01C3">
        <w:rPr>
          <w:rFonts w:asciiTheme="minorHAnsi" w:hAnsiTheme="minorHAnsi" w:cstheme="minorHAnsi"/>
          <w:sz w:val="24"/>
          <w:szCs w:val="24"/>
        </w:rPr>
        <w:t xml:space="preserve"> summarises the proportion of patients with PDPE in Trial CF-203.</w:t>
      </w:r>
    </w:p>
    <w:p w:rsidR="00E55C12" w:rsidRDefault="00E55C12" w:rsidP="00E55C12">
      <w:pPr>
        <w:pStyle w:val="Caption"/>
        <w:keepNext/>
      </w:pPr>
      <w:r>
        <w:t xml:space="preserve">Table </w:t>
      </w:r>
      <w:r>
        <w:rPr>
          <w:noProof/>
        </w:rPr>
        <w:t>6</w:t>
      </w:r>
      <w:r w:rsidRPr="00901654">
        <w:t>: Pulmonary exacerbations and hospitalisations reported in the mannitol vs. control trials (CF-301, CF-302) – ITT Population and DNase user and non-user subgroups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27"/>
        <w:gridCol w:w="2552"/>
        <w:gridCol w:w="2300"/>
        <w:gridCol w:w="2093"/>
      </w:tblGrid>
      <w:tr w:rsidR="00414B2A" w:rsidRPr="000E01C3" w:rsidTr="001E4508">
        <w:trPr>
          <w:trHeight w:val="112"/>
        </w:trPr>
        <w:tc>
          <w:tcPr>
            <w:tcW w:w="2127" w:type="dxa"/>
          </w:tcPr>
          <w:p w:rsidR="00414B2A" w:rsidRPr="000E01C3" w:rsidRDefault="00414B2A" w:rsidP="00A04A6A">
            <w:pPr>
              <w:keepNext/>
              <w:widowControl/>
              <w:rPr>
                <w:rFonts w:ascii="Arial Narrow" w:hAnsi="Arial Narrow"/>
                <w:b/>
                <w:sz w:val="19"/>
                <w:szCs w:val="19"/>
              </w:rPr>
            </w:pPr>
            <w:r w:rsidRPr="000E01C3">
              <w:rPr>
                <w:rFonts w:ascii="Arial Narrow" w:hAnsi="Arial Narrow"/>
                <w:b/>
                <w:sz w:val="19"/>
                <w:szCs w:val="19"/>
              </w:rPr>
              <w:t>Trial ID</w:t>
            </w:r>
          </w:p>
        </w:tc>
        <w:tc>
          <w:tcPr>
            <w:tcW w:w="2552" w:type="dxa"/>
            <w:vAlign w:val="center"/>
          </w:tcPr>
          <w:p w:rsidR="00414B2A" w:rsidRPr="000E01C3" w:rsidRDefault="00414B2A" w:rsidP="00A04A6A">
            <w:pPr>
              <w:keepNext/>
              <w:widowControl/>
              <w:jc w:val="center"/>
              <w:rPr>
                <w:rFonts w:ascii="Arial Narrow" w:hAnsi="Arial Narrow"/>
                <w:b/>
                <w:sz w:val="19"/>
                <w:szCs w:val="19"/>
              </w:rPr>
            </w:pPr>
            <w:r w:rsidRPr="000E01C3">
              <w:rPr>
                <w:rFonts w:ascii="Arial Narrow" w:hAnsi="Arial Narrow"/>
                <w:b/>
                <w:sz w:val="19"/>
                <w:szCs w:val="19"/>
              </w:rPr>
              <w:t>Mannitol</w:t>
            </w:r>
          </w:p>
        </w:tc>
        <w:tc>
          <w:tcPr>
            <w:tcW w:w="2300" w:type="dxa"/>
            <w:vAlign w:val="center"/>
          </w:tcPr>
          <w:p w:rsidR="00414B2A" w:rsidRPr="000E01C3" w:rsidRDefault="00414B2A" w:rsidP="00A04A6A">
            <w:pPr>
              <w:keepNext/>
              <w:widowControl/>
              <w:jc w:val="center"/>
              <w:rPr>
                <w:rFonts w:ascii="Arial Narrow" w:hAnsi="Arial Narrow"/>
                <w:b/>
                <w:sz w:val="19"/>
                <w:szCs w:val="19"/>
              </w:rPr>
            </w:pPr>
            <w:r w:rsidRPr="000E01C3">
              <w:rPr>
                <w:rFonts w:ascii="Arial Narrow" w:hAnsi="Arial Narrow"/>
                <w:b/>
                <w:sz w:val="19"/>
                <w:szCs w:val="19"/>
              </w:rPr>
              <w:t>Control</w:t>
            </w:r>
          </w:p>
        </w:tc>
        <w:tc>
          <w:tcPr>
            <w:tcW w:w="2093" w:type="dxa"/>
            <w:shd w:val="clear" w:color="auto" w:fill="auto"/>
            <w:vAlign w:val="center"/>
          </w:tcPr>
          <w:p w:rsidR="00414B2A" w:rsidRPr="000E01C3" w:rsidRDefault="00414B2A" w:rsidP="00A04A6A">
            <w:pPr>
              <w:keepNext/>
              <w:widowControl/>
              <w:jc w:val="center"/>
              <w:rPr>
                <w:rFonts w:ascii="Arial Narrow" w:hAnsi="Arial Narrow"/>
                <w:b/>
                <w:sz w:val="19"/>
                <w:szCs w:val="19"/>
              </w:rPr>
            </w:pPr>
            <w:r w:rsidRPr="000E01C3">
              <w:rPr>
                <w:rFonts w:ascii="Arial Narrow" w:hAnsi="Arial Narrow"/>
                <w:b/>
                <w:sz w:val="19"/>
                <w:szCs w:val="19"/>
              </w:rPr>
              <w:t>Rate Ratio (unless otherwise specified)</w:t>
            </w:r>
          </w:p>
          <w:p w:rsidR="00414B2A" w:rsidRPr="000E01C3" w:rsidRDefault="00414B2A" w:rsidP="00A04A6A">
            <w:pPr>
              <w:keepNext/>
              <w:widowControl/>
              <w:jc w:val="center"/>
              <w:rPr>
                <w:rFonts w:ascii="Arial Narrow" w:hAnsi="Arial Narrow"/>
                <w:b/>
                <w:sz w:val="19"/>
                <w:szCs w:val="19"/>
              </w:rPr>
            </w:pPr>
            <w:r w:rsidRPr="000E01C3">
              <w:rPr>
                <w:rFonts w:ascii="Arial Narrow" w:hAnsi="Arial Narrow"/>
                <w:b/>
                <w:sz w:val="19"/>
                <w:szCs w:val="19"/>
              </w:rPr>
              <w:t>(95% CI)</w:t>
            </w:r>
          </w:p>
        </w:tc>
      </w:tr>
      <w:tr w:rsidR="00414B2A" w:rsidRPr="000E01C3" w:rsidTr="00DE1019">
        <w:tc>
          <w:tcPr>
            <w:tcW w:w="9072" w:type="dxa"/>
            <w:gridSpan w:val="4"/>
            <w:vAlign w:val="center"/>
          </w:tcPr>
          <w:p w:rsidR="00414B2A" w:rsidRPr="000E01C3" w:rsidRDefault="00414B2A" w:rsidP="00A04A6A">
            <w:pPr>
              <w:keepNext/>
              <w:widowControl/>
              <w:jc w:val="left"/>
              <w:rPr>
                <w:rFonts w:ascii="Arial Narrow" w:hAnsi="Arial Narrow"/>
                <w:b/>
                <w:sz w:val="19"/>
                <w:szCs w:val="19"/>
              </w:rPr>
            </w:pPr>
            <w:r w:rsidRPr="000E01C3">
              <w:rPr>
                <w:rFonts w:ascii="Arial Narrow" w:hAnsi="Arial Narrow"/>
                <w:b/>
                <w:sz w:val="19"/>
                <w:szCs w:val="19"/>
              </w:rPr>
              <w:t>Mean annualised rate of PDPE events per patient (resubmission derived)</w:t>
            </w:r>
          </w:p>
        </w:tc>
      </w:tr>
      <w:tr w:rsidR="00414B2A" w:rsidRPr="000E01C3" w:rsidTr="001E4508">
        <w:tc>
          <w:tcPr>
            <w:tcW w:w="2127" w:type="dxa"/>
            <w:vAlign w:val="center"/>
          </w:tcPr>
          <w:p w:rsidR="00414B2A" w:rsidRPr="000E01C3" w:rsidRDefault="00414B2A" w:rsidP="00A04A6A">
            <w:pPr>
              <w:keepNext/>
              <w:widowControl/>
              <w:rPr>
                <w:rFonts w:ascii="Arial Narrow" w:hAnsi="Arial Narrow"/>
                <w:sz w:val="19"/>
                <w:szCs w:val="19"/>
              </w:rPr>
            </w:pPr>
            <w:r w:rsidRPr="000E01C3">
              <w:rPr>
                <w:rFonts w:ascii="Arial Narrow" w:hAnsi="Arial Narrow"/>
                <w:sz w:val="19"/>
                <w:szCs w:val="19"/>
              </w:rPr>
              <w:t xml:space="preserve">CF-301 </w:t>
            </w:r>
          </w:p>
        </w:tc>
        <w:tc>
          <w:tcPr>
            <w:tcW w:w="2552"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0.78 (SD: 1.98) n=177</w:t>
            </w:r>
          </w:p>
        </w:tc>
        <w:tc>
          <w:tcPr>
            <w:tcW w:w="2300"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1.05 (SD 2.15) n= 118</w:t>
            </w:r>
          </w:p>
        </w:tc>
        <w:tc>
          <w:tcPr>
            <w:tcW w:w="2093" w:type="dxa"/>
            <w:vAlign w:val="center"/>
          </w:tcPr>
          <w:p w:rsidR="00414B2A" w:rsidRPr="000E01C3" w:rsidRDefault="00414B2A" w:rsidP="00A04A6A">
            <w:pPr>
              <w:keepNext/>
              <w:widowControl/>
              <w:jc w:val="center"/>
              <w:rPr>
                <w:rFonts w:ascii="Arial Narrow" w:hAnsi="Arial Narrow"/>
                <w:iCs/>
                <w:sz w:val="19"/>
                <w:szCs w:val="19"/>
              </w:rPr>
            </w:pPr>
            <w:r w:rsidRPr="000E01C3">
              <w:rPr>
                <w:rFonts w:ascii="Arial Narrow" w:hAnsi="Arial Narrow"/>
                <w:iCs/>
                <w:sz w:val="19"/>
                <w:szCs w:val="19"/>
              </w:rPr>
              <w:t>0.77 (0.50, 1.18)</w:t>
            </w:r>
          </w:p>
        </w:tc>
      </w:tr>
      <w:tr w:rsidR="00414B2A" w:rsidRPr="000E01C3" w:rsidTr="001E4508">
        <w:tc>
          <w:tcPr>
            <w:tcW w:w="2127" w:type="dxa"/>
            <w:vAlign w:val="center"/>
          </w:tcPr>
          <w:p w:rsidR="00414B2A" w:rsidRPr="000E01C3" w:rsidRDefault="00414B2A" w:rsidP="00A04A6A">
            <w:pPr>
              <w:keepNext/>
              <w:widowControl/>
              <w:rPr>
                <w:rFonts w:ascii="Arial Narrow" w:hAnsi="Arial Narrow"/>
                <w:sz w:val="19"/>
                <w:szCs w:val="19"/>
              </w:rPr>
            </w:pPr>
            <w:r w:rsidRPr="000E01C3">
              <w:rPr>
                <w:rFonts w:ascii="Arial Narrow" w:hAnsi="Arial Narrow"/>
                <w:sz w:val="19"/>
                <w:szCs w:val="19"/>
              </w:rPr>
              <w:t>CF-302</w:t>
            </w:r>
          </w:p>
        </w:tc>
        <w:tc>
          <w:tcPr>
            <w:tcW w:w="2552"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0.44 (95% CI 0.31, 0.60) n=184</w:t>
            </w:r>
          </w:p>
        </w:tc>
        <w:tc>
          <w:tcPr>
            <w:tcW w:w="2300"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0.50 (95% CI 0.35, 0.72) n=121</w:t>
            </w:r>
          </w:p>
        </w:tc>
        <w:tc>
          <w:tcPr>
            <w:tcW w:w="2093" w:type="dxa"/>
            <w:vAlign w:val="center"/>
          </w:tcPr>
          <w:p w:rsidR="00414B2A" w:rsidRPr="000E01C3" w:rsidRDefault="00414B2A" w:rsidP="00A04A6A">
            <w:pPr>
              <w:keepNext/>
              <w:widowControl/>
              <w:jc w:val="center"/>
              <w:rPr>
                <w:rFonts w:ascii="Arial Narrow" w:hAnsi="Arial Narrow"/>
                <w:iCs/>
                <w:sz w:val="19"/>
                <w:szCs w:val="19"/>
              </w:rPr>
            </w:pPr>
            <w:r w:rsidRPr="000E01C3">
              <w:rPr>
                <w:rFonts w:ascii="Arial Narrow" w:hAnsi="Arial Narrow"/>
                <w:iCs/>
                <w:sz w:val="19"/>
                <w:szCs w:val="19"/>
              </w:rPr>
              <w:t>1.00 (0.61, 1.64)^</w:t>
            </w:r>
          </w:p>
        </w:tc>
      </w:tr>
      <w:tr w:rsidR="00414B2A" w:rsidRPr="000E01C3" w:rsidTr="001E4508">
        <w:tc>
          <w:tcPr>
            <w:tcW w:w="2127" w:type="dxa"/>
            <w:vAlign w:val="center"/>
          </w:tcPr>
          <w:p w:rsidR="00414B2A" w:rsidRPr="000E01C3" w:rsidRDefault="00414B2A" w:rsidP="00A04A6A">
            <w:pPr>
              <w:keepNext/>
              <w:widowControl/>
              <w:jc w:val="right"/>
              <w:rPr>
                <w:rFonts w:ascii="Arial Narrow" w:hAnsi="Arial Narrow"/>
                <w:b/>
                <w:sz w:val="19"/>
                <w:szCs w:val="19"/>
              </w:rPr>
            </w:pPr>
            <w:r w:rsidRPr="000E01C3">
              <w:rPr>
                <w:rFonts w:ascii="Arial Narrow" w:hAnsi="Arial Narrow"/>
                <w:b/>
                <w:sz w:val="19"/>
                <w:szCs w:val="19"/>
              </w:rPr>
              <w:t>Meta-analysis</w:t>
            </w:r>
          </w:p>
        </w:tc>
        <w:tc>
          <w:tcPr>
            <w:tcW w:w="2552"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0.5*</w:t>
            </w:r>
          </w:p>
        </w:tc>
        <w:tc>
          <w:tcPr>
            <w:tcW w:w="2300"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0.67*</w:t>
            </w:r>
          </w:p>
        </w:tc>
        <w:tc>
          <w:tcPr>
            <w:tcW w:w="2093" w:type="dxa"/>
            <w:vAlign w:val="center"/>
          </w:tcPr>
          <w:p w:rsidR="00414B2A" w:rsidRPr="000E01C3" w:rsidRDefault="00414B2A" w:rsidP="00A04A6A">
            <w:pPr>
              <w:keepNext/>
              <w:widowControl/>
              <w:jc w:val="center"/>
              <w:rPr>
                <w:rFonts w:ascii="Arial Narrow" w:hAnsi="Arial Narrow"/>
                <w:iCs/>
                <w:sz w:val="19"/>
                <w:szCs w:val="19"/>
              </w:rPr>
            </w:pPr>
            <w:r w:rsidRPr="000E01C3">
              <w:rPr>
                <w:rFonts w:ascii="Arial Narrow" w:hAnsi="Arial Narrow"/>
                <w:iCs/>
                <w:sz w:val="19"/>
                <w:szCs w:val="19"/>
              </w:rPr>
              <w:t>0.88 (0.63, 1.22)^</w:t>
            </w:r>
          </w:p>
        </w:tc>
      </w:tr>
      <w:tr w:rsidR="00414B2A" w:rsidRPr="000E01C3" w:rsidTr="00DE1019">
        <w:tc>
          <w:tcPr>
            <w:tcW w:w="9072" w:type="dxa"/>
            <w:gridSpan w:val="4"/>
            <w:vAlign w:val="center"/>
          </w:tcPr>
          <w:p w:rsidR="00414B2A" w:rsidRPr="000E01C3" w:rsidRDefault="00414B2A" w:rsidP="00A04A6A">
            <w:pPr>
              <w:keepNext/>
              <w:widowControl/>
              <w:jc w:val="left"/>
              <w:rPr>
                <w:rFonts w:ascii="Arial Narrow" w:hAnsi="Arial Narrow"/>
                <w:b/>
                <w:sz w:val="19"/>
                <w:szCs w:val="19"/>
              </w:rPr>
            </w:pPr>
            <w:r w:rsidRPr="000E01C3">
              <w:rPr>
                <w:rFonts w:ascii="Arial Narrow" w:hAnsi="Arial Narrow"/>
                <w:b/>
                <w:sz w:val="19"/>
                <w:szCs w:val="19"/>
              </w:rPr>
              <w:t>Mean annualised rate of PDPE events per patient (evaluation derived)</w:t>
            </w:r>
          </w:p>
        </w:tc>
      </w:tr>
      <w:tr w:rsidR="00414B2A" w:rsidRPr="000E01C3" w:rsidTr="001E4508">
        <w:tc>
          <w:tcPr>
            <w:tcW w:w="2127" w:type="dxa"/>
            <w:vAlign w:val="center"/>
          </w:tcPr>
          <w:p w:rsidR="00414B2A" w:rsidRPr="000E01C3" w:rsidRDefault="00414B2A" w:rsidP="00A04A6A">
            <w:pPr>
              <w:keepNext/>
              <w:widowControl/>
              <w:rPr>
                <w:rFonts w:ascii="Arial Narrow" w:hAnsi="Arial Narrow"/>
                <w:sz w:val="19"/>
                <w:szCs w:val="19"/>
              </w:rPr>
            </w:pPr>
            <w:r w:rsidRPr="000E01C3">
              <w:rPr>
                <w:rFonts w:ascii="Arial Narrow" w:hAnsi="Arial Narrow"/>
                <w:sz w:val="19"/>
                <w:szCs w:val="19"/>
              </w:rPr>
              <w:t>CF-301</w:t>
            </w:r>
          </w:p>
        </w:tc>
        <w:tc>
          <w:tcPr>
            <w:tcW w:w="2552"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0.78 (SD 1.98) n=177</w:t>
            </w:r>
          </w:p>
        </w:tc>
        <w:tc>
          <w:tcPr>
            <w:tcW w:w="2300"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1.05 (SD 2.15) n=118</w:t>
            </w:r>
          </w:p>
        </w:tc>
        <w:tc>
          <w:tcPr>
            <w:tcW w:w="2093" w:type="dxa"/>
            <w:vAlign w:val="center"/>
          </w:tcPr>
          <w:p w:rsidR="00414B2A" w:rsidRPr="000E01C3" w:rsidRDefault="00414B2A" w:rsidP="00A04A6A">
            <w:pPr>
              <w:keepNext/>
              <w:widowControl/>
              <w:jc w:val="center"/>
              <w:rPr>
                <w:rFonts w:ascii="Arial Narrow" w:hAnsi="Arial Narrow"/>
                <w:iCs/>
                <w:sz w:val="19"/>
                <w:szCs w:val="19"/>
              </w:rPr>
            </w:pPr>
            <w:r w:rsidRPr="000E01C3">
              <w:rPr>
                <w:rFonts w:ascii="Arial Narrow" w:hAnsi="Arial Narrow"/>
                <w:iCs/>
                <w:sz w:val="19"/>
                <w:szCs w:val="19"/>
              </w:rPr>
              <w:t>0.74 (0.47, 1.18)</w:t>
            </w:r>
          </w:p>
        </w:tc>
      </w:tr>
      <w:tr w:rsidR="00414B2A" w:rsidRPr="000E01C3" w:rsidTr="001E4508">
        <w:tc>
          <w:tcPr>
            <w:tcW w:w="2127" w:type="dxa"/>
            <w:vAlign w:val="center"/>
          </w:tcPr>
          <w:p w:rsidR="00414B2A" w:rsidRPr="000E01C3" w:rsidRDefault="00414B2A" w:rsidP="00A04A6A">
            <w:pPr>
              <w:keepNext/>
              <w:widowControl/>
              <w:rPr>
                <w:rFonts w:ascii="Arial Narrow" w:hAnsi="Arial Narrow"/>
                <w:sz w:val="19"/>
                <w:szCs w:val="19"/>
              </w:rPr>
            </w:pPr>
            <w:r w:rsidRPr="000E01C3">
              <w:rPr>
                <w:rFonts w:ascii="Arial Narrow" w:hAnsi="Arial Narrow"/>
                <w:sz w:val="19"/>
                <w:szCs w:val="19"/>
              </w:rPr>
              <w:t>CF-302</w:t>
            </w:r>
          </w:p>
        </w:tc>
        <w:tc>
          <w:tcPr>
            <w:tcW w:w="2552"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0.44 (95% CI 0.31, 0.60) n=184</w:t>
            </w:r>
          </w:p>
        </w:tc>
        <w:tc>
          <w:tcPr>
            <w:tcW w:w="2300"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0.50 (95% CI 0.35, 0.72) n=121</w:t>
            </w:r>
          </w:p>
        </w:tc>
        <w:tc>
          <w:tcPr>
            <w:tcW w:w="2093" w:type="dxa"/>
            <w:vAlign w:val="center"/>
          </w:tcPr>
          <w:p w:rsidR="00414B2A" w:rsidRPr="000E01C3" w:rsidRDefault="00414B2A" w:rsidP="00A04A6A">
            <w:pPr>
              <w:keepNext/>
              <w:widowControl/>
              <w:jc w:val="center"/>
              <w:rPr>
                <w:rFonts w:ascii="Arial Narrow" w:hAnsi="Arial Narrow"/>
                <w:iCs/>
                <w:sz w:val="19"/>
                <w:szCs w:val="19"/>
              </w:rPr>
            </w:pPr>
            <w:r w:rsidRPr="000E01C3">
              <w:rPr>
                <w:rFonts w:ascii="Arial Narrow" w:hAnsi="Arial Narrow"/>
                <w:iCs/>
                <w:sz w:val="19"/>
                <w:szCs w:val="19"/>
              </w:rPr>
              <w:t>0.85 (0.51, 1.41)</w:t>
            </w:r>
          </w:p>
        </w:tc>
      </w:tr>
      <w:tr w:rsidR="00414B2A" w:rsidRPr="000E01C3" w:rsidTr="001E4508">
        <w:tc>
          <w:tcPr>
            <w:tcW w:w="2127" w:type="dxa"/>
            <w:vAlign w:val="center"/>
          </w:tcPr>
          <w:p w:rsidR="00414B2A" w:rsidRPr="000E01C3" w:rsidRDefault="00414B2A" w:rsidP="00A04A6A">
            <w:pPr>
              <w:keepNext/>
              <w:widowControl/>
              <w:jc w:val="right"/>
              <w:rPr>
                <w:rFonts w:ascii="Arial Narrow" w:hAnsi="Arial Narrow"/>
                <w:sz w:val="19"/>
                <w:szCs w:val="19"/>
              </w:rPr>
            </w:pPr>
            <w:r w:rsidRPr="000E01C3">
              <w:rPr>
                <w:rFonts w:ascii="Arial Narrow" w:hAnsi="Arial Narrow"/>
                <w:b/>
                <w:sz w:val="19"/>
                <w:szCs w:val="19"/>
              </w:rPr>
              <w:t>Meta-analysis</w:t>
            </w:r>
          </w:p>
        </w:tc>
        <w:tc>
          <w:tcPr>
            <w:tcW w:w="2552"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0.5*</w:t>
            </w:r>
          </w:p>
        </w:tc>
        <w:tc>
          <w:tcPr>
            <w:tcW w:w="2300"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0.67*</w:t>
            </w:r>
          </w:p>
        </w:tc>
        <w:tc>
          <w:tcPr>
            <w:tcW w:w="2093" w:type="dxa"/>
            <w:vAlign w:val="center"/>
          </w:tcPr>
          <w:p w:rsidR="00414B2A" w:rsidRPr="000E01C3" w:rsidRDefault="00414B2A" w:rsidP="00A04A6A">
            <w:pPr>
              <w:keepNext/>
              <w:widowControl/>
              <w:jc w:val="center"/>
              <w:rPr>
                <w:rFonts w:ascii="Arial Narrow" w:hAnsi="Arial Narrow"/>
                <w:iCs/>
                <w:sz w:val="19"/>
                <w:szCs w:val="19"/>
              </w:rPr>
            </w:pPr>
            <w:r w:rsidRPr="000E01C3">
              <w:rPr>
                <w:rFonts w:ascii="Arial Narrow" w:hAnsi="Arial Narrow"/>
                <w:iCs/>
                <w:sz w:val="19"/>
                <w:szCs w:val="19"/>
              </w:rPr>
              <w:t>0.79 (0.56, 1.11)</w:t>
            </w:r>
          </w:p>
        </w:tc>
      </w:tr>
      <w:tr w:rsidR="00414B2A" w:rsidRPr="000E01C3" w:rsidTr="00DE1019">
        <w:tc>
          <w:tcPr>
            <w:tcW w:w="9072" w:type="dxa"/>
            <w:gridSpan w:val="4"/>
            <w:vAlign w:val="center"/>
          </w:tcPr>
          <w:p w:rsidR="00414B2A" w:rsidRPr="000E01C3" w:rsidRDefault="00414B2A" w:rsidP="00A04A6A">
            <w:pPr>
              <w:keepNext/>
              <w:widowControl/>
              <w:ind w:left="112"/>
              <w:jc w:val="left"/>
              <w:rPr>
                <w:rFonts w:ascii="Arial Narrow" w:hAnsi="Arial Narrow"/>
                <w:b/>
                <w:sz w:val="19"/>
                <w:szCs w:val="19"/>
              </w:rPr>
            </w:pPr>
            <w:r w:rsidRPr="000E01C3">
              <w:rPr>
                <w:rFonts w:ascii="Arial Narrow" w:hAnsi="Arial Narrow"/>
                <w:b/>
                <w:sz w:val="19"/>
                <w:szCs w:val="19"/>
              </w:rPr>
              <w:t>-Sub-group results from Trials CF-301 and CF-302</w:t>
            </w:r>
          </w:p>
        </w:tc>
      </w:tr>
      <w:tr w:rsidR="00414B2A" w:rsidRPr="000E01C3" w:rsidTr="001E4508">
        <w:tc>
          <w:tcPr>
            <w:tcW w:w="2127" w:type="dxa"/>
            <w:shd w:val="clear" w:color="auto" w:fill="D9D9D9" w:themeFill="background1" w:themeFillShade="D9"/>
            <w:vAlign w:val="center"/>
          </w:tcPr>
          <w:p w:rsidR="00414B2A" w:rsidRPr="000E01C3" w:rsidRDefault="00414B2A" w:rsidP="00A04A6A">
            <w:pPr>
              <w:keepNext/>
              <w:widowControl/>
              <w:ind w:left="112"/>
              <w:rPr>
                <w:rFonts w:ascii="Arial Narrow" w:hAnsi="Arial Narrow"/>
                <w:sz w:val="19"/>
                <w:szCs w:val="19"/>
              </w:rPr>
            </w:pPr>
            <w:r w:rsidRPr="000E01C3">
              <w:rPr>
                <w:rFonts w:ascii="Arial Narrow" w:hAnsi="Arial Narrow"/>
                <w:sz w:val="19"/>
                <w:szCs w:val="19"/>
              </w:rPr>
              <w:t>-CF-301 DNase users</w:t>
            </w:r>
          </w:p>
        </w:tc>
        <w:tc>
          <w:tcPr>
            <w:tcW w:w="2552" w:type="dxa"/>
            <w:shd w:val="clear" w:color="auto" w:fill="D9D9D9" w:themeFill="background1" w:themeFillShade="D9"/>
            <w:vAlign w:val="center"/>
          </w:tcPr>
          <w:p w:rsidR="00414B2A" w:rsidRPr="000E01C3" w:rsidRDefault="00414B2A" w:rsidP="00A04A6A">
            <w:pPr>
              <w:keepNext/>
              <w:widowControl/>
              <w:ind w:left="112"/>
              <w:jc w:val="center"/>
              <w:rPr>
                <w:rFonts w:ascii="Arial Narrow" w:hAnsi="Arial Narrow"/>
                <w:sz w:val="19"/>
                <w:szCs w:val="19"/>
              </w:rPr>
            </w:pPr>
            <w:r w:rsidRPr="000E01C3">
              <w:rPr>
                <w:rFonts w:ascii="Arial Narrow" w:hAnsi="Arial Narrow"/>
                <w:sz w:val="19"/>
                <w:szCs w:val="19"/>
              </w:rPr>
              <w:t>1.05 (SD 2.29) n=97</w:t>
            </w:r>
          </w:p>
        </w:tc>
        <w:tc>
          <w:tcPr>
            <w:tcW w:w="2300" w:type="dxa"/>
            <w:shd w:val="clear" w:color="auto" w:fill="D9D9D9" w:themeFill="background1" w:themeFillShade="D9"/>
            <w:vAlign w:val="center"/>
          </w:tcPr>
          <w:p w:rsidR="00414B2A" w:rsidRPr="000E01C3" w:rsidRDefault="00414B2A" w:rsidP="00A04A6A">
            <w:pPr>
              <w:keepNext/>
              <w:widowControl/>
              <w:ind w:left="112"/>
              <w:jc w:val="center"/>
              <w:rPr>
                <w:rFonts w:ascii="Arial Narrow" w:hAnsi="Arial Narrow"/>
                <w:sz w:val="19"/>
                <w:szCs w:val="19"/>
              </w:rPr>
            </w:pPr>
            <w:r w:rsidRPr="000E01C3">
              <w:rPr>
                <w:rFonts w:ascii="Arial Narrow" w:hAnsi="Arial Narrow"/>
                <w:sz w:val="19"/>
                <w:szCs w:val="19"/>
              </w:rPr>
              <w:t>1.19 (SD 2.30) n=65</w:t>
            </w:r>
          </w:p>
        </w:tc>
        <w:tc>
          <w:tcPr>
            <w:tcW w:w="2093" w:type="dxa"/>
            <w:shd w:val="clear" w:color="auto" w:fill="D9D9D9" w:themeFill="background1" w:themeFillShade="D9"/>
            <w:vAlign w:val="center"/>
          </w:tcPr>
          <w:p w:rsidR="00414B2A" w:rsidRPr="000E01C3" w:rsidRDefault="00414B2A" w:rsidP="00A04A6A">
            <w:pPr>
              <w:keepNext/>
              <w:widowControl/>
              <w:ind w:left="112"/>
              <w:jc w:val="center"/>
              <w:rPr>
                <w:rFonts w:ascii="Arial Narrow" w:hAnsi="Arial Narrow"/>
                <w:iCs/>
                <w:sz w:val="19"/>
                <w:szCs w:val="19"/>
              </w:rPr>
            </w:pPr>
            <w:r w:rsidRPr="000E01C3">
              <w:rPr>
                <w:rFonts w:ascii="Arial Narrow" w:hAnsi="Arial Narrow"/>
                <w:iCs/>
                <w:sz w:val="19"/>
                <w:szCs w:val="19"/>
              </w:rPr>
              <w:t>0.76 (0.45, 1.27) p&gt;0.05</w:t>
            </w:r>
          </w:p>
        </w:tc>
      </w:tr>
      <w:tr w:rsidR="00414B2A" w:rsidRPr="000E01C3" w:rsidTr="001E4508">
        <w:tc>
          <w:tcPr>
            <w:tcW w:w="2127" w:type="dxa"/>
            <w:shd w:val="clear" w:color="auto" w:fill="D9D9D9" w:themeFill="background1" w:themeFillShade="D9"/>
            <w:vAlign w:val="center"/>
          </w:tcPr>
          <w:p w:rsidR="00414B2A" w:rsidRPr="000E01C3" w:rsidRDefault="00414B2A" w:rsidP="00A04A6A">
            <w:pPr>
              <w:keepNext/>
              <w:widowControl/>
              <w:ind w:left="112"/>
              <w:rPr>
                <w:rFonts w:ascii="Arial Narrow" w:hAnsi="Arial Narrow"/>
                <w:sz w:val="19"/>
                <w:szCs w:val="19"/>
              </w:rPr>
            </w:pPr>
            <w:r w:rsidRPr="000E01C3">
              <w:rPr>
                <w:rFonts w:ascii="Arial Narrow" w:hAnsi="Arial Narrow"/>
                <w:sz w:val="19"/>
                <w:szCs w:val="19"/>
              </w:rPr>
              <w:t>-CF-302 DNase users</w:t>
            </w:r>
          </w:p>
        </w:tc>
        <w:tc>
          <w:tcPr>
            <w:tcW w:w="2552" w:type="dxa"/>
            <w:shd w:val="clear" w:color="auto" w:fill="D9D9D9" w:themeFill="background1" w:themeFillShade="D9"/>
            <w:vAlign w:val="center"/>
          </w:tcPr>
          <w:p w:rsidR="00414B2A" w:rsidRPr="000E01C3" w:rsidRDefault="00414B2A" w:rsidP="00A04A6A">
            <w:pPr>
              <w:keepNext/>
              <w:widowControl/>
              <w:ind w:left="112"/>
              <w:jc w:val="center"/>
              <w:rPr>
                <w:rFonts w:ascii="Arial Narrow" w:hAnsi="Arial Narrow"/>
                <w:sz w:val="19"/>
                <w:szCs w:val="19"/>
              </w:rPr>
            </w:pPr>
            <w:r w:rsidRPr="000E01C3">
              <w:rPr>
                <w:rFonts w:ascii="Arial Narrow" w:hAnsi="Arial Narrow"/>
                <w:sz w:val="19"/>
                <w:szCs w:val="19"/>
              </w:rPr>
              <w:t>0.53 (95% CI 0.37, 0.75) n=136</w:t>
            </w:r>
          </w:p>
        </w:tc>
        <w:tc>
          <w:tcPr>
            <w:tcW w:w="2300" w:type="dxa"/>
            <w:shd w:val="clear" w:color="auto" w:fill="D9D9D9" w:themeFill="background1" w:themeFillShade="D9"/>
            <w:vAlign w:val="center"/>
          </w:tcPr>
          <w:p w:rsidR="00414B2A" w:rsidRPr="000E01C3" w:rsidRDefault="00414B2A" w:rsidP="00A04A6A">
            <w:pPr>
              <w:keepNext/>
              <w:widowControl/>
              <w:ind w:left="112"/>
              <w:jc w:val="center"/>
              <w:rPr>
                <w:rFonts w:ascii="Arial Narrow" w:hAnsi="Arial Narrow"/>
                <w:sz w:val="19"/>
                <w:szCs w:val="19"/>
              </w:rPr>
            </w:pPr>
            <w:r w:rsidRPr="000E01C3">
              <w:rPr>
                <w:rFonts w:ascii="Arial Narrow" w:hAnsi="Arial Narrow"/>
                <w:sz w:val="19"/>
                <w:szCs w:val="19"/>
              </w:rPr>
              <w:t>0.43 (95% CI 0.27, 0.67) n=93</w:t>
            </w:r>
          </w:p>
        </w:tc>
        <w:tc>
          <w:tcPr>
            <w:tcW w:w="2093" w:type="dxa"/>
            <w:shd w:val="clear" w:color="auto" w:fill="D9D9D9" w:themeFill="background1" w:themeFillShade="D9"/>
            <w:vAlign w:val="center"/>
          </w:tcPr>
          <w:p w:rsidR="00414B2A" w:rsidRPr="000E01C3" w:rsidRDefault="00414B2A" w:rsidP="00A04A6A">
            <w:pPr>
              <w:keepNext/>
              <w:widowControl/>
              <w:ind w:left="112"/>
              <w:jc w:val="center"/>
              <w:rPr>
                <w:rFonts w:ascii="Arial Narrow" w:hAnsi="Arial Narrow"/>
                <w:iCs/>
                <w:sz w:val="19"/>
                <w:szCs w:val="19"/>
              </w:rPr>
            </w:pPr>
            <w:r w:rsidRPr="000E01C3">
              <w:rPr>
                <w:rFonts w:ascii="Arial Narrow" w:hAnsi="Arial Narrow"/>
                <w:iCs/>
                <w:sz w:val="19"/>
                <w:szCs w:val="19"/>
              </w:rPr>
              <w:t>1.09 (0.61, 1.95) p=0.779</w:t>
            </w:r>
          </w:p>
        </w:tc>
      </w:tr>
      <w:tr w:rsidR="00414B2A" w:rsidRPr="000E01C3" w:rsidTr="001E4508">
        <w:tc>
          <w:tcPr>
            <w:tcW w:w="6979" w:type="dxa"/>
            <w:gridSpan w:val="3"/>
            <w:shd w:val="clear" w:color="auto" w:fill="D9D9D9" w:themeFill="background1" w:themeFillShade="D9"/>
            <w:vAlign w:val="center"/>
          </w:tcPr>
          <w:p w:rsidR="00414B2A" w:rsidRPr="000E01C3" w:rsidRDefault="00414B2A" w:rsidP="00A04A6A">
            <w:pPr>
              <w:keepNext/>
              <w:widowControl/>
              <w:ind w:left="112"/>
              <w:jc w:val="right"/>
              <w:rPr>
                <w:rFonts w:ascii="Arial Narrow" w:hAnsi="Arial Narrow"/>
                <w:b/>
                <w:sz w:val="19"/>
                <w:szCs w:val="19"/>
              </w:rPr>
            </w:pPr>
            <w:r w:rsidRPr="000E01C3">
              <w:rPr>
                <w:rFonts w:ascii="Arial Narrow" w:hAnsi="Arial Narrow"/>
                <w:b/>
                <w:sz w:val="19"/>
                <w:szCs w:val="19"/>
              </w:rPr>
              <w:t>Meta-analysis of results (DNase users)</w:t>
            </w:r>
          </w:p>
        </w:tc>
        <w:tc>
          <w:tcPr>
            <w:tcW w:w="2093" w:type="dxa"/>
            <w:shd w:val="clear" w:color="auto" w:fill="D9D9D9" w:themeFill="background1" w:themeFillShade="D9"/>
            <w:vAlign w:val="center"/>
          </w:tcPr>
          <w:p w:rsidR="00414B2A" w:rsidRPr="000E01C3" w:rsidRDefault="00414B2A" w:rsidP="00A04A6A">
            <w:pPr>
              <w:keepNext/>
              <w:widowControl/>
              <w:ind w:left="112"/>
              <w:jc w:val="center"/>
              <w:rPr>
                <w:rFonts w:ascii="Arial Narrow" w:hAnsi="Arial Narrow"/>
                <w:iCs/>
                <w:sz w:val="19"/>
                <w:szCs w:val="19"/>
              </w:rPr>
            </w:pPr>
            <w:r w:rsidRPr="000E01C3">
              <w:rPr>
                <w:rFonts w:ascii="Arial Narrow" w:hAnsi="Arial Narrow"/>
                <w:iCs/>
                <w:sz w:val="19"/>
                <w:szCs w:val="19"/>
              </w:rPr>
              <w:t>0.89 (0.61, 1.31)</w:t>
            </w:r>
          </w:p>
        </w:tc>
      </w:tr>
      <w:tr w:rsidR="00414B2A" w:rsidRPr="000E01C3" w:rsidTr="001E4508">
        <w:tc>
          <w:tcPr>
            <w:tcW w:w="2127" w:type="dxa"/>
            <w:vAlign w:val="center"/>
          </w:tcPr>
          <w:p w:rsidR="00414B2A" w:rsidRPr="000E01C3" w:rsidRDefault="00414B2A" w:rsidP="00A04A6A">
            <w:pPr>
              <w:keepNext/>
              <w:widowControl/>
              <w:ind w:left="112"/>
              <w:rPr>
                <w:rFonts w:ascii="Arial Narrow" w:hAnsi="Arial Narrow"/>
                <w:sz w:val="19"/>
                <w:szCs w:val="19"/>
              </w:rPr>
            </w:pPr>
            <w:r w:rsidRPr="000E01C3">
              <w:rPr>
                <w:rFonts w:ascii="Arial Narrow" w:hAnsi="Arial Narrow"/>
                <w:sz w:val="19"/>
                <w:szCs w:val="19"/>
              </w:rPr>
              <w:t>-CF-301 DNase non-users</w:t>
            </w:r>
          </w:p>
        </w:tc>
        <w:tc>
          <w:tcPr>
            <w:tcW w:w="2552" w:type="dxa"/>
            <w:vAlign w:val="center"/>
          </w:tcPr>
          <w:p w:rsidR="00414B2A" w:rsidRPr="000E01C3" w:rsidRDefault="00414B2A" w:rsidP="00A04A6A">
            <w:pPr>
              <w:keepNext/>
              <w:widowControl/>
              <w:ind w:left="112"/>
              <w:jc w:val="center"/>
              <w:rPr>
                <w:rFonts w:ascii="Arial Narrow" w:hAnsi="Arial Narrow"/>
                <w:sz w:val="19"/>
                <w:szCs w:val="19"/>
              </w:rPr>
            </w:pPr>
            <w:r w:rsidRPr="000E01C3">
              <w:rPr>
                <w:rFonts w:ascii="Arial Narrow" w:hAnsi="Arial Narrow"/>
                <w:sz w:val="19"/>
                <w:szCs w:val="19"/>
              </w:rPr>
              <w:t>0.47 (SD 1.48) n=80</w:t>
            </w:r>
          </w:p>
        </w:tc>
        <w:tc>
          <w:tcPr>
            <w:tcW w:w="2300" w:type="dxa"/>
            <w:vAlign w:val="center"/>
          </w:tcPr>
          <w:p w:rsidR="00414B2A" w:rsidRPr="000E01C3" w:rsidRDefault="00414B2A" w:rsidP="00A04A6A">
            <w:pPr>
              <w:keepNext/>
              <w:widowControl/>
              <w:ind w:left="112"/>
              <w:jc w:val="center"/>
              <w:rPr>
                <w:rFonts w:ascii="Arial Narrow" w:hAnsi="Arial Narrow"/>
                <w:sz w:val="19"/>
                <w:szCs w:val="19"/>
              </w:rPr>
            </w:pPr>
            <w:r w:rsidRPr="000E01C3">
              <w:rPr>
                <w:rFonts w:ascii="Arial Narrow" w:hAnsi="Arial Narrow"/>
                <w:sz w:val="19"/>
                <w:szCs w:val="19"/>
              </w:rPr>
              <w:t>0.86 (SD 1.93) n=53</w:t>
            </w:r>
          </w:p>
        </w:tc>
        <w:tc>
          <w:tcPr>
            <w:tcW w:w="2093" w:type="dxa"/>
            <w:vAlign w:val="center"/>
          </w:tcPr>
          <w:p w:rsidR="00414B2A" w:rsidRPr="000E01C3" w:rsidRDefault="00414B2A" w:rsidP="00A04A6A">
            <w:pPr>
              <w:keepNext/>
              <w:widowControl/>
              <w:ind w:left="112"/>
              <w:jc w:val="center"/>
              <w:rPr>
                <w:rFonts w:ascii="Arial Narrow" w:hAnsi="Arial Narrow"/>
                <w:iCs/>
                <w:sz w:val="19"/>
                <w:szCs w:val="19"/>
              </w:rPr>
            </w:pPr>
            <w:r w:rsidRPr="000E01C3">
              <w:rPr>
                <w:rFonts w:ascii="Arial Narrow" w:hAnsi="Arial Narrow"/>
                <w:iCs/>
                <w:sz w:val="19"/>
                <w:szCs w:val="19"/>
              </w:rPr>
              <w:t>0.59 (0.24, 1.47) p&gt;0.05</w:t>
            </w:r>
          </w:p>
        </w:tc>
      </w:tr>
      <w:tr w:rsidR="00414B2A" w:rsidRPr="000E01C3" w:rsidTr="001E4508">
        <w:tc>
          <w:tcPr>
            <w:tcW w:w="2127" w:type="dxa"/>
            <w:vAlign w:val="center"/>
          </w:tcPr>
          <w:p w:rsidR="00414B2A" w:rsidRPr="000E01C3" w:rsidRDefault="00414B2A" w:rsidP="00A04A6A">
            <w:pPr>
              <w:keepNext/>
              <w:widowControl/>
              <w:ind w:left="112"/>
              <w:rPr>
                <w:rFonts w:ascii="Arial Narrow" w:hAnsi="Arial Narrow"/>
                <w:sz w:val="19"/>
                <w:szCs w:val="19"/>
              </w:rPr>
            </w:pPr>
            <w:r w:rsidRPr="000E01C3">
              <w:rPr>
                <w:rFonts w:ascii="Arial Narrow" w:hAnsi="Arial Narrow"/>
                <w:sz w:val="19"/>
                <w:szCs w:val="19"/>
              </w:rPr>
              <w:t>-CF-302 DNase non-users</w:t>
            </w:r>
          </w:p>
        </w:tc>
        <w:tc>
          <w:tcPr>
            <w:tcW w:w="2552" w:type="dxa"/>
            <w:vAlign w:val="center"/>
          </w:tcPr>
          <w:p w:rsidR="00414B2A" w:rsidRPr="000E01C3" w:rsidRDefault="00414B2A" w:rsidP="00A04A6A">
            <w:pPr>
              <w:keepNext/>
              <w:widowControl/>
              <w:ind w:left="112"/>
              <w:jc w:val="center"/>
              <w:rPr>
                <w:rFonts w:ascii="Arial Narrow" w:hAnsi="Arial Narrow"/>
                <w:sz w:val="19"/>
                <w:szCs w:val="19"/>
              </w:rPr>
            </w:pPr>
            <w:r w:rsidRPr="000E01C3">
              <w:rPr>
                <w:rFonts w:ascii="Arial Narrow" w:hAnsi="Arial Narrow"/>
                <w:sz w:val="19"/>
                <w:szCs w:val="19"/>
              </w:rPr>
              <w:t>0.18 (95% CI 0.07, 0.49) n=48</w:t>
            </w:r>
          </w:p>
        </w:tc>
        <w:tc>
          <w:tcPr>
            <w:tcW w:w="2300" w:type="dxa"/>
            <w:vAlign w:val="center"/>
          </w:tcPr>
          <w:p w:rsidR="00414B2A" w:rsidRPr="000E01C3" w:rsidRDefault="00414B2A" w:rsidP="00A04A6A">
            <w:pPr>
              <w:keepNext/>
              <w:widowControl/>
              <w:ind w:left="112"/>
              <w:jc w:val="center"/>
              <w:rPr>
                <w:rFonts w:ascii="Arial Narrow" w:hAnsi="Arial Narrow"/>
                <w:sz w:val="19"/>
                <w:szCs w:val="19"/>
              </w:rPr>
            </w:pPr>
            <w:r w:rsidRPr="000E01C3">
              <w:rPr>
                <w:rFonts w:ascii="Arial Narrow" w:hAnsi="Arial Narrow"/>
                <w:sz w:val="19"/>
                <w:szCs w:val="19"/>
              </w:rPr>
              <w:t>0.74 (95% CI 0.40, 1.37) n=28</w:t>
            </w:r>
          </w:p>
        </w:tc>
        <w:tc>
          <w:tcPr>
            <w:tcW w:w="2093" w:type="dxa"/>
            <w:vAlign w:val="center"/>
          </w:tcPr>
          <w:p w:rsidR="00414B2A" w:rsidRPr="000E01C3" w:rsidRDefault="00414B2A" w:rsidP="00A04A6A">
            <w:pPr>
              <w:keepNext/>
              <w:widowControl/>
              <w:ind w:left="112"/>
              <w:jc w:val="center"/>
              <w:rPr>
                <w:rFonts w:ascii="Arial Narrow" w:hAnsi="Arial Narrow"/>
                <w:iCs/>
                <w:sz w:val="19"/>
                <w:szCs w:val="19"/>
              </w:rPr>
            </w:pPr>
            <w:r w:rsidRPr="000E01C3">
              <w:rPr>
                <w:rFonts w:ascii="Arial Narrow" w:hAnsi="Arial Narrow"/>
                <w:iCs/>
                <w:sz w:val="19"/>
                <w:szCs w:val="19"/>
              </w:rPr>
              <w:t>0.34 (0.10, 1.09) p=0.069</w:t>
            </w:r>
          </w:p>
        </w:tc>
      </w:tr>
      <w:tr w:rsidR="00414B2A" w:rsidRPr="000E01C3" w:rsidTr="001E4508">
        <w:tc>
          <w:tcPr>
            <w:tcW w:w="6979" w:type="dxa"/>
            <w:gridSpan w:val="3"/>
            <w:vAlign w:val="center"/>
          </w:tcPr>
          <w:p w:rsidR="00414B2A" w:rsidRPr="000E01C3" w:rsidRDefault="00414B2A" w:rsidP="00A04A6A">
            <w:pPr>
              <w:keepNext/>
              <w:widowControl/>
              <w:jc w:val="right"/>
              <w:rPr>
                <w:rFonts w:ascii="Arial Narrow" w:hAnsi="Arial Narrow"/>
                <w:b/>
                <w:sz w:val="19"/>
                <w:szCs w:val="19"/>
              </w:rPr>
            </w:pPr>
            <w:r w:rsidRPr="000E01C3">
              <w:rPr>
                <w:rFonts w:ascii="Arial Narrow" w:hAnsi="Arial Narrow"/>
                <w:b/>
                <w:sz w:val="19"/>
                <w:szCs w:val="19"/>
              </w:rPr>
              <w:t>Meta-analysis of results (DNase non-users)</w:t>
            </w:r>
          </w:p>
        </w:tc>
        <w:tc>
          <w:tcPr>
            <w:tcW w:w="2093" w:type="dxa"/>
            <w:vAlign w:val="center"/>
          </w:tcPr>
          <w:p w:rsidR="00414B2A" w:rsidRPr="000E01C3" w:rsidRDefault="00414B2A" w:rsidP="00A04A6A">
            <w:pPr>
              <w:keepNext/>
              <w:widowControl/>
              <w:jc w:val="center"/>
              <w:rPr>
                <w:rFonts w:ascii="Arial Narrow" w:hAnsi="Arial Narrow"/>
                <w:b/>
                <w:iCs/>
                <w:sz w:val="19"/>
                <w:szCs w:val="19"/>
              </w:rPr>
            </w:pPr>
            <w:r w:rsidRPr="000E01C3">
              <w:rPr>
                <w:rFonts w:ascii="Arial Narrow" w:hAnsi="Arial Narrow"/>
                <w:b/>
                <w:iCs/>
                <w:sz w:val="19"/>
                <w:szCs w:val="19"/>
              </w:rPr>
              <w:t>0.48 (0.23, 0.99)</w:t>
            </w:r>
          </w:p>
        </w:tc>
      </w:tr>
      <w:tr w:rsidR="00414B2A" w:rsidRPr="000E01C3" w:rsidTr="00DE1019">
        <w:tc>
          <w:tcPr>
            <w:tcW w:w="9072" w:type="dxa"/>
            <w:gridSpan w:val="4"/>
            <w:vAlign w:val="center"/>
          </w:tcPr>
          <w:p w:rsidR="00414B2A" w:rsidRPr="000E01C3" w:rsidRDefault="00414B2A" w:rsidP="00A04A6A">
            <w:pPr>
              <w:keepNext/>
              <w:widowControl/>
              <w:jc w:val="left"/>
              <w:rPr>
                <w:rFonts w:ascii="Arial Narrow" w:hAnsi="Arial Narrow"/>
                <w:b/>
                <w:sz w:val="19"/>
                <w:szCs w:val="19"/>
              </w:rPr>
            </w:pPr>
            <w:r w:rsidRPr="000E01C3">
              <w:rPr>
                <w:rFonts w:ascii="Arial Narrow" w:hAnsi="Arial Narrow"/>
                <w:b/>
                <w:sz w:val="19"/>
                <w:szCs w:val="19"/>
              </w:rPr>
              <w:t>Incidence of PDPE events</w:t>
            </w:r>
          </w:p>
        </w:tc>
      </w:tr>
      <w:tr w:rsidR="00414B2A" w:rsidRPr="000E01C3" w:rsidTr="001E4508">
        <w:tc>
          <w:tcPr>
            <w:tcW w:w="2127" w:type="dxa"/>
            <w:vAlign w:val="center"/>
          </w:tcPr>
          <w:p w:rsidR="00414B2A" w:rsidRPr="000E01C3" w:rsidRDefault="00414B2A" w:rsidP="00A04A6A">
            <w:pPr>
              <w:keepNext/>
              <w:widowControl/>
              <w:rPr>
                <w:rFonts w:ascii="Arial Narrow" w:hAnsi="Arial Narrow"/>
                <w:sz w:val="19"/>
                <w:szCs w:val="19"/>
              </w:rPr>
            </w:pPr>
            <w:r w:rsidRPr="000E01C3">
              <w:rPr>
                <w:rFonts w:ascii="Arial Narrow" w:hAnsi="Arial Narrow"/>
                <w:sz w:val="19"/>
                <w:szCs w:val="19"/>
              </w:rPr>
              <w:t>CF-301</w:t>
            </w:r>
          </w:p>
        </w:tc>
        <w:tc>
          <w:tcPr>
            <w:tcW w:w="2552"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32/177 (18.1%)</w:t>
            </w:r>
          </w:p>
        </w:tc>
        <w:tc>
          <w:tcPr>
            <w:tcW w:w="2300"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33/118 (28.3%)</w:t>
            </w:r>
          </w:p>
        </w:tc>
        <w:tc>
          <w:tcPr>
            <w:tcW w:w="2093" w:type="dxa"/>
            <w:vAlign w:val="center"/>
          </w:tcPr>
          <w:p w:rsidR="00414B2A" w:rsidRPr="000E01C3" w:rsidRDefault="009A54B3" w:rsidP="00A04A6A">
            <w:pPr>
              <w:keepNext/>
              <w:widowControl/>
              <w:jc w:val="center"/>
              <w:rPr>
                <w:rFonts w:ascii="Arial Narrow" w:hAnsi="Arial Narrow"/>
                <w:iCs/>
                <w:sz w:val="19"/>
                <w:szCs w:val="19"/>
              </w:rPr>
            </w:pPr>
            <w:r w:rsidRPr="000E01C3">
              <w:rPr>
                <w:rFonts w:ascii="Arial Narrow" w:hAnsi="Arial Narrow"/>
                <w:iCs/>
                <w:sz w:val="19"/>
                <w:szCs w:val="19"/>
              </w:rPr>
              <w:t>RD:-9.8%</w:t>
            </w:r>
            <w:r w:rsidR="00224FD0" w:rsidRPr="000E01C3">
              <w:rPr>
                <w:rFonts w:ascii="Arial Narrow" w:hAnsi="Arial Narrow"/>
                <w:iCs/>
                <w:sz w:val="19"/>
                <w:szCs w:val="19"/>
              </w:rPr>
              <w:t xml:space="preserve"> </w:t>
            </w:r>
            <w:r w:rsidRPr="000E01C3">
              <w:rPr>
                <w:rFonts w:ascii="Arial Narrow" w:hAnsi="Arial Narrow"/>
                <w:iCs/>
                <w:sz w:val="19"/>
                <w:szCs w:val="19"/>
              </w:rPr>
              <w:t>(</w:t>
            </w:r>
            <w:r w:rsidR="00414B2A" w:rsidRPr="000E01C3">
              <w:rPr>
                <w:rFonts w:ascii="Arial Narrow" w:hAnsi="Arial Narrow"/>
                <w:iCs/>
                <w:sz w:val="19"/>
                <w:szCs w:val="19"/>
              </w:rPr>
              <w:t>-20, 0</w:t>
            </w:r>
            <w:r w:rsidRPr="000E01C3">
              <w:rPr>
                <w:rFonts w:ascii="Arial Narrow" w:hAnsi="Arial Narrow"/>
                <w:iCs/>
                <w:sz w:val="19"/>
                <w:szCs w:val="19"/>
              </w:rPr>
              <w:t>)</w:t>
            </w:r>
            <w:r w:rsidR="00414B2A" w:rsidRPr="000E01C3">
              <w:rPr>
                <w:rFonts w:ascii="Arial Narrow" w:hAnsi="Arial Narrow"/>
                <w:iCs/>
                <w:sz w:val="19"/>
                <w:szCs w:val="19"/>
              </w:rPr>
              <w:t xml:space="preserve"> </w:t>
            </w:r>
          </w:p>
          <w:p w:rsidR="00414B2A" w:rsidRPr="000E01C3" w:rsidRDefault="00414B2A" w:rsidP="00A04A6A">
            <w:pPr>
              <w:keepNext/>
              <w:widowControl/>
              <w:jc w:val="center"/>
              <w:rPr>
                <w:rFonts w:ascii="Arial Narrow" w:hAnsi="Arial Narrow"/>
                <w:iCs/>
                <w:sz w:val="19"/>
                <w:szCs w:val="19"/>
              </w:rPr>
            </w:pPr>
            <w:r w:rsidRPr="000E01C3">
              <w:rPr>
                <w:rFonts w:ascii="Arial Narrow" w:hAnsi="Arial Narrow"/>
                <w:iCs/>
                <w:sz w:val="19"/>
                <w:szCs w:val="19"/>
              </w:rPr>
              <w:t xml:space="preserve">RR: </w:t>
            </w:r>
            <w:r w:rsidRPr="000E01C3">
              <w:rPr>
                <w:rFonts w:ascii="Arial Narrow" w:hAnsi="Arial Narrow"/>
                <w:b/>
                <w:bCs/>
                <w:iCs/>
                <w:sz w:val="19"/>
                <w:szCs w:val="19"/>
              </w:rPr>
              <w:t>0.65 (0.42, 0.99)</w:t>
            </w:r>
          </w:p>
        </w:tc>
      </w:tr>
      <w:tr w:rsidR="00414B2A" w:rsidRPr="000E01C3" w:rsidTr="001E4508">
        <w:tc>
          <w:tcPr>
            <w:tcW w:w="2127" w:type="dxa"/>
            <w:vAlign w:val="center"/>
          </w:tcPr>
          <w:p w:rsidR="00414B2A" w:rsidRPr="000E01C3" w:rsidRDefault="00414B2A" w:rsidP="00A04A6A">
            <w:pPr>
              <w:keepNext/>
              <w:widowControl/>
              <w:rPr>
                <w:rFonts w:ascii="Arial Narrow" w:hAnsi="Arial Narrow"/>
                <w:sz w:val="19"/>
                <w:szCs w:val="19"/>
              </w:rPr>
            </w:pPr>
            <w:r w:rsidRPr="000E01C3">
              <w:rPr>
                <w:rFonts w:ascii="Arial Narrow" w:hAnsi="Arial Narrow"/>
                <w:sz w:val="19"/>
                <w:szCs w:val="19"/>
              </w:rPr>
              <w:t>CF-302</w:t>
            </w:r>
          </w:p>
        </w:tc>
        <w:tc>
          <w:tcPr>
            <w:tcW w:w="2552"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28/184 (15.2%)</w:t>
            </w:r>
          </w:p>
        </w:tc>
        <w:tc>
          <w:tcPr>
            <w:tcW w:w="2300"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23/121 (19%)</w:t>
            </w:r>
          </w:p>
        </w:tc>
        <w:tc>
          <w:tcPr>
            <w:tcW w:w="2093" w:type="dxa"/>
            <w:vAlign w:val="center"/>
          </w:tcPr>
          <w:p w:rsidR="00414B2A" w:rsidRPr="000E01C3" w:rsidRDefault="00414B2A" w:rsidP="00A04A6A">
            <w:pPr>
              <w:keepNext/>
              <w:widowControl/>
              <w:jc w:val="center"/>
              <w:rPr>
                <w:rFonts w:ascii="Arial Narrow" w:hAnsi="Arial Narrow"/>
                <w:iCs/>
                <w:sz w:val="19"/>
                <w:szCs w:val="19"/>
              </w:rPr>
            </w:pPr>
            <w:r w:rsidRPr="000E01C3">
              <w:rPr>
                <w:rFonts w:ascii="Arial Narrow" w:hAnsi="Arial Narrow"/>
                <w:iCs/>
                <w:sz w:val="19"/>
                <w:szCs w:val="19"/>
              </w:rPr>
              <w:t xml:space="preserve">RD: -3.8% </w:t>
            </w:r>
            <w:r w:rsidR="009A54B3" w:rsidRPr="000E01C3">
              <w:rPr>
                <w:rFonts w:ascii="Arial Narrow" w:hAnsi="Arial Narrow"/>
                <w:iCs/>
                <w:sz w:val="19"/>
                <w:szCs w:val="19"/>
              </w:rPr>
              <w:t>(-12, 5)</w:t>
            </w:r>
          </w:p>
          <w:p w:rsidR="00414B2A" w:rsidRPr="000E01C3" w:rsidRDefault="00414B2A" w:rsidP="00A04A6A">
            <w:pPr>
              <w:keepNext/>
              <w:widowControl/>
              <w:jc w:val="center"/>
              <w:rPr>
                <w:rFonts w:ascii="Arial Narrow" w:hAnsi="Arial Narrow"/>
                <w:iCs/>
                <w:sz w:val="19"/>
                <w:szCs w:val="19"/>
              </w:rPr>
            </w:pPr>
            <w:r w:rsidRPr="000E01C3">
              <w:rPr>
                <w:rFonts w:ascii="Arial Narrow" w:hAnsi="Arial Narrow"/>
                <w:iCs/>
                <w:sz w:val="19"/>
                <w:szCs w:val="19"/>
              </w:rPr>
              <w:t>RR: 0.80 (0.48, 1.32)</w:t>
            </w:r>
          </w:p>
        </w:tc>
      </w:tr>
      <w:tr w:rsidR="00414B2A" w:rsidRPr="000E01C3" w:rsidTr="001E4508">
        <w:tc>
          <w:tcPr>
            <w:tcW w:w="2127" w:type="dxa"/>
            <w:vAlign w:val="center"/>
          </w:tcPr>
          <w:p w:rsidR="00414B2A" w:rsidRPr="000E01C3" w:rsidRDefault="00414B2A" w:rsidP="00A04A6A">
            <w:pPr>
              <w:keepNext/>
              <w:widowControl/>
              <w:jc w:val="right"/>
              <w:rPr>
                <w:rFonts w:ascii="Arial Narrow" w:hAnsi="Arial Narrow"/>
                <w:sz w:val="19"/>
                <w:szCs w:val="19"/>
              </w:rPr>
            </w:pPr>
            <w:r w:rsidRPr="000E01C3">
              <w:rPr>
                <w:rFonts w:ascii="Arial Narrow" w:hAnsi="Arial Narrow"/>
                <w:b/>
                <w:sz w:val="19"/>
                <w:szCs w:val="19"/>
              </w:rPr>
              <w:t>Meta-analysis</w:t>
            </w:r>
          </w:p>
        </w:tc>
        <w:tc>
          <w:tcPr>
            <w:tcW w:w="2552"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60/361 (16.6%)</w:t>
            </w:r>
          </w:p>
        </w:tc>
        <w:tc>
          <w:tcPr>
            <w:tcW w:w="2300"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56/239 (23.4%)</w:t>
            </w:r>
          </w:p>
        </w:tc>
        <w:tc>
          <w:tcPr>
            <w:tcW w:w="2093" w:type="dxa"/>
            <w:vAlign w:val="center"/>
          </w:tcPr>
          <w:p w:rsidR="00414B2A" w:rsidRPr="000E01C3" w:rsidRDefault="00414B2A" w:rsidP="00A04A6A">
            <w:pPr>
              <w:keepNext/>
              <w:widowControl/>
              <w:jc w:val="center"/>
              <w:rPr>
                <w:rFonts w:ascii="Arial Narrow" w:hAnsi="Arial Narrow"/>
                <w:iCs/>
                <w:sz w:val="19"/>
                <w:szCs w:val="19"/>
              </w:rPr>
            </w:pPr>
            <w:r w:rsidRPr="000E01C3">
              <w:rPr>
                <w:rFonts w:ascii="Arial Narrow" w:hAnsi="Arial Narrow"/>
                <w:iCs/>
                <w:sz w:val="19"/>
                <w:szCs w:val="19"/>
              </w:rPr>
              <w:t xml:space="preserve">RD: -6.8% </w:t>
            </w:r>
            <w:r w:rsidR="009A54B3" w:rsidRPr="000E01C3">
              <w:rPr>
                <w:rFonts w:ascii="Arial Narrow" w:hAnsi="Arial Narrow"/>
                <w:iCs/>
                <w:sz w:val="19"/>
                <w:szCs w:val="19"/>
              </w:rPr>
              <w:t>(-13, 0)</w:t>
            </w:r>
          </w:p>
          <w:p w:rsidR="00414B2A" w:rsidRPr="000E01C3" w:rsidRDefault="00414B2A" w:rsidP="00A04A6A">
            <w:pPr>
              <w:keepNext/>
              <w:widowControl/>
              <w:jc w:val="center"/>
              <w:rPr>
                <w:rFonts w:ascii="Arial Narrow" w:hAnsi="Arial Narrow"/>
                <w:iCs/>
                <w:sz w:val="19"/>
                <w:szCs w:val="19"/>
              </w:rPr>
            </w:pPr>
            <w:r w:rsidRPr="000E01C3">
              <w:rPr>
                <w:rFonts w:ascii="Arial Narrow" w:hAnsi="Arial Narrow"/>
                <w:b/>
                <w:iCs/>
                <w:sz w:val="19"/>
                <w:szCs w:val="19"/>
              </w:rPr>
              <w:t>RR: 0.71 (0.51, 0.98)</w:t>
            </w:r>
          </w:p>
        </w:tc>
      </w:tr>
      <w:tr w:rsidR="00414B2A" w:rsidRPr="000E01C3" w:rsidTr="001E4508">
        <w:tc>
          <w:tcPr>
            <w:tcW w:w="6979" w:type="dxa"/>
            <w:gridSpan w:val="3"/>
            <w:vAlign w:val="center"/>
          </w:tcPr>
          <w:p w:rsidR="00414B2A" w:rsidRPr="000E01C3" w:rsidRDefault="00414B2A" w:rsidP="00A04A6A">
            <w:pPr>
              <w:keepNext/>
              <w:widowControl/>
              <w:jc w:val="right"/>
              <w:rPr>
                <w:rFonts w:ascii="Arial Narrow" w:hAnsi="Arial Narrow"/>
                <w:b/>
                <w:sz w:val="19"/>
                <w:szCs w:val="19"/>
              </w:rPr>
            </w:pPr>
          </w:p>
        </w:tc>
        <w:tc>
          <w:tcPr>
            <w:tcW w:w="2093" w:type="dxa"/>
            <w:vAlign w:val="center"/>
          </w:tcPr>
          <w:p w:rsidR="00414B2A" w:rsidRPr="000E01C3" w:rsidRDefault="00414B2A" w:rsidP="00A04A6A">
            <w:pPr>
              <w:keepNext/>
              <w:widowControl/>
              <w:jc w:val="center"/>
              <w:rPr>
                <w:rFonts w:ascii="Arial Narrow" w:hAnsi="Arial Narrow"/>
                <w:b/>
                <w:iCs/>
                <w:sz w:val="19"/>
                <w:szCs w:val="19"/>
              </w:rPr>
            </w:pPr>
          </w:p>
        </w:tc>
      </w:tr>
      <w:tr w:rsidR="00414B2A" w:rsidRPr="000E01C3" w:rsidTr="00DE1019">
        <w:tc>
          <w:tcPr>
            <w:tcW w:w="9072" w:type="dxa"/>
            <w:gridSpan w:val="4"/>
            <w:vAlign w:val="center"/>
          </w:tcPr>
          <w:p w:rsidR="00414B2A" w:rsidRPr="000E01C3" w:rsidRDefault="00414B2A" w:rsidP="00A04A6A">
            <w:pPr>
              <w:keepNext/>
              <w:widowControl/>
              <w:jc w:val="left"/>
              <w:rPr>
                <w:rFonts w:ascii="Arial Narrow" w:hAnsi="Arial Narrow"/>
                <w:b/>
                <w:sz w:val="19"/>
                <w:szCs w:val="19"/>
              </w:rPr>
            </w:pPr>
            <w:r w:rsidRPr="000E01C3">
              <w:rPr>
                <w:rFonts w:ascii="Arial Narrow" w:hAnsi="Arial Narrow"/>
                <w:b/>
                <w:sz w:val="19"/>
                <w:szCs w:val="19"/>
              </w:rPr>
              <w:t>Mean annualised rate of PE events per patient</w:t>
            </w:r>
          </w:p>
        </w:tc>
      </w:tr>
      <w:tr w:rsidR="00414B2A" w:rsidRPr="000E01C3" w:rsidTr="001E4508">
        <w:tc>
          <w:tcPr>
            <w:tcW w:w="2127" w:type="dxa"/>
            <w:vAlign w:val="center"/>
          </w:tcPr>
          <w:p w:rsidR="00414B2A" w:rsidRPr="000E01C3" w:rsidRDefault="00414B2A" w:rsidP="00A04A6A">
            <w:pPr>
              <w:keepNext/>
              <w:widowControl/>
              <w:jc w:val="left"/>
              <w:rPr>
                <w:rFonts w:ascii="Arial Narrow" w:hAnsi="Arial Narrow"/>
                <w:sz w:val="19"/>
                <w:szCs w:val="19"/>
              </w:rPr>
            </w:pPr>
            <w:r w:rsidRPr="000E01C3">
              <w:rPr>
                <w:rFonts w:ascii="Arial Narrow" w:hAnsi="Arial Narrow"/>
                <w:sz w:val="19"/>
                <w:szCs w:val="19"/>
              </w:rPr>
              <w:t>CF-301</w:t>
            </w:r>
          </w:p>
        </w:tc>
        <w:tc>
          <w:tcPr>
            <w:tcW w:w="2552"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1.61 (SD 2.80) n=177</w:t>
            </w:r>
          </w:p>
        </w:tc>
        <w:tc>
          <w:tcPr>
            <w:tcW w:w="2300"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1.89 (SD 2.52) n=118</w:t>
            </w:r>
          </w:p>
        </w:tc>
        <w:tc>
          <w:tcPr>
            <w:tcW w:w="2093" w:type="dxa"/>
            <w:vAlign w:val="center"/>
          </w:tcPr>
          <w:p w:rsidR="00414B2A" w:rsidRPr="000E01C3" w:rsidRDefault="00414B2A" w:rsidP="00A04A6A">
            <w:pPr>
              <w:keepNext/>
              <w:widowControl/>
              <w:jc w:val="center"/>
              <w:rPr>
                <w:rFonts w:ascii="Arial Narrow" w:hAnsi="Arial Narrow"/>
                <w:iCs/>
                <w:sz w:val="19"/>
                <w:szCs w:val="19"/>
              </w:rPr>
            </w:pPr>
            <w:r w:rsidRPr="000E01C3">
              <w:rPr>
                <w:rFonts w:ascii="Arial Narrow" w:hAnsi="Arial Narrow"/>
                <w:iCs/>
                <w:sz w:val="19"/>
                <w:szCs w:val="19"/>
              </w:rPr>
              <w:t>0.86 (0.64, 1.17)</w:t>
            </w:r>
          </w:p>
        </w:tc>
      </w:tr>
      <w:tr w:rsidR="00414B2A" w:rsidRPr="000E01C3" w:rsidTr="001E4508">
        <w:tc>
          <w:tcPr>
            <w:tcW w:w="2127" w:type="dxa"/>
            <w:vAlign w:val="center"/>
          </w:tcPr>
          <w:p w:rsidR="00414B2A" w:rsidRPr="000E01C3" w:rsidRDefault="00414B2A" w:rsidP="00A04A6A">
            <w:pPr>
              <w:keepNext/>
              <w:widowControl/>
              <w:jc w:val="left"/>
              <w:rPr>
                <w:rFonts w:ascii="Arial Narrow" w:hAnsi="Arial Narrow"/>
                <w:sz w:val="19"/>
                <w:szCs w:val="19"/>
              </w:rPr>
            </w:pPr>
            <w:r w:rsidRPr="000E01C3">
              <w:rPr>
                <w:rFonts w:ascii="Arial Narrow" w:hAnsi="Arial Narrow"/>
                <w:sz w:val="19"/>
                <w:szCs w:val="19"/>
              </w:rPr>
              <w:t>CF-302</w:t>
            </w:r>
          </w:p>
        </w:tc>
        <w:tc>
          <w:tcPr>
            <w:tcW w:w="2552"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2.08 (95% CI 1.79, 2.42)</w:t>
            </w:r>
          </w:p>
        </w:tc>
        <w:tc>
          <w:tcPr>
            <w:tcW w:w="2300"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2.20 (95% CI 1.85, 2.62)</w:t>
            </w:r>
          </w:p>
        </w:tc>
        <w:tc>
          <w:tcPr>
            <w:tcW w:w="2093" w:type="dxa"/>
            <w:vAlign w:val="center"/>
          </w:tcPr>
          <w:p w:rsidR="00414B2A" w:rsidRPr="000E01C3" w:rsidRDefault="00414B2A" w:rsidP="00A04A6A">
            <w:pPr>
              <w:keepNext/>
              <w:widowControl/>
              <w:jc w:val="center"/>
              <w:rPr>
                <w:rFonts w:ascii="Arial Narrow" w:hAnsi="Arial Narrow"/>
                <w:iCs/>
                <w:sz w:val="19"/>
                <w:szCs w:val="19"/>
              </w:rPr>
            </w:pPr>
            <w:r w:rsidRPr="000E01C3">
              <w:rPr>
                <w:rFonts w:ascii="Arial Narrow" w:hAnsi="Arial Narrow"/>
                <w:iCs/>
                <w:sz w:val="19"/>
                <w:szCs w:val="19"/>
              </w:rPr>
              <w:t>0.93 (0.74, 1.17)</w:t>
            </w:r>
          </w:p>
        </w:tc>
      </w:tr>
      <w:tr w:rsidR="00414B2A" w:rsidRPr="000E01C3" w:rsidTr="001E4508">
        <w:tc>
          <w:tcPr>
            <w:tcW w:w="6979" w:type="dxa"/>
            <w:gridSpan w:val="3"/>
            <w:vAlign w:val="center"/>
          </w:tcPr>
          <w:p w:rsidR="00414B2A" w:rsidRPr="000E01C3" w:rsidRDefault="00414B2A" w:rsidP="00A04A6A">
            <w:pPr>
              <w:keepNext/>
              <w:widowControl/>
              <w:jc w:val="right"/>
              <w:rPr>
                <w:rFonts w:ascii="Arial Narrow" w:hAnsi="Arial Narrow"/>
                <w:b/>
                <w:sz w:val="19"/>
                <w:szCs w:val="19"/>
              </w:rPr>
            </w:pPr>
            <w:r w:rsidRPr="000E01C3">
              <w:rPr>
                <w:rFonts w:ascii="Arial Narrow" w:hAnsi="Arial Narrow"/>
                <w:b/>
                <w:sz w:val="19"/>
                <w:szCs w:val="19"/>
              </w:rPr>
              <w:t xml:space="preserve">Meta-analysis </w:t>
            </w:r>
          </w:p>
        </w:tc>
        <w:tc>
          <w:tcPr>
            <w:tcW w:w="2093" w:type="dxa"/>
            <w:vAlign w:val="center"/>
          </w:tcPr>
          <w:p w:rsidR="00414B2A" w:rsidRPr="000E01C3" w:rsidRDefault="00414B2A" w:rsidP="00A04A6A">
            <w:pPr>
              <w:keepNext/>
              <w:widowControl/>
              <w:jc w:val="center"/>
              <w:rPr>
                <w:rFonts w:ascii="Arial Narrow" w:hAnsi="Arial Narrow"/>
                <w:iCs/>
                <w:sz w:val="19"/>
                <w:szCs w:val="19"/>
              </w:rPr>
            </w:pPr>
            <w:r w:rsidRPr="000E01C3">
              <w:rPr>
                <w:rFonts w:ascii="Arial Narrow" w:hAnsi="Arial Narrow"/>
                <w:iCs/>
                <w:sz w:val="19"/>
                <w:szCs w:val="19"/>
              </w:rPr>
              <w:t>0.90 (0.75, 1.08)</w:t>
            </w:r>
          </w:p>
        </w:tc>
      </w:tr>
      <w:tr w:rsidR="00414B2A" w:rsidRPr="000E01C3" w:rsidTr="00DE1019">
        <w:tc>
          <w:tcPr>
            <w:tcW w:w="9072" w:type="dxa"/>
            <w:gridSpan w:val="4"/>
            <w:vAlign w:val="center"/>
          </w:tcPr>
          <w:p w:rsidR="00414B2A" w:rsidRPr="000E01C3" w:rsidRDefault="00414B2A" w:rsidP="00A04A6A">
            <w:pPr>
              <w:keepNext/>
              <w:widowControl/>
              <w:ind w:left="112"/>
              <w:jc w:val="left"/>
              <w:rPr>
                <w:rFonts w:ascii="Arial Narrow" w:hAnsi="Arial Narrow"/>
                <w:b/>
                <w:sz w:val="19"/>
                <w:szCs w:val="19"/>
              </w:rPr>
            </w:pPr>
            <w:r w:rsidRPr="000E01C3">
              <w:rPr>
                <w:rFonts w:ascii="Arial Narrow" w:hAnsi="Arial Narrow"/>
                <w:b/>
                <w:sz w:val="19"/>
                <w:szCs w:val="19"/>
              </w:rPr>
              <w:t>-Sub-group results from Trials CF-301 and CF-302</w:t>
            </w:r>
          </w:p>
        </w:tc>
      </w:tr>
      <w:tr w:rsidR="00414B2A" w:rsidRPr="000E01C3" w:rsidTr="001E4508">
        <w:tc>
          <w:tcPr>
            <w:tcW w:w="2127" w:type="dxa"/>
            <w:shd w:val="clear" w:color="auto" w:fill="D9D9D9" w:themeFill="background1" w:themeFillShade="D9"/>
            <w:vAlign w:val="center"/>
          </w:tcPr>
          <w:p w:rsidR="00414B2A" w:rsidRPr="000E01C3" w:rsidRDefault="00414B2A" w:rsidP="00A04A6A">
            <w:pPr>
              <w:keepNext/>
              <w:widowControl/>
              <w:ind w:left="112"/>
              <w:jc w:val="left"/>
              <w:rPr>
                <w:rFonts w:ascii="Arial Narrow" w:hAnsi="Arial Narrow"/>
                <w:sz w:val="19"/>
                <w:szCs w:val="19"/>
              </w:rPr>
            </w:pPr>
            <w:r w:rsidRPr="000E01C3">
              <w:rPr>
                <w:rFonts w:ascii="Arial Narrow" w:hAnsi="Arial Narrow"/>
                <w:sz w:val="19"/>
                <w:szCs w:val="19"/>
              </w:rPr>
              <w:t>-CF-301 DNase users</w:t>
            </w:r>
          </w:p>
        </w:tc>
        <w:tc>
          <w:tcPr>
            <w:tcW w:w="2552" w:type="dxa"/>
            <w:shd w:val="clear" w:color="auto" w:fill="D9D9D9" w:themeFill="background1" w:themeFillShade="D9"/>
            <w:vAlign w:val="center"/>
          </w:tcPr>
          <w:p w:rsidR="00414B2A" w:rsidRPr="000E01C3" w:rsidRDefault="00414B2A" w:rsidP="00A04A6A">
            <w:pPr>
              <w:keepNext/>
              <w:widowControl/>
              <w:ind w:left="112"/>
              <w:jc w:val="center"/>
              <w:rPr>
                <w:rFonts w:ascii="Arial Narrow" w:hAnsi="Arial Narrow"/>
                <w:sz w:val="19"/>
                <w:szCs w:val="19"/>
              </w:rPr>
            </w:pPr>
            <w:r w:rsidRPr="000E01C3">
              <w:rPr>
                <w:rFonts w:ascii="Arial Narrow" w:hAnsi="Arial Narrow"/>
                <w:sz w:val="19"/>
                <w:szCs w:val="19"/>
              </w:rPr>
              <w:t>1.82 (SD 2.80)</w:t>
            </w:r>
          </w:p>
        </w:tc>
        <w:tc>
          <w:tcPr>
            <w:tcW w:w="2300" w:type="dxa"/>
            <w:shd w:val="clear" w:color="auto" w:fill="D9D9D9" w:themeFill="background1" w:themeFillShade="D9"/>
            <w:vAlign w:val="center"/>
          </w:tcPr>
          <w:p w:rsidR="00414B2A" w:rsidRPr="000E01C3" w:rsidRDefault="00414B2A" w:rsidP="00A04A6A">
            <w:pPr>
              <w:keepNext/>
              <w:widowControl/>
              <w:ind w:left="112"/>
              <w:jc w:val="center"/>
              <w:rPr>
                <w:rFonts w:ascii="Arial Narrow" w:hAnsi="Arial Narrow"/>
                <w:sz w:val="19"/>
                <w:szCs w:val="19"/>
              </w:rPr>
            </w:pPr>
            <w:r w:rsidRPr="000E01C3">
              <w:rPr>
                <w:rFonts w:ascii="Arial Narrow" w:hAnsi="Arial Narrow"/>
                <w:sz w:val="19"/>
                <w:szCs w:val="19"/>
              </w:rPr>
              <w:t>2.18 (SD 2.75)</w:t>
            </w:r>
          </w:p>
        </w:tc>
        <w:tc>
          <w:tcPr>
            <w:tcW w:w="2093" w:type="dxa"/>
            <w:shd w:val="clear" w:color="auto" w:fill="D9D9D9" w:themeFill="background1" w:themeFillShade="D9"/>
            <w:vAlign w:val="center"/>
          </w:tcPr>
          <w:p w:rsidR="00414B2A" w:rsidRPr="000E01C3" w:rsidRDefault="00414B2A" w:rsidP="00A04A6A">
            <w:pPr>
              <w:keepNext/>
              <w:widowControl/>
              <w:ind w:left="112"/>
              <w:jc w:val="center"/>
              <w:rPr>
                <w:rFonts w:ascii="Arial Narrow" w:hAnsi="Arial Narrow"/>
                <w:iCs/>
                <w:sz w:val="19"/>
                <w:szCs w:val="19"/>
              </w:rPr>
            </w:pPr>
            <w:r w:rsidRPr="000E01C3">
              <w:rPr>
                <w:rFonts w:ascii="Arial Narrow" w:hAnsi="Arial Narrow"/>
                <w:iCs/>
                <w:sz w:val="19"/>
                <w:szCs w:val="19"/>
              </w:rPr>
              <w:t>0.76 (0.55, 1.06) p&gt;0.05</w:t>
            </w:r>
          </w:p>
        </w:tc>
      </w:tr>
      <w:tr w:rsidR="00414B2A" w:rsidRPr="000E01C3" w:rsidTr="001E4508">
        <w:tc>
          <w:tcPr>
            <w:tcW w:w="2127" w:type="dxa"/>
            <w:shd w:val="clear" w:color="auto" w:fill="D9D9D9" w:themeFill="background1" w:themeFillShade="D9"/>
            <w:vAlign w:val="center"/>
          </w:tcPr>
          <w:p w:rsidR="00414B2A" w:rsidRPr="000E01C3" w:rsidRDefault="00414B2A" w:rsidP="00A04A6A">
            <w:pPr>
              <w:keepNext/>
              <w:widowControl/>
              <w:ind w:left="112"/>
              <w:jc w:val="left"/>
              <w:rPr>
                <w:rFonts w:ascii="Arial Narrow" w:hAnsi="Arial Narrow"/>
                <w:sz w:val="19"/>
                <w:szCs w:val="19"/>
              </w:rPr>
            </w:pPr>
            <w:r w:rsidRPr="000E01C3">
              <w:rPr>
                <w:rFonts w:ascii="Arial Narrow" w:hAnsi="Arial Narrow"/>
                <w:sz w:val="19"/>
                <w:szCs w:val="19"/>
              </w:rPr>
              <w:t>-CF-302 DNase users</w:t>
            </w:r>
          </w:p>
        </w:tc>
        <w:tc>
          <w:tcPr>
            <w:tcW w:w="2552" w:type="dxa"/>
            <w:shd w:val="clear" w:color="auto" w:fill="D9D9D9" w:themeFill="background1" w:themeFillShade="D9"/>
            <w:vAlign w:val="center"/>
          </w:tcPr>
          <w:p w:rsidR="00414B2A" w:rsidRPr="000E01C3" w:rsidRDefault="00414B2A" w:rsidP="00A04A6A">
            <w:pPr>
              <w:keepNext/>
              <w:widowControl/>
              <w:ind w:left="112"/>
              <w:jc w:val="center"/>
              <w:rPr>
                <w:rFonts w:ascii="Arial Narrow" w:hAnsi="Arial Narrow"/>
                <w:sz w:val="19"/>
                <w:szCs w:val="19"/>
              </w:rPr>
            </w:pPr>
            <w:r w:rsidRPr="000E01C3">
              <w:rPr>
                <w:rFonts w:ascii="Arial Narrow" w:hAnsi="Arial Narrow"/>
                <w:sz w:val="19"/>
                <w:szCs w:val="19"/>
              </w:rPr>
              <w:t>2.36 (95% CI 2.00, 2.78)</w:t>
            </w:r>
          </w:p>
        </w:tc>
        <w:tc>
          <w:tcPr>
            <w:tcW w:w="2300" w:type="dxa"/>
            <w:shd w:val="clear" w:color="auto" w:fill="D9D9D9" w:themeFill="background1" w:themeFillShade="D9"/>
            <w:vAlign w:val="center"/>
          </w:tcPr>
          <w:p w:rsidR="00414B2A" w:rsidRPr="000E01C3" w:rsidRDefault="00414B2A" w:rsidP="00A04A6A">
            <w:pPr>
              <w:keepNext/>
              <w:widowControl/>
              <w:ind w:left="112"/>
              <w:jc w:val="center"/>
              <w:rPr>
                <w:rFonts w:ascii="Arial Narrow" w:hAnsi="Arial Narrow"/>
                <w:sz w:val="19"/>
                <w:szCs w:val="19"/>
              </w:rPr>
            </w:pPr>
            <w:r w:rsidRPr="000E01C3">
              <w:rPr>
                <w:rFonts w:ascii="Arial Narrow" w:hAnsi="Arial Narrow"/>
                <w:sz w:val="19"/>
                <w:szCs w:val="19"/>
              </w:rPr>
              <w:t>2.20 (95% CI 1.80, 2.68)</w:t>
            </w:r>
          </w:p>
        </w:tc>
        <w:tc>
          <w:tcPr>
            <w:tcW w:w="2093" w:type="dxa"/>
            <w:shd w:val="clear" w:color="auto" w:fill="D9D9D9" w:themeFill="background1" w:themeFillShade="D9"/>
            <w:vAlign w:val="center"/>
          </w:tcPr>
          <w:p w:rsidR="00414B2A" w:rsidRPr="000E01C3" w:rsidRDefault="00414B2A" w:rsidP="00A04A6A">
            <w:pPr>
              <w:keepNext/>
              <w:widowControl/>
              <w:ind w:left="112"/>
              <w:jc w:val="center"/>
              <w:rPr>
                <w:rFonts w:ascii="Arial Narrow" w:hAnsi="Arial Narrow"/>
                <w:iCs/>
                <w:sz w:val="19"/>
                <w:szCs w:val="19"/>
              </w:rPr>
            </w:pPr>
            <w:r w:rsidRPr="000E01C3">
              <w:rPr>
                <w:rFonts w:ascii="Arial Narrow" w:hAnsi="Arial Narrow"/>
                <w:iCs/>
                <w:sz w:val="19"/>
                <w:szCs w:val="19"/>
              </w:rPr>
              <w:t>1.00 (0.77, 1.30) p=0.977</w:t>
            </w:r>
          </w:p>
        </w:tc>
      </w:tr>
      <w:tr w:rsidR="00414B2A" w:rsidRPr="000E01C3" w:rsidTr="001E4508">
        <w:tc>
          <w:tcPr>
            <w:tcW w:w="6979" w:type="dxa"/>
            <w:gridSpan w:val="3"/>
            <w:shd w:val="clear" w:color="auto" w:fill="D9D9D9" w:themeFill="background1" w:themeFillShade="D9"/>
            <w:vAlign w:val="center"/>
          </w:tcPr>
          <w:p w:rsidR="00414B2A" w:rsidRPr="000E01C3" w:rsidRDefault="00414B2A" w:rsidP="00A04A6A">
            <w:pPr>
              <w:keepNext/>
              <w:widowControl/>
              <w:jc w:val="right"/>
              <w:rPr>
                <w:rFonts w:ascii="Arial Narrow" w:hAnsi="Arial Narrow"/>
                <w:b/>
                <w:sz w:val="19"/>
                <w:szCs w:val="19"/>
              </w:rPr>
            </w:pPr>
            <w:r w:rsidRPr="000E01C3">
              <w:rPr>
                <w:rFonts w:ascii="Arial Narrow" w:hAnsi="Arial Narrow"/>
                <w:b/>
                <w:sz w:val="19"/>
                <w:szCs w:val="19"/>
              </w:rPr>
              <w:t>Meta-analysis (DNase users)</w:t>
            </w:r>
          </w:p>
        </w:tc>
        <w:tc>
          <w:tcPr>
            <w:tcW w:w="2093" w:type="dxa"/>
            <w:shd w:val="clear" w:color="auto" w:fill="D9D9D9" w:themeFill="background1" w:themeFillShade="D9"/>
            <w:vAlign w:val="center"/>
          </w:tcPr>
          <w:p w:rsidR="00414B2A" w:rsidRPr="000E01C3" w:rsidRDefault="00414B2A" w:rsidP="00A04A6A">
            <w:pPr>
              <w:keepNext/>
              <w:widowControl/>
              <w:jc w:val="center"/>
              <w:rPr>
                <w:rFonts w:ascii="Arial Narrow" w:hAnsi="Arial Narrow"/>
                <w:iCs/>
                <w:sz w:val="19"/>
                <w:szCs w:val="19"/>
              </w:rPr>
            </w:pPr>
            <w:r w:rsidRPr="000E01C3">
              <w:rPr>
                <w:rFonts w:ascii="Arial Narrow" w:hAnsi="Arial Narrow"/>
                <w:iCs/>
                <w:sz w:val="19"/>
                <w:szCs w:val="19"/>
              </w:rPr>
              <w:t>0.90 (0.73, 1.10)</w:t>
            </w:r>
          </w:p>
        </w:tc>
      </w:tr>
      <w:tr w:rsidR="00414B2A" w:rsidRPr="000E01C3" w:rsidTr="001E4508">
        <w:tc>
          <w:tcPr>
            <w:tcW w:w="2127" w:type="dxa"/>
            <w:vAlign w:val="center"/>
          </w:tcPr>
          <w:p w:rsidR="00414B2A" w:rsidRPr="000E01C3" w:rsidRDefault="00414B2A" w:rsidP="00A04A6A">
            <w:pPr>
              <w:keepNext/>
              <w:widowControl/>
              <w:ind w:left="112"/>
              <w:jc w:val="left"/>
              <w:rPr>
                <w:rFonts w:ascii="Arial Narrow" w:hAnsi="Arial Narrow"/>
                <w:sz w:val="19"/>
                <w:szCs w:val="19"/>
              </w:rPr>
            </w:pPr>
            <w:r w:rsidRPr="000E01C3">
              <w:rPr>
                <w:rFonts w:ascii="Arial Narrow" w:hAnsi="Arial Narrow"/>
                <w:sz w:val="19"/>
                <w:szCs w:val="19"/>
              </w:rPr>
              <w:t>-CF-301 DNase non-users</w:t>
            </w:r>
          </w:p>
        </w:tc>
        <w:tc>
          <w:tcPr>
            <w:tcW w:w="2552"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1.37 (SD 2.79)</w:t>
            </w:r>
          </w:p>
        </w:tc>
        <w:tc>
          <w:tcPr>
            <w:tcW w:w="2300"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1.51 (SD 2.16)</w:t>
            </w:r>
          </w:p>
        </w:tc>
        <w:tc>
          <w:tcPr>
            <w:tcW w:w="2093" w:type="dxa"/>
            <w:vAlign w:val="center"/>
          </w:tcPr>
          <w:p w:rsidR="00414B2A" w:rsidRPr="000E01C3" w:rsidRDefault="00414B2A" w:rsidP="00A04A6A">
            <w:pPr>
              <w:keepNext/>
              <w:widowControl/>
              <w:jc w:val="center"/>
              <w:rPr>
                <w:rFonts w:ascii="Arial Narrow" w:hAnsi="Arial Narrow"/>
                <w:iCs/>
                <w:sz w:val="19"/>
                <w:szCs w:val="19"/>
              </w:rPr>
            </w:pPr>
            <w:r w:rsidRPr="000E01C3">
              <w:rPr>
                <w:rFonts w:ascii="Arial Narrow" w:hAnsi="Arial Narrow"/>
                <w:iCs/>
                <w:sz w:val="19"/>
                <w:szCs w:val="19"/>
              </w:rPr>
              <w:t>0.94 (0.55, 1.56) p&gt;0.05</w:t>
            </w:r>
          </w:p>
        </w:tc>
      </w:tr>
      <w:tr w:rsidR="00414B2A" w:rsidRPr="000E01C3" w:rsidTr="001E4508">
        <w:tc>
          <w:tcPr>
            <w:tcW w:w="2127" w:type="dxa"/>
            <w:vAlign w:val="center"/>
          </w:tcPr>
          <w:p w:rsidR="00414B2A" w:rsidRPr="000E01C3" w:rsidRDefault="00414B2A" w:rsidP="00A04A6A">
            <w:pPr>
              <w:keepNext/>
              <w:widowControl/>
              <w:ind w:left="112"/>
              <w:jc w:val="left"/>
              <w:rPr>
                <w:rFonts w:ascii="Arial Narrow" w:hAnsi="Arial Narrow"/>
                <w:sz w:val="19"/>
                <w:szCs w:val="19"/>
              </w:rPr>
            </w:pPr>
            <w:r w:rsidRPr="000E01C3">
              <w:rPr>
                <w:rFonts w:ascii="Arial Narrow" w:hAnsi="Arial Narrow"/>
                <w:sz w:val="19"/>
                <w:szCs w:val="19"/>
              </w:rPr>
              <w:t>-CF-302 DNase non-users</w:t>
            </w:r>
          </w:p>
        </w:tc>
        <w:tc>
          <w:tcPr>
            <w:tcW w:w="2552"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1.33 (95% CI 0.92, 1.91)</w:t>
            </w:r>
          </w:p>
        </w:tc>
        <w:tc>
          <w:tcPr>
            <w:tcW w:w="2300"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2.22 (95% CI 1.55, 3.17)</w:t>
            </w:r>
          </w:p>
        </w:tc>
        <w:tc>
          <w:tcPr>
            <w:tcW w:w="2093" w:type="dxa"/>
            <w:vAlign w:val="center"/>
          </w:tcPr>
          <w:p w:rsidR="00414B2A" w:rsidRPr="000E01C3" w:rsidRDefault="00414B2A" w:rsidP="00A04A6A">
            <w:pPr>
              <w:keepNext/>
              <w:widowControl/>
              <w:jc w:val="center"/>
              <w:rPr>
                <w:rFonts w:ascii="Arial Narrow" w:hAnsi="Arial Narrow"/>
                <w:iCs/>
                <w:sz w:val="19"/>
                <w:szCs w:val="19"/>
              </w:rPr>
            </w:pPr>
            <w:r w:rsidRPr="000E01C3">
              <w:rPr>
                <w:rFonts w:ascii="Arial Narrow" w:hAnsi="Arial Narrow"/>
                <w:iCs/>
                <w:sz w:val="19"/>
                <w:szCs w:val="19"/>
              </w:rPr>
              <w:t>0.69 (0.41, 1.16) p=0.162</w:t>
            </w:r>
          </w:p>
        </w:tc>
      </w:tr>
      <w:tr w:rsidR="00414B2A" w:rsidRPr="000E01C3" w:rsidTr="001E4508">
        <w:tc>
          <w:tcPr>
            <w:tcW w:w="6979" w:type="dxa"/>
            <w:gridSpan w:val="3"/>
            <w:vAlign w:val="center"/>
          </w:tcPr>
          <w:p w:rsidR="00414B2A" w:rsidRPr="000E01C3" w:rsidRDefault="00414B2A" w:rsidP="00A04A6A">
            <w:pPr>
              <w:keepNext/>
              <w:widowControl/>
              <w:jc w:val="right"/>
              <w:rPr>
                <w:rFonts w:ascii="Arial Narrow" w:hAnsi="Arial Narrow"/>
                <w:b/>
                <w:sz w:val="19"/>
                <w:szCs w:val="19"/>
              </w:rPr>
            </w:pPr>
            <w:r w:rsidRPr="000E01C3">
              <w:rPr>
                <w:rFonts w:ascii="Arial Narrow" w:hAnsi="Arial Narrow"/>
                <w:b/>
                <w:sz w:val="19"/>
                <w:szCs w:val="19"/>
              </w:rPr>
              <w:t>Meta-analysis (DNase non-users)</w:t>
            </w:r>
          </w:p>
        </w:tc>
        <w:tc>
          <w:tcPr>
            <w:tcW w:w="2093" w:type="dxa"/>
            <w:vAlign w:val="center"/>
          </w:tcPr>
          <w:p w:rsidR="00414B2A" w:rsidRPr="000E01C3" w:rsidRDefault="00414B2A" w:rsidP="00A04A6A">
            <w:pPr>
              <w:keepNext/>
              <w:widowControl/>
              <w:jc w:val="center"/>
              <w:rPr>
                <w:rFonts w:ascii="Arial Narrow" w:hAnsi="Arial Narrow"/>
                <w:iCs/>
                <w:sz w:val="19"/>
                <w:szCs w:val="19"/>
              </w:rPr>
            </w:pPr>
            <w:r w:rsidRPr="000E01C3">
              <w:rPr>
                <w:rFonts w:ascii="Arial Narrow" w:hAnsi="Arial Narrow"/>
                <w:iCs/>
                <w:sz w:val="19"/>
                <w:szCs w:val="19"/>
              </w:rPr>
              <w:t>0.80 (0.55, 1.16)</w:t>
            </w:r>
          </w:p>
        </w:tc>
      </w:tr>
      <w:tr w:rsidR="00414B2A" w:rsidRPr="000E01C3" w:rsidTr="00DE1019">
        <w:tc>
          <w:tcPr>
            <w:tcW w:w="9072" w:type="dxa"/>
            <w:gridSpan w:val="4"/>
            <w:vAlign w:val="center"/>
          </w:tcPr>
          <w:p w:rsidR="00414B2A" w:rsidRPr="000E01C3" w:rsidRDefault="00414B2A" w:rsidP="00A04A6A">
            <w:pPr>
              <w:keepNext/>
              <w:widowControl/>
              <w:jc w:val="left"/>
              <w:rPr>
                <w:rFonts w:ascii="Arial Narrow" w:hAnsi="Arial Narrow"/>
                <w:b/>
                <w:sz w:val="19"/>
                <w:szCs w:val="19"/>
              </w:rPr>
            </w:pPr>
            <w:r w:rsidRPr="000E01C3">
              <w:rPr>
                <w:rFonts w:ascii="Arial Narrow" w:hAnsi="Arial Narrow"/>
                <w:b/>
                <w:sz w:val="19"/>
                <w:szCs w:val="19"/>
              </w:rPr>
              <w:t>Rate of rescue antibiotic use for PE</w:t>
            </w:r>
          </w:p>
        </w:tc>
      </w:tr>
      <w:tr w:rsidR="00414B2A" w:rsidRPr="000E01C3" w:rsidTr="001E4508">
        <w:tc>
          <w:tcPr>
            <w:tcW w:w="2127" w:type="dxa"/>
            <w:vAlign w:val="center"/>
          </w:tcPr>
          <w:p w:rsidR="00414B2A" w:rsidRPr="000E01C3" w:rsidRDefault="00414B2A" w:rsidP="00A04A6A">
            <w:pPr>
              <w:keepNext/>
              <w:widowControl/>
              <w:jc w:val="left"/>
              <w:rPr>
                <w:rFonts w:ascii="Arial Narrow" w:hAnsi="Arial Narrow"/>
                <w:sz w:val="19"/>
                <w:szCs w:val="19"/>
              </w:rPr>
            </w:pPr>
            <w:r w:rsidRPr="000E01C3">
              <w:rPr>
                <w:rFonts w:ascii="Arial Narrow" w:hAnsi="Arial Narrow"/>
                <w:sz w:val="19"/>
                <w:szCs w:val="19"/>
              </w:rPr>
              <w:t>CF-301</w:t>
            </w:r>
          </w:p>
        </w:tc>
        <w:tc>
          <w:tcPr>
            <w:tcW w:w="2552"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NR</w:t>
            </w:r>
          </w:p>
        </w:tc>
        <w:tc>
          <w:tcPr>
            <w:tcW w:w="2300"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NR</w:t>
            </w:r>
          </w:p>
        </w:tc>
        <w:tc>
          <w:tcPr>
            <w:tcW w:w="2093" w:type="dxa"/>
            <w:vAlign w:val="center"/>
          </w:tcPr>
          <w:p w:rsidR="00414B2A" w:rsidRPr="000E01C3" w:rsidRDefault="00414B2A" w:rsidP="00A04A6A">
            <w:pPr>
              <w:keepNext/>
              <w:widowControl/>
              <w:jc w:val="center"/>
              <w:rPr>
                <w:rFonts w:ascii="Arial Narrow" w:hAnsi="Arial Narrow"/>
                <w:iCs/>
                <w:sz w:val="19"/>
                <w:szCs w:val="19"/>
              </w:rPr>
            </w:pPr>
            <w:r w:rsidRPr="000E01C3">
              <w:rPr>
                <w:rFonts w:ascii="Arial Narrow" w:hAnsi="Arial Narrow"/>
                <w:iCs/>
                <w:sz w:val="19"/>
                <w:szCs w:val="19"/>
              </w:rPr>
              <w:t>0.73 (0.39, 1.37)</w:t>
            </w:r>
          </w:p>
        </w:tc>
      </w:tr>
      <w:tr w:rsidR="00414B2A" w:rsidRPr="000E01C3" w:rsidTr="001E4508">
        <w:tc>
          <w:tcPr>
            <w:tcW w:w="2127" w:type="dxa"/>
            <w:vAlign w:val="center"/>
          </w:tcPr>
          <w:p w:rsidR="00414B2A" w:rsidRPr="000E01C3" w:rsidRDefault="00414B2A" w:rsidP="00A04A6A">
            <w:pPr>
              <w:keepNext/>
              <w:widowControl/>
              <w:jc w:val="left"/>
              <w:rPr>
                <w:rFonts w:ascii="Arial Narrow" w:hAnsi="Arial Narrow"/>
                <w:sz w:val="19"/>
                <w:szCs w:val="19"/>
              </w:rPr>
            </w:pPr>
            <w:r w:rsidRPr="000E01C3">
              <w:rPr>
                <w:rFonts w:ascii="Arial Narrow" w:hAnsi="Arial Narrow"/>
                <w:sz w:val="19"/>
                <w:szCs w:val="19"/>
              </w:rPr>
              <w:t>CF-302</w:t>
            </w:r>
          </w:p>
        </w:tc>
        <w:tc>
          <w:tcPr>
            <w:tcW w:w="2552"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NR</w:t>
            </w:r>
          </w:p>
        </w:tc>
        <w:tc>
          <w:tcPr>
            <w:tcW w:w="2300"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NR</w:t>
            </w:r>
          </w:p>
        </w:tc>
        <w:tc>
          <w:tcPr>
            <w:tcW w:w="2093" w:type="dxa"/>
            <w:vAlign w:val="center"/>
          </w:tcPr>
          <w:p w:rsidR="00414B2A" w:rsidRPr="000E01C3" w:rsidRDefault="00414B2A" w:rsidP="00A04A6A">
            <w:pPr>
              <w:keepNext/>
              <w:widowControl/>
              <w:jc w:val="center"/>
              <w:rPr>
                <w:rFonts w:ascii="Arial Narrow" w:hAnsi="Arial Narrow"/>
                <w:iCs/>
                <w:sz w:val="19"/>
                <w:szCs w:val="19"/>
              </w:rPr>
            </w:pPr>
            <w:r w:rsidRPr="000E01C3">
              <w:rPr>
                <w:rFonts w:ascii="Arial Narrow" w:hAnsi="Arial Narrow"/>
                <w:iCs/>
                <w:sz w:val="19"/>
                <w:szCs w:val="19"/>
              </w:rPr>
              <w:t>0.91 (0.78, 1.07)</w:t>
            </w:r>
          </w:p>
        </w:tc>
      </w:tr>
      <w:tr w:rsidR="00414B2A" w:rsidRPr="000E01C3" w:rsidTr="001E4508">
        <w:tc>
          <w:tcPr>
            <w:tcW w:w="6979" w:type="dxa"/>
            <w:gridSpan w:val="3"/>
            <w:vAlign w:val="center"/>
          </w:tcPr>
          <w:p w:rsidR="00414B2A" w:rsidRPr="000E01C3" w:rsidRDefault="00414B2A" w:rsidP="00A04A6A">
            <w:pPr>
              <w:keepNext/>
              <w:widowControl/>
              <w:jc w:val="right"/>
              <w:rPr>
                <w:rFonts w:ascii="Arial Narrow" w:hAnsi="Arial Narrow"/>
                <w:b/>
                <w:sz w:val="19"/>
                <w:szCs w:val="19"/>
              </w:rPr>
            </w:pPr>
            <w:r w:rsidRPr="000E01C3">
              <w:rPr>
                <w:rFonts w:ascii="Arial Narrow" w:hAnsi="Arial Narrow"/>
                <w:b/>
                <w:sz w:val="19"/>
                <w:szCs w:val="19"/>
              </w:rPr>
              <w:t xml:space="preserve">Meta-analysis </w:t>
            </w:r>
          </w:p>
        </w:tc>
        <w:tc>
          <w:tcPr>
            <w:tcW w:w="2093" w:type="dxa"/>
            <w:vAlign w:val="center"/>
          </w:tcPr>
          <w:p w:rsidR="00414B2A" w:rsidRPr="000E01C3" w:rsidRDefault="00414B2A" w:rsidP="00A04A6A">
            <w:pPr>
              <w:keepNext/>
              <w:widowControl/>
              <w:jc w:val="center"/>
              <w:rPr>
                <w:rFonts w:ascii="Arial Narrow" w:hAnsi="Arial Narrow"/>
                <w:iCs/>
                <w:sz w:val="19"/>
                <w:szCs w:val="19"/>
              </w:rPr>
            </w:pPr>
            <w:r w:rsidRPr="000E01C3">
              <w:rPr>
                <w:rFonts w:ascii="Arial Narrow" w:hAnsi="Arial Narrow"/>
                <w:iCs/>
                <w:sz w:val="19"/>
                <w:szCs w:val="19"/>
              </w:rPr>
              <w:t>0.90 (0.77, 1.05)</w:t>
            </w:r>
          </w:p>
        </w:tc>
      </w:tr>
      <w:tr w:rsidR="00414B2A" w:rsidRPr="000E01C3" w:rsidTr="00DE1019">
        <w:tc>
          <w:tcPr>
            <w:tcW w:w="9072" w:type="dxa"/>
            <w:gridSpan w:val="4"/>
            <w:vAlign w:val="center"/>
          </w:tcPr>
          <w:p w:rsidR="00414B2A" w:rsidRPr="000E01C3" w:rsidRDefault="00414B2A" w:rsidP="00A04A6A">
            <w:pPr>
              <w:keepNext/>
              <w:widowControl/>
              <w:jc w:val="left"/>
              <w:rPr>
                <w:rFonts w:ascii="Arial Narrow" w:hAnsi="Arial Narrow"/>
                <w:b/>
                <w:sz w:val="19"/>
                <w:szCs w:val="19"/>
              </w:rPr>
            </w:pPr>
            <w:r w:rsidRPr="000E01C3">
              <w:rPr>
                <w:rFonts w:ascii="Arial Narrow" w:hAnsi="Arial Narrow"/>
                <w:b/>
                <w:sz w:val="19"/>
                <w:szCs w:val="19"/>
              </w:rPr>
              <w:t>Rate of hospitalisation for PE</w:t>
            </w:r>
          </w:p>
        </w:tc>
      </w:tr>
      <w:tr w:rsidR="00414B2A" w:rsidRPr="000E01C3" w:rsidTr="001E4508">
        <w:tc>
          <w:tcPr>
            <w:tcW w:w="2127" w:type="dxa"/>
            <w:vAlign w:val="center"/>
          </w:tcPr>
          <w:p w:rsidR="00414B2A" w:rsidRPr="000E01C3" w:rsidRDefault="00414B2A" w:rsidP="00A04A6A">
            <w:pPr>
              <w:keepNext/>
              <w:widowControl/>
              <w:jc w:val="left"/>
              <w:rPr>
                <w:rFonts w:ascii="Arial Narrow" w:hAnsi="Arial Narrow"/>
                <w:sz w:val="19"/>
                <w:szCs w:val="19"/>
              </w:rPr>
            </w:pPr>
            <w:r w:rsidRPr="000E01C3">
              <w:rPr>
                <w:rFonts w:ascii="Arial Narrow" w:hAnsi="Arial Narrow"/>
                <w:sz w:val="19"/>
                <w:szCs w:val="19"/>
              </w:rPr>
              <w:t>CF-301</w:t>
            </w:r>
          </w:p>
        </w:tc>
        <w:tc>
          <w:tcPr>
            <w:tcW w:w="2552"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NR</w:t>
            </w:r>
          </w:p>
        </w:tc>
        <w:tc>
          <w:tcPr>
            <w:tcW w:w="2300"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NR</w:t>
            </w:r>
          </w:p>
        </w:tc>
        <w:tc>
          <w:tcPr>
            <w:tcW w:w="2093" w:type="dxa"/>
            <w:vAlign w:val="center"/>
          </w:tcPr>
          <w:p w:rsidR="00414B2A" w:rsidRPr="000E01C3" w:rsidRDefault="00414B2A" w:rsidP="00A04A6A">
            <w:pPr>
              <w:keepNext/>
              <w:widowControl/>
              <w:jc w:val="center"/>
              <w:rPr>
                <w:rFonts w:ascii="Arial Narrow" w:hAnsi="Arial Narrow"/>
                <w:iCs/>
                <w:sz w:val="19"/>
                <w:szCs w:val="19"/>
              </w:rPr>
            </w:pPr>
            <w:r w:rsidRPr="000E01C3">
              <w:rPr>
                <w:rFonts w:ascii="Arial Narrow" w:hAnsi="Arial Narrow"/>
                <w:iCs/>
                <w:sz w:val="19"/>
                <w:szCs w:val="19"/>
              </w:rPr>
              <w:t>0.88 (0.32, 2.39)</w:t>
            </w:r>
          </w:p>
        </w:tc>
      </w:tr>
      <w:tr w:rsidR="00414B2A" w:rsidRPr="000E01C3" w:rsidTr="001E4508">
        <w:tc>
          <w:tcPr>
            <w:tcW w:w="2127" w:type="dxa"/>
            <w:vAlign w:val="center"/>
          </w:tcPr>
          <w:p w:rsidR="00414B2A" w:rsidRPr="000E01C3" w:rsidRDefault="00414B2A" w:rsidP="00A04A6A">
            <w:pPr>
              <w:keepNext/>
              <w:widowControl/>
              <w:jc w:val="left"/>
              <w:rPr>
                <w:rFonts w:ascii="Arial Narrow" w:hAnsi="Arial Narrow"/>
                <w:sz w:val="19"/>
                <w:szCs w:val="19"/>
              </w:rPr>
            </w:pPr>
            <w:r w:rsidRPr="000E01C3">
              <w:rPr>
                <w:rFonts w:ascii="Arial Narrow" w:hAnsi="Arial Narrow"/>
                <w:sz w:val="19"/>
                <w:szCs w:val="19"/>
              </w:rPr>
              <w:t>CF-302</w:t>
            </w:r>
          </w:p>
        </w:tc>
        <w:tc>
          <w:tcPr>
            <w:tcW w:w="2552"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NR</w:t>
            </w:r>
          </w:p>
        </w:tc>
        <w:tc>
          <w:tcPr>
            <w:tcW w:w="2300"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NR</w:t>
            </w:r>
          </w:p>
        </w:tc>
        <w:tc>
          <w:tcPr>
            <w:tcW w:w="2093" w:type="dxa"/>
            <w:vAlign w:val="center"/>
          </w:tcPr>
          <w:p w:rsidR="00414B2A" w:rsidRPr="000E01C3" w:rsidRDefault="00414B2A" w:rsidP="00A04A6A">
            <w:pPr>
              <w:keepNext/>
              <w:widowControl/>
              <w:jc w:val="center"/>
              <w:rPr>
                <w:rFonts w:ascii="Arial Narrow" w:hAnsi="Arial Narrow"/>
                <w:iCs/>
                <w:sz w:val="19"/>
                <w:szCs w:val="19"/>
              </w:rPr>
            </w:pPr>
            <w:r w:rsidRPr="000E01C3">
              <w:rPr>
                <w:rFonts w:ascii="Arial Narrow" w:hAnsi="Arial Narrow"/>
                <w:iCs/>
                <w:sz w:val="19"/>
                <w:szCs w:val="19"/>
              </w:rPr>
              <w:t>0.75 (0.45, 1.23)</w:t>
            </w:r>
          </w:p>
        </w:tc>
      </w:tr>
      <w:tr w:rsidR="00414B2A" w:rsidRPr="000E01C3" w:rsidTr="001E4508">
        <w:tc>
          <w:tcPr>
            <w:tcW w:w="6979" w:type="dxa"/>
            <w:gridSpan w:val="3"/>
            <w:vAlign w:val="center"/>
          </w:tcPr>
          <w:p w:rsidR="00414B2A" w:rsidRPr="000E01C3" w:rsidRDefault="00414B2A" w:rsidP="00A04A6A">
            <w:pPr>
              <w:keepNext/>
              <w:widowControl/>
              <w:jc w:val="right"/>
              <w:rPr>
                <w:rFonts w:ascii="Arial Narrow" w:hAnsi="Arial Narrow"/>
                <w:b/>
                <w:sz w:val="19"/>
                <w:szCs w:val="19"/>
              </w:rPr>
            </w:pPr>
            <w:r w:rsidRPr="000E01C3">
              <w:rPr>
                <w:rFonts w:ascii="Arial Narrow" w:hAnsi="Arial Narrow"/>
                <w:b/>
                <w:sz w:val="19"/>
                <w:szCs w:val="19"/>
              </w:rPr>
              <w:t>Meta-analysis</w:t>
            </w:r>
          </w:p>
        </w:tc>
        <w:tc>
          <w:tcPr>
            <w:tcW w:w="2093" w:type="dxa"/>
            <w:vAlign w:val="center"/>
          </w:tcPr>
          <w:p w:rsidR="00414B2A" w:rsidRPr="000E01C3" w:rsidRDefault="00414B2A" w:rsidP="00A04A6A">
            <w:pPr>
              <w:keepNext/>
              <w:widowControl/>
              <w:jc w:val="center"/>
              <w:rPr>
                <w:rFonts w:ascii="Arial Narrow" w:hAnsi="Arial Narrow"/>
                <w:iCs/>
                <w:sz w:val="19"/>
                <w:szCs w:val="19"/>
              </w:rPr>
            </w:pPr>
            <w:r w:rsidRPr="000E01C3">
              <w:rPr>
                <w:rFonts w:ascii="Arial Narrow" w:hAnsi="Arial Narrow"/>
                <w:iCs/>
                <w:sz w:val="19"/>
                <w:szCs w:val="19"/>
              </w:rPr>
              <w:t>0.77 (0.49, 1.21)</w:t>
            </w:r>
          </w:p>
        </w:tc>
      </w:tr>
      <w:tr w:rsidR="00414B2A" w:rsidRPr="000E01C3" w:rsidTr="00DE1019">
        <w:tc>
          <w:tcPr>
            <w:tcW w:w="9072" w:type="dxa"/>
            <w:gridSpan w:val="4"/>
            <w:vAlign w:val="center"/>
          </w:tcPr>
          <w:p w:rsidR="00414B2A" w:rsidRPr="000E01C3" w:rsidRDefault="00414B2A" w:rsidP="00A04A6A">
            <w:pPr>
              <w:keepNext/>
              <w:widowControl/>
              <w:jc w:val="left"/>
              <w:rPr>
                <w:rFonts w:ascii="Arial Narrow" w:hAnsi="Arial Narrow"/>
                <w:b/>
                <w:sz w:val="19"/>
                <w:szCs w:val="19"/>
              </w:rPr>
            </w:pPr>
            <w:r w:rsidRPr="000E01C3">
              <w:rPr>
                <w:rFonts w:ascii="Arial Narrow" w:hAnsi="Arial Narrow"/>
                <w:b/>
                <w:sz w:val="19"/>
                <w:szCs w:val="19"/>
              </w:rPr>
              <w:t>% hospitalised due to PDPE</w:t>
            </w:r>
          </w:p>
        </w:tc>
      </w:tr>
      <w:tr w:rsidR="00414B2A" w:rsidRPr="000E01C3" w:rsidTr="001E4508">
        <w:tc>
          <w:tcPr>
            <w:tcW w:w="2127" w:type="dxa"/>
            <w:vAlign w:val="center"/>
          </w:tcPr>
          <w:p w:rsidR="00414B2A" w:rsidRPr="000E01C3" w:rsidRDefault="00414B2A" w:rsidP="00A04A6A">
            <w:pPr>
              <w:keepNext/>
              <w:widowControl/>
              <w:jc w:val="left"/>
              <w:rPr>
                <w:rFonts w:ascii="Arial Narrow" w:hAnsi="Arial Narrow"/>
                <w:sz w:val="19"/>
                <w:szCs w:val="19"/>
              </w:rPr>
            </w:pPr>
            <w:r w:rsidRPr="000E01C3">
              <w:rPr>
                <w:rFonts w:ascii="Arial Narrow" w:hAnsi="Arial Narrow"/>
                <w:sz w:val="19"/>
                <w:szCs w:val="19"/>
              </w:rPr>
              <w:t>CF-301</w:t>
            </w:r>
          </w:p>
        </w:tc>
        <w:tc>
          <w:tcPr>
            <w:tcW w:w="2552"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24/177 (13.6)</w:t>
            </w:r>
          </w:p>
        </w:tc>
        <w:tc>
          <w:tcPr>
            <w:tcW w:w="2300"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20/118 (16.9)</w:t>
            </w:r>
          </w:p>
        </w:tc>
        <w:tc>
          <w:tcPr>
            <w:tcW w:w="2093" w:type="dxa"/>
            <w:vAlign w:val="center"/>
          </w:tcPr>
          <w:p w:rsidR="00414B2A" w:rsidRPr="000E01C3" w:rsidRDefault="00414B2A" w:rsidP="00A04A6A">
            <w:pPr>
              <w:keepNext/>
              <w:widowControl/>
              <w:jc w:val="center"/>
              <w:rPr>
                <w:rFonts w:ascii="Arial Narrow" w:hAnsi="Arial Narrow"/>
                <w:iCs/>
                <w:sz w:val="19"/>
                <w:szCs w:val="19"/>
              </w:rPr>
            </w:pPr>
            <w:r w:rsidRPr="000E01C3">
              <w:rPr>
                <w:rFonts w:ascii="Arial Narrow" w:hAnsi="Arial Narrow"/>
                <w:iCs/>
                <w:sz w:val="19"/>
                <w:szCs w:val="19"/>
              </w:rPr>
              <w:t>RR: 0.80 (0.46, 1.38)</w:t>
            </w:r>
          </w:p>
        </w:tc>
      </w:tr>
      <w:tr w:rsidR="00414B2A" w:rsidRPr="000E01C3" w:rsidTr="001E4508">
        <w:tc>
          <w:tcPr>
            <w:tcW w:w="2127" w:type="dxa"/>
            <w:vAlign w:val="center"/>
          </w:tcPr>
          <w:p w:rsidR="00414B2A" w:rsidRPr="000E01C3" w:rsidRDefault="00414B2A" w:rsidP="00A04A6A">
            <w:pPr>
              <w:keepNext/>
              <w:widowControl/>
              <w:jc w:val="left"/>
              <w:rPr>
                <w:rFonts w:ascii="Arial Narrow" w:hAnsi="Arial Narrow"/>
                <w:sz w:val="19"/>
                <w:szCs w:val="19"/>
              </w:rPr>
            </w:pPr>
            <w:r w:rsidRPr="000E01C3">
              <w:rPr>
                <w:rFonts w:ascii="Arial Narrow" w:hAnsi="Arial Narrow"/>
                <w:sz w:val="19"/>
                <w:szCs w:val="19"/>
              </w:rPr>
              <w:t>CF-302</w:t>
            </w:r>
          </w:p>
        </w:tc>
        <w:tc>
          <w:tcPr>
            <w:tcW w:w="2552"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22/184 (12.0)</w:t>
            </w:r>
          </w:p>
        </w:tc>
        <w:tc>
          <w:tcPr>
            <w:tcW w:w="2300" w:type="dxa"/>
            <w:vAlign w:val="center"/>
          </w:tcPr>
          <w:p w:rsidR="00414B2A" w:rsidRPr="000E01C3" w:rsidRDefault="00414B2A" w:rsidP="00A04A6A">
            <w:pPr>
              <w:keepNext/>
              <w:widowControl/>
              <w:jc w:val="center"/>
              <w:rPr>
                <w:rFonts w:ascii="Arial Narrow" w:hAnsi="Arial Narrow"/>
                <w:sz w:val="19"/>
                <w:szCs w:val="19"/>
              </w:rPr>
            </w:pPr>
            <w:r w:rsidRPr="000E01C3">
              <w:rPr>
                <w:rFonts w:ascii="Arial Narrow" w:hAnsi="Arial Narrow"/>
                <w:sz w:val="19"/>
                <w:szCs w:val="19"/>
              </w:rPr>
              <w:t>19/121 (15.7)</w:t>
            </w:r>
          </w:p>
        </w:tc>
        <w:tc>
          <w:tcPr>
            <w:tcW w:w="2093" w:type="dxa"/>
            <w:vAlign w:val="center"/>
          </w:tcPr>
          <w:p w:rsidR="00414B2A" w:rsidRPr="000E01C3" w:rsidRDefault="00414B2A" w:rsidP="00A04A6A">
            <w:pPr>
              <w:keepNext/>
              <w:widowControl/>
              <w:jc w:val="center"/>
              <w:rPr>
                <w:rFonts w:ascii="Arial Narrow" w:hAnsi="Arial Narrow"/>
                <w:iCs/>
                <w:sz w:val="19"/>
                <w:szCs w:val="19"/>
              </w:rPr>
            </w:pPr>
            <w:r w:rsidRPr="000E01C3">
              <w:rPr>
                <w:rFonts w:ascii="Arial Narrow" w:hAnsi="Arial Narrow"/>
                <w:iCs/>
                <w:sz w:val="19"/>
                <w:szCs w:val="19"/>
              </w:rPr>
              <w:t>RR: 0.76 (0.43, 1.35)</w:t>
            </w:r>
          </w:p>
        </w:tc>
      </w:tr>
      <w:tr w:rsidR="00414B2A" w:rsidRPr="000E01C3" w:rsidTr="001E4508">
        <w:tc>
          <w:tcPr>
            <w:tcW w:w="6979" w:type="dxa"/>
            <w:gridSpan w:val="3"/>
            <w:vAlign w:val="center"/>
          </w:tcPr>
          <w:p w:rsidR="00414B2A" w:rsidRPr="000E01C3" w:rsidRDefault="00414B2A" w:rsidP="00A04A6A">
            <w:pPr>
              <w:keepNext/>
              <w:widowControl/>
              <w:jc w:val="right"/>
              <w:rPr>
                <w:rFonts w:ascii="Arial Narrow" w:hAnsi="Arial Narrow"/>
                <w:b/>
                <w:sz w:val="19"/>
                <w:szCs w:val="19"/>
              </w:rPr>
            </w:pPr>
            <w:r w:rsidRPr="000E01C3">
              <w:rPr>
                <w:rFonts w:ascii="Arial Narrow" w:hAnsi="Arial Narrow"/>
                <w:b/>
                <w:sz w:val="19"/>
                <w:szCs w:val="19"/>
              </w:rPr>
              <w:t>Meta-analysis</w:t>
            </w:r>
          </w:p>
        </w:tc>
        <w:tc>
          <w:tcPr>
            <w:tcW w:w="2093" w:type="dxa"/>
            <w:vAlign w:val="center"/>
          </w:tcPr>
          <w:p w:rsidR="00414B2A" w:rsidRPr="000E01C3" w:rsidRDefault="00414B2A" w:rsidP="00A04A6A">
            <w:pPr>
              <w:keepNext/>
              <w:widowControl/>
              <w:jc w:val="center"/>
              <w:rPr>
                <w:rFonts w:ascii="Arial Narrow" w:hAnsi="Arial Narrow"/>
                <w:iCs/>
                <w:sz w:val="19"/>
                <w:szCs w:val="19"/>
              </w:rPr>
            </w:pPr>
            <w:r w:rsidRPr="000E01C3">
              <w:rPr>
                <w:rFonts w:ascii="Arial Narrow" w:hAnsi="Arial Narrow"/>
                <w:iCs/>
                <w:sz w:val="19"/>
                <w:szCs w:val="19"/>
              </w:rPr>
              <w:t>RR: 0.78 (0.53, 1.16)</w:t>
            </w:r>
          </w:p>
        </w:tc>
      </w:tr>
    </w:tbl>
    <w:p w:rsidR="00414B2A" w:rsidRPr="000E01C3" w:rsidRDefault="00414B2A" w:rsidP="00A04A6A">
      <w:pPr>
        <w:widowControl/>
        <w:rPr>
          <w:rFonts w:ascii="Arial Narrow" w:hAnsi="Arial Narrow"/>
          <w:sz w:val="18"/>
          <w:szCs w:val="18"/>
        </w:rPr>
      </w:pPr>
      <w:r w:rsidRPr="000E01C3">
        <w:rPr>
          <w:rFonts w:ascii="Arial Narrow" w:hAnsi="Arial Narrow"/>
          <w:sz w:val="18"/>
          <w:szCs w:val="18"/>
        </w:rPr>
        <w:t>Abbreviations: CI, confidence interval; NR, not reported; PDPE, protocol defined pulmonary exacerbation; PE, pulmonary exacerbation; RR; relative risk; RD: risk difference; SD, standard deviation. RD=risk difference</w:t>
      </w:r>
    </w:p>
    <w:p w:rsidR="00414B2A" w:rsidRPr="000E01C3" w:rsidRDefault="00414B2A" w:rsidP="00A04A6A">
      <w:pPr>
        <w:widowControl/>
        <w:rPr>
          <w:rFonts w:ascii="Arial Narrow" w:eastAsia="Arial" w:hAnsi="Arial Narrow"/>
          <w:bCs/>
          <w:sz w:val="18"/>
        </w:rPr>
      </w:pPr>
      <w:r w:rsidRPr="000E01C3">
        <w:rPr>
          <w:rFonts w:ascii="Arial Narrow" w:eastAsia="Arial" w:hAnsi="Arial Narrow"/>
          <w:bCs/>
          <w:sz w:val="18"/>
        </w:rPr>
        <w:t>Shaded cells represent the comparisons of interest of mannitol + DNase versus DNase alone.</w:t>
      </w:r>
      <w:r w:rsidR="000F5B28" w:rsidRPr="000E01C3">
        <w:rPr>
          <w:rFonts w:ascii="Arial Narrow" w:eastAsia="Arial" w:hAnsi="Arial Narrow"/>
          <w:bCs/>
          <w:sz w:val="18"/>
        </w:rPr>
        <w:t xml:space="preserve"> </w:t>
      </w:r>
      <w:r w:rsidRPr="000E01C3">
        <w:rPr>
          <w:rFonts w:ascii="Arial Narrow" w:hAnsi="Arial Narrow"/>
          <w:sz w:val="18"/>
          <w:szCs w:val="18"/>
        </w:rPr>
        <w:t>*</w:t>
      </w:r>
      <w:r w:rsidRPr="000E01C3">
        <w:rPr>
          <w:rFonts w:ascii="Arial Narrow" w:hAnsi="Arial Narrow"/>
          <w:sz w:val="18"/>
          <w:szCs w:val="18"/>
        </w:rPr>
        <w:tab/>
        <w:t>Raw rate = total number of events/total follow up time</w:t>
      </w:r>
      <w:r w:rsidR="000F5B28" w:rsidRPr="000E01C3">
        <w:rPr>
          <w:rFonts w:ascii="Arial Narrow" w:eastAsia="Arial" w:hAnsi="Arial Narrow"/>
          <w:bCs/>
          <w:sz w:val="18"/>
        </w:rPr>
        <w:t xml:space="preserve">. </w:t>
      </w:r>
      <w:r w:rsidR="00016DB9" w:rsidRPr="000E01C3">
        <w:rPr>
          <w:rFonts w:ascii="Arial Narrow" w:hAnsi="Arial Narrow"/>
          <w:sz w:val="18"/>
          <w:szCs w:val="18"/>
        </w:rPr>
        <w:t>^</w:t>
      </w:r>
      <w:r w:rsidRPr="000E01C3">
        <w:rPr>
          <w:rFonts w:ascii="Arial Narrow" w:hAnsi="Arial Narrow"/>
          <w:sz w:val="18"/>
          <w:szCs w:val="18"/>
        </w:rPr>
        <w:t>as per integrated Studies Appendix Table pd01ana3_201.pdf.</w:t>
      </w:r>
    </w:p>
    <w:p w:rsidR="00414B2A" w:rsidRPr="000E01C3" w:rsidRDefault="00414B2A" w:rsidP="00016DB9">
      <w:pPr>
        <w:widowControl/>
        <w:spacing w:after="120"/>
        <w:rPr>
          <w:rFonts w:ascii="Arial Narrow" w:hAnsi="Arial Narrow"/>
          <w:iCs/>
          <w:sz w:val="18"/>
          <w:szCs w:val="18"/>
        </w:rPr>
      </w:pPr>
      <w:r w:rsidRPr="000E01C3">
        <w:rPr>
          <w:rFonts w:ascii="Arial Narrow" w:hAnsi="Arial Narrow"/>
          <w:sz w:val="18"/>
          <w:szCs w:val="18"/>
        </w:rPr>
        <w:t xml:space="preserve">Source: Table B.6.14; B.6.18; pp.129-134 of re-submission; </w:t>
      </w:r>
      <w:r w:rsidRPr="000E01C3">
        <w:rPr>
          <w:rFonts w:ascii="Arial Narrow" w:hAnsi="Arial Narrow"/>
          <w:iCs/>
          <w:sz w:val="18"/>
          <w:szCs w:val="18"/>
        </w:rPr>
        <w:t>pp.83, 98 of CSR for CF-301; pp.88, 101 of CSR for CF-302</w:t>
      </w:r>
      <w:r w:rsidR="00016DB9" w:rsidRPr="000E01C3">
        <w:rPr>
          <w:rFonts w:ascii="Arial Narrow" w:hAnsi="Arial Narrow"/>
          <w:iCs/>
          <w:sz w:val="18"/>
          <w:szCs w:val="18"/>
        </w:rPr>
        <w:t>, and calculated during the evaluation using RevMan 5.1</w:t>
      </w:r>
      <w:r w:rsidRPr="000E01C3">
        <w:rPr>
          <w:rFonts w:ascii="Arial Narrow" w:hAnsi="Arial Narrow"/>
          <w:iCs/>
          <w:sz w:val="18"/>
          <w:szCs w:val="18"/>
        </w:rPr>
        <w:t>.</w:t>
      </w:r>
    </w:p>
    <w:p w:rsidR="00E55C12" w:rsidRDefault="00E55C12" w:rsidP="00E55C12">
      <w:pPr>
        <w:pStyle w:val="Caption"/>
        <w:keepNext/>
      </w:pPr>
      <w:r>
        <w:t xml:space="preserve">Table </w:t>
      </w:r>
      <w:r>
        <w:rPr>
          <w:noProof/>
        </w:rPr>
        <w:t>7</w:t>
      </w:r>
      <w:r w:rsidRPr="00E55E93">
        <w:t>: Proportion (%) of patients with PDPE# in Trial CF-203</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19"/>
        <w:gridCol w:w="1937"/>
        <w:gridCol w:w="1937"/>
        <w:gridCol w:w="1938"/>
      </w:tblGrid>
      <w:tr w:rsidR="00DB40AB" w:rsidRPr="000E01C3" w:rsidTr="00DB40AB">
        <w:trPr>
          <w:trHeight w:val="64"/>
          <w:tblHeader/>
        </w:trPr>
        <w:tc>
          <w:tcPr>
            <w:tcW w:w="3119" w:type="dxa"/>
            <w:vAlign w:val="center"/>
          </w:tcPr>
          <w:p w:rsidR="00DB40AB" w:rsidRPr="000E01C3" w:rsidRDefault="00DB40AB" w:rsidP="00A04A6A">
            <w:pPr>
              <w:widowControl/>
              <w:jc w:val="left"/>
              <w:rPr>
                <w:rFonts w:ascii="Arial Narrow" w:hAnsi="Arial Narrow"/>
                <w:b/>
                <w:iCs/>
                <w:sz w:val="20"/>
              </w:rPr>
            </w:pPr>
            <w:r w:rsidRPr="000E01C3">
              <w:rPr>
                <w:rFonts w:ascii="Arial Narrow" w:hAnsi="Arial Narrow"/>
                <w:b/>
                <w:iCs/>
                <w:sz w:val="20"/>
              </w:rPr>
              <w:t>Outcomes</w:t>
            </w:r>
          </w:p>
        </w:tc>
        <w:tc>
          <w:tcPr>
            <w:tcW w:w="1937" w:type="dxa"/>
            <w:vAlign w:val="center"/>
          </w:tcPr>
          <w:p w:rsidR="00DB40AB" w:rsidRPr="000E01C3" w:rsidRDefault="00DB40AB" w:rsidP="00A04A6A">
            <w:pPr>
              <w:widowControl/>
              <w:jc w:val="center"/>
              <w:rPr>
                <w:rFonts w:ascii="Arial Narrow" w:hAnsi="Arial Narrow"/>
                <w:b/>
                <w:iCs/>
                <w:sz w:val="20"/>
              </w:rPr>
            </w:pPr>
            <w:r w:rsidRPr="000E01C3">
              <w:rPr>
                <w:rFonts w:ascii="Arial Narrow" w:hAnsi="Arial Narrow"/>
                <w:b/>
                <w:iCs/>
                <w:sz w:val="20"/>
              </w:rPr>
              <w:t>DNase</w:t>
            </w:r>
          </w:p>
          <w:p w:rsidR="00DB40AB" w:rsidRPr="000E01C3" w:rsidRDefault="00DB40AB" w:rsidP="00A04A6A">
            <w:pPr>
              <w:widowControl/>
              <w:jc w:val="center"/>
              <w:rPr>
                <w:rFonts w:ascii="Arial Narrow" w:hAnsi="Arial Narrow"/>
                <w:b/>
                <w:iCs/>
                <w:sz w:val="20"/>
              </w:rPr>
            </w:pPr>
            <w:r w:rsidRPr="000E01C3">
              <w:rPr>
                <w:rFonts w:ascii="Arial Narrow" w:hAnsi="Arial Narrow"/>
                <w:b/>
                <w:iCs/>
                <w:sz w:val="20"/>
              </w:rPr>
              <w:t>(N = 21)</w:t>
            </w:r>
          </w:p>
        </w:tc>
        <w:tc>
          <w:tcPr>
            <w:tcW w:w="1937" w:type="dxa"/>
            <w:vAlign w:val="center"/>
          </w:tcPr>
          <w:p w:rsidR="00DB40AB" w:rsidRPr="000E01C3" w:rsidRDefault="00DB40AB" w:rsidP="00A04A6A">
            <w:pPr>
              <w:widowControl/>
              <w:jc w:val="center"/>
              <w:rPr>
                <w:rFonts w:ascii="Arial Narrow" w:hAnsi="Arial Narrow"/>
                <w:b/>
                <w:iCs/>
                <w:sz w:val="20"/>
              </w:rPr>
            </w:pPr>
            <w:r w:rsidRPr="000E01C3">
              <w:rPr>
                <w:rFonts w:ascii="Arial Narrow" w:hAnsi="Arial Narrow"/>
                <w:b/>
                <w:iCs/>
                <w:sz w:val="20"/>
              </w:rPr>
              <w:t>mannitol with DNase</w:t>
            </w:r>
          </w:p>
          <w:p w:rsidR="00DB40AB" w:rsidRPr="000E01C3" w:rsidRDefault="00DB40AB" w:rsidP="00A04A6A">
            <w:pPr>
              <w:widowControl/>
              <w:jc w:val="center"/>
              <w:rPr>
                <w:rFonts w:ascii="Arial Narrow" w:hAnsi="Arial Narrow"/>
                <w:b/>
                <w:iCs/>
                <w:sz w:val="20"/>
              </w:rPr>
            </w:pPr>
            <w:r w:rsidRPr="000E01C3">
              <w:rPr>
                <w:rFonts w:ascii="Arial Narrow" w:hAnsi="Arial Narrow"/>
                <w:b/>
                <w:iCs/>
                <w:sz w:val="20"/>
              </w:rPr>
              <w:t>(N = 23)</w:t>
            </w:r>
          </w:p>
        </w:tc>
        <w:tc>
          <w:tcPr>
            <w:tcW w:w="1938" w:type="dxa"/>
            <w:vAlign w:val="center"/>
          </w:tcPr>
          <w:p w:rsidR="00DB40AB" w:rsidRPr="000E01C3" w:rsidRDefault="00DB40AB" w:rsidP="00A04A6A">
            <w:pPr>
              <w:widowControl/>
              <w:jc w:val="center"/>
              <w:rPr>
                <w:rFonts w:ascii="Arial Narrow" w:hAnsi="Arial Narrow"/>
                <w:b/>
                <w:iCs/>
                <w:sz w:val="20"/>
              </w:rPr>
            </w:pPr>
            <w:r w:rsidRPr="000E01C3">
              <w:rPr>
                <w:rFonts w:ascii="Arial Narrow" w:hAnsi="Arial Narrow"/>
                <w:b/>
                <w:iCs/>
                <w:sz w:val="20"/>
              </w:rPr>
              <w:t>Difference</w:t>
            </w:r>
          </w:p>
        </w:tc>
      </w:tr>
      <w:tr w:rsidR="00DB40AB" w:rsidRPr="000E01C3" w:rsidTr="00DB40AB">
        <w:tc>
          <w:tcPr>
            <w:tcW w:w="3119" w:type="dxa"/>
            <w:vAlign w:val="center"/>
          </w:tcPr>
          <w:p w:rsidR="00DB40AB" w:rsidRPr="000E01C3" w:rsidRDefault="00DB40AB" w:rsidP="00A04A6A">
            <w:pPr>
              <w:widowControl/>
              <w:rPr>
                <w:rFonts w:ascii="Arial Narrow" w:hAnsi="Arial Narrow"/>
                <w:iCs/>
                <w:sz w:val="20"/>
              </w:rPr>
            </w:pPr>
            <w:r w:rsidRPr="000E01C3">
              <w:rPr>
                <w:rFonts w:ascii="Arial Narrow" w:hAnsi="Arial Narrow"/>
                <w:iCs/>
                <w:sz w:val="20"/>
              </w:rPr>
              <w:t>% of patients with PDPE</w:t>
            </w:r>
          </w:p>
        </w:tc>
        <w:tc>
          <w:tcPr>
            <w:tcW w:w="1937" w:type="dxa"/>
          </w:tcPr>
          <w:p w:rsidR="00DB40AB" w:rsidRPr="000E01C3" w:rsidRDefault="00DB40AB" w:rsidP="00A04A6A">
            <w:pPr>
              <w:widowControl/>
              <w:jc w:val="center"/>
              <w:rPr>
                <w:rFonts w:ascii="Arial Narrow" w:hAnsi="Arial Narrow"/>
                <w:sz w:val="20"/>
              </w:rPr>
            </w:pPr>
            <w:r w:rsidRPr="000E01C3">
              <w:rPr>
                <w:rFonts w:ascii="Arial Narrow" w:hAnsi="Arial Narrow"/>
                <w:sz w:val="20"/>
              </w:rPr>
              <w:t>3 (14.3)</w:t>
            </w:r>
          </w:p>
        </w:tc>
        <w:tc>
          <w:tcPr>
            <w:tcW w:w="1937" w:type="dxa"/>
          </w:tcPr>
          <w:p w:rsidR="00DB40AB" w:rsidRPr="000E01C3" w:rsidRDefault="00DB40AB" w:rsidP="00A04A6A">
            <w:pPr>
              <w:widowControl/>
              <w:jc w:val="center"/>
              <w:rPr>
                <w:rFonts w:ascii="Arial Narrow" w:hAnsi="Arial Narrow"/>
                <w:sz w:val="20"/>
              </w:rPr>
            </w:pPr>
            <w:r w:rsidRPr="000E01C3">
              <w:rPr>
                <w:rFonts w:ascii="Arial Narrow" w:hAnsi="Arial Narrow"/>
                <w:sz w:val="20"/>
              </w:rPr>
              <w:t>6 (26.1)</w:t>
            </w:r>
          </w:p>
        </w:tc>
        <w:tc>
          <w:tcPr>
            <w:tcW w:w="1938" w:type="dxa"/>
          </w:tcPr>
          <w:p w:rsidR="00DB40AB" w:rsidRPr="000E01C3" w:rsidRDefault="00DB40AB" w:rsidP="00A04A6A">
            <w:pPr>
              <w:widowControl/>
              <w:jc w:val="center"/>
              <w:rPr>
                <w:rFonts w:ascii="Arial Narrow" w:hAnsi="Arial Narrow"/>
                <w:sz w:val="20"/>
              </w:rPr>
            </w:pPr>
            <w:r w:rsidRPr="000E01C3">
              <w:rPr>
                <w:rFonts w:ascii="Arial Narrow" w:hAnsi="Arial Narrow"/>
                <w:sz w:val="20"/>
              </w:rPr>
              <w:t>p=0.2568</w:t>
            </w:r>
          </w:p>
        </w:tc>
      </w:tr>
    </w:tbl>
    <w:p w:rsidR="00016DB9" w:rsidRPr="000E01C3" w:rsidRDefault="00016DB9" w:rsidP="00A04A6A">
      <w:pPr>
        <w:widowControl/>
        <w:rPr>
          <w:rFonts w:ascii="Arial Narrow" w:hAnsi="Arial Narrow"/>
          <w:iCs/>
          <w:sz w:val="18"/>
          <w:szCs w:val="18"/>
        </w:rPr>
      </w:pPr>
      <w:r w:rsidRPr="000E01C3">
        <w:rPr>
          <w:rFonts w:ascii="Arial Narrow" w:hAnsi="Arial Narrow"/>
          <w:sz w:val="18"/>
          <w:szCs w:val="18"/>
        </w:rPr>
        <w:t>Abbreviation: PDPE, protocol defined pulmonary exacerbation.</w:t>
      </w:r>
      <w:r w:rsidRPr="000E01C3">
        <w:rPr>
          <w:rFonts w:ascii="Arial Narrow" w:hAnsi="Arial Narrow"/>
          <w:iCs/>
          <w:sz w:val="18"/>
          <w:szCs w:val="18"/>
          <w:vertAlign w:val="superscript"/>
        </w:rPr>
        <w:t xml:space="preserve"> </w:t>
      </w:r>
      <w:r w:rsidR="00DB40AB" w:rsidRPr="000E01C3">
        <w:rPr>
          <w:rFonts w:ascii="Arial Narrow" w:hAnsi="Arial Narrow"/>
          <w:iCs/>
          <w:sz w:val="18"/>
          <w:szCs w:val="18"/>
          <w:vertAlign w:val="superscript"/>
        </w:rPr>
        <w:t>#</w:t>
      </w:r>
      <w:r w:rsidR="00DB40AB" w:rsidRPr="000E01C3">
        <w:rPr>
          <w:rFonts w:ascii="Arial Narrow" w:hAnsi="Arial Narrow"/>
          <w:iCs/>
          <w:sz w:val="18"/>
          <w:szCs w:val="18"/>
        </w:rPr>
        <w:t xml:space="preserve"> PDPE was determined by the use of IV antibiotics, but the presence of other signs/symptoms were not </w:t>
      </w:r>
      <w:r w:rsidRPr="000E01C3">
        <w:rPr>
          <w:rFonts w:ascii="Arial Narrow" w:hAnsi="Arial Narrow"/>
          <w:iCs/>
          <w:sz w:val="18"/>
          <w:szCs w:val="18"/>
        </w:rPr>
        <w:t xml:space="preserve">stated. </w:t>
      </w:r>
    </w:p>
    <w:p w:rsidR="00DB40AB" w:rsidRPr="000E01C3" w:rsidRDefault="00016DB9" w:rsidP="00016DB9">
      <w:pPr>
        <w:widowControl/>
        <w:spacing w:after="120"/>
        <w:rPr>
          <w:rFonts w:ascii="Arial Narrow" w:hAnsi="Arial Narrow"/>
          <w:iCs/>
          <w:sz w:val="18"/>
          <w:szCs w:val="18"/>
        </w:rPr>
      </w:pPr>
      <w:r w:rsidRPr="000E01C3">
        <w:rPr>
          <w:rFonts w:ascii="Arial Narrow" w:hAnsi="Arial Narrow"/>
          <w:iCs/>
          <w:sz w:val="18"/>
          <w:szCs w:val="18"/>
        </w:rPr>
        <w:t>Source</w:t>
      </w:r>
      <w:r w:rsidR="00DB40AB" w:rsidRPr="000E01C3">
        <w:rPr>
          <w:rFonts w:ascii="Arial Narrow" w:hAnsi="Arial Narrow"/>
          <w:iCs/>
          <w:sz w:val="18"/>
          <w:szCs w:val="18"/>
        </w:rPr>
        <w:t>: Extracted during evaluation from Table 11.4.1.20, p77 of trial report for CF-203</w:t>
      </w:r>
    </w:p>
    <w:p w:rsidR="00DB40AB" w:rsidRPr="000E01C3" w:rsidRDefault="00DB40AB" w:rsidP="00BE33FF">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There were no consistent statistically significant differences in exacerbation rates or hospitalisations between mannitol and control in t</w:t>
      </w:r>
      <w:r w:rsidR="00713D71" w:rsidRPr="000E01C3">
        <w:rPr>
          <w:rFonts w:asciiTheme="minorHAnsi" w:hAnsiTheme="minorHAnsi" w:cstheme="minorHAnsi"/>
          <w:sz w:val="24"/>
          <w:szCs w:val="24"/>
        </w:rPr>
        <w:t>he ITT populations in Trials CF</w:t>
      </w:r>
      <w:r w:rsidR="00713D71" w:rsidRPr="000E01C3">
        <w:rPr>
          <w:rFonts w:asciiTheme="minorHAnsi" w:hAnsiTheme="minorHAnsi" w:cstheme="minorHAnsi"/>
          <w:sz w:val="24"/>
          <w:szCs w:val="24"/>
        </w:rPr>
        <w:noBreakHyphen/>
      </w:r>
      <w:r w:rsidRPr="000E01C3">
        <w:rPr>
          <w:rFonts w:asciiTheme="minorHAnsi" w:hAnsiTheme="minorHAnsi" w:cstheme="minorHAnsi"/>
          <w:sz w:val="24"/>
          <w:szCs w:val="24"/>
        </w:rPr>
        <w:t xml:space="preserve">301 or CF-302. </w:t>
      </w:r>
      <w:r w:rsidR="00713D71" w:rsidRPr="000E01C3">
        <w:rPr>
          <w:rFonts w:asciiTheme="minorHAnsi" w:hAnsiTheme="minorHAnsi" w:cstheme="minorHAnsi"/>
          <w:sz w:val="24"/>
          <w:szCs w:val="24"/>
        </w:rPr>
        <w:t>However, t</w:t>
      </w:r>
      <w:r w:rsidRPr="000E01C3">
        <w:rPr>
          <w:rFonts w:asciiTheme="minorHAnsi" w:hAnsiTheme="minorHAnsi" w:cstheme="minorHAnsi"/>
          <w:sz w:val="24"/>
          <w:szCs w:val="24"/>
        </w:rPr>
        <w:t>he results just reached statistical significance for incidence of protocol defined pulmonary exacerbation (PDPE) events when results of CF-301 and CF-302 were pooled for mannitol versus control (RR: 0.71 95%</w:t>
      </w:r>
      <w:r w:rsidR="00144A0D" w:rsidRPr="000E01C3">
        <w:rPr>
          <w:rFonts w:asciiTheme="minorHAnsi" w:hAnsiTheme="minorHAnsi" w:cstheme="minorHAnsi"/>
          <w:sz w:val="24"/>
          <w:szCs w:val="24"/>
        </w:rPr>
        <w:t xml:space="preserve"> </w:t>
      </w:r>
      <w:r w:rsidRPr="000E01C3">
        <w:rPr>
          <w:rFonts w:asciiTheme="minorHAnsi" w:hAnsiTheme="minorHAnsi" w:cstheme="minorHAnsi"/>
          <w:sz w:val="24"/>
          <w:szCs w:val="24"/>
        </w:rPr>
        <w:t>CI: 0.51, 0.98).</w:t>
      </w:r>
      <w:r w:rsidR="001E4508" w:rsidRPr="000E01C3">
        <w:rPr>
          <w:rFonts w:asciiTheme="minorHAnsi" w:hAnsiTheme="minorHAnsi" w:cstheme="minorHAnsi"/>
          <w:sz w:val="24"/>
          <w:szCs w:val="24"/>
        </w:rPr>
        <w:t xml:space="preserve"> </w:t>
      </w:r>
      <w:r w:rsidRPr="000E01C3">
        <w:rPr>
          <w:rFonts w:asciiTheme="minorHAnsi" w:hAnsiTheme="minorHAnsi" w:cstheme="minorHAnsi"/>
          <w:sz w:val="24"/>
          <w:szCs w:val="24"/>
        </w:rPr>
        <w:t>There was no statistically significant difference in pulmonary exacerbation rates between mannitol and control in the sub-groups of patients on DNase.</w:t>
      </w:r>
      <w:r w:rsidR="007869A7" w:rsidRPr="000E01C3">
        <w:rPr>
          <w:rFonts w:asciiTheme="minorHAnsi" w:hAnsiTheme="minorHAnsi" w:cstheme="minorHAnsi"/>
          <w:sz w:val="24"/>
          <w:szCs w:val="24"/>
        </w:rPr>
        <w:t xml:space="preserve"> </w:t>
      </w:r>
      <w:r w:rsidR="00253E91" w:rsidRPr="000E01C3">
        <w:rPr>
          <w:rFonts w:asciiTheme="minorHAnsi" w:hAnsiTheme="minorHAnsi" w:cstheme="minorHAnsi"/>
          <w:sz w:val="24"/>
          <w:szCs w:val="24"/>
        </w:rPr>
        <w:t xml:space="preserve">In Trial CF-203, </w:t>
      </w:r>
      <w:r w:rsidR="00713D71" w:rsidRPr="000E01C3">
        <w:rPr>
          <w:rFonts w:asciiTheme="minorHAnsi" w:hAnsiTheme="minorHAnsi" w:cstheme="minorHAnsi"/>
          <w:sz w:val="24"/>
          <w:szCs w:val="24"/>
        </w:rPr>
        <w:t xml:space="preserve">while </w:t>
      </w:r>
      <w:r w:rsidR="00253E91" w:rsidRPr="000E01C3">
        <w:rPr>
          <w:rFonts w:asciiTheme="minorHAnsi" w:hAnsiTheme="minorHAnsi" w:cstheme="minorHAnsi"/>
          <w:sz w:val="24"/>
          <w:szCs w:val="24"/>
        </w:rPr>
        <w:t>there were no statistically significant differences in the proportion of patients with PDPE events between treatment groups</w:t>
      </w:r>
      <w:r w:rsidR="00713D71" w:rsidRPr="000E01C3">
        <w:rPr>
          <w:rFonts w:asciiTheme="minorHAnsi" w:hAnsiTheme="minorHAnsi" w:cstheme="minorHAnsi"/>
          <w:sz w:val="24"/>
          <w:szCs w:val="24"/>
        </w:rPr>
        <w:t>, a</w:t>
      </w:r>
      <w:r w:rsidR="00253E91" w:rsidRPr="000E01C3">
        <w:rPr>
          <w:rFonts w:asciiTheme="minorHAnsi" w:hAnsiTheme="minorHAnsi" w:cstheme="minorHAnsi"/>
          <w:sz w:val="24"/>
          <w:szCs w:val="24"/>
        </w:rPr>
        <w:t xml:space="preserve"> higher proportion of patients had PDPE events on mannitol + DNase compared to DNase alone (26.1% versus 14.3%).</w:t>
      </w:r>
    </w:p>
    <w:p w:rsidR="00D06935" w:rsidRPr="000E01C3" w:rsidRDefault="00665194" w:rsidP="00BE33FF">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iCs/>
          <w:sz w:val="24"/>
          <w:szCs w:val="24"/>
        </w:rPr>
        <w:t xml:space="preserve">Trials CF-301/302 reported </w:t>
      </w:r>
      <w:r w:rsidR="00253E91" w:rsidRPr="000E01C3">
        <w:rPr>
          <w:rFonts w:asciiTheme="minorHAnsi" w:hAnsiTheme="minorHAnsi" w:cstheme="minorHAnsi"/>
          <w:iCs/>
          <w:sz w:val="24"/>
          <w:szCs w:val="24"/>
        </w:rPr>
        <w:t xml:space="preserve">quality of life outcomes using the </w:t>
      </w:r>
      <w:r w:rsidRPr="000E01C3">
        <w:rPr>
          <w:rFonts w:asciiTheme="minorHAnsi" w:hAnsiTheme="minorHAnsi" w:cstheme="minorHAnsi"/>
          <w:iCs/>
          <w:sz w:val="24"/>
          <w:szCs w:val="24"/>
        </w:rPr>
        <w:t xml:space="preserve">revised </w:t>
      </w:r>
      <w:r w:rsidR="00253E91" w:rsidRPr="000E01C3">
        <w:rPr>
          <w:rFonts w:asciiTheme="minorHAnsi" w:hAnsiTheme="minorHAnsi" w:cstheme="minorHAnsi"/>
          <w:iCs/>
          <w:sz w:val="24"/>
          <w:szCs w:val="24"/>
        </w:rPr>
        <w:t xml:space="preserve">cystic fibrosis questionnaire (CFQ-R) for the total </w:t>
      </w:r>
      <w:r w:rsidRPr="000E01C3">
        <w:rPr>
          <w:rFonts w:asciiTheme="minorHAnsi" w:hAnsiTheme="minorHAnsi" w:cstheme="minorHAnsi"/>
          <w:iCs/>
          <w:sz w:val="24"/>
          <w:szCs w:val="24"/>
        </w:rPr>
        <w:t xml:space="preserve">trial </w:t>
      </w:r>
      <w:r w:rsidR="00253E91" w:rsidRPr="000E01C3">
        <w:rPr>
          <w:rFonts w:asciiTheme="minorHAnsi" w:hAnsiTheme="minorHAnsi" w:cstheme="minorHAnsi"/>
          <w:iCs/>
          <w:sz w:val="24"/>
          <w:szCs w:val="24"/>
        </w:rPr>
        <w:t>population</w:t>
      </w:r>
      <w:r w:rsidR="00F17BBE" w:rsidRPr="000E01C3">
        <w:rPr>
          <w:rFonts w:asciiTheme="minorHAnsi" w:hAnsiTheme="minorHAnsi" w:cstheme="minorHAnsi"/>
          <w:iCs/>
          <w:sz w:val="24"/>
          <w:szCs w:val="24"/>
        </w:rPr>
        <w:t>s</w:t>
      </w:r>
      <w:r w:rsidRPr="000E01C3">
        <w:rPr>
          <w:rFonts w:asciiTheme="minorHAnsi" w:hAnsiTheme="minorHAnsi" w:cstheme="minorHAnsi"/>
          <w:iCs/>
          <w:sz w:val="24"/>
          <w:szCs w:val="24"/>
        </w:rPr>
        <w:t>.</w:t>
      </w:r>
      <w:r w:rsidR="00F17BBE" w:rsidRPr="000E01C3">
        <w:rPr>
          <w:rFonts w:asciiTheme="minorHAnsi" w:hAnsiTheme="minorHAnsi" w:cstheme="minorHAnsi"/>
          <w:iCs/>
          <w:sz w:val="24"/>
          <w:szCs w:val="24"/>
        </w:rPr>
        <w:t xml:space="preserve"> </w:t>
      </w:r>
      <w:r w:rsidRPr="000E01C3">
        <w:rPr>
          <w:rFonts w:asciiTheme="minorHAnsi" w:hAnsiTheme="minorHAnsi" w:cstheme="minorHAnsi"/>
          <w:iCs/>
          <w:sz w:val="24"/>
          <w:szCs w:val="24"/>
        </w:rPr>
        <w:t xml:space="preserve">The evaluation also included </w:t>
      </w:r>
      <w:r w:rsidR="00253E91" w:rsidRPr="000E01C3">
        <w:rPr>
          <w:rFonts w:asciiTheme="minorHAnsi" w:hAnsiTheme="minorHAnsi" w:cstheme="minorHAnsi"/>
          <w:iCs/>
          <w:sz w:val="24"/>
          <w:szCs w:val="24"/>
        </w:rPr>
        <w:t xml:space="preserve">the CFQ-R (respiratory domain) subscores for the total population in </w:t>
      </w:r>
      <w:r w:rsidRPr="000E01C3">
        <w:rPr>
          <w:rFonts w:asciiTheme="minorHAnsi" w:hAnsiTheme="minorHAnsi" w:cstheme="minorHAnsi"/>
          <w:iCs/>
          <w:sz w:val="24"/>
          <w:szCs w:val="24"/>
        </w:rPr>
        <w:t xml:space="preserve">the excluded trial, </w:t>
      </w:r>
      <w:r w:rsidR="00253E91" w:rsidRPr="000E01C3">
        <w:rPr>
          <w:rFonts w:asciiTheme="minorHAnsi" w:hAnsiTheme="minorHAnsi" w:cstheme="minorHAnsi"/>
          <w:iCs/>
          <w:sz w:val="24"/>
          <w:szCs w:val="24"/>
        </w:rPr>
        <w:t>CF-203.</w:t>
      </w:r>
      <w:r w:rsidR="007869A7" w:rsidRPr="000E01C3">
        <w:rPr>
          <w:rFonts w:asciiTheme="minorHAnsi" w:hAnsiTheme="minorHAnsi" w:cstheme="minorHAnsi"/>
          <w:iCs/>
          <w:sz w:val="24"/>
          <w:szCs w:val="24"/>
        </w:rPr>
        <w:t xml:space="preserve"> </w:t>
      </w:r>
      <w:r w:rsidR="00D06935" w:rsidRPr="000E01C3">
        <w:rPr>
          <w:rFonts w:asciiTheme="minorHAnsi" w:hAnsiTheme="minorHAnsi" w:cstheme="minorHAnsi"/>
          <w:iCs/>
          <w:sz w:val="24"/>
          <w:szCs w:val="24"/>
        </w:rPr>
        <w:t xml:space="preserve">There were some statistically significant </w:t>
      </w:r>
      <w:r w:rsidR="007869A7" w:rsidRPr="000E01C3">
        <w:rPr>
          <w:rFonts w:asciiTheme="minorHAnsi" w:hAnsiTheme="minorHAnsi" w:cstheme="minorHAnsi"/>
          <w:iCs/>
          <w:sz w:val="24"/>
          <w:szCs w:val="24"/>
        </w:rPr>
        <w:t xml:space="preserve">differences </w:t>
      </w:r>
      <w:r w:rsidR="00D06935" w:rsidRPr="000E01C3">
        <w:rPr>
          <w:rFonts w:asciiTheme="minorHAnsi" w:hAnsiTheme="minorHAnsi" w:cstheme="minorHAnsi"/>
          <w:iCs/>
          <w:sz w:val="24"/>
          <w:szCs w:val="24"/>
        </w:rPr>
        <w:t>in quality of life subscores between mannitol and control, for the physical and vitality domains</w:t>
      </w:r>
      <w:r w:rsidRPr="000E01C3">
        <w:rPr>
          <w:rFonts w:asciiTheme="minorHAnsi" w:hAnsiTheme="minorHAnsi" w:cstheme="minorHAnsi"/>
          <w:iCs/>
          <w:sz w:val="24"/>
          <w:szCs w:val="24"/>
        </w:rPr>
        <w:t xml:space="preserve"> of the CFQ-R</w:t>
      </w:r>
      <w:r w:rsidR="00D06935" w:rsidRPr="000E01C3">
        <w:rPr>
          <w:rFonts w:asciiTheme="minorHAnsi" w:hAnsiTheme="minorHAnsi" w:cstheme="minorHAnsi"/>
          <w:iCs/>
          <w:sz w:val="24"/>
          <w:szCs w:val="24"/>
        </w:rPr>
        <w:t>, for Trial CF-</w:t>
      </w:r>
      <w:r w:rsidR="007869A7" w:rsidRPr="000E01C3">
        <w:rPr>
          <w:rFonts w:asciiTheme="minorHAnsi" w:hAnsiTheme="minorHAnsi" w:cstheme="minorHAnsi"/>
          <w:iCs/>
          <w:sz w:val="24"/>
          <w:szCs w:val="24"/>
        </w:rPr>
        <w:t>301.</w:t>
      </w:r>
      <w:r w:rsidR="00D06935" w:rsidRPr="000E01C3">
        <w:rPr>
          <w:rFonts w:asciiTheme="minorHAnsi" w:hAnsiTheme="minorHAnsi" w:cstheme="minorHAnsi"/>
          <w:iCs/>
          <w:sz w:val="24"/>
          <w:szCs w:val="24"/>
        </w:rPr>
        <w:t xml:space="preserve"> </w:t>
      </w:r>
      <w:r w:rsidR="00397626" w:rsidRPr="000E01C3">
        <w:rPr>
          <w:rFonts w:asciiTheme="minorHAnsi" w:hAnsiTheme="minorHAnsi" w:cstheme="minorHAnsi"/>
          <w:iCs/>
          <w:sz w:val="24"/>
          <w:szCs w:val="24"/>
        </w:rPr>
        <w:t>However, t</w:t>
      </w:r>
      <w:r w:rsidR="00D06935" w:rsidRPr="000E01C3">
        <w:rPr>
          <w:rFonts w:asciiTheme="minorHAnsi" w:hAnsiTheme="minorHAnsi" w:cstheme="minorHAnsi"/>
          <w:iCs/>
          <w:sz w:val="24"/>
          <w:szCs w:val="24"/>
        </w:rPr>
        <w:t>here were</w:t>
      </w:r>
      <w:r w:rsidR="00F17BBE" w:rsidRPr="000E01C3">
        <w:rPr>
          <w:rFonts w:asciiTheme="minorHAnsi" w:hAnsiTheme="minorHAnsi" w:cstheme="minorHAnsi"/>
          <w:iCs/>
          <w:sz w:val="24"/>
          <w:szCs w:val="24"/>
        </w:rPr>
        <w:t xml:space="preserve"> </w:t>
      </w:r>
      <w:r w:rsidR="00D06935" w:rsidRPr="000E01C3">
        <w:rPr>
          <w:rFonts w:asciiTheme="minorHAnsi" w:hAnsiTheme="minorHAnsi" w:cstheme="minorHAnsi"/>
          <w:iCs/>
          <w:sz w:val="24"/>
          <w:szCs w:val="24"/>
        </w:rPr>
        <w:t>no significant differences</w:t>
      </w:r>
      <w:r w:rsidR="007869A7" w:rsidRPr="000E01C3">
        <w:rPr>
          <w:rFonts w:asciiTheme="minorHAnsi" w:hAnsiTheme="minorHAnsi" w:cstheme="minorHAnsi"/>
          <w:iCs/>
          <w:sz w:val="24"/>
          <w:szCs w:val="24"/>
        </w:rPr>
        <w:t xml:space="preserve"> in quality of life scores</w:t>
      </w:r>
      <w:r w:rsidR="00D06935" w:rsidRPr="000E01C3">
        <w:rPr>
          <w:rFonts w:asciiTheme="minorHAnsi" w:hAnsiTheme="minorHAnsi" w:cstheme="minorHAnsi"/>
          <w:iCs/>
          <w:sz w:val="24"/>
          <w:szCs w:val="24"/>
        </w:rPr>
        <w:t xml:space="preserve"> between mannitol and control in Trial CF-302 in any of the </w:t>
      </w:r>
      <w:r w:rsidR="007869A7" w:rsidRPr="000E01C3">
        <w:rPr>
          <w:rFonts w:asciiTheme="minorHAnsi" w:hAnsiTheme="minorHAnsi" w:cstheme="minorHAnsi"/>
          <w:iCs/>
          <w:sz w:val="24"/>
          <w:szCs w:val="24"/>
        </w:rPr>
        <w:t xml:space="preserve">reported </w:t>
      </w:r>
      <w:r w:rsidR="00D06935" w:rsidRPr="000E01C3">
        <w:rPr>
          <w:rFonts w:asciiTheme="minorHAnsi" w:hAnsiTheme="minorHAnsi" w:cstheme="minorHAnsi"/>
          <w:iCs/>
          <w:sz w:val="24"/>
          <w:szCs w:val="24"/>
        </w:rPr>
        <w:t xml:space="preserve">domains (respiratory, physical </w:t>
      </w:r>
      <w:r w:rsidR="00F17BBE" w:rsidRPr="000E01C3">
        <w:rPr>
          <w:rFonts w:asciiTheme="minorHAnsi" w:hAnsiTheme="minorHAnsi" w:cstheme="minorHAnsi"/>
          <w:iCs/>
          <w:sz w:val="24"/>
          <w:szCs w:val="24"/>
        </w:rPr>
        <w:t xml:space="preserve">or </w:t>
      </w:r>
      <w:r w:rsidR="00D06935" w:rsidRPr="000E01C3">
        <w:rPr>
          <w:rFonts w:asciiTheme="minorHAnsi" w:hAnsiTheme="minorHAnsi" w:cstheme="minorHAnsi"/>
          <w:iCs/>
          <w:sz w:val="24"/>
          <w:szCs w:val="24"/>
        </w:rPr>
        <w:t>vitality).</w:t>
      </w:r>
      <w:r w:rsidR="007869A7" w:rsidRPr="000E01C3">
        <w:rPr>
          <w:rFonts w:asciiTheme="minorHAnsi" w:hAnsiTheme="minorHAnsi" w:cstheme="minorHAnsi"/>
          <w:iCs/>
          <w:sz w:val="24"/>
          <w:szCs w:val="24"/>
        </w:rPr>
        <w:t xml:space="preserve"> </w:t>
      </w:r>
      <w:r w:rsidR="00F17BBE" w:rsidRPr="000E01C3">
        <w:rPr>
          <w:rFonts w:asciiTheme="minorHAnsi" w:hAnsiTheme="minorHAnsi" w:cstheme="minorHAnsi"/>
          <w:iCs/>
          <w:sz w:val="24"/>
          <w:szCs w:val="24"/>
        </w:rPr>
        <w:t>In Trial CF-203 there were no statistically significant differences in respiratory quality of life scores between treatment groups</w:t>
      </w:r>
      <w:r w:rsidRPr="000E01C3">
        <w:rPr>
          <w:rFonts w:asciiTheme="minorHAnsi" w:hAnsiTheme="minorHAnsi" w:cstheme="minorHAnsi"/>
          <w:iCs/>
          <w:sz w:val="24"/>
          <w:szCs w:val="24"/>
        </w:rPr>
        <w:t>; h</w:t>
      </w:r>
      <w:r w:rsidR="00F17BBE" w:rsidRPr="000E01C3">
        <w:rPr>
          <w:rFonts w:asciiTheme="minorHAnsi" w:hAnsiTheme="minorHAnsi" w:cstheme="minorHAnsi"/>
          <w:iCs/>
          <w:sz w:val="24"/>
          <w:szCs w:val="24"/>
        </w:rPr>
        <w:t>owever</w:t>
      </w:r>
      <w:r w:rsidRPr="000E01C3">
        <w:rPr>
          <w:rFonts w:asciiTheme="minorHAnsi" w:hAnsiTheme="minorHAnsi" w:cstheme="minorHAnsi"/>
          <w:iCs/>
          <w:sz w:val="24"/>
          <w:szCs w:val="24"/>
        </w:rPr>
        <w:t>,</w:t>
      </w:r>
      <w:r w:rsidR="00F17BBE" w:rsidRPr="000E01C3">
        <w:rPr>
          <w:rFonts w:asciiTheme="minorHAnsi" w:hAnsiTheme="minorHAnsi" w:cstheme="minorHAnsi"/>
          <w:iCs/>
          <w:sz w:val="24"/>
          <w:szCs w:val="24"/>
        </w:rPr>
        <w:t xml:space="preserve"> the results had favoured the DNase alone treatment group versus combination therapy of mannitol + DNase.</w:t>
      </w:r>
    </w:p>
    <w:p w:rsidR="00D06935" w:rsidRPr="000E01C3" w:rsidRDefault="00D06935" w:rsidP="00A04A6A">
      <w:pPr>
        <w:pStyle w:val="Heading2"/>
        <w:keepNext/>
        <w:keepLines/>
        <w:widowControl/>
        <w:spacing w:before="240" w:after="120"/>
        <w:jc w:val="left"/>
        <w:rPr>
          <w:rFonts w:asciiTheme="minorHAnsi" w:eastAsiaTheme="majorEastAsia" w:hAnsiTheme="minorHAnsi" w:cstheme="majorBidi"/>
          <w:i/>
          <w:snapToGrid/>
          <w:sz w:val="28"/>
          <w:szCs w:val="28"/>
        </w:rPr>
      </w:pPr>
      <w:bookmarkStart w:id="12" w:name="_Toc482779071"/>
      <w:r w:rsidRPr="000E01C3">
        <w:rPr>
          <w:rFonts w:asciiTheme="minorHAnsi" w:eastAsiaTheme="majorEastAsia" w:hAnsiTheme="minorHAnsi" w:cstheme="majorBidi"/>
          <w:i/>
          <w:snapToGrid/>
          <w:sz w:val="28"/>
          <w:szCs w:val="28"/>
        </w:rPr>
        <w:t>Comparative harms</w:t>
      </w:r>
      <w:bookmarkEnd w:id="12"/>
    </w:p>
    <w:p w:rsidR="00D06935" w:rsidRPr="000E01C3" w:rsidRDefault="00D06935" w:rsidP="00BE33FF">
      <w:pPr>
        <w:pStyle w:val="ListParagraph"/>
        <w:widowControl/>
        <w:numPr>
          <w:ilvl w:val="1"/>
          <w:numId w:val="5"/>
        </w:numPr>
        <w:spacing w:after="120"/>
        <w:contextualSpacing w:val="0"/>
        <w:rPr>
          <w:rFonts w:asciiTheme="minorHAnsi" w:hAnsiTheme="minorHAnsi" w:cstheme="minorHAnsi"/>
          <w:iCs/>
          <w:sz w:val="24"/>
          <w:szCs w:val="24"/>
        </w:rPr>
      </w:pPr>
      <w:r w:rsidRPr="000E01C3">
        <w:rPr>
          <w:rFonts w:asciiTheme="minorHAnsi" w:hAnsiTheme="minorHAnsi" w:cstheme="minorHAnsi"/>
          <w:sz w:val="24"/>
          <w:szCs w:val="24"/>
        </w:rPr>
        <w:t xml:space="preserve">The safety results for Trials CF-301, CF-302 and CF-203 </w:t>
      </w:r>
      <w:r w:rsidR="002B7727" w:rsidRPr="000E01C3">
        <w:rPr>
          <w:rFonts w:asciiTheme="minorHAnsi" w:hAnsiTheme="minorHAnsi" w:cstheme="minorHAnsi"/>
          <w:sz w:val="24"/>
          <w:szCs w:val="24"/>
        </w:rPr>
        <w:t>remain unchanged from previous submissions</w:t>
      </w:r>
      <w:r w:rsidR="00C34ED2" w:rsidRPr="000E01C3">
        <w:rPr>
          <w:rFonts w:asciiTheme="minorHAnsi" w:hAnsiTheme="minorHAnsi" w:cstheme="minorHAnsi"/>
          <w:sz w:val="24"/>
          <w:szCs w:val="24"/>
        </w:rPr>
        <w:t>.</w:t>
      </w:r>
      <w:r w:rsidRPr="000E01C3">
        <w:rPr>
          <w:rFonts w:asciiTheme="minorHAnsi" w:hAnsiTheme="minorHAnsi" w:cstheme="minorHAnsi"/>
          <w:sz w:val="24"/>
          <w:szCs w:val="24"/>
        </w:rPr>
        <w:t xml:space="preserve"> </w:t>
      </w:r>
      <w:r w:rsidR="00C31C79" w:rsidRPr="000E01C3">
        <w:rPr>
          <w:rFonts w:asciiTheme="minorHAnsi" w:hAnsiTheme="minorHAnsi" w:cstheme="minorHAnsi"/>
          <w:iCs/>
          <w:sz w:val="24"/>
          <w:szCs w:val="24"/>
        </w:rPr>
        <w:t>Although si</w:t>
      </w:r>
      <w:r w:rsidRPr="000E01C3">
        <w:rPr>
          <w:rFonts w:asciiTheme="minorHAnsi" w:hAnsiTheme="minorHAnsi" w:cstheme="minorHAnsi"/>
          <w:iCs/>
          <w:sz w:val="24"/>
          <w:szCs w:val="24"/>
        </w:rPr>
        <w:t xml:space="preserve">milar proportions of patients </w:t>
      </w:r>
      <w:r w:rsidR="004C63BE" w:rsidRPr="000E01C3">
        <w:rPr>
          <w:rFonts w:asciiTheme="minorHAnsi" w:hAnsiTheme="minorHAnsi" w:cstheme="minorHAnsi"/>
          <w:iCs/>
          <w:sz w:val="24"/>
          <w:szCs w:val="24"/>
        </w:rPr>
        <w:t xml:space="preserve">treated with </w:t>
      </w:r>
      <w:r w:rsidRPr="000E01C3">
        <w:rPr>
          <w:rFonts w:asciiTheme="minorHAnsi" w:hAnsiTheme="minorHAnsi" w:cstheme="minorHAnsi"/>
          <w:iCs/>
          <w:sz w:val="24"/>
          <w:szCs w:val="24"/>
        </w:rPr>
        <w:t>mannitol and control experienced adverse events (AEs)</w:t>
      </w:r>
      <w:r w:rsidR="0053459C" w:rsidRPr="000E01C3">
        <w:rPr>
          <w:rFonts w:asciiTheme="minorHAnsi" w:hAnsiTheme="minorHAnsi" w:cstheme="minorHAnsi"/>
          <w:iCs/>
          <w:sz w:val="24"/>
          <w:szCs w:val="24"/>
        </w:rPr>
        <w:t>, t</w:t>
      </w:r>
      <w:r w:rsidRPr="000E01C3">
        <w:rPr>
          <w:rFonts w:asciiTheme="minorHAnsi" w:hAnsiTheme="minorHAnsi" w:cstheme="minorHAnsi"/>
          <w:iCs/>
          <w:sz w:val="24"/>
          <w:szCs w:val="24"/>
        </w:rPr>
        <w:t xml:space="preserve">reatment-related AEs and </w:t>
      </w:r>
      <w:r w:rsidR="002B7727" w:rsidRPr="000E01C3">
        <w:rPr>
          <w:rFonts w:asciiTheme="minorHAnsi" w:hAnsiTheme="minorHAnsi" w:cstheme="minorHAnsi"/>
          <w:iCs/>
          <w:sz w:val="24"/>
          <w:szCs w:val="24"/>
        </w:rPr>
        <w:t xml:space="preserve">associated </w:t>
      </w:r>
      <w:r w:rsidRPr="000E01C3">
        <w:rPr>
          <w:rFonts w:asciiTheme="minorHAnsi" w:hAnsiTheme="minorHAnsi" w:cstheme="minorHAnsi"/>
          <w:iCs/>
          <w:sz w:val="24"/>
          <w:szCs w:val="24"/>
        </w:rPr>
        <w:t>trial discontinuations were reported for a greater percentage of subjects on mannitol versus control/placebo</w:t>
      </w:r>
      <w:r w:rsidR="004411AD" w:rsidRPr="000E01C3">
        <w:rPr>
          <w:rFonts w:asciiTheme="minorHAnsi" w:hAnsiTheme="minorHAnsi" w:cstheme="minorHAnsi"/>
          <w:iCs/>
          <w:sz w:val="24"/>
          <w:szCs w:val="24"/>
        </w:rPr>
        <w:t xml:space="preserve"> and</w:t>
      </w:r>
      <w:r w:rsidRPr="000E01C3">
        <w:rPr>
          <w:rFonts w:asciiTheme="minorHAnsi" w:hAnsiTheme="minorHAnsi" w:cstheme="minorHAnsi"/>
          <w:iCs/>
          <w:sz w:val="24"/>
          <w:szCs w:val="24"/>
        </w:rPr>
        <w:t xml:space="preserve"> this difference was statistically significant in Trial CF-301.</w:t>
      </w:r>
      <w:r w:rsidRPr="000E01C3">
        <w:rPr>
          <w:rFonts w:asciiTheme="minorHAnsi" w:hAnsiTheme="minorHAnsi" w:cstheme="minorHAnsi"/>
          <w:sz w:val="24"/>
          <w:szCs w:val="24"/>
        </w:rPr>
        <w:t xml:space="preserve"> </w:t>
      </w:r>
      <w:r w:rsidR="00F9021A" w:rsidRPr="000E01C3">
        <w:rPr>
          <w:rFonts w:asciiTheme="minorHAnsi" w:hAnsiTheme="minorHAnsi" w:cstheme="minorHAnsi"/>
          <w:iCs/>
          <w:sz w:val="24"/>
          <w:szCs w:val="24"/>
        </w:rPr>
        <w:t>In Trial CF-203,</w:t>
      </w:r>
      <w:r w:rsidR="00C31C79" w:rsidRPr="000E01C3">
        <w:rPr>
          <w:rFonts w:asciiTheme="minorHAnsi" w:hAnsiTheme="minorHAnsi" w:cstheme="minorHAnsi"/>
          <w:iCs/>
          <w:sz w:val="24"/>
          <w:szCs w:val="24"/>
        </w:rPr>
        <w:t xml:space="preserve"> </w:t>
      </w:r>
      <w:r w:rsidR="00F17BBE" w:rsidRPr="000E01C3">
        <w:rPr>
          <w:rFonts w:asciiTheme="minorHAnsi" w:hAnsiTheme="minorHAnsi" w:cstheme="minorHAnsi"/>
          <w:iCs/>
          <w:sz w:val="24"/>
          <w:szCs w:val="24"/>
        </w:rPr>
        <w:t>there were no significant differences between mannitol</w:t>
      </w:r>
      <w:r w:rsidR="00874002" w:rsidRPr="000E01C3">
        <w:rPr>
          <w:rFonts w:asciiTheme="minorHAnsi" w:hAnsiTheme="minorHAnsi" w:cstheme="minorHAnsi"/>
          <w:iCs/>
          <w:sz w:val="24"/>
          <w:szCs w:val="24"/>
        </w:rPr>
        <w:t xml:space="preserve"> </w:t>
      </w:r>
      <w:r w:rsidR="00F17BBE" w:rsidRPr="000E01C3">
        <w:rPr>
          <w:rFonts w:asciiTheme="minorHAnsi" w:hAnsiTheme="minorHAnsi" w:cstheme="minorHAnsi"/>
          <w:iCs/>
          <w:sz w:val="24"/>
          <w:szCs w:val="24"/>
        </w:rPr>
        <w:t xml:space="preserve">+ DNase and DNase only groups with respect to either </w:t>
      </w:r>
      <w:r w:rsidR="00F9021A" w:rsidRPr="000E01C3">
        <w:rPr>
          <w:rFonts w:asciiTheme="minorHAnsi" w:hAnsiTheme="minorHAnsi" w:cstheme="minorHAnsi"/>
          <w:iCs/>
          <w:sz w:val="24"/>
          <w:szCs w:val="24"/>
        </w:rPr>
        <w:t xml:space="preserve">treatment-related </w:t>
      </w:r>
      <w:r w:rsidR="00874002" w:rsidRPr="000E01C3">
        <w:rPr>
          <w:rFonts w:asciiTheme="minorHAnsi" w:hAnsiTheme="minorHAnsi" w:cstheme="minorHAnsi"/>
          <w:iCs/>
          <w:sz w:val="24"/>
          <w:szCs w:val="24"/>
        </w:rPr>
        <w:t>AEs or severe AEs.</w:t>
      </w:r>
      <w:r w:rsidR="00F17BBE" w:rsidRPr="000E01C3">
        <w:rPr>
          <w:rFonts w:asciiTheme="minorHAnsi" w:hAnsiTheme="minorHAnsi" w:cstheme="minorHAnsi"/>
          <w:iCs/>
          <w:sz w:val="24"/>
          <w:szCs w:val="24"/>
        </w:rPr>
        <w:t xml:space="preserve"> </w:t>
      </w:r>
      <w:r w:rsidRPr="000E01C3">
        <w:rPr>
          <w:rFonts w:asciiTheme="minorHAnsi" w:hAnsiTheme="minorHAnsi" w:cstheme="minorHAnsi"/>
          <w:iCs/>
          <w:sz w:val="24"/>
          <w:szCs w:val="24"/>
        </w:rPr>
        <w:t xml:space="preserve">The safety results </w:t>
      </w:r>
      <w:r w:rsidR="00F17BBE" w:rsidRPr="000E01C3">
        <w:rPr>
          <w:rFonts w:asciiTheme="minorHAnsi" w:hAnsiTheme="minorHAnsi" w:cstheme="minorHAnsi"/>
          <w:iCs/>
          <w:sz w:val="24"/>
          <w:szCs w:val="24"/>
        </w:rPr>
        <w:t>from the Phase II trials (</w:t>
      </w:r>
      <w:r w:rsidR="007536B0" w:rsidRPr="000E01C3">
        <w:rPr>
          <w:rFonts w:asciiTheme="minorHAnsi" w:hAnsiTheme="minorHAnsi" w:cstheme="minorHAnsi"/>
          <w:iCs/>
          <w:sz w:val="24"/>
          <w:szCs w:val="24"/>
        </w:rPr>
        <w:t>CF-201 and CF</w:t>
      </w:r>
      <w:r w:rsidR="007536B0" w:rsidRPr="000E01C3">
        <w:rPr>
          <w:rFonts w:asciiTheme="minorHAnsi" w:hAnsiTheme="minorHAnsi" w:cstheme="minorHAnsi"/>
          <w:iCs/>
          <w:sz w:val="24"/>
          <w:szCs w:val="24"/>
        </w:rPr>
        <w:noBreakHyphen/>
      </w:r>
      <w:r w:rsidRPr="000E01C3">
        <w:rPr>
          <w:rFonts w:asciiTheme="minorHAnsi" w:hAnsiTheme="minorHAnsi" w:cstheme="minorHAnsi"/>
          <w:iCs/>
          <w:sz w:val="24"/>
          <w:szCs w:val="24"/>
        </w:rPr>
        <w:t>204</w:t>
      </w:r>
      <w:r w:rsidR="00F17BBE" w:rsidRPr="000E01C3">
        <w:rPr>
          <w:rFonts w:asciiTheme="minorHAnsi" w:hAnsiTheme="minorHAnsi" w:cstheme="minorHAnsi"/>
          <w:iCs/>
          <w:sz w:val="24"/>
          <w:szCs w:val="24"/>
        </w:rPr>
        <w:t>)</w:t>
      </w:r>
      <w:r w:rsidRPr="000E01C3">
        <w:rPr>
          <w:rFonts w:asciiTheme="minorHAnsi" w:hAnsiTheme="minorHAnsi" w:cstheme="minorHAnsi"/>
          <w:iCs/>
          <w:sz w:val="24"/>
          <w:szCs w:val="24"/>
        </w:rPr>
        <w:t xml:space="preserve"> showed a consistent pattern with that of the other trials.</w:t>
      </w:r>
      <w:r w:rsidR="00F9021A" w:rsidRPr="000E01C3">
        <w:rPr>
          <w:rFonts w:asciiTheme="minorHAnsi" w:hAnsiTheme="minorHAnsi" w:cstheme="minorHAnsi"/>
          <w:iCs/>
          <w:sz w:val="24"/>
          <w:szCs w:val="24"/>
        </w:rPr>
        <w:t xml:space="preserve"> </w:t>
      </w:r>
    </w:p>
    <w:p w:rsidR="00D06935" w:rsidRPr="000E01C3" w:rsidRDefault="00D06935" w:rsidP="00BE33FF">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Patients were more likely to experience cough, haemoptysis and pharyngolaryngeal pain with</w:t>
      </w:r>
      <w:r w:rsidR="00C34ED2" w:rsidRPr="000E01C3">
        <w:rPr>
          <w:rFonts w:asciiTheme="minorHAnsi" w:hAnsiTheme="minorHAnsi" w:cstheme="minorHAnsi"/>
          <w:sz w:val="24"/>
          <w:szCs w:val="24"/>
        </w:rPr>
        <w:t xml:space="preserve"> mannitol compared </w:t>
      </w:r>
      <w:r w:rsidR="00874002" w:rsidRPr="000E01C3">
        <w:rPr>
          <w:rFonts w:asciiTheme="minorHAnsi" w:hAnsiTheme="minorHAnsi" w:cstheme="minorHAnsi"/>
          <w:sz w:val="24"/>
          <w:szCs w:val="24"/>
        </w:rPr>
        <w:t>with</w:t>
      </w:r>
      <w:r w:rsidR="00C34ED2" w:rsidRPr="000E01C3">
        <w:rPr>
          <w:rFonts w:asciiTheme="minorHAnsi" w:hAnsiTheme="minorHAnsi" w:cstheme="minorHAnsi"/>
          <w:sz w:val="24"/>
          <w:szCs w:val="24"/>
        </w:rPr>
        <w:t xml:space="preserve"> control. </w:t>
      </w:r>
      <w:r w:rsidRPr="000E01C3">
        <w:rPr>
          <w:rFonts w:asciiTheme="minorHAnsi" w:hAnsiTheme="minorHAnsi" w:cstheme="minorHAnsi"/>
          <w:sz w:val="24"/>
          <w:szCs w:val="24"/>
        </w:rPr>
        <w:t>The difference between</w:t>
      </w:r>
      <w:r w:rsidR="004411AD" w:rsidRPr="000E01C3">
        <w:rPr>
          <w:rFonts w:asciiTheme="minorHAnsi" w:hAnsiTheme="minorHAnsi" w:cstheme="minorHAnsi"/>
          <w:sz w:val="24"/>
          <w:szCs w:val="24"/>
        </w:rPr>
        <w:t xml:space="preserve"> the</w:t>
      </w:r>
      <w:r w:rsidRPr="000E01C3">
        <w:rPr>
          <w:rFonts w:asciiTheme="minorHAnsi" w:hAnsiTheme="minorHAnsi" w:cstheme="minorHAnsi"/>
          <w:sz w:val="24"/>
          <w:szCs w:val="24"/>
        </w:rPr>
        <w:t xml:space="preserve"> proportion of patients with pharyngolaryngeal pain </w:t>
      </w:r>
      <w:r w:rsidR="00C31C79" w:rsidRPr="000E01C3">
        <w:rPr>
          <w:rFonts w:asciiTheme="minorHAnsi" w:hAnsiTheme="minorHAnsi" w:cstheme="minorHAnsi"/>
          <w:sz w:val="24"/>
          <w:szCs w:val="24"/>
        </w:rPr>
        <w:t xml:space="preserve">also </w:t>
      </w:r>
      <w:r w:rsidRPr="000E01C3">
        <w:rPr>
          <w:rFonts w:asciiTheme="minorHAnsi" w:hAnsiTheme="minorHAnsi" w:cstheme="minorHAnsi"/>
          <w:sz w:val="24"/>
          <w:szCs w:val="24"/>
        </w:rPr>
        <w:t>reached stati</w:t>
      </w:r>
      <w:r w:rsidR="00874002" w:rsidRPr="000E01C3">
        <w:rPr>
          <w:rFonts w:asciiTheme="minorHAnsi" w:hAnsiTheme="minorHAnsi" w:cstheme="minorHAnsi"/>
          <w:sz w:val="24"/>
          <w:szCs w:val="24"/>
        </w:rPr>
        <w:t>stical significance in Trial CF</w:t>
      </w:r>
      <w:r w:rsidR="00874002" w:rsidRPr="000E01C3">
        <w:rPr>
          <w:rFonts w:asciiTheme="minorHAnsi" w:hAnsiTheme="minorHAnsi" w:cstheme="minorHAnsi"/>
          <w:sz w:val="24"/>
          <w:szCs w:val="24"/>
        </w:rPr>
        <w:noBreakHyphen/>
      </w:r>
      <w:r w:rsidRPr="000E01C3">
        <w:rPr>
          <w:rFonts w:asciiTheme="minorHAnsi" w:hAnsiTheme="minorHAnsi" w:cstheme="minorHAnsi"/>
          <w:sz w:val="24"/>
          <w:szCs w:val="24"/>
        </w:rPr>
        <w:t>301</w:t>
      </w:r>
      <w:r w:rsidR="00C31C79" w:rsidRPr="000E01C3">
        <w:rPr>
          <w:rFonts w:asciiTheme="minorHAnsi" w:hAnsiTheme="minorHAnsi" w:cstheme="minorHAnsi"/>
          <w:sz w:val="24"/>
          <w:szCs w:val="24"/>
        </w:rPr>
        <w:t xml:space="preserve"> (relative risk: 3.20</w:t>
      </w:r>
      <w:r w:rsidR="004411AD" w:rsidRPr="000E01C3">
        <w:rPr>
          <w:rFonts w:asciiTheme="minorHAnsi" w:hAnsiTheme="minorHAnsi" w:cstheme="minorHAnsi"/>
          <w:sz w:val="24"/>
          <w:szCs w:val="24"/>
        </w:rPr>
        <w:t xml:space="preserve">, </w:t>
      </w:r>
      <w:r w:rsidR="00C31C79" w:rsidRPr="000E01C3">
        <w:rPr>
          <w:rFonts w:asciiTheme="minorHAnsi" w:hAnsiTheme="minorHAnsi" w:cstheme="minorHAnsi"/>
          <w:sz w:val="24"/>
          <w:szCs w:val="24"/>
        </w:rPr>
        <w:t>95%</w:t>
      </w:r>
      <w:r w:rsidR="00800A18" w:rsidRPr="000E01C3">
        <w:rPr>
          <w:rFonts w:asciiTheme="minorHAnsi" w:hAnsiTheme="minorHAnsi" w:cstheme="minorHAnsi"/>
          <w:sz w:val="24"/>
          <w:szCs w:val="24"/>
        </w:rPr>
        <w:t xml:space="preserve"> </w:t>
      </w:r>
      <w:r w:rsidR="00C31C79" w:rsidRPr="000E01C3">
        <w:rPr>
          <w:rFonts w:asciiTheme="minorHAnsi" w:hAnsiTheme="minorHAnsi" w:cstheme="minorHAnsi"/>
          <w:sz w:val="24"/>
          <w:szCs w:val="24"/>
        </w:rPr>
        <w:t>CI: 1.26, 8.15).</w:t>
      </w:r>
    </w:p>
    <w:p w:rsidR="00D06935" w:rsidRPr="000E01C3" w:rsidRDefault="00D06935" w:rsidP="00BE33FF">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In the open-label extension phases of Trials CF-301 and CF-302, there were no notable increases in the frequencies of AEs, leading to discontinuation during the open-label phases compared to those reported during the 26-week double-blind phase.</w:t>
      </w:r>
    </w:p>
    <w:p w:rsidR="00D06935" w:rsidRPr="000E01C3" w:rsidRDefault="0053459C" w:rsidP="00BE33FF">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iCs/>
          <w:sz w:val="24"/>
          <w:szCs w:val="24"/>
        </w:rPr>
        <w:t>Additional data on potential safety concerns beyond those identified in the clinical trials found n</w:t>
      </w:r>
      <w:r w:rsidR="00D06935" w:rsidRPr="000E01C3">
        <w:rPr>
          <w:rFonts w:asciiTheme="minorHAnsi" w:hAnsiTheme="minorHAnsi" w:cstheme="minorHAnsi"/>
          <w:iCs/>
          <w:sz w:val="24"/>
          <w:szCs w:val="24"/>
        </w:rPr>
        <w:t>o</w:t>
      </w:r>
      <w:r w:rsidRPr="000E01C3">
        <w:rPr>
          <w:rFonts w:asciiTheme="minorHAnsi" w:hAnsiTheme="minorHAnsi" w:cstheme="minorHAnsi"/>
          <w:iCs/>
          <w:sz w:val="24"/>
          <w:szCs w:val="24"/>
        </w:rPr>
        <w:t xml:space="preserve"> specific new safety issues outside those already identified in the </w:t>
      </w:r>
      <w:r w:rsidR="004411AD" w:rsidRPr="000E01C3">
        <w:rPr>
          <w:rFonts w:asciiTheme="minorHAnsi" w:hAnsiTheme="minorHAnsi" w:cstheme="minorHAnsi"/>
          <w:iCs/>
          <w:sz w:val="24"/>
          <w:szCs w:val="24"/>
        </w:rPr>
        <w:t>previous submissions</w:t>
      </w:r>
      <w:r w:rsidRPr="000E01C3">
        <w:rPr>
          <w:rFonts w:asciiTheme="minorHAnsi" w:hAnsiTheme="minorHAnsi" w:cstheme="minorHAnsi"/>
          <w:iCs/>
          <w:sz w:val="24"/>
          <w:szCs w:val="24"/>
        </w:rPr>
        <w:t xml:space="preserve"> for mannitol</w:t>
      </w:r>
      <w:r w:rsidR="00D06935" w:rsidRPr="000E01C3">
        <w:rPr>
          <w:rFonts w:asciiTheme="minorHAnsi" w:hAnsiTheme="minorHAnsi" w:cstheme="minorHAnsi"/>
          <w:iCs/>
          <w:sz w:val="24"/>
          <w:szCs w:val="24"/>
        </w:rPr>
        <w:t>.</w:t>
      </w:r>
      <w:r w:rsidR="00541C6C" w:rsidRPr="000E01C3">
        <w:rPr>
          <w:rFonts w:asciiTheme="minorHAnsi" w:hAnsiTheme="minorHAnsi" w:cstheme="minorHAnsi"/>
          <w:iCs/>
          <w:sz w:val="24"/>
          <w:szCs w:val="24"/>
        </w:rPr>
        <w:t xml:space="preserve"> </w:t>
      </w:r>
    </w:p>
    <w:p w:rsidR="00D06935" w:rsidRPr="000E01C3" w:rsidRDefault="00D06935" w:rsidP="00A04A6A">
      <w:pPr>
        <w:pStyle w:val="Heading2"/>
        <w:keepNext/>
        <w:keepLines/>
        <w:widowControl/>
        <w:spacing w:before="240" w:after="120"/>
        <w:jc w:val="left"/>
        <w:rPr>
          <w:rFonts w:asciiTheme="minorHAnsi" w:eastAsiaTheme="majorEastAsia" w:hAnsiTheme="minorHAnsi" w:cstheme="majorBidi"/>
          <w:i/>
          <w:snapToGrid/>
          <w:sz w:val="28"/>
          <w:szCs w:val="28"/>
        </w:rPr>
      </w:pPr>
      <w:bookmarkStart w:id="13" w:name="_Toc482779072"/>
      <w:r w:rsidRPr="000E01C3">
        <w:rPr>
          <w:rFonts w:asciiTheme="minorHAnsi" w:eastAsiaTheme="majorEastAsia" w:hAnsiTheme="minorHAnsi" w:cstheme="majorBidi"/>
          <w:i/>
          <w:snapToGrid/>
          <w:sz w:val="28"/>
          <w:szCs w:val="28"/>
        </w:rPr>
        <w:t>Benefits/harms</w:t>
      </w:r>
      <w:bookmarkEnd w:id="13"/>
    </w:p>
    <w:p w:rsidR="00D06935" w:rsidRPr="000E01C3" w:rsidRDefault="00D06935" w:rsidP="00BE33FF">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 xml:space="preserve">A summary of the comparative benefits and harms for mannitol versus control is presented in </w:t>
      </w:r>
      <w:r w:rsidR="00104C82" w:rsidRPr="000E01C3">
        <w:rPr>
          <w:rFonts w:asciiTheme="minorHAnsi" w:hAnsiTheme="minorHAnsi" w:cstheme="minorHAnsi"/>
          <w:sz w:val="24"/>
          <w:szCs w:val="24"/>
        </w:rPr>
        <w:t xml:space="preserve">Table </w:t>
      </w:r>
      <w:r w:rsidR="00B83459" w:rsidRPr="000E01C3">
        <w:rPr>
          <w:rFonts w:asciiTheme="minorHAnsi" w:hAnsiTheme="minorHAnsi" w:cstheme="minorHAnsi"/>
          <w:sz w:val="24"/>
          <w:szCs w:val="24"/>
        </w:rPr>
        <w:t>8</w:t>
      </w:r>
      <w:r w:rsidRPr="000E01C3">
        <w:rPr>
          <w:rFonts w:asciiTheme="minorHAnsi" w:hAnsiTheme="minorHAnsi" w:cstheme="minorHAnsi"/>
          <w:sz w:val="24"/>
          <w:szCs w:val="24"/>
        </w:rPr>
        <w:t>.</w:t>
      </w:r>
    </w:p>
    <w:p w:rsidR="00E55C12" w:rsidRDefault="00E55C12" w:rsidP="00E55C12">
      <w:pPr>
        <w:pStyle w:val="Caption"/>
        <w:keepNext/>
      </w:pPr>
      <w:r>
        <w:t xml:space="preserve">Table </w:t>
      </w:r>
      <w:r>
        <w:rPr>
          <w:noProof/>
        </w:rPr>
        <w:t>8</w:t>
      </w:r>
      <w:r w:rsidRPr="00D764CC">
        <w:t>: Summary of comparative benefits and harms for mannitol and control</w:t>
      </w:r>
    </w:p>
    <w:tbl>
      <w:tblPr>
        <w:tblStyle w:val="TableGrid"/>
        <w:tblW w:w="4938" w:type="pct"/>
        <w:tblInd w:w="-5" w:type="dxa"/>
        <w:tblLayout w:type="fixed"/>
        <w:tblCellMar>
          <w:left w:w="28" w:type="dxa"/>
          <w:right w:w="28" w:type="dxa"/>
        </w:tblCellMar>
        <w:tblLook w:val="04A0" w:firstRow="1" w:lastRow="0" w:firstColumn="1" w:lastColumn="0" w:noHBand="0" w:noVBand="1"/>
        <w:tblCaption w:val=": Summary of comparative benefits and harms for mannitol and control"/>
      </w:tblPr>
      <w:tblGrid>
        <w:gridCol w:w="2003"/>
        <w:gridCol w:w="429"/>
        <w:gridCol w:w="570"/>
        <w:gridCol w:w="431"/>
        <w:gridCol w:w="854"/>
        <w:gridCol w:w="285"/>
        <w:gridCol w:w="434"/>
        <w:gridCol w:w="570"/>
        <w:gridCol w:w="429"/>
        <w:gridCol w:w="538"/>
        <w:gridCol w:w="459"/>
        <w:gridCol w:w="570"/>
        <w:gridCol w:w="1397"/>
      </w:tblGrid>
      <w:tr w:rsidR="00D06935" w:rsidRPr="000E01C3" w:rsidTr="005C52F9">
        <w:trPr>
          <w:tblHeader/>
        </w:trPr>
        <w:tc>
          <w:tcPr>
            <w:tcW w:w="5000" w:type="pct"/>
            <w:gridSpan w:val="13"/>
            <w:tcBorders>
              <w:top w:val="double" w:sz="4" w:space="0" w:color="auto"/>
            </w:tcBorders>
            <w:shd w:val="clear" w:color="auto" w:fill="auto"/>
            <w:vAlign w:val="center"/>
          </w:tcPr>
          <w:p w:rsidR="00D06935" w:rsidRPr="000E01C3" w:rsidRDefault="00D06935" w:rsidP="00A04A6A">
            <w:pPr>
              <w:keepNext/>
              <w:widowControl/>
              <w:rPr>
                <w:rFonts w:ascii="Arial Narrow" w:hAnsi="Arial Narrow"/>
                <w:b/>
                <w:color w:val="000000"/>
                <w:sz w:val="20"/>
                <w:szCs w:val="18"/>
              </w:rPr>
            </w:pPr>
            <w:r w:rsidRPr="000E01C3">
              <w:rPr>
                <w:rFonts w:ascii="Arial Narrow" w:hAnsi="Arial Narrow"/>
                <w:b/>
                <w:color w:val="000000"/>
                <w:sz w:val="20"/>
                <w:szCs w:val="18"/>
              </w:rPr>
              <w:t xml:space="preserve">Continuous Outcome I: absolute change in </w:t>
            </w:r>
            <w:r w:rsidR="00710FD5" w:rsidRPr="000E01C3">
              <w:rPr>
                <w:rFonts w:ascii="Arial Narrow" w:hAnsi="Arial Narrow"/>
                <w:b/>
                <w:color w:val="000000"/>
                <w:sz w:val="20"/>
                <w:szCs w:val="18"/>
              </w:rPr>
              <w:t>FEV</w:t>
            </w:r>
            <w:r w:rsidR="00710FD5" w:rsidRPr="000E01C3">
              <w:rPr>
                <w:rFonts w:ascii="Arial Narrow" w:hAnsi="Arial Narrow"/>
                <w:b/>
                <w:color w:val="000000"/>
                <w:sz w:val="20"/>
                <w:szCs w:val="18"/>
                <w:vertAlign w:val="subscript"/>
              </w:rPr>
              <w:t>1</w:t>
            </w:r>
            <w:r w:rsidRPr="000E01C3">
              <w:rPr>
                <w:rFonts w:ascii="Arial Narrow" w:hAnsi="Arial Narrow"/>
                <w:b/>
                <w:color w:val="000000"/>
                <w:sz w:val="20"/>
                <w:szCs w:val="18"/>
              </w:rPr>
              <w:t xml:space="preserve"> from baseline (mL)</w:t>
            </w:r>
          </w:p>
        </w:tc>
      </w:tr>
      <w:tr w:rsidR="00D06935" w:rsidRPr="000E01C3" w:rsidTr="00E55C12">
        <w:trPr>
          <w:trHeight w:val="225"/>
        </w:trPr>
        <w:tc>
          <w:tcPr>
            <w:tcW w:w="1116" w:type="pct"/>
            <w:vMerge w:val="restart"/>
            <w:shd w:val="clear" w:color="auto" w:fill="auto"/>
            <w:vAlign w:val="center"/>
          </w:tcPr>
          <w:p w:rsidR="00D06935" w:rsidRPr="000E01C3" w:rsidRDefault="00D06935" w:rsidP="00A04A6A">
            <w:pPr>
              <w:keepNext/>
              <w:widowControl/>
              <w:rPr>
                <w:rFonts w:ascii="Arial Narrow" w:hAnsi="Arial Narrow"/>
                <w:color w:val="000000"/>
                <w:sz w:val="20"/>
                <w:szCs w:val="18"/>
              </w:rPr>
            </w:pPr>
          </w:p>
        </w:tc>
        <w:tc>
          <w:tcPr>
            <w:tcW w:w="1432" w:type="pct"/>
            <w:gridSpan w:val="5"/>
            <w:vAlign w:val="center"/>
          </w:tcPr>
          <w:p w:rsidR="00D06935" w:rsidRPr="000E01C3" w:rsidRDefault="00D06935" w:rsidP="00A04A6A">
            <w:pPr>
              <w:keepNext/>
              <w:widowControl/>
              <w:jc w:val="center"/>
              <w:rPr>
                <w:rFonts w:ascii="Arial Narrow" w:hAnsi="Arial Narrow"/>
                <w:color w:val="000000"/>
                <w:sz w:val="20"/>
                <w:szCs w:val="18"/>
              </w:rPr>
            </w:pPr>
            <w:r w:rsidRPr="000E01C3">
              <w:rPr>
                <w:rFonts w:ascii="Arial Narrow" w:hAnsi="Arial Narrow"/>
                <w:b/>
                <w:color w:val="000000"/>
                <w:sz w:val="20"/>
                <w:szCs w:val="18"/>
              </w:rPr>
              <w:t>mannitol</w:t>
            </w:r>
          </w:p>
        </w:tc>
        <w:tc>
          <w:tcPr>
            <w:tcW w:w="1355" w:type="pct"/>
            <w:gridSpan w:val="5"/>
            <w:vAlign w:val="center"/>
          </w:tcPr>
          <w:p w:rsidR="00D06935" w:rsidRPr="000E01C3" w:rsidRDefault="00D06935" w:rsidP="00A04A6A">
            <w:pPr>
              <w:keepNext/>
              <w:widowControl/>
              <w:jc w:val="center"/>
              <w:rPr>
                <w:rFonts w:ascii="Arial Narrow" w:hAnsi="Arial Narrow"/>
                <w:color w:val="000000"/>
                <w:sz w:val="20"/>
                <w:szCs w:val="18"/>
              </w:rPr>
            </w:pPr>
            <w:r w:rsidRPr="000E01C3">
              <w:rPr>
                <w:rFonts w:ascii="Arial Narrow" w:hAnsi="Arial Narrow"/>
                <w:b/>
                <w:color w:val="000000"/>
                <w:sz w:val="20"/>
                <w:szCs w:val="18"/>
              </w:rPr>
              <w:t>control</w:t>
            </w:r>
          </w:p>
        </w:tc>
        <w:tc>
          <w:tcPr>
            <w:tcW w:w="1098" w:type="pct"/>
            <w:gridSpan w:val="2"/>
            <w:vMerge w:val="restart"/>
            <w:vAlign w:val="center"/>
          </w:tcPr>
          <w:p w:rsidR="00D06935" w:rsidRPr="000E01C3" w:rsidRDefault="00D06935" w:rsidP="00A04A6A">
            <w:pPr>
              <w:keepNext/>
              <w:widowControl/>
              <w:jc w:val="center"/>
              <w:rPr>
                <w:rFonts w:ascii="Arial Narrow" w:hAnsi="Arial Narrow"/>
                <w:b/>
                <w:sz w:val="20"/>
                <w:szCs w:val="18"/>
              </w:rPr>
            </w:pPr>
            <w:r w:rsidRPr="000E01C3">
              <w:rPr>
                <w:rFonts w:ascii="Arial Narrow" w:hAnsi="Arial Narrow"/>
                <w:b/>
                <w:sz w:val="20"/>
                <w:szCs w:val="18"/>
              </w:rPr>
              <w:t>Mean difference*:</w:t>
            </w:r>
          </w:p>
          <w:p w:rsidR="00D06935" w:rsidRPr="000E01C3" w:rsidRDefault="00D06935" w:rsidP="00A04A6A">
            <w:pPr>
              <w:keepNext/>
              <w:widowControl/>
              <w:jc w:val="center"/>
              <w:rPr>
                <w:rFonts w:ascii="Arial Narrow" w:hAnsi="Arial Narrow"/>
                <w:b/>
                <w:sz w:val="20"/>
                <w:szCs w:val="18"/>
              </w:rPr>
            </w:pPr>
            <w:r w:rsidRPr="000E01C3">
              <w:rPr>
                <w:rFonts w:ascii="Arial Narrow" w:hAnsi="Arial Narrow"/>
                <w:b/>
                <w:sz w:val="20"/>
                <w:szCs w:val="18"/>
              </w:rPr>
              <w:t>mannitol vs. control</w:t>
            </w:r>
          </w:p>
          <w:p w:rsidR="00D06935" w:rsidRPr="000E01C3" w:rsidRDefault="00D06935" w:rsidP="00A04A6A">
            <w:pPr>
              <w:keepNext/>
              <w:widowControl/>
              <w:jc w:val="center"/>
              <w:rPr>
                <w:rFonts w:ascii="Arial Narrow" w:hAnsi="Arial Narrow"/>
                <w:b/>
                <w:sz w:val="20"/>
                <w:szCs w:val="18"/>
              </w:rPr>
            </w:pPr>
            <w:r w:rsidRPr="000E01C3">
              <w:rPr>
                <w:rFonts w:ascii="Arial Narrow" w:hAnsi="Arial Narrow"/>
                <w:b/>
                <w:sz w:val="20"/>
                <w:szCs w:val="18"/>
              </w:rPr>
              <w:t>(95% CI)</w:t>
            </w:r>
          </w:p>
        </w:tc>
      </w:tr>
      <w:tr w:rsidR="00A56D63" w:rsidRPr="000E01C3" w:rsidTr="00E55C12">
        <w:trPr>
          <w:trHeight w:val="225"/>
        </w:trPr>
        <w:tc>
          <w:tcPr>
            <w:tcW w:w="1116" w:type="pct"/>
            <w:vMerge/>
            <w:shd w:val="clear" w:color="auto" w:fill="auto"/>
            <w:vAlign w:val="center"/>
          </w:tcPr>
          <w:p w:rsidR="00D06935" w:rsidRPr="000E01C3" w:rsidRDefault="00D06935" w:rsidP="00A04A6A">
            <w:pPr>
              <w:keepNext/>
              <w:widowControl/>
              <w:rPr>
                <w:rFonts w:ascii="Arial Narrow" w:hAnsi="Arial Narrow"/>
                <w:color w:val="000000"/>
                <w:sz w:val="20"/>
                <w:szCs w:val="18"/>
              </w:rPr>
            </w:pPr>
          </w:p>
        </w:tc>
        <w:tc>
          <w:tcPr>
            <w:tcW w:w="239" w:type="pct"/>
            <w:vAlign w:val="center"/>
          </w:tcPr>
          <w:p w:rsidR="00D06935" w:rsidRPr="000E01C3" w:rsidRDefault="00D06935" w:rsidP="00A04A6A">
            <w:pPr>
              <w:keepNext/>
              <w:widowControl/>
              <w:jc w:val="center"/>
              <w:rPr>
                <w:rFonts w:ascii="Arial Narrow" w:hAnsi="Arial Narrow"/>
                <w:b/>
                <w:color w:val="000000"/>
                <w:sz w:val="20"/>
                <w:szCs w:val="18"/>
              </w:rPr>
            </w:pPr>
            <w:r w:rsidRPr="000E01C3">
              <w:rPr>
                <w:rFonts w:ascii="Arial Narrow" w:hAnsi="Arial Narrow"/>
                <w:b/>
                <w:color w:val="000000"/>
                <w:sz w:val="20"/>
                <w:szCs w:val="18"/>
              </w:rPr>
              <w:t>n</w:t>
            </w:r>
          </w:p>
        </w:tc>
        <w:tc>
          <w:tcPr>
            <w:tcW w:w="558" w:type="pct"/>
            <w:gridSpan w:val="2"/>
            <w:vAlign w:val="center"/>
          </w:tcPr>
          <w:p w:rsidR="00D06935" w:rsidRPr="000E01C3" w:rsidRDefault="00D06935" w:rsidP="00A04A6A">
            <w:pPr>
              <w:keepNext/>
              <w:widowControl/>
              <w:jc w:val="center"/>
              <w:rPr>
                <w:rFonts w:ascii="Arial Narrow" w:hAnsi="Arial Narrow"/>
                <w:b/>
                <w:sz w:val="20"/>
                <w:szCs w:val="18"/>
              </w:rPr>
            </w:pPr>
            <w:r w:rsidRPr="000E01C3">
              <w:rPr>
                <w:rFonts w:ascii="Arial Narrow" w:hAnsi="Arial Narrow"/>
                <w:b/>
                <w:sz w:val="20"/>
                <w:szCs w:val="18"/>
              </w:rPr>
              <w:t xml:space="preserve">Mean ∆ </w:t>
            </w:r>
            <w:r w:rsidR="00710FD5" w:rsidRPr="000E01C3">
              <w:rPr>
                <w:rFonts w:ascii="Arial Narrow" w:hAnsi="Arial Narrow"/>
                <w:b/>
                <w:sz w:val="20"/>
                <w:szCs w:val="18"/>
              </w:rPr>
              <w:t>FEV</w:t>
            </w:r>
            <w:r w:rsidR="00710FD5" w:rsidRPr="000E01C3">
              <w:rPr>
                <w:rFonts w:ascii="Arial Narrow" w:hAnsi="Arial Narrow"/>
                <w:b/>
                <w:sz w:val="20"/>
                <w:szCs w:val="18"/>
                <w:vertAlign w:val="subscript"/>
              </w:rPr>
              <w:t>1</w:t>
            </w:r>
            <w:r w:rsidRPr="000E01C3">
              <w:rPr>
                <w:rFonts w:ascii="Arial Narrow" w:hAnsi="Arial Narrow"/>
                <w:b/>
                <w:sz w:val="20"/>
                <w:szCs w:val="18"/>
              </w:rPr>
              <w:t xml:space="preserve"> (mls)</w:t>
            </w:r>
          </w:p>
        </w:tc>
        <w:tc>
          <w:tcPr>
            <w:tcW w:w="635" w:type="pct"/>
            <w:gridSpan w:val="2"/>
            <w:vAlign w:val="center"/>
          </w:tcPr>
          <w:p w:rsidR="0053459C" w:rsidRPr="000E01C3" w:rsidRDefault="00D06935" w:rsidP="00A04A6A">
            <w:pPr>
              <w:keepNext/>
              <w:widowControl/>
              <w:jc w:val="center"/>
              <w:rPr>
                <w:rFonts w:ascii="Arial Narrow" w:hAnsi="Arial Narrow"/>
                <w:b/>
                <w:sz w:val="20"/>
                <w:szCs w:val="18"/>
              </w:rPr>
            </w:pPr>
            <w:r w:rsidRPr="000E01C3">
              <w:rPr>
                <w:rFonts w:ascii="Arial Narrow" w:hAnsi="Arial Narrow"/>
                <w:b/>
                <w:sz w:val="20"/>
                <w:szCs w:val="18"/>
              </w:rPr>
              <w:t>SD</w:t>
            </w:r>
          </w:p>
          <w:p w:rsidR="00D06935" w:rsidRPr="000E01C3" w:rsidRDefault="00D06935" w:rsidP="00A04A6A">
            <w:pPr>
              <w:keepNext/>
              <w:widowControl/>
              <w:jc w:val="center"/>
              <w:rPr>
                <w:rFonts w:ascii="Arial Narrow" w:hAnsi="Arial Narrow"/>
                <w:b/>
                <w:sz w:val="20"/>
                <w:szCs w:val="18"/>
              </w:rPr>
            </w:pPr>
            <w:r w:rsidRPr="000E01C3">
              <w:rPr>
                <w:rFonts w:ascii="Arial Narrow" w:hAnsi="Arial Narrow"/>
                <w:b/>
                <w:sz w:val="20"/>
                <w:szCs w:val="18"/>
              </w:rPr>
              <w:t>(95%CI)</w:t>
            </w:r>
          </w:p>
        </w:tc>
        <w:tc>
          <w:tcPr>
            <w:tcW w:w="242" w:type="pct"/>
            <w:vAlign w:val="center"/>
          </w:tcPr>
          <w:p w:rsidR="00D06935" w:rsidRPr="000E01C3" w:rsidRDefault="00D06935" w:rsidP="00A04A6A">
            <w:pPr>
              <w:keepNext/>
              <w:widowControl/>
              <w:jc w:val="center"/>
              <w:rPr>
                <w:rFonts w:ascii="Arial Narrow" w:hAnsi="Arial Narrow"/>
                <w:b/>
                <w:color w:val="000000"/>
                <w:sz w:val="20"/>
                <w:szCs w:val="18"/>
              </w:rPr>
            </w:pPr>
            <w:r w:rsidRPr="000E01C3">
              <w:rPr>
                <w:rFonts w:ascii="Arial Narrow" w:hAnsi="Arial Narrow"/>
                <w:b/>
                <w:color w:val="000000"/>
                <w:sz w:val="20"/>
                <w:szCs w:val="18"/>
              </w:rPr>
              <w:t>n</w:t>
            </w:r>
          </w:p>
        </w:tc>
        <w:tc>
          <w:tcPr>
            <w:tcW w:w="557" w:type="pct"/>
            <w:gridSpan w:val="2"/>
            <w:vAlign w:val="center"/>
          </w:tcPr>
          <w:p w:rsidR="00D06935" w:rsidRPr="000E01C3" w:rsidRDefault="00D06935" w:rsidP="00A04A6A">
            <w:pPr>
              <w:keepNext/>
              <w:widowControl/>
              <w:jc w:val="center"/>
              <w:rPr>
                <w:rFonts w:ascii="Arial Narrow" w:hAnsi="Arial Narrow"/>
                <w:b/>
                <w:sz w:val="20"/>
                <w:szCs w:val="18"/>
              </w:rPr>
            </w:pPr>
            <w:r w:rsidRPr="000E01C3">
              <w:rPr>
                <w:rFonts w:ascii="Arial Narrow" w:hAnsi="Arial Narrow"/>
                <w:b/>
                <w:sz w:val="20"/>
                <w:szCs w:val="18"/>
              </w:rPr>
              <w:t xml:space="preserve">Mean ∆ </w:t>
            </w:r>
            <w:r w:rsidR="00710FD5" w:rsidRPr="000E01C3">
              <w:rPr>
                <w:rFonts w:ascii="Arial Narrow" w:hAnsi="Arial Narrow"/>
                <w:b/>
                <w:sz w:val="20"/>
                <w:szCs w:val="18"/>
              </w:rPr>
              <w:t>FEV</w:t>
            </w:r>
            <w:r w:rsidR="00710FD5" w:rsidRPr="000E01C3">
              <w:rPr>
                <w:rFonts w:ascii="Arial Narrow" w:hAnsi="Arial Narrow"/>
                <w:b/>
                <w:sz w:val="20"/>
                <w:szCs w:val="18"/>
                <w:vertAlign w:val="subscript"/>
              </w:rPr>
              <w:t>1</w:t>
            </w:r>
            <w:r w:rsidRPr="000E01C3">
              <w:rPr>
                <w:rFonts w:ascii="Arial Narrow" w:hAnsi="Arial Narrow"/>
                <w:b/>
                <w:sz w:val="20"/>
                <w:szCs w:val="18"/>
              </w:rPr>
              <w:t xml:space="preserve"> (mls)</w:t>
            </w:r>
          </w:p>
        </w:tc>
        <w:tc>
          <w:tcPr>
            <w:tcW w:w="556" w:type="pct"/>
            <w:gridSpan w:val="2"/>
            <w:vAlign w:val="center"/>
          </w:tcPr>
          <w:p w:rsidR="00D06935" w:rsidRPr="000E01C3" w:rsidRDefault="00D06935" w:rsidP="00A04A6A">
            <w:pPr>
              <w:keepNext/>
              <w:widowControl/>
              <w:jc w:val="center"/>
              <w:rPr>
                <w:rFonts w:ascii="Arial Narrow" w:hAnsi="Arial Narrow"/>
                <w:b/>
                <w:sz w:val="20"/>
                <w:szCs w:val="18"/>
              </w:rPr>
            </w:pPr>
            <w:r w:rsidRPr="000E01C3">
              <w:rPr>
                <w:rFonts w:ascii="Arial Narrow" w:hAnsi="Arial Narrow"/>
                <w:b/>
                <w:sz w:val="20"/>
                <w:szCs w:val="18"/>
              </w:rPr>
              <w:t>SD</w:t>
            </w:r>
          </w:p>
          <w:p w:rsidR="00D06935" w:rsidRPr="000E01C3" w:rsidRDefault="00D06935" w:rsidP="00A04A6A">
            <w:pPr>
              <w:keepNext/>
              <w:widowControl/>
              <w:jc w:val="center"/>
              <w:rPr>
                <w:rFonts w:ascii="Arial Narrow" w:hAnsi="Arial Narrow"/>
                <w:b/>
                <w:sz w:val="20"/>
                <w:szCs w:val="18"/>
              </w:rPr>
            </w:pPr>
            <w:r w:rsidRPr="000E01C3">
              <w:rPr>
                <w:rFonts w:ascii="Arial Narrow" w:hAnsi="Arial Narrow"/>
                <w:b/>
                <w:sz w:val="20"/>
                <w:szCs w:val="18"/>
              </w:rPr>
              <w:t>(95%CI)</w:t>
            </w:r>
          </w:p>
        </w:tc>
        <w:tc>
          <w:tcPr>
            <w:tcW w:w="1098" w:type="pct"/>
            <w:gridSpan w:val="2"/>
            <w:vMerge/>
            <w:vAlign w:val="center"/>
          </w:tcPr>
          <w:p w:rsidR="00D06935" w:rsidRPr="000E01C3" w:rsidRDefault="00D06935" w:rsidP="00A04A6A">
            <w:pPr>
              <w:keepNext/>
              <w:widowControl/>
              <w:jc w:val="center"/>
              <w:rPr>
                <w:rFonts w:ascii="Arial Narrow" w:hAnsi="Arial Narrow"/>
                <w:b/>
                <w:sz w:val="20"/>
                <w:szCs w:val="18"/>
              </w:rPr>
            </w:pPr>
          </w:p>
        </w:tc>
      </w:tr>
      <w:tr w:rsidR="00D06935" w:rsidRPr="000E01C3" w:rsidTr="00A56D63">
        <w:tc>
          <w:tcPr>
            <w:tcW w:w="5000" w:type="pct"/>
            <w:gridSpan w:val="13"/>
            <w:shd w:val="clear" w:color="auto" w:fill="auto"/>
            <w:vAlign w:val="center"/>
          </w:tcPr>
          <w:p w:rsidR="00D06935" w:rsidRPr="000E01C3" w:rsidRDefault="00D06935" w:rsidP="00A04A6A">
            <w:pPr>
              <w:keepNext/>
              <w:widowControl/>
              <w:jc w:val="left"/>
              <w:rPr>
                <w:rFonts w:ascii="Arial Narrow" w:hAnsi="Arial Narrow"/>
                <w:b/>
                <w:bCs/>
                <w:sz w:val="20"/>
                <w:szCs w:val="18"/>
              </w:rPr>
            </w:pPr>
            <w:r w:rsidRPr="000E01C3">
              <w:rPr>
                <w:rFonts w:ascii="Arial Narrow" w:hAnsi="Arial Narrow"/>
                <w:b/>
                <w:iCs/>
                <w:sz w:val="20"/>
              </w:rPr>
              <w:t>Mannitol + DNase versus DNase alone</w:t>
            </w:r>
          </w:p>
        </w:tc>
      </w:tr>
      <w:tr w:rsidR="00A56D63" w:rsidRPr="000E01C3" w:rsidTr="00E55C12">
        <w:tc>
          <w:tcPr>
            <w:tcW w:w="1116" w:type="pct"/>
            <w:shd w:val="clear" w:color="auto" w:fill="auto"/>
            <w:vAlign w:val="center"/>
          </w:tcPr>
          <w:p w:rsidR="00D06935" w:rsidRPr="000E01C3" w:rsidRDefault="00D06935" w:rsidP="00A04A6A">
            <w:pPr>
              <w:keepNext/>
              <w:widowControl/>
              <w:rPr>
                <w:rFonts w:ascii="Arial Narrow" w:hAnsi="Arial Narrow"/>
                <w:color w:val="000000"/>
                <w:sz w:val="20"/>
                <w:szCs w:val="18"/>
              </w:rPr>
            </w:pPr>
            <w:r w:rsidRPr="000E01C3">
              <w:rPr>
                <w:rFonts w:ascii="Arial Narrow" w:hAnsi="Arial Narrow"/>
                <w:color w:val="000000"/>
                <w:sz w:val="20"/>
                <w:szCs w:val="18"/>
              </w:rPr>
              <w:t>CF-203</w:t>
            </w:r>
          </w:p>
        </w:tc>
        <w:tc>
          <w:tcPr>
            <w:tcW w:w="239" w:type="pct"/>
            <w:vAlign w:val="center"/>
          </w:tcPr>
          <w:p w:rsidR="00D06935" w:rsidRPr="000E01C3" w:rsidRDefault="00D06935"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23</w:t>
            </w:r>
          </w:p>
        </w:tc>
        <w:tc>
          <w:tcPr>
            <w:tcW w:w="558" w:type="pct"/>
            <w:gridSpan w:val="2"/>
            <w:vAlign w:val="center"/>
          </w:tcPr>
          <w:p w:rsidR="00D06935" w:rsidRPr="000E01C3" w:rsidRDefault="00D06935"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9</w:t>
            </w:r>
          </w:p>
        </w:tc>
        <w:tc>
          <w:tcPr>
            <w:tcW w:w="635" w:type="pct"/>
            <w:gridSpan w:val="2"/>
            <w:vAlign w:val="center"/>
          </w:tcPr>
          <w:p w:rsidR="00D06935" w:rsidRPr="000E01C3" w:rsidRDefault="00D06935"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0.30</w:t>
            </w:r>
          </w:p>
        </w:tc>
        <w:tc>
          <w:tcPr>
            <w:tcW w:w="242" w:type="pct"/>
            <w:vAlign w:val="center"/>
          </w:tcPr>
          <w:p w:rsidR="00D06935" w:rsidRPr="000E01C3" w:rsidRDefault="00D06935"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21</w:t>
            </w:r>
          </w:p>
        </w:tc>
        <w:tc>
          <w:tcPr>
            <w:tcW w:w="557" w:type="pct"/>
            <w:gridSpan w:val="2"/>
            <w:vAlign w:val="center"/>
          </w:tcPr>
          <w:p w:rsidR="00D06935" w:rsidRPr="000E01C3" w:rsidRDefault="000C736E"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105</w:t>
            </w:r>
          </w:p>
        </w:tc>
        <w:tc>
          <w:tcPr>
            <w:tcW w:w="556" w:type="pct"/>
            <w:gridSpan w:val="2"/>
            <w:vAlign w:val="center"/>
          </w:tcPr>
          <w:p w:rsidR="00D06935" w:rsidRPr="000E01C3" w:rsidRDefault="00D06935"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0.22</w:t>
            </w:r>
          </w:p>
        </w:tc>
        <w:tc>
          <w:tcPr>
            <w:tcW w:w="1098" w:type="pct"/>
            <w:gridSpan w:val="2"/>
            <w:vAlign w:val="center"/>
          </w:tcPr>
          <w:p w:rsidR="00D06935" w:rsidRPr="000E01C3" w:rsidRDefault="00D06935" w:rsidP="00A04A6A">
            <w:pPr>
              <w:keepNext/>
              <w:widowControl/>
              <w:jc w:val="center"/>
              <w:rPr>
                <w:rFonts w:ascii="Arial Narrow" w:hAnsi="Arial Narrow"/>
                <w:iCs/>
                <w:sz w:val="20"/>
                <w:szCs w:val="18"/>
              </w:rPr>
            </w:pPr>
            <w:r w:rsidRPr="000E01C3">
              <w:rPr>
                <w:rFonts w:ascii="Arial Narrow" w:hAnsi="Arial Narrow"/>
                <w:iCs/>
                <w:sz w:val="20"/>
                <w:szCs w:val="18"/>
              </w:rPr>
              <w:t>-96</w:t>
            </w:r>
            <w:r w:rsidR="00D16665" w:rsidRPr="000E01C3">
              <w:rPr>
                <w:rFonts w:ascii="Arial Narrow" w:hAnsi="Arial Narrow"/>
                <w:iCs/>
                <w:sz w:val="20"/>
                <w:szCs w:val="18"/>
              </w:rPr>
              <w:t>mL</w:t>
            </w:r>
            <w:r w:rsidRPr="000E01C3">
              <w:rPr>
                <w:rFonts w:ascii="Arial Narrow" w:hAnsi="Arial Narrow"/>
                <w:iCs/>
                <w:sz w:val="20"/>
                <w:szCs w:val="18"/>
              </w:rPr>
              <w:t xml:space="preserve"> (-250, 60)</w:t>
            </w:r>
          </w:p>
        </w:tc>
      </w:tr>
      <w:tr w:rsidR="00D06935" w:rsidRPr="000E01C3" w:rsidTr="00A56D63">
        <w:tc>
          <w:tcPr>
            <w:tcW w:w="5000" w:type="pct"/>
            <w:gridSpan w:val="13"/>
            <w:shd w:val="clear" w:color="auto" w:fill="auto"/>
            <w:vAlign w:val="center"/>
          </w:tcPr>
          <w:p w:rsidR="00D06935" w:rsidRPr="000E01C3" w:rsidRDefault="00D06935" w:rsidP="00A04A6A">
            <w:pPr>
              <w:keepNext/>
              <w:widowControl/>
              <w:jc w:val="left"/>
              <w:rPr>
                <w:rFonts w:ascii="Arial Narrow" w:hAnsi="Arial Narrow"/>
                <w:b/>
                <w:bCs/>
                <w:sz w:val="20"/>
                <w:szCs w:val="18"/>
              </w:rPr>
            </w:pPr>
            <w:r w:rsidRPr="000E01C3">
              <w:rPr>
                <w:rFonts w:ascii="Arial Narrow" w:hAnsi="Arial Narrow"/>
                <w:b/>
                <w:bCs/>
                <w:sz w:val="20"/>
              </w:rPr>
              <w:t>Mannitol versus control (50 mg BD mannitol) (phase 3 trials)</w:t>
            </w:r>
          </w:p>
        </w:tc>
      </w:tr>
      <w:tr w:rsidR="00A56D63" w:rsidRPr="000E01C3" w:rsidTr="00E55C12">
        <w:tc>
          <w:tcPr>
            <w:tcW w:w="1116" w:type="pct"/>
            <w:shd w:val="clear" w:color="auto" w:fill="auto"/>
            <w:vAlign w:val="center"/>
          </w:tcPr>
          <w:p w:rsidR="00D06935" w:rsidRPr="000E01C3" w:rsidRDefault="00D06935" w:rsidP="00A04A6A">
            <w:pPr>
              <w:keepNext/>
              <w:widowControl/>
              <w:jc w:val="left"/>
              <w:rPr>
                <w:rFonts w:ascii="Arial Narrow" w:hAnsi="Arial Narrow"/>
                <w:color w:val="000000"/>
                <w:sz w:val="20"/>
                <w:szCs w:val="18"/>
              </w:rPr>
            </w:pPr>
            <w:r w:rsidRPr="000E01C3">
              <w:rPr>
                <w:rFonts w:ascii="Arial Narrow" w:hAnsi="Arial Narrow"/>
                <w:color w:val="000000"/>
                <w:sz w:val="20"/>
                <w:szCs w:val="18"/>
              </w:rPr>
              <w:t>Pooled CF-301/302</w:t>
            </w:r>
          </w:p>
        </w:tc>
        <w:tc>
          <w:tcPr>
            <w:tcW w:w="239" w:type="pct"/>
            <w:vAlign w:val="center"/>
          </w:tcPr>
          <w:p w:rsidR="00D06935" w:rsidRPr="000E01C3" w:rsidRDefault="00D06935"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361</w:t>
            </w:r>
          </w:p>
        </w:tc>
        <w:tc>
          <w:tcPr>
            <w:tcW w:w="558" w:type="pct"/>
            <w:gridSpan w:val="2"/>
            <w:vAlign w:val="center"/>
          </w:tcPr>
          <w:p w:rsidR="00D06935" w:rsidRPr="000E01C3" w:rsidRDefault="00D06935"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114.05</w:t>
            </w:r>
          </w:p>
        </w:tc>
        <w:tc>
          <w:tcPr>
            <w:tcW w:w="635" w:type="pct"/>
            <w:gridSpan w:val="2"/>
            <w:vAlign w:val="center"/>
          </w:tcPr>
          <w:p w:rsidR="00D06935" w:rsidRPr="000E01C3" w:rsidRDefault="00D06935"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(87.2, 140.9)</w:t>
            </w:r>
          </w:p>
        </w:tc>
        <w:tc>
          <w:tcPr>
            <w:tcW w:w="242" w:type="pct"/>
            <w:vAlign w:val="center"/>
          </w:tcPr>
          <w:p w:rsidR="00D06935" w:rsidRPr="000E01C3" w:rsidRDefault="00D06935"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239</w:t>
            </w:r>
          </w:p>
        </w:tc>
        <w:tc>
          <w:tcPr>
            <w:tcW w:w="557" w:type="pct"/>
            <w:gridSpan w:val="2"/>
            <w:vAlign w:val="center"/>
          </w:tcPr>
          <w:p w:rsidR="00D06935" w:rsidRPr="000E01C3" w:rsidRDefault="00D06935"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40.63</w:t>
            </w:r>
          </w:p>
        </w:tc>
        <w:tc>
          <w:tcPr>
            <w:tcW w:w="556" w:type="pct"/>
            <w:gridSpan w:val="2"/>
            <w:vAlign w:val="center"/>
          </w:tcPr>
          <w:p w:rsidR="00D06935" w:rsidRPr="000E01C3" w:rsidRDefault="00D06935"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(9.9, 71.4)</w:t>
            </w:r>
          </w:p>
        </w:tc>
        <w:tc>
          <w:tcPr>
            <w:tcW w:w="1098" w:type="pct"/>
            <w:gridSpan w:val="2"/>
            <w:vAlign w:val="center"/>
          </w:tcPr>
          <w:p w:rsidR="00D06935" w:rsidRPr="000E01C3" w:rsidRDefault="00D06935" w:rsidP="00A04A6A">
            <w:pPr>
              <w:keepNext/>
              <w:widowControl/>
              <w:jc w:val="center"/>
              <w:rPr>
                <w:rFonts w:ascii="Arial Narrow" w:hAnsi="Arial Narrow"/>
                <w:b/>
                <w:bCs/>
                <w:sz w:val="20"/>
                <w:szCs w:val="18"/>
              </w:rPr>
            </w:pPr>
            <w:r w:rsidRPr="000E01C3">
              <w:rPr>
                <w:rFonts w:ascii="Arial Narrow" w:hAnsi="Arial Narrow"/>
                <w:b/>
                <w:bCs/>
                <w:sz w:val="20"/>
                <w:szCs w:val="18"/>
              </w:rPr>
              <w:t>73.42</w:t>
            </w:r>
            <w:r w:rsidR="00D16665" w:rsidRPr="000E01C3">
              <w:rPr>
                <w:rFonts w:ascii="Arial Narrow" w:hAnsi="Arial Narrow"/>
                <w:b/>
                <w:bCs/>
                <w:sz w:val="20"/>
                <w:szCs w:val="18"/>
              </w:rPr>
              <w:t>mL</w:t>
            </w:r>
            <w:r w:rsidRPr="000E01C3">
              <w:rPr>
                <w:rFonts w:ascii="Arial Narrow" w:hAnsi="Arial Narrow"/>
                <w:b/>
                <w:bCs/>
                <w:sz w:val="20"/>
                <w:szCs w:val="18"/>
              </w:rPr>
              <w:t xml:space="preserve"> (36.2, 110.7)</w:t>
            </w:r>
          </w:p>
          <w:p w:rsidR="00D06935" w:rsidRPr="000E01C3" w:rsidRDefault="00D06935" w:rsidP="00A04A6A">
            <w:pPr>
              <w:keepNext/>
              <w:widowControl/>
              <w:jc w:val="center"/>
              <w:rPr>
                <w:rFonts w:ascii="Arial Narrow" w:hAnsi="Arial Narrow"/>
                <w:sz w:val="20"/>
                <w:szCs w:val="18"/>
              </w:rPr>
            </w:pPr>
            <w:r w:rsidRPr="000E01C3">
              <w:rPr>
                <w:rFonts w:ascii="Arial Narrow" w:hAnsi="Arial Narrow"/>
                <w:b/>
                <w:bCs/>
                <w:sz w:val="20"/>
              </w:rPr>
              <w:t>p&lt;0.001</w:t>
            </w:r>
          </w:p>
        </w:tc>
      </w:tr>
      <w:tr w:rsidR="00A56D63" w:rsidRPr="000E01C3" w:rsidTr="00E55C12">
        <w:tc>
          <w:tcPr>
            <w:tcW w:w="1116" w:type="pct"/>
            <w:tcBorders>
              <w:bottom w:val="single" w:sz="4" w:space="0" w:color="auto"/>
            </w:tcBorders>
            <w:shd w:val="clear" w:color="auto" w:fill="auto"/>
            <w:vAlign w:val="center"/>
          </w:tcPr>
          <w:p w:rsidR="00D06935" w:rsidRPr="000E01C3" w:rsidRDefault="00D06935" w:rsidP="00A04A6A">
            <w:pPr>
              <w:keepNext/>
              <w:widowControl/>
              <w:rPr>
                <w:rFonts w:ascii="Arial Narrow" w:hAnsi="Arial Narrow"/>
                <w:color w:val="000000"/>
                <w:sz w:val="20"/>
                <w:szCs w:val="18"/>
              </w:rPr>
            </w:pPr>
            <w:r w:rsidRPr="000E01C3">
              <w:rPr>
                <w:rFonts w:ascii="Arial Narrow" w:hAnsi="Arial Narrow"/>
                <w:color w:val="000000"/>
                <w:sz w:val="20"/>
                <w:szCs w:val="18"/>
              </w:rPr>
              <w:t>DNase users</w:t>
            </w:r>
          </w:p>
        </w:tc>
        <w:tc>
          <w:tcPr>
            <w:tcW w:w="239" w:type="pct"/>
            <w:tcBorders>
              <w:bottom w:val="single" w:sz="4" w:space="0" w:color="auto"/>
            </w:tcBorders>
            <w:vAlign w:val="center"/>
          </w:tcPr>
          <w:p w:rsidR="00D06935" w:rsidRPr="000E01C3" w:rsidRDefault="00D06935"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233</w:t>
            </w:r>
          </w:p>
        </w:tc>
        <w:tc>
          <w:tcPr>
            <w:tcW w:w="558" w:type="pct"/>
            <w:gridSpan w:val="2"/>
            <w:tcBorders>
              <w:bottom w:val="single" w:sz="4" w:space="0" w:color="auto"/>
            </w:tcBorders>
            <w:vAlign w:val="center"/>
          </w:tcPr>
          <w:p w:rsidR="00D06935" w:rsidRPr="000E01C3" w:rsidRDefault="00D06935"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79.38</w:t>
            </w:r>
          </w:p>
        </w:tc>
        <w:tc>
          <w:tcPr>
            <w:tcW w:w="635" w:type="pct"/>
            <w:gridSpan w:val="2"/>
            <w:tcBorders>
              <w:bottom w:val="single" w:sz="4" w:space="0" w:color="auto"/>
            </w:tcBorders>
            <w:vAlign w:val="center"/>
          </w:tcPr>
          <w:p w:rsidR="00D06935" w:rsidRPr="000E01C3" w:rsidRDefault="00D06935"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(46.6, 112.2)</w:t>
            </w:r>
          </w:p>
        </w:tc>
        <w:tc>
          <w:tcPr>
            <w:tcW w:w="242" w:type="pct"/>
            <w:tcBorders>
              <w:bottom w:val="single" w:sz="4" w:space="0" w:color="auto"/>
            </w:tcBorders>
            <w:vAlign w:val="center"/>
          </w:tcPr>
          <w:p w:rsidR="00D06935" w:rsidRPr="000E01C3" w:rsidRDefault="00D06935"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158</w:t>
            </w:r>
          </w:p>
        </w:tc>
        <w:tc>
          <w:tcPr>
            <w:tcW w:w="557" w:type="pct"/>
            <w:gridSpan w:val="2"/>
            <w:tcBorders>
              <w:bottom w:val="single" w:sz="4" w:space="0" w:color="auto"/>
            </w:tcBorders>
            <w:vAlign w:val="center"/>
          </w:tcPr>
          <w:p w:rsidR="00D06935" w:rsidRPr="000E01C3" w:rsidRDefault="00D06935"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22.65</w:t>
            </w:r>
          </w:p>
        </w:tc>
        <w:tc>
          <w:tcPr>
            <w:tcW w:w="556" w:type="pct"/>
            <w:gridSpan w:val="2"/>
            <w:tcBorders>
              <w:bottom w:val="single" w:sz="4" w:space="0" w:color="auto"/>
            </w:tcBorders>
            <w:vAlign w:val="center"/>
          </w:tcPr>
          <w:p w:rsidR="00D06935" w:rsidRPr="000E01C3" w:rsidRDefault="00D06935"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(-14.6, 60</w:t>
            </w:r>
            <w:r w:rsidR="00E6130F" w:rsidRPr="000E01C3">
              <w:rPr>
                <w:rFonts w:ascii="Arial Narrow" w:hAnsi="Arial Narrow"/>
                <w:color w:val="000000"/>
                <w:sz w:val="20"/>
                <w:szCs w:val="18"/>
              </w:rPr>
              <w:t>)</w:t>
            </w:r>
          </w:p>
        </w:tc>
        <w:tc>
          <w:tcPr>
            <w:tcW w:w="1098" w:type="pct"/>
            <w:gridSpan w:val="2"/>
            <w:tcBorders>
              <w:bottom w:val="single" w:sz="4" w:space="0" w:color="auto"/>
            </w:tcBorders>
            <w:vAlign w:val="center"/>
          </w:tcPr>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56.73mL (12.1, 101.4)</w:t>
            </w:r>
          </w:p>
          <w:p w:rsidR="00D06935" w:rsidRPr="000E01C3" w:rsidRDefault="00D06935" w:rsidP="00A04A6A">
            <w:pPr>
              <w:keepNext/>
              <w:widowControl/>
              <w:jc w:val="center"/>
              <w:rPr>
                <w:rFonts w:ascii="Arial Narrow" w:hAnsi="Arial Narrow"/>
                <w:b/>
                <w:bCs/>
                <w:sz w:val="20"/>
                <w:szCs w:val="18"/>
              </w:rPr>
            </w:pPr>
            <w:r w:rsidRPr="000E01C3">
              <w:rPr>
                <w:rFonts w:ascii="Arial Narrow" w:hAnsi="Arial Narrow"/>
                <w:b/>
                <w:bCs/>
                <w:sz w:val="20"/>
              </w:rPr>
              <w:t>p=0.013</w:t>
            </w:r>
          </w:p>
        </w:tc>
      </w:tr>
      <w:tr w:rsidR="00A56D63" w:rsidRPr="000E01C3" w:rsidTr="00E55C12">
        <w:tc>
          <w:tcPr>
            <w:tcW w:w="1116" w:type="pct"/>
            <w:tcBorders>
              <w:bottom w:val="double" w:sz="4" w:space="0" w:color="auto"/>
            </w:tcBorders>
            <w:shd w:val="clear" w:color="auto" w:fill="auto"/>
            <w:vAlign w:val="center"/>
          </w:tcPr>
          <w:p w:rsidR="00D06935" w:rsidRPr="000E01C3" w:rsidRDefault="00D06935" w:rsidP="00A04A6A">
            <w:pPr>
              <w:keepNext/>
              <w:widowControl/>
              <w:rPr>
                <w:rFonts w:ascii="Arial Narrow" w:hAnsi="Arial Narrow"/>
                <w:color w:val="000000"/>
                <w:sz w:val="20"/>
                <w:szCs w:val="18"/>
              </w:rPr>
            </w:pPr>
            <w:r w:rsidRPr="000E01C3">
              <w:rPr>
                <w:rFonts w:ascii="Arial Narrow" w:hAnsi="Arial Narrow"/>
                <w:color w:val="000000"/>
                <w:sz w:val="20"/>
                <w:szCs w:val="18"/>
              </w:rPr>
              <w:t>DNase non users</w:t>
            </w:r>
          </w:p>
        </w:tc>
        <w:tc>
          <w:tcPr>
            <w:tcW w:w="239" w:type="pct"/>
            <w:tcBorders>
              <w:bottom w:val="double" w:sz="4" w:space="0" w:color="auto"/>
            </w:tcBorders>
            <w:vAlign w:val="center"/>
          </w:tcPr>
          <w:p w:rsidR="00D06935" w:rsidRPr="000E01C3" w:rsidRDefault="00D06935"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128</w:t>
            </w:r>
          </w:p>
        </w:tc>
        <w:tc>
          <w:tcPr>
            <w:tcW w:w="558" w:type="pct"/>
            <w:gridSpan w:val="2"/>
            <w:tcBorders>
              <w:bottom w:val="double" w:sz="4" w:space="0" w:color="auto"/>
            </w:tcBorders>
            <w:vAlign w:val="center"/>
          </w:tcPr>
          <w:p w:rsidR="00D06935" w:rsidRPr="000E01C3" w:rsidRDefault="00D06935"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150.98</w:t>
            </w:r>
          </w:p>
        </w:tc>
        <w:tc>
          <w:tcPr>
            <w:tcW w:w="635" w:type="pct"/>
            <w:gridSpan w:val="2"/>
            <w:tcBorders>
              <w:bottom w:val="double" w:sz="4" w:space="0" w:color="auto"/>
            </w:tcBorders>
            <w:vAlign w:val="center"/>
          </w:tcPr>
          <w:p w:rsidR="00D06935" w:rsidRPr="000E01C3" w:rsidRDefault="00D06935"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(109.9, 192.1)</w:t>
            </w:r>
          </w:p>
        </w:tc>
        <w:tc>
          <w:tcPr>
            <w:tcW w:w="242" w:type="pct"/>
            <w:tcBorders>
              <w:bottom w:val="double" w:sz="4" w:space="0" w:color="auto"/>
            </w:tcBorders>
            <w:vAlign w:val="center"/>
          </w:tcPr>
          <w:p w:rsidR="00D06935" w:rsidRPr="000E01C3" w:rsidRDefault="00D06935"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81</w:t>
            </w:r>
          </w:p>
        </w:tc>
        <w:tc>
          <w:tcPr>
            <w:tcW w:w="557" w:type="pct"/>
            <w:gridSpan w:val="2"/>
            <w:tcBorders>
              <w:bottom w:val="double" w:sz="4" w:space="0" w:color="auto"/>
            </w:tcBorders>
            <w:vAlign w:val="center"/>
          </w:tcPr>
          <w:p w:rsidR="00D06935" w:rsidRPr="000E01C3" w:rsidRDefault="00D06935"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54.49</w:t>
            </w:r>
          </w:p>
        </w:tc>
        <w:tc>
          <w:tcPr>
            <w:tcW w:w="556" w:type="pct"/>
            <w:gridSpan w:val="2"/>
            <w:tcBorders>
              <w:bottom w:val="double" w:sz="4" w:space="0" w:color="auto"/>
            </w:tcBorders>
            <w:vAlign w:val="center"/>
          </w:tcPr>
          <w:p w:rsidR="00D06935" w:rsidRPr="000E01C3" w:rsidRDefault="00D06935"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(5.9, 103.1)</w:t>
            </w:r>
          </w:p>
        </w:tc>
        <w:tc>
          <w:tcPr>
            <w:tcW w:w="1098" w:type="pct"/>
            <w:gridSpan w:val="2"/>
            <w:tcBorders>
              <w:bottom w:val="double" w:sz="4" w:space="0" w:color="auto"/>
            </w:tcBorders>
            <w:vAlign w:val="center"/>
          </w:tcPr>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96.50mL (34.9, 158.1)</w:t>
            </w:r>
          </w:p>
          <w:p w:rsidR="00D06935" w:rsidRPr="000E01C3" w:rsidRDefault="00D06935" w:rsidP="00A04A6A">
            <w:pPr>
              <w:keepNext/>
              <w:widowControl/>
              <w:jc w:val="center"/>
              <w:rPr>
                <w:rFonts w:ascii="Arial Narrow" w:hAnsi="Arial Narrow"/>
                <w:b/>
                <w:bCs/>
                <w:sz w:val="20"/>
                <w:szCs w:val="18"/>
              </w:rPr>
            </w:pPr>
            <w:r w:rsidRPr="000E01C3">
              <w:rPr>
                <w:rFonts w:ascii="Arial Narrow" w:hAnsi="Arial Narrow"/>
                <w:b/>
                <w:bCs/>
                <w:sz w:val="20"/>
              </w:rPr>
              <w:t>p=0.002</w:t>
            </w:r>
          </w:p>
        </w:tc>
      </w:tr>
      <w:tr w:rsidR="0056015E" w:rsidRPr="000E01C3" w:rsidTr="00A56D63">
        <w:tc>
          <w:tcPr>
            <w:tcW w:w="5000" w:type="pct"/>
            <w:gridSpan w:val="13"/>
            <w:tcBorders>
              <w:top w:val="double" w:sz="4" w:space="0" w:color="auto"/>
            </w:tcBorders>
            <w:shd w:val="clear" w:color="auto" w:fill="auto"/>
            <w:vAlign w:val="center"/>
          </w:tcPr>
          <w:p w:rsidR="0056015E" w:rsidRPr="000E01C3" w:rsidRDefault="00EE3688" w:rsidP="00A04A6A">
            <w:pPr>
              <w:keepNext/>
              <w:widowControl/>
              <w:jc w:val="left"/>
              <w:rPr>
                <w:rFonts w:ascii="Arial Narrow" w:hAnsi="Arial Narrow"/>
                <w:b/>
                <w:sz w:val="20"/>
              </w:rPr>
            </w:pPr>
            <w:r w:rsidRPr="000E01C3">
              <w:rPr>
                <w:rFonts w:ascii="Arial Narrow" w:hAnsi="Arial Narrow"/>
                <w:b/>
                <w:sz w:val="19"/>
                <w:szCs w:val="19"/>
              </w:rPr>
              <w:t xml:space="preserve">Continuous Outcome II: </w:t>
            </w:r>
            <w:r w:rsidR="0056015E" w:rsidRPr="000E01C3">
              <w:rPr>
                <w:rFonts w:ascii="Arial Narrow" w:hAnsi="Arial Narrow"/>
                <w:b/>
                <w:sz w:val="19"/>
                <w:szCs w:val="19"/>
              </w:rPr>
              <w:t>Mean annualised rate of PDPE events per patient (evaluation derived)</w:t>
            </w:r>
          </w:p>
        </w:tc>
      </w:tr>
      <w:tr w:rsidR="00003FB4" w:rsidRPr="000E01C3" w:rsidTr="00E55C12">
        <w:tc>
          <w:tcPr>
            <w:tcW w:w="1116" w:type="pct"/>
            <w:vMerge w:val="restart"/>
            <w:shd w:val="clear" w:color="auto" w:fill="auto"/>
            <w:vAlign w:val="center"/>
          </w:tcPr>
          <w:p w:rsidR="00003FB4" w:rsidRPr="000E01C3" w:rsidRDefault="00003FB4" w:rsidP="00A04A6A">
            <w:pPr>
              <w:keepNext/>
              <w:widowControl/>
              <w:rPr>
                <w:rFonts w:ascii="Arial Narrow" w:hAnsi="Arial Narrow"/>
                <w:color w:val="000000"/>
                <w:sz w:val="20"/>
                <w:szCs w:val="18"/>
              </w:rPr>
            </w:pPr>
          </w:p>
        </w:tc>
        <w:tc>
          <w:tcPr>
            <w:tcW w:w="1432" w:type="pct"/>
            <w:gridSpan w:val="5"/>
            <w:vAlign w:val="center"/>
          </w:tcPr>
          <w:p w:rsidR="00003FB4" w:rsidRPr="000E01C3" w:rsidRDefault="00003FB4" w:rsidP="00A04A6A">
            <w:pPr>
              <w:keepNext/>
              <w:widowControl/>
              <w:jc w:val="center"/>
              <w:rPr>
                <w:rFonts w:ascii="Arial Narrow" w:hAnsi="Arial Narrow"/>
                <w:color w:val="000000"/>
                <w:sz w:val="20"/>
                <w:szCs w:val="18"/>
              </w:rPr>
            </w:pPr>
            <w:r w:rsidRPr="000E01C3">
              <w:rPr>
                <w:rFonts w:ascii="Arial Narrow" w:hAnsi="Arial Narrow"/>
                <w:b/>
                <w:color w:val="000000"/>
                <w:sz w:val="20"/>
                <w:szCs w:val="18"/>
              </w:rPr>
              <w:t>mannitol</w:t>
            </w:r>
          </w:p>
        </w:tc>
        <w:tc>
          <w:tcPr>
            <w:tcW w:w="1355" w:type="pct"/>
            <w:gridSpan w:val="5"/>
            <w:vAlign w:val="center"/>
          </w:tcPr>
          <w:p w:rsidR="00003FB4" w:rsidRPr="000E01C3" w:rsidRDefault="00003FB4" w:rsidP="00A04A6A">
            <w:pPr>
              <w:keepNext/>
              <w:widowControl/>
              <w:jc w:val="center"/>
              <w:rPr>
                <w:rFonts w:ascii="Arial Narrow" w:hAnsi="Arial Narrow"/>
                <w:color w:val="000000"/>
                <w:sz w:val="20"/>
                <w:szCs w:val="18"/>
              </w:rPr>
            </w:pPr>
            <w:r w:rsidRPr="000E01C3">
              <w:rPr>
                <w:rFonts w:ascii="Arial Narrow" w:hAnsi="Arial Narrow"/>
                <w:b/>
                <w:color w:val="000000"/>
                <w:sz w:val="20"/>
                <w:szCs w:val="18"/>
              </w:rPr>
              <w:t>control</w:t>
            </w:r>
          </w:p>
        </w:tc>
        <w:tc>
          <w:tcPr>
            <w:tcW w:w="1098" w:type="pct"/>
            <w:gridSpan w:val="2"/>
            <w:vMerge w:val="restart"/>
            <w:vAlign w:val="center"/>
          </w:tcPr>
          <w:p w:rsidR="00003FB4" w:rsidRPr="000E01C3" w:rsidRDefault="00003FB4" w:rsidP="00A04A6A">
            <w:pPr>
              <w:keepNext/>
              <w:widowControl/>
              <w:jc w:val="center"/>
              <w:rPr>
                <w:rFonts w:ascii="Arial Narrow" w:hAnsi="Arial Narrow"/>
                <w:b/>
                <w:sz w:val="20"/>
                <w:szCs w:val="18"/>
              </w:rPr>
            </w:pPr>
            <w:r w:rsidRPr="000E01C3">
              <w:rPr>
                <w:rFonts w:ascii="Arial Narrow" w:hAnsi="Arial Narrow"/>
                <w:b/>
                <w:sz w:val="20"/>
                <w:szCs w:val="18"/>
              </w:rPr>
              <w:t>Rate Ratio*:</w:t>
            </w:r>
          </w:p>
          <w:p w:rsidR="00003FB4" w:rsidRPr="000E01C3" w:rsidRDefault="00003FB4" w:rsidP="00A04A6A">
            <w:pPr>
              <w:keepNext/>
              <w:widowControl/>
              <w:jc w:val="center"/>
              <w:rPr>
                <w:rFonts w:ascii="Arial Narrow" w:hAnsi="Arial Narrow"/>
                <w:b/>
                <w:sz w:val="20"/>
                <w:szCs w:val="18"/>
              </w:rPr>
            </w:pPr>
            <w:r w:rsidRPr="000E01C3">
              <w:rPr>
                <w:rFonts w:ascii="Arial Narrow" w:hAnsi="Arial Narrow"/>
                <w:b/>
                <w:sz w:val="20"/>
                <w:szCs w:val="18"/>
              </w:rPr>
              <w:t>mannitol vs. control</w:t>
            </w:r>
          </w:p>
          <w:p w:rsidR="00003FB4" w:rsidRPr="000E01C3" w:rsidRDefault="00003FB4" w:rsidP="00A04A6A">
            <w:pPr>
              <w:keepNext/>
              <w:widowControl/>
              <w:jc w:val="center"/>
              <w:rPr>
                <w:rFonts w:ascii="Arial Narrow" w:hAnsi="Arial Narrow"/>
                <w:b/>
                <w:sz w:val="20"/>
              </w:rPr>
            </w:pPr>
            <w:r w:rsidRPr="000E01C3">
              <w:rPr>
                <w:rFonts w:ascii="Arial Narrow" w:hAnsi="Arial Narrow"/>
                <w:b/>
                <w:sz w:val="20"/>
                <w:szCs w:val="18"/>
              </w:rPr>
              <w:t>(95% CI)</w:t>
            </w:r>
          </w:p>
        </w:tc>
      </w:tr>
      <w:tr w:rsidR="00A56D63" w:rsidRPr="000E01C3" w:rsidTr="00E55C12">
        <w:tc>
          <w:tcPr>
            <w:tcW w:w="1116" w:type="pct"/>
            <w:vMerge/>
            <w:shd w:val="clear" w:color="auto" w:fill="auto"/>
            <w:vAlign w:val="center"/>
          </w:tcPr>
          <w:p w:rsidR="00003FB4" w:rsidRPr="000E01C3" w:rsidRDefault="00003FB4" w:rsidP="00A04A6A">
            <w:pPr>
              <w:keepNext/>
              <w:widowControl/>
              <w:rPr>
                <w:rFonts w:ascii="Arial Narrow" w:hAnsi="Arial Narrow"/>
                <w:color w:val="000000"/>
                <w:sz w:val="20"/>
                <w:szCs w:val="18"/>
              </w:rPr>
            </w:pPr>
          </w:p>
        </w:tc>
        <w:tc>
          <w:tcPr>
            <w:tcW w:w="239" w:type="pct"/>
            <w:vAlign w:val="center"/>
          </w:tcPr>
          <w:p w:rsidR="00003FB4" w:rsidRPr="000E01C3" w:rsidRDefault="00003FB4" w:rsidP="00A04A6A">
            <w:pPr>
              <w:keepNext/>
              <w:widowControl/>
              <w:jc w:val="center"/>
              <w:rPr>
                <w:rFonts w:ascii="Arial Narrow" w:hAnsi="Arial Narrow"/>
                <w:color w:val="000000"/>
                <w:sz w:val="20"/>
                <w:szCs w:val="18"/>
              </w:rPr>
            </w:pPr>
            <w:r w:rsidRPr="000E01C3">
              <w:rPr>
                <w:rFonts w:ascii="Arial Narrow" w:hAnsi="Arial Narrow"/>
                <w:b/>
                <w:color w:val="000000"/>
                <w:sz w:val="20"/>
                <w:szCs w:val="18"/>
              </w:rPr>
              <w:t>n</w:t>
            </w:r>
          </w:p>
        </w:tc>
        <w:tc>
          <w:tcPr>
            <w:tcW w:w="558" w:type="pct"/>
            <w:gridSpan w:val="2"/>
            <w:vAlign w:val="center"/>
          </w:tcPr>
          <w:p w:rsidR="00003FB4" w:rsidRPr="000E01C3" w:rsidRDefault="00003FB4" w:rsidP="00A04A6A">
            <w:pPr>
              <w:keepNext/>
              <w:widowControl/>
              <w:jc w:val="center"/>
              <w:rPr>
                <w:rFonts w:ascii="Arial Narrow" w:hAnsi="Arial Narrow"/>
                <w:b/>
                <w:sz w:val="20"/>
                <w:szCs w:val="18"/>
              </w:rPr>
            </w:pPr>
            <w:r w:rsidRPr="000E01C3">
              <w:rPr>
                <w:rFonts w:ascii="Arial Narrow" w:hAnsi="Arial Narrow"/>
                <w:b/>
                <w:sz w:val="20"/>
                <w:szCs w:val="18"/>
              </w:rPr>
              <w:t xml:space="preserve">Mean </w:t>
            </w:r>
            <w:r w:rsidR="00D7719B" w:rsidRPr="000E01C3">
              <w:rPr>
                <w:rFonts w:ascii="Arial Narrow" w:hAnsi="Arial Narrow"/>
                <w:b/>
                <w:sz w:val="20"/>
                <w:szCs w:val="18"/>
              </w:rPr>
              <w:t>rate of PDPE (events per patient</w:t>
            </w:r>
            <w:r w:rsidRPr="000E01C3">
              <w:rPr>
                <w:rFonts w:ascii="Arial Narrow" w:hAnsi="Arial Narrow"/>
                <w:b/>
                <w:sz w:val="20"/>
                <w:szCs w:val="18"/>
              </w:rPr>
              <w:t>)</w:t>
            </w:r>
          </w:p>
        </w:tc>
        <w:tc>
          <w:tcPr>
            <w:tcW w:w="635" w:type="pct"/>
            <w:gridSpan w:val="2"/>
            <w:vAlign w:val="center"/>
          </w:tcPr>
          <w:p w:rsidR="00003FB4" w:rsidRPr="000E01C3" w:rsidRDefault="00003FB4" w:rsidP="00A04A6A">
            <w:pPr>
              <w:keepNext/>
              <w:widowControl/>
              <w:jc w:val="center"/>
              <w:rPr>
                <w:rFonts w:ascii="Arial Narrow" w:hAnsi="Arial Narrow"/>
                <w:b/>
                <w:sz w:val="20"/>
                <w:szCs w:val="18"/>
              </w:rPr>
            </w:pPr>
            <w:r w:rsidRPr="000E01C3">
              <w:rPr>
                <w:rFonts w:ascii="Arial Narrow" w:hAnsi="Arial Narrow"/>
                <w:b/>
                <w:sz w:val="20"/>
                <w:szCs w:val="18"/>
              </w:rPr>
              <w:t>SD</w:t>
            </w:r>
          </w:p>
          <w:p w:rsidR="00003FB4" w:rsidRPr="000E01C3" w:rsidRDefault="00003FB4" w:rsidP="00A04A6A">
            <w:pPr>
              <w:keepNext/>
              <w:widowControl/>
              <w:jc w:val="center"/>
              <w:rPr>
                <w:rFonts w:ascii="Arial Narrow" w:hAnsi="Arial Narrow"/>
                <w:color w:val="000000"/>
                <w:sz w:val="20"/>
                <w:szCs w:val="18"/>
              </w:rPr>
            </w:pPr>
            <w:r w:rsidRPr="000E01C3">
              <w:rPr>
                <w:rFonts w:ascii="Arial Narrow" w:hAnsi="Arial Narrow"/>
                <w:b/>
                <w:sz w:val="20"/>
                <w:szCs w:val="18"/>
              </w:rPr>
              <w:t>(95%CI)</w:t>
            </w:r>
          </w:p>
        </w:tc>
        <w:tc>
          <w:tcPr>
            <w:tcW w:w="242" w:type="pct"/>
            <w:vAlign w:val="center"/>
          </w:tcPr>
          <w:p w:rsidR="00003FB4" w:rsidRPr="000E01C3" w:rsidRDefault="00003FB4" w:rsidP="00A04A6A">
            <w:pPr>
              <w:keepNext/>
              <w:widowControl/>
              <w:jc w:val="center"/>
              <w:rPr>
                <w:rFonts w:ascii="Arial Narrow" w:hAnsi="Arial Narrow"/>
                <w:color w:val="000000"/>
                <w:sz w:val="20"/>
                <w:szCs w:val="18"/>
              </w:rPr>
            </w:pPr>
            <w:r w:rsidRPr="000E01C3">
              <w:rPr>
                <w:rFonts w:ascii="Arial Narrow" w:hAnsi="Arial Narrow"/>
                <w:b/>
                <w:color w:val="000000"/>
                <w:sz w:val="20"/>
                <w:szCs w:val="18"/>
              </w:rPr>
              <w:t>n</w:t>
            </w:r>
          </w:p>
        </w:tc>
        <w:tc>
          <w:tcPr>
            <w:tcW w:w="557" w:type="pct"/>
            <w:gridSpan w:val="2"/>
            <w:vAlign w:val="center"/>
          </w:tcPr>
          <w:p w:rsidR="00003FB4" w:rsidRPr="000E01C3" w:rsidRDefault="00003FB4" w:rsidP="00A04A6A">
            <w:pPr>
              <w:keepNext/>
              <w:widowControl/>
              <w:jc w:val="center"/>
              <w:rPr>
                <w:rFonts w:ascii="Arial Narrow" w:hAnsi="Arial Narrow"/>
                <w:color w:val="000000"/>
                <w:sz w:val="20"/>
                <w:szCs w:val="18"/>
              </w:rPr>
            </w:pPr>
            <w:r w:rsidRPr="000E01C3">
              <w:rPr>
                <w:rFonts w:ascii="Arial Narrow" w:hAnsi="Arial Narrow"/>
                <w:b/>
                <w:sz w:val="20"/>
                <w:szCs w:val="18"/>
              </w:rPr>
              <w:t>Mean rate of PDPE (events per p</w:t>
            </w:r>
            <w:r w:rsidR="00D7719B" w:rsidRPr="000E01C3">
              <w:rPr>
                <w:rFonts w:ascii="Arial Narrow" w:hAnsi="Arial Narrow"/>
                <w:b/>
                <w:sz w:val="20"/>
                <w:szCs w:val="18"/>
              </w:rPr>
              <w:t>atient</w:t>
            </w:r>
            <w:r w:rsidRPr="000E01C3">
              <w:rPr>
                <w:rFonts w:ascii="Arial Narrow" w:hAnsi="Arial Narrow"/>
                <w:b/>
                <w:sz w:val="20"/>
                <w:szCs w:val="18"/>
              </w:rPr>
              <w:t>)</w:t>
            </w:r>
          </w:p>
        </w:tc>
        <w:tc>
          <w:tcPr>
            <w:tcW w:w="556" w:type="pct"/>
            <w:gridSpan w:val="2"/>
            <w:vAlign w:val="center"/>
          </w:tcPr>
          <w:p w:rsidR="00003FB4" w:rsidRPr="000E01C3" w:rsidRDefault="00003FB4" w:rsidP="00A04A6A">
            <w:pPr>
              <w:keepNext/>
              <w:widowControl/>
              <w:jc w:val="center"/>
              <w:rPr>
                <w:rFonts w:ascii="Arial Narrow" w:hAnsi="Arial Narrow"/>
                <w:b/>
                <w:sz w:val="20"/>
                <w:szCs w:val="18"/>
              </w:rPr>
            </w:pPr>
            <w:r w:rsidRPr="000E01C3">
              <w:rPr>
                <w:rFonts w:ascii="Arial Narrow" w:hAnsi="Arial Narrow"/>
                <w:b/>
                <w:sz w:val="20"/>
                <w:szCs w:val="18"/>
              </w:rPr>
              <w:t>SD</w:t>
            </w:r>
          </w:p>
          <w:p w:rsidR="00003FB4" w:rsidRPr="000E01C3" w:rsidRDefault="00003FB4" w:rsidP="00A04A6A">
            <w:pPr>
              <w:keepNext/>
              <w:widowControl/>
              <w:jc w:val="center"/>
              <w:rPr>
                <w:rFonts w:ascii="Arial Narrow" w:hAnsi="Arial Narrow"/>
                <w:color w:val="000000"/>
                <w:sz w:val="20"/>
                <w:szCs w:val="18"/>
              </w:rPr>
            </w:pPr>
            <w:r w:rsidRPr="000E01C3">
              <w:rPr>
                <w:rFonts w:ascii="Arial Narrow" w:hAnsi="Arial Narrow"/>
                <w:b/>
                <w:sz w:val="20"/>
                <w:szCs w:val="18"/>
              </w:rPr>
              <w:t>(95%CI)</w:t>
            </w:r>
          </w:p>
        </w:tc>
        <w:tc>
          <w:tcPr>
            <w:tcW w:w="1098" w:type="pct"/>
            <w:gridSpan w:val="2"/>
            <w:vMerge/>
            <w:vAlign w:val="center"/>
          </w:tcPr>
          <w:p w:rsidR="00003FB4" w:rsidRPr="000E01C3" w:rsidRDefault="00003FB4" w:rsidP="00A04A6A">
            <w:pPr>
              <w:keepNext/>
              <w:widowControl/>
              <w:jc w:val="center"/>
              <w:rPr>
                <w:rFonts w:ascii="Arial Narrow" w:hAnsi="Arial Narrow"/>
                <w:b/>
                <w:sz w:val="20"/>
              </w:rPr>
            </w:pPr>
          </w:p>
        </w:tc>
      </w:tr>
      <w:tr w:rsidR="00A56D63" w:rsidRPr="000E01C3" w:rsidTr="00E55C12">
        <w:tc>
          <w:tcPr>
            <w:tcW w:w="1116" w:type="pct"/>
            <w:shd w:val="clear" w:color="auto" w:fill="auto"/>
            <w:vAlign w:val="center"/>
          </w:tcPr>
          <w:p w:rsidR="00BA7B29" w:rsidRPr="000E01C3" w:rsidRDefault="00BA7B29" w:rsidP="00A04A6A">
            <w:pPr>
              <w:keepNext/>
              <w:widowControl/>
              <w:rPr>
                <w:rFonts w:ascii="Arial Narrow" w:hAnsi="Arial Narrow"/>
                <w:color w:val="000000"/>
                <w:sz w:val="20"/>
                <w:szCs w:val="18"/>
              </w:rPr>
            </w:pPr>
            <w:r w:rsidRPr="000E01C3">
              <w:rPr>
                <w:rFonts w:ascii="Arial Narrow" w:hAnsi="Arial Narrow"/>
                <w:color w:val="000000"/>
                <w:sz w:val="20"/>
                <w:szCs w:val="18"/>
              </w:rPr>
              <w:t>CF-301</w:t>
            </w:r>
          </w:p>
        </w:tc>
        <w:tc>
          <w:tcPr>
            <w:tcW w:w="239" w:type="pct"/>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177</w:t>
            </w:r>
          </w:p>
        </w:tc>
        <w:tc>
          <w:tcPr>
            <w:tcW w:w="558"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0.78</w:t>
            </w:r>
          </w:p>
        </w:tc>
        <w:tc>
          <w:tcPr>
            <w:tcW w:w="635"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1.98</w:t>
            </w:r>
          </w:p>
        </w:tc>
        <w:tc>
          <w:tcPr>
            <w:tcW w:w="242" w:type="pct"/>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118</w:t>
            </w:r>
          </w:p>
        </w:tc>
        <w:tc>
          <w:tcPr>
            <w:tcW w:w="557"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1.05</w:t>
            </w:r>
          </w:p>
        </w:tc>
        <w:tc>
          <w:tcPr>
            <w:tcW w:w="556"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2.15</w:t>
            </w:r>
          </w:p>
        </w:tc>
        <w:tc>
          <w:tcPr>
            <w:tcW w:w="1098" w:type="pct"/>
            <w:gridSpan w:val="2"/>
            <w:vAlign w:val="center"/>
          </w:tcPr>
          <w:p w:rsidR="00BA7B29" w:rsidRPr="000E01C3" w:rsidRDefault="00BA7B29" w:rsidP="00A04A6A">
            <w:pPr>
              <w:keepNext/>
              <w:widowControl/>
              <w:jc w:val="center"/>
              <w:rPr>
                <w:rFonts w:ascii="Arial Narrow" w:hAnsi="Arial Narrow"/>
                <w:bCs/>
                <w:sz w:val="20"/>
              </w:rPr>
            </w:pPr>
            <w:r w:rsidRPr="000E01C3">
              <w:rPr>
                <w:rFonts w:ascii="Arial Narrow" w:hAnsi="Arial Narrow"/>
                <w:sz w:val="19"/>
                <w:szCs w:val="19"/>
              </w:rPr>
              <w:t>0.74 (0.47, 1.18)</w:t>
            </w:r>
          </w:p>
        </w:tc>
      </w:tr>
      <w:tr w:rsidR="00A56D63" w:rsidRPr="000E01C3" w:rsidTr="00E55C12">
        <w:tc>
          <w:tcPr>
            <w:tcW w:w="1116" w:type="pct"/>
            <w:shd w:val="clear" w:color="auto" w:fill="auto"/>
            <w:vAlign w:val="center"/>
          </w:tcPr>
          <w:p w:rsidR="00BA7B29" w:rsidRPr="000E01C3" w:rsidRDefault="00BA7B29" w:rsidP="00A04A6A">
            <w:pPr>
              <w:keepNext/>
              <w:widowControl/>
              <w:rPr>
                <w:rFonts w:ascii="Arial Narrow" w:hAnsi="Arial Narrow"/>
                <w:color w:val="000000"/>
                <w:sz w:val="20"/>
                <w:szCs w:val="18"/>
              </w:rPr>
            </w:pPr>
            <w:r w:rsidRPr="000E01C3">
              <w:rPr>
                <w:rFonts w:ascii="Arial Narrow" w:hAnsi="Arial Narrow"/>
                <w:color w:val="000000"/>
                <w:sz w:val="20"/>
                <w:szCs w:val="18"/>
              </w:rPr>
              <w:t>CF-302</w:t>
            </w:r>
          </w:p>
        </w:tc>
        <w:tc>
          <w:tcPr>
            <w:tcW w:w="239" w:type="pct"/>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184</w:t>
            </w:r>
          </w:p>
        </w:tc>
        <w:tc>
          <w:tcPr>
            <w:tcW w:w="558"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0.44</w:t>
            </w:r>
          </w:p>
        </w:tc>
        <w:tc>
          <w:tcPr>
            <w:tcW w:w="635"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(0.31, 0.60)</w:t>
            </w:r>
          </w:p>
        </w:tc>
        <w:tc>
          <w:tcPr>
            <w:tcW w:w="242" w:type="pct"/>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121</w:t>
            </w:r>
          </w:p>
        </w:tc>
        <w:tc>
          <w:tcPr>
            <w:tcW w:w="557"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0.50</w:t>
            </w:r>
          </w:p>
        </w:tc>
        <w:tc>
          <w:tcPr>
            <w:tcW w:w="556"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(0.35, 0.72)</w:t>
            </w:r>
          </w:p>
        </w:tc>
        <w:tc>
          <w:tcPr>
            <w:tcW w:w="1098" w:type="pct"/>
            <w:gridSpan w:val="2"/>
            <w:vAlign w:val="center"/>
          </w:tcPr>
          <w:p w:rsidR="00BA7B29" w:rsidRPr="000E01C3" w:rsidRDefault="00BA7B29" w:rsidP="00A04A6A">
            <w:pPr>
              <w:keepNext/>
              <w:widowControl/>
              <w:jc w:val="center"/>
              <w:rPr>
                <w:rFonts w:ascii="Arial Narrow" w:hAnsi="Arial Narrow"/>
                <w:bCs/>
                <w:sz w:val="20"/>
              </w:rPr>
            </w:pPr>
            <w:r w:rsidRPr="000E01C3">
              <w:rPr>
                <w:rFonts w:ascii="Arial Narrow" w:hAnsi="Arial Narrow"/>
                <w:sz w:val="19"/>
                <w:szCs w:val="19"/>
              </w:rPr>
              <w:t>0.85 (0.51, 1.41)</w:t>
            </w:r>
          </w:p>
        </w:tc>
      </w:tr>
      <w:tr w:rsidR="00A56D63" w:rsidRPr="000E01C3" w:rsidTr="00E55C12">
        <w:tc>
          <w:tcPr>
            <w:tcW w:w="1116" w:type="pct"/>
            <w:shd w:val="clear" w:color="auto" w:fill="auto"/>
            <w:vAlign w:val="center"/>
          </w:tcPr>
          <w:p w:rsidR="00BA7B29" w:rsidRPr="000E01C3" w:rsidRDefault="00D7719B" w:rsidP="00A04A6A">
            <w:pPr>
              <w:keepNext/>
              <w:widowControl/>
              <w:jc w:val="right"/>
              <w:rPr>
                <w:rFonts w:ascii="Arial Narrow" w:hAnsi="Arial Narrow"/>
                <w:b/>
                <w:color w:val="000000"/>
                <w:sz w:val="20"/>
                <w:szCs w:val="18"/>
              </w:rPr>
            </w:pPr>
            <w:r w:rsidRPr="000E01C3">
              <w:rPr>
                <w:rFonts w:ascii="Arial Narrow" w:hAnsi="Arial Narrow"/>
                <w:b/>
                <w:color w:val="000000"/>
                <w:sz w:val="20"/>
                <w:szCs w:val="18"/>
              </w:rPr>
              <w:t>pooled</w:t>
            </w:r>
          </w:p>
        </w:tc>
        <w:tc>
          <w:tcPr>
            <w:tcW w:w="239" w:type="pct"/>
            <w:vAlign w:val="center"/>
          </w:tcPr>
          <w:p w:rsidR="00BA7B29" w:rsidRPr="000E01C3" w:rsidRDefault="00D7719B"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361</w:t>
            </w:r>
          </w:p>
        </w:tc>
        <w:tc>
          <w:tcPr>
            <w:tcW w:w="558"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0.50</w:t>
            </w:r>
          </w:p>
        </w:tc>
        <w:tc>
          <w:tcPr>
            <w:tcW w:w="635" w:type="pct"/>
            <w:gridSpan w:val="2"/>
            <w:vAlign w:val="center"/>
          </w:tcPr>
          <w:p w:rsidR="00BA7B29" w:rsidRPr="000E01C3" w:rsidRDefault="00D7719B"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w:t>
            </w:r>
          </w:p>
        </w:tc>
        <w:tc>
          <w:tcPr>
            <w:tcW w:w="242" w:type="pct"/>
            <w:vAlign w:val="center"/>
          </w:tcPr>
          <w:p w:rsidR="00BA7B29" w:rsidRPr="000E01C3" w:rsidRDefault="00D7719B"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239</w:t>
            </w:r>
          </w:p>
        </w:tc>
        <w:tc>
          <w:tcPr>
            <w:tcW w:w="557"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0.67</w:t>
            </w:r>
          </w:p>
        </w:tc>
        <w:tc>
          <w:tcPr>
            <w:tcW w:w="556" w:type="pct"/>
            <w:gridSpan w:val="2"/>
            <w:vAlign w:val="center"/>
          </w:tcPr>
          <w:p w:rsidR="00BA7B29" w:rsidRPr="000E01C3" w:rsidRDefault="00D7719B"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w:t>
            </w:r>
          </w:p>
        </w:tc>
        <w:tc>
          <w:tcPr>
            <w:tcW w:w="1098" w:type="pct"/>
            <w:gridSpan w:val="2"/>
            <w:vAlign w:val="center"/>
          </w:tcPr>
          <w:p w:rsidR="00BA7B29" w:rsidRPr="000E01C3" w:rsidRDefault="00BA7B29" w:rsidP="00A04A6A">
            <w:pPr>
              <w:keepNext/>
              <w:widowControl/>
              <w:jc w:val="center"/>
              <w:rPr>
                <w:rFonts w:ascii="Arial Narrow" w:hAnsi="Arial Narrow"/>
                <w:sz w:val="19"/>
                <w:szCs w:val="19"/>
              </w:rPr>
            </w:pPr>
            <w:r w:rsidRPr="000E01C3">
              <w:rPr>
                <w:rFonts w:ascii="Arial Narrow" w:hAnsi="Arial Narrow"/>
                <w:sz w:val="19"/>
                <w:szCs w:val="19"/>
              </w:rPr>
              <w:t>0.79 (0.56, 1.11)</w:t>
            </w:r>
          </w:p>
        </w:tc>
      </w:tr>
      <w:tr w:rsidR="00A56D63" w:rsidRPr="000E01C3" w:rsidTr="00E55C12">
        <w:tc>
          <w:tcPr>
            <w:tcW w:w="1116" w:type="pct"/>
            <w:shd w:val="clear" w:color="auto" w:fill="auto"/>
            <w:vAlign w:val="center"/>
          </w:tcPr>
          <w:p w:rsidR="00AC6387" w:rsidRPr="000E01C3" w:rsidRDefault="00AC6387" w:rsidP="00A04A6A">
            <w:pPr>
              <w:keepNext/>
              <w:widowControl/>
              <w:rPr>
                <w:rFonts w:ascii="Arial Narrow" w:hAnsi="Arial Narrow"/>
                <w:color w:val="000000"/>
                <w:sz w:val="20"/>
                <w:szCs w:val="18"/>
              </w:rPr>
            </w:pPr>
            <w:r w:rsidRPr="000E01C3">
              <w:rPr>
                <w:rFonts w:ascii="Arial Narrow" w:hAnsi="Arial Narrow"/>
                <w:color w:val="000000"/>
                <w:sz w:val="20"/>
                <w:szCs w:val="18"/>
              </w:rPr>
              <w:t>-CF-301 DNase users</w:t>
            </w:r>
          </w:p>
        </w:tc>
        <w:tc>
          <w:tcPr>
            <w:tcW w:w="239" w:type="pct"/>
            <w:vAlign w:val="center"/>
          </w:tcPr>
          <w:p w:rsidR="00AC6387" w:rsidRPr="000E01C3" w:rsidRDefault="00AC6387"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97</w:t>
            </w:r>
          </w:p>
        </w:tc>
        <w:tc>
          <w:tcPr>
            <w:tcW w:w="558" w:type="pct"/>
            <w:gridSpan w:val="2"/>
            <w:vAlign w:val="center"/>
          </w:tcPr>
          <w:p w:rsidR="00AC6387" w:rsidRPr="000E01C3" w:rsidRDefault="00AC6387"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1.05</w:t>
            </w:r>
          </w:p>
        </w:tc>
        <w:tc>
          <w:tcPr>
            <w:tcW w:w="635" w:type="pct"/>
            <w:gridSpan w:val="2"/>
            <w:vAlign w:val="center"/>
          </w:tcPr>
          <w:p w:rsidR="00AC6387" w:rsidRPr="000E01C3" w:rsidRDefault="00AC6387"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2.29</w:t>
            </w:r>
          </w:p>
        </w:tc>
        <w:tc>
          <w:tcPr>
            <w:tcW w:w="242" w:type="pct"/>
            <w:vAlign w:val="center"/>
          </w:tcPr>
          <w:p w:rsidR="00AC6387" w:rsidRPr="000E01C3" w:rsidRDefault="00AC6387"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65</w:t>
            </w:r>
          </w:p>
        </w:tc>
        <w:tc>
          <w:tcPr>
            <w:tcW w:w="557" w:type="pct"/>
            <w:gridSpan w:val="2"/>
            <w:vAlign w:val="center"/>
          </w:tcPr>
          <w:p w:rsidR="00AC6387" w:rsidRPr="000E01C3" w:rsidRDefault="00AC6387"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1.19</w:t>
            </w:r>
          </w:p>
        </w:tc>
        <w:tc>
          <w:tcPr>
            <w:tcW w:w="556" w:type="pct"/>
            <w:gridSpan w:val="2"/>
            <w:vAlign w:val="center"/>
          </w:tcPr>
          <w:p w:rsidR="00AC6387" w:rsidRPr="000E01C3" w:rsidRDefault="00AC6387"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2.30</w:t>
            </w:r>
          </w:p>
        </w:tc>
        <w:tc>
          <w:tcPr>
            <w:tcW w:w="1098" w:type="pct"/>
            <w:gridSpan w:val="2"/>
            <w:shd w:val="clear" w:color="auto" w:fill="auto"/>
            <w:vAlign w:val="center"/>
          </w:tcPr>
          <w:p w:rsidR="00AC6387" w:rsidRPr="000E01C3" w:rsidRDefault="00AC6387" w:rsidP="00A04A6A">
            <w:pPr>
              <w:keepNext/>
              <w:widowControl/>
              <w:jc w:val="center"/>
              <w:rPr>
                <w:rFonts w:ascii="Arial Narrow" w:hAnsi="Arial Narrow"/>
                <w:b/>
                <w:sz w:val="20"/>
              </w:rPr>
            </w:pPr>
            <w:r w:rsidRPr="000E01C3">
              <w:rPr>
                <w:rFonts w:ascii="Arial Narrow" w:hAnsi="Arial Narrow"/>
                <w:sz w:val="19"/>
                <w:szCs w:val="19"/>
              </w:rPr>
              <w:t xml:space="preserve">0.76 (0.45, 1.27) </w:t>
            </w:r>
          </w:p>
        </w:tc>
      </w:tr>
      <w:tr w:rsidR="00A56D63" w:rsidRPr="000E01C3" w:rsidTr="00E55C12">
        <w:tc>
          <w:tcPr>
            <w:tcW w:w="1116" w:type="pct"/>
            <w:shd w:val="clear" w:color="auto" w:fill="auto"/>
            <w:vAlign w:val="center"/>
          </w:tcPr>
          <w:p w:rsidR="00AC6387" w:rsidRPr="000E01C3" w:rsidRDefault="00AC6387" w:rsidP="00A04A6A">
            <w:pPr>
              <w:keepNext/>
              <w:widowControl/>
              <w:rPr>
                <w:rFonts w:ascii="Arial Narrow" w:hAnsi="Arial Narrow"/>
                <w:color w:val="000000"/>
                <w:sz w:val="20"/>
                <w:szCs w:val="18"/>
              </w:rPr>
            </w:pPr>
            <w:r w:rsidRPr="000E01C3">
              <w:rPr>
                <w:rFonts w:ascii="Arial Narrow" w:hAnsi="Arial Narrow"/>
                <w:color w:val="000000"/>
                <w:sz w:val="20"/>
                <w:szCs w:val="18"/>
              </w:rPr>
              <w:t>-CF-302 DNase users</w:t>
            </w:r>
          </w:p>
        </w:tc>
        <w:tc>
          <w:tcPr>
            <w:tcW w:w="239" w:type="pct"/>
            <w:vAlign w:val="center"/>
          </w:tcPr>
          <w:p w:rsidR="00AC6387" w:rsidRPr="000E01C3" w:rsidRDefault="00AC6387"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136</w:t>
            </w:r>
          </w:p>
        </w:tc>
        <w:tc>
          <w:tcPr>
            <w:tcW w:w="558" w:type="pct"/>
            <w:gridSpan w:val="2"/>
            <w:vAlign w:val="center"/>
          </w:tcPr>
          <w:p w:rsidR="00AC6387" w:rsidRPr="000E01C3" w:rsidRDefault="00AC6387"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0.53</w:t>
            </w:r>
          </w:p>
        </w:tc>
        <w:tc>
          <w:tcPr>
            <w:tcW w:w="635" w:type="pct"/>
            <w:gridSpan w:val="2"/>
            <w:vAlign w:val="center"/>
          </w:tcPr>
          <w:p w:rsidR="00AC6387" w:rsidRPr="000E01C3" w:rsidRDefault="00AC6387"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(0.37, 0.75)</w:t>
            </w:r>
          </w:p>
        </w:tc>
        <w:tc>
          <w:tcPr>
            <w:tcW w:w="242" w:type="pct"/>
            <w:vAlign w:val="center"/>
          </w:tcPr>
          <w:p w:rsidR="00AC6387" w:rsidRPr="000E01C3" w:rsidRDefault="00AC6387"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93</w:t>
            </w:r>
          </w:p>
        </w:tc>
        <w:tc>
          <w:tcPr>
            <w:tcW w:w="557" w:type="pct"/>
            <w:gridSpan w:val="2"/>
            <w:vAlign w:val="center"/>
          </w:tcPr>
          <w:p w:rsidR="00AC6387" w:rsidRPr="000E01C3" w:rsidRDefault="00AC6387"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0.43</w:t>
            </w:r>
          </w:p>
        </w:tc>
        <w:tc>
          <w:tcPr>
            <w:tcW w:w="556" w:type="pct"/>
            <w:gridSpan w:val="2"/>
            <w:vAlign w:val="center"/>
          </w:tcPr>
          <w:p w:rsidR="00AC6387" w:rsidRPr="000E01C3" w:rsidRDefault="00AC6387"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(0.27, 0.67)</w:t>
            </w:r>
          </w:p>
        </w:tc>
        <w:tc>
          <w:tcPr>
            <w:tcW w:w="1098" w:type="pct"/>
            <w:gridSpan w:val="2"/>
            <w:shd w:val="clear" w:color="auto" w:fill="auto"/>
            <w:vAlign w:val="center"/>
          </w:tcPr>
          <w:p w:rsidR="00AC6387" w:rsidRPr="000E01C3" w:rsidRDefault="00AC6387" w:rsidP="00A04A6A">
            <w:pPr>
              <w:keepNext/>
              <w:widowControl/>
              <w:jc w:val="center"/>
              <w:rPr>
                <w:rFonts w:ascii="Arial Narrow" w:hAnsi="Arial Narrow"/>
                <w:b/>
                <w:sz w:val="20"/>
              </w:rPr>
            </w:pPr>
            <w:r w:rsidRPr="000E01C3">
              <w:rPr>
                <w:rFonts w:ascii="Arial Narrow" w:hAnsi="Arial Narrow"/>
                <w:sz w:val="19"/>
                <w:szCs w:val="19"/>
              </w:rPr>
              <w:t>1.09 (0.61, 1.95)</w:t>
            </w:r>
          </w:p>
        </w:tc>
      </w:tr>
      <w:tr w:rsidR="00D7719B" w:rsidRPr="000E01C3" w:rsidTr="00A56D63">
        <w:tc>
          <w:tcPr>
            <w:tcW w:w="3902" w:type="pct"/>
            <w:gridSpan w:val="11"/>
            <w:shd w:val="clear" w:color="auto" w:fill="auto"/>
            <w:vAlign w:val="center"/>
          </w:tcPr>
          <w:p w:rsidR="00D7719B" w:rsidRPr="000E01C3" w:rsidRDefault="002B3134" w:rsidP="00A04A6A">
            <w:pPr>
              <w:keepNext/>
              <w:widowControl/>
              <w:jc w:val="right"/>
              <w:rPr>
                <w:rFonts w:ascii="Arial Narrow" w:hAnsi="Arial Narrow"/>
                <w:b/>
                <w:color w:val="000000"/>
                <w:sz w:val="20"/>
                <w:szCs w:val="18"/>
              </w:rPr>
            </w:pPr>
            <w:r w:rsidRPr="000E01C3">
              <w:rPr>
                <w:rFonts w:ascii="Arial Narrow" w:hAnsi="Arial Narrow"/>
                <w:b/>
                <w:color w:val="000000"/>
                <w:sz w:val="20"/>
                <w:szCs w:val="18"/>
              </w:rPr>
              <w:t>Pooled DN</w:t>
            </w:r>
            <w:r w:rsidR="00D7719B" w:rsidRPr="000E01C3">
              <w:rPr>
                <w:rFonts w:ascii="Arial Narrow" w:hAnsi="Arial Narrow"/>
                <w:b/>
                <w:color w:val="000000"/>
                <w:sz w:val="20"/>
                <w:szCs w:val="18"/>
              </w:rPr>
              <w:t>ase users</w:t>
            </w:r>
          </w:p>
        </w:tc>
        <w:tc>
          <w:tcPr>
            <w:tcW w:w="1098" w:type="pct"/>
            <w:gridSpan w:val="2"/>
            <w:shd w:val="clear" w:color="auto" w:fill="auto"/>
            <w:vAlign w:val="center"/>
          </w:tcPr>
          <w:p w:rsidR="00D7719B" w:rsidRPr="000E01C3" w:rsidRDefault="00D7719B" w:rsidP="00A04A6A">
            <w:pPr>
              <w:keepNext/>
              <w:widowControl/>
              <w:jc w:val="center"/>
              <w:rPr>
                <w:rFonts w:ascii="Arial Narrow" w:hAnsi="Arial Narrow"/>
                <w:b/>
                <w:sz w:val="20"/>
              </w:rPr>
            </w:pPr>
            <w:r w:rsidRPr="000E01C3">
              <w:rPr>
                <w:rFonts w:ascii="Arial Narrow" w:hAnsi="Arial Narrow"/>
                <w:sz w:val="19"/>
                <w:szCs w:val="19"/>
              </w:rPr>
              <w:t>0.89 (0.61, 1.31)</w:t>
            </w:r>
          </w:p>
        </w:tc>
      </w:tr>
      <w:tr w:rsidR="00A56D63" w:rsidRPr="000E01C3" w:rsidTr="00E55C12">
        <w:tc>
          <w:tcPr>
            <w:tcW w:w="1116" w:type="pct"/>
            <w:shd w:val="clear" w:color="auto" w:fill="auto"/>
            <w:vAlign w:val="center"/>
          </w:tcPr>
          <w:p w:rsidR="002B3134" w:rsidRPr="000E01C3" w:rsidRDefault="002B3134" w:rsidP="00A04A6A">
            <w:pPr>
              <w:keepNext/>
              <w:widowControl/>
              <w:jc w:val="left"/>
              <w:rPr>
                <w:rFonts w:ascii="Arial Narrow" w:hAnsi="Arial Narrow"/>
                <w:color w:val="000000"/>
                <w:sz w:val="20"/>
                <w:szCs w:val="18"/>
              </w:rPr>
            </w:pPr>
            <w:r w:rsidRPr="000E01C3">
              <w:rPr>
                <w:rFonts w:ascii="Arial Narrow" w:hAnsi="Arial Narrow"/>
                <w:color w:val="000000"/>
                <w:sz w:val="20"/>
                <w:szCs w:val="18"/>
              </w:rPr>
              <w:t xml:space="preserve">-CF-301 DNase </w:t>
            </w:r>
            <w:r w:rsidR="00221A0C" w:rsidRPr="000E01C3">
              <w:rPr>
                <w:rFonts w:ascii="Arial Narrow" w:hAnsi="Arial Narrow"/>
                <w:color w:val="000000"/>
                <w:sz w:val="20"/>
                <w:szCs w:val="18"/>
              </w:rPr>
              <w:t xml:space="preserve">non </w:t>
            </w:r>
            <w:r w:rsidRPr="000E01C3">
              <w:rPr>
                <w:rFonts w:ascii="Arial Narrow" w:hAnsi="Arial Narrow"/>
                <w:color w:val="000000"/>
                <w:sz w:val="20"/>
                <w:szCs w:val="18"/>
              </w:rPr>
              <w:t>users</w:t>
            </w:r>
          </w:p>
        </w:tc>
        <w:tc>
          <w:tcPr>
            <w:tcW w:w="239" w:type="pct"/>
            <w:vAlign w:val="center"/>
          </w:tcPr>
          <w:p w:rsidR="002B3134" w:rsidRPr="000E01C3" w:rsidRDefault="00AD62F8"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80</w:t>
            </w:r>
          </w:p>
        </w:tc>
        <w:tc>
          <w:tcPr>
            <w:tcW w:w="558" w:type="pct"/>
            <w:gridSpan w:val="2"/>
            <w:vAlign w:val="center"/>
          </w:tcPr>
          <w:p w:rsidR="002B3134" w:rsidRPr="000E01C3" w:rsidRDefault="00AD62F8"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0.47</w:t>
            </w:r>
          </w:p>
        </w:tc>
        <w:tc>
          <w:tcPr>
            <w:tcW w:w="635" w:type="pct"/>
            <w:gridSpan w:val="2"/>
            <w:vAlign w:val="center"/>
          </w:tcPr>
          <w:p w:rsidR="002B3134" w:rsidRPr="000E01C3" w:rsidRDefault="00AD62F8"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1.48</w:t>
            </w:r>
          </w:p>
        </w:tc>
        <w:tc>
          <w:tcPr>
            <w:tcW w:w="242" w:type="pct"/>
            <w:vAlign w:val="center"/>
          </w:tcPr>
          <w:p w:rsidR="002B3134" w:rsidRPr="000E01C3" w:rsidRDefault="00AD62F8"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53</w:t>
            </w:r>
          </w:p>
        </w:tc>
        <w:tc>
          <w:tcPr>
            <w:tcW w:w="557" w:type="pct"/>
            <w:gridSpan w:val="2"/>
            <w:vAlign w:val="center"/>
          </w:tcPr>
          <w:p w:rsidR="002B3134" w:rsidRPr="000E01C3" w:rsidRDefault="00AD62F8"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0.86</w:t>
            </w:r>
          </w:p>
        </w:tc>
        <w:tc>
          <w:tcPr>
            <w:tcW w:w="556" w:type="pct"/>
            <w:gridSpan w:val="2"/>
            <w:vAlign w:val="center"/>
          </w:tcPr>
          <w:p w:rsidR="002B3134" w:rsidRPr="000E01C3" w:rsidRDefault="00AD62F8"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1.93</w:t>
            </w:r>
          </w:p>
        </w:tc>
        <w:tc>
          <w:tcPr>
            <w:tcW w:w="1098" w:type="pct"/>
            <w:gridSpan w:val="2"/>
            <w:shd w:val="clear" w:color="auto" w:fill="auto"/>
            <w:vAlign w:val="center"/>
          </w:tcPr>
          <w:p w:rsidR="002B3134" w:rsidRPr="000E01C3" w:rsidRDefault="00AD62F8" w:rsidP="00A04A6A">
            <w:pPr>
              <w:keepNext/>
              <w:widowControl/>
              <w:jc w:val="center"/>
              <w:rPr>
                <w:rFonts w:ascii="Arial Narrow" w:hAnsi="Arial Narrow"/>
                <w:sz w:val="19"/>
                <w:szCs w:val="19"/>
              </w:rPr>
            </w:pPr>
            <w:r w:rsidRPr="000E01C3">
              <w:rPr>
                <w:rFonts w:ascii="Arial Narrow" w:hAnsi="Arial Narrow"/>
                <w:sz w:val="19"/>
                <w:szCs w:val="19"/>
              </w:rPr>
              <w:t>0.59 (0.24, 1.4</w:t>
            </w:r>
            <w:r w:rsidR="002B3134" w:rsidRPr="000E01C3">
              <w:rPr>
                <w:rFonts w:ascii="Arial Narrow" w:hAnsi="Arial Narrow"/>
                <w:sz w:val="19"/>
                <w:szCs w:val="19"/>
              </w:rPr>
              <w:t xml:space="preserve">7) </w:t>
            </w:r>
          </w:p>
        </w:tc>
      </w:tr>
      <w:tr w:rsidR="00A56D63" w:rsidRPr="000E01C3" w:rsidTr="00E55C12">
        <w:tc>
          <w:tcPr>
            <w:tcW w:w="1116" w:type="pct"/>
            <w:shd w:val="clear" w:color="auto" w:fill="auto"/>
            <w:vAlign w:val="center"/>
          </w:tcPr>
          <w:p w:rsidR="002B3134" w:rsidRPr="000E01C3" w:rsidRDefault="002B3134" w:rsidP="00A04A6A">
            <w:pPr>
              <w:keepNext/>
              <w:widowControl/>
              <w:jc w:val="left"/>
              <w:rPr>
                <w:rFonts w:ascii="Arial Narrow" w:hAnsi="Arial Narrow"/>
                <w:color w:val="000000"/>
                <w:sz w:val="20"/>
                <w:szCs w:val="18"/>
              </w:rPr>
            </w:pPr>
            <w:r w:rsidRPr="000E01C3">
              <w:rPr>
                <w:rFonts w:ascii="Arial Narrow" w:hAnsi="Arial Narrow"/>
                <w:color w:val="000000"/>
                <w:sz w:val="20"/>
                <w:szCs w:val="18"/>
              </w:rPr>
              <w:t xml:space="preserve">-CF-302 DNase </w:t>
            </w:r>
            <w:r w:rsidR="00221A0C" w:rsidRPr="000E01C3">
              <w:rPr>
                <w:rFonts w:ascii="Arial Narrow" w:hAnsi="Arial Narrow"/>
                <w:color w:val="000000"/>
                <w:sz w:val="20"/>
                <w:szCs w:val="18"/>
              </w:rPr>
              <w:t xml:space="preserve">non </w:t>
            </w:r>
            <w:r w:rsidRPr="000E01C3">
              <w:rPr>
                <w:rFonts w:ascii="Arial Narrow" w:hAnsi="Arial Narrow"/>
                <w:color w:val="000000"/>
                <w:sz w:val="20"/>
                <w:szCs w:val="18"/>
              </w:rPr>
              <w:t>users</w:t>
            </w:r>
          </w:p>
        </w:tc>
        <w:tc>
          <w:tcPr>
            <w:tcW w:w="239" w:type="pct"/>
            <w:vAlign w:val="center"/>
          </w:tcPr>
          <w:p w:rsidR="002B3134" w:rsidRPr="000E01C3" w:rsidRDefault="00AD62F8"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48</w:t>
            </w:r>
          </w:p>
        </w:tc>
        <w:tc>
          <w:tcPr>
            <w:tcW w:w="558" w:type="pct"/>
            <w:gridSpan w:val="2"/>
            <w:vAlign w:val="center"/>
          </w:tcPr>
          <w:p w:rsidR="002B3134" w:rsidRPr="000E01C3" w:rsidRDefault="002B3134"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0.</w:t>
            </w:r>
            <w:r w:rsidR="00AD62F8" w:rsidRPr="000E01C3">
              <w:rPr>
                <w:rFonts w:ascii="Arial Narrow" w:hAnsi="Arial Narrow"/>
                <w:color w:val="000000"/>
                <w:sz w:val="20"/>
                <w:szCs w:val="18"/>
              </w:rPr>
              <w:t>18</w:t>
            </w:r>
          </w:p>
        </w:tc>
        <w:tc>
          <w:tcPr>
            <w:tcW w:w="635" w:type="pct"/>
            <w:gridSpan w:val="2"/>
            <w:vAlign w:val="center"/>
          </w:tcPr>
          <w:p w:rsidR="002B3134" w:rsidRPr="000E01C3" w:rsidRDefault="00AD62F8"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(0.07</w:t>
            </w:r>
            <w:r w:rsidR="002B3134" w:rsidRPr="000E01C3">
              <w:rPr>
                <w:rFonts w:ascii="Arial Narrow" w:hAnsi="Arial Narrow"/>
                <w:color w:val="000000"/>
                <w:sz w:val="20"/>
                <w:szCs w:val="18"/>
              </w:rPr>
              <w:t xml:space="preserve">, </w:t>
            </w:r>
            <w:r w:rsidRPr="000E01C3">
              <w:rPr>
                <w:rFonts w:ascii="Arial Narrow" w:hAnsi="Arial Narrow"/>
                <w:color w:val="000000"/>
                <w:sz w:val="20"/>
                <w:szCs w:val="18"/>
              </w:rPr>
              <w:t>0.49</w:t>
            </w:r>
            <w:r w:rsidR="002B3134" w:rsidRPr="000E01C3">
              <w:rPr>
                <w:rFonts w:ascii="Arial Narrow" w:hAnsi="Arial Narrow"/>
                <w:color w:val="000000"/>
                <w:sz w:val="20"/>
                <w:szCs w:val="18"/>
              </w:rPr>
              <w:t>)</w:t>
            </w:r>
          </w:p>
        </w:tc>
        <w:tc>
          <w:tcPr>
            <w:tcW w:w="242" w:type="pct"/>
            <w:vAlign w:val="center"/>
          </w:tcPr>
          <w:p w:rsidR="002B3134" w:rsidRPr="000E01C3" w:rsidRDefault="00AD62F8"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28</w:t>
            </w:r>
          </w:p>
        </w:tc>
        <w:tc>
          <w:tcPr>
            <w:tcW w:w="557" w:type="pct"/>
            <w:gridSpan w:val="2"/>
            <w:vAlign w:val="center"/>
          </w:tcPr>
          <w:p w:rsidR="002B3134" w:rsidRPr="000E01C3" w:rsidRDefault="002B3134"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0.</w:t>
            </w:r>
            <w:r w:rsidR="00AD62F8" w:rsidRPr="000E01C3">
              <w:rPr>
                <w:rFonts w:ascii="Arial Narrow" w:hAnsi="Arial Narrow"/>
                <w:color w:val="000000"/>
                <w:sz w:val="20"/>
                <w:szCs w:val="18"/>
              </w:rPr>
              <w:t>74</w:t>
            </w:r>
          </w:p>
        </w:tc>
        <w:tc>
          <w:tcPr>
            <w:tcW w:w="556" w:type="pct"/>
            <w:gridSpan w:val="2"/>
            <w:vAlign w:val="center"/>
          </w:tcPr>
          <w:p w:rsidR="002B3134" w:rsidRPr="000E01C3" w:rsidRDefault="00AD62F8"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(0.40, 1.37</w:t>
            </w:r>
            <w:r w:rsidR="002B3134" w:rsidRPr="000E01C3">
              <w:rPr>
                <w:rFonts w:ascii="Arial Narrow" w:hAnsi="Arial Narrow"/>
                <w:color w:val="000000"/>
                <w:sz w:val="20"/>
                <w:szCs w:val="18"/>
              </w:rPr>
              <w:t>)</w:t>
            </w:r>
          </w:p>
        </w:tc>
        <w:tc>
          <w:tcPr>
            <w:tcW w:w="1098" w:type="pct"/>
            <w:gridSpan w:val="2"/>
            <w:shd w:val="clear" w:color="auto" w:fill="auto"/>
            <w:vAlign w:val="center"/>
          </w:tcPr>
          <w:p w:rsidR="002B3134" w:rsidRPr="000E01C3" w:rsidRDefault="00AD62F8" w:rsidP="00A04A6A">
            <w:pPr>
              <w:keepNext/>
              <w:widowControl/>
              <w:jc w:val="center"/>
              <w:rPr>
                <w:rFonts w:ascii="Arial Narrow" w:hAnsi="Arial Narrow"/>
                <w:sz w:val="19"/>
                <w:szCs w:val="19"/>
              </w:rPr>
            </w:pPr>
            <w:r w:rsidRPr="000E01C3">
              <w:rPr>
                <w:rFonts w:ascii="Arial Narrow" w:hAnsi="Arial Narrow"/>
                <w:sz w:val="19"/>
                <w:szCs w:val="19"/>
              </w:rPr>
              <w:t>0.34 (0.10, 1.09</w:t>
            </w:r>
            <w:r w:rsidR="002B3134" w:rsidRPr="000E01C3">
              <w:rPr>
                <w:rFonts w:ascii="Arial Narrow" w:hAnsi="Arial Narrow"/>
                <w:sz w:val="19"/>
                <w:szCs w:val="19"/>
              </w:rPr>
              <w:t>)</w:t>
            </w:r>
          </w:p>
        </w:tc>
      </w:tr>
      <w:tr w:rsidR="00FD6A34" w:rsidRPr="000E01C3" w:rsidTr="00A56D63">
        <w:tc>
          <w:tcPr>
            <w:tcW w:w="3902" w:type="pct"/>
            <w:gridSpan w:val="11"/>
            <w:shd w:val="clear" w:color="auto" w:fill="auto"/>
            <w:vAlign w:val="center"/>
          </w:tcPr>
          <w:p w:rsidR="00FD6A34" w:rsidRPr="000E01C3" w:rsidRDefault="00FD6A34" w:rsidP="00A04A6A">
            <w:pPr>
              <w:keepNext/>
              <w:widowControl/>
              <w:jc w:val="right"/>
              <w:rPr>
                <w:rFonts w:ascii="Arial Narrow" w:hAnsi="Arial Narrow"/>
                <w:b/>
                <w:color w:val="000000"/>
                <w:sz w:val="20"/>
                <w:szCs w:val="18"/>
              </w:rPr>
            </w:pPr>
            <w:r w:rsidRPr="000E01C3">
              <w:rPr>
                <w:rFonts w:ascii="Arial Narrow" w:hAnsi="Arial Narrow"/>
                <w:b/>
                <w:color w:val="000000"/>
                <w:sz w:val="20"/>
                <w:szCs w:val="18"/>
              </w:rPr>
              <w:t>Pooled DNase non users</w:t>
            </w:r>
          </w:p>
        </w:tc>
        <w:tc>
          <w:tcPr>
            <w:tcW w:w="1098" w:type="pct"/>
            <w:gridSpan w:val="2"/>
            <w:shd w:val="clear" w:color="auto" w:fill="auto"/>
            <w:vAlign w:val="center"/>
          </w:tcPr>
          <w:p w:rsidR="00FD6A34" w:rsidRPr="000E01C3" w:rsidRDefault="00AD62F8" w:rsidP="00A04A6A">
            <w:pPr>
              <w:keepNext/>
              <w:widowControl/>
              <w:jc w:val="center"/>
              <w:rPr>
                <w:rFonts w:ascii="Arial Narrow" w:hAnsi="Arial Narrow"/>
                <w:b/>
                <w:bCs/>
                <w:sz w:val="19"/>
                <w:szCs w:val="19"/>
              </w:rPr>
            </w:pPr>
            <w:r w:rsidRPr="000E01C3">
              <w:rPr>
                <w:rFonts w:ascii="Arial Narrow" w:hAnsi="Arial Narrow"/>
                <w:b/>
                <w:bCs/>
                <w:sz w:val="19"/>
                <w:szCs w:val="19"/>
              </w:rPr>
              <w:t>0.48 (0.23, 0.99</w:t>
            </w:r>
            <w:r w:rsidR="00FD6A34" w:rsidRPr="000E01C3">
              <w:rPr>
                <w:rFonts w:ascii="Arial Narrow" w:hAnsi="Arial Narrow"/>
                <w:b/>
                <w:bCs/>
                <w:sz w:val="19"/>
                <w:szCs w:val="19"/>
              </w:rPr>
              <w:t>)</w:t>
            </w:r>
          </w:p>
        </w:tc>
      </w:tr>
      <w:tr w:rsidR="00BA7B29" w:rsidRPr="000E01C3" w:rsidTr="00A56D63">
        <w:tc>
          <w:tcPr>
            <w:tcW w:w="5000" w:type="pct"/>
            <w:gridSpan w:val="13"/>
            <w:tcBorders>
              <w:top w:val="double" w:sz="4" w:space="0" w:color="auto"/>
            </w:tcBorders>
            <w:shd w:val="clear" w:color="auto" w:fill="auto"/>
            <w:vAlign w:val="center"/>
          </w:tcPr>
          <w:p w:rsidR="00BA7B29" w:rsidRPr="000E01C3" w:rsidRDefault="00BA7B29" w:rsidP="00A04A6A">
            <w:pPr>
              <w:keepNext/>
              <w:widowControl/>
              <w:rPr>
                <w:rFonts w:ascii="Arial Narrow" w:hAnsi="Arial Narrow"/>
                <w:b/>
                <w:color w:val="000000"/>
                <w:sz w:val="20"/>
                <w:szCs w:val="18"/>
              </w:rPr>
            </w:pPr>
            <w:r w:rsidRPr="000E01C3">
              <w:rPr>
                <w:rFonts w:ascii="Arial Narrow" w:hAnsi="Arial Narrow"/>
                <w:b/>
                <w:color w:val="000000"/>
                <w:sz w:val="20"/>
                <w:szCs w:val="18"/>
              </w:rPr>
              <w:t xml:space="preserve">Harms </w:t>
            </w:r>
          </w:p>
        </w:tc>
      </w:tr>
      <w:tr w:rsidR="00BA7B29" w:rsidRPr="000E01C3" w:rsidTr="00A56D63">
        <w:tc>
          <w:tcPr>
            <w:tcW w:w="5000" w:type="pct"/>
            <w:gridSpan w:val="13"/>
            <w:shd w:val="clear" w:color="auto" w:fill="auto"/>
            <w:vAlign w:val="center"/>
          </w:tcPr>
          <w:p w:rsidR="00BA7B29" w:rsidRPr="000E01C3" w:rsidRDefault="00A56D63" w:rsidP="00A04A6A">
            <w:pPr>
              <w:keepNext/>
              <w:widowControl/>
              <w:jc w:val="left"/>
              <w:rPr>
                <w:rFonts w:ascii="Arial Narrow" w:hAnsi="Arial Narrow"/>
                <w:b/>
                <w:bCs/>
                <w:color w:val="000000"/>
                <w:sz w:val="20"/>
                <w:szCs w:val="18"/>
              </w:rPr>
            </w:pPr>
            <w:r w:rsidRPr="000E01C3">
              <w:rPr>
                <w:rFonts w:ascii="Arial Narrow" w:hAnsi="Arial Narrow"/>
                <w:b/>
                <w:color w:val="000000"/>
                <w:sz w:val="20"/>
                <w:szCs w:val="18"/>
              </w:rPr>
              <w:t>Treatment-related AE</w:t>
            </w:r>
          </w:p>
        </w:tc>
      </w:tr>
      <w:tr w:rsidR="00A56D63" w:rsidRPr="000E01C3" w:rsidTr="00E55C12">
        <w:tc>
          <w:tcPr>
            <w:tcW w:w="1116" w:type="pct"/>
            <w:vMerge w:val="restart"/>
            <w:shd w:val="clear" w:color="auto" w:fill="auto"/>
            <w:vAlign w:val="center"/>
          </w:tcPr>
          <w:p w:rsidR="00FD6A34" w:rsidRPr="000E01C3" w:rsidRDefault="00FD6A34" w:rsidP="00A04A6A">
            <w:pPr>
              <w:keepNext/>
              <w:widowControl/>
              <w:rPr>
                <w:rFonts w:ascii="Arial Narrow" w:hAnsi="Arial Narrow"/>
                <w:color w:val="000000"/>
                <w:sz w:val="20"/>
                <w:szCs w:val="18"/>
              </w:rPr>
            </w:pPr>
          </w:p>
        </w:tc>
        <w:tc>
          <w:tcPr>
            <w:tcW w:w="557" w:type="pct"/>
            <w:gridSpan w:val="2"/>
            <w:vMerge w:val="restart"/>
            <w:vAlign w:val="center"/>
          </w:tcPr>
          <w:p w:rsidR="00FD6A34" w:rsidRPr="000E01C3" w:rsidRDefault="00FD6A34" w:rsidP="00A04A6A">
            <w:pPr>
              <w:keepNext/>
              <w:widowControl/>
              <w:jc w:val="center"/>
              <w:rPr>
                <w:rFonts w:ascii="Arial Narrow" w:hAnsi="Arial Narrow"/>
                <w:color w:val="000000"/>
                <w:sz w:val="20"/>
                <w:szCs w:val="18"/>
              </w:rPr>
            </w:pPr>
            <w:r w:rsidRPr="000E01C3">
              <w:rPr>
                <w:rFonts w:ascii="Arial Narrow" w:hAnsi="Arial Narrow"/>
                <w:b/>
                <w:color w:val="000000"/>
                <w:sz w:val="20"/>
                <w:szCs w:val="18"/>
              </w:rPr>
              <w:t>Mannitol</w:t>
            </w:r>
          </w:p>
        </w:tc>
        <w:tc>
          <w:tcPr>
            <w:tcW w:w="716" w:type="pct"/>
            <w:gridSpan w:val="2"/>
            <w:vMerge w:val="restart"/>
            <w:vAlign w:val="center"/>
          </w:tcPr>
          <w:p w:rsidR="00FD6A34" w:rsidRPr="000E01C3" w:rsidRDefault="00FD6A34" w:rsidP="00A04A6A">
            <w:pPr>
              <w:widowControl/>
              <w:jc w:val="center"/>
              <w:rPr>
                <w:rFonts w:ascii="Arial Narrow" w:hAnsi="Arial Narrow"/>
                <w:b/>
                <w:color w:val="000000"/>
                <w:sz w:val="20"/>
                <w:szCs w:val="18"/>
              </w:rPr>
            </w:pPr>
            <w:r w:rsidRPr="000E01C3">
              <w:rPr>
                <w:rFonts w:ascii="Arial Narrow" w:hAnsi="Arial Narrow"/>
                <w:b/>
                <w:color w:val="000000"/>
                <w:sz w:val="20"/>
                <w:szCs w:val="18"/>
              </w:rPr>
              <w:t>control/</w:t>
            </w:r>
          </w:p>
          <w:p w:rsidR="00FD6A34" w:rsidRPr="000E01C3" w:rsidRDefault="00FD6A34" w:rsidP="00A04A6A">
            <w:pPr>
              <w:keepNext/>
              <w:widowControl/>
              <w:jc w:val="center"/>
              <w:rPr>
                <w:rFonts w:ascii="Arial Narrow" w:hAnsi="Arial Narrow"/>
                <w:color w:val="000000"/>
                <w:sz w:val="20"/>
                <w:szCs w:val="18"/>
              </w:rPr>
            </w:pPr>
            <w:r w:rsidRPr="000E01C3">
              <w:rPr>
                <w:rFonts w:ascii="Arial Narrow" w:hAnsi="Arial Narrow"/>
                <w:b/>
                <w:color w:val="000000"/>
                <w:sz w:val="20"/>
                <w:szCs w:val="18"/>
              </w:rPr>
              <w:t>PBO</w:t>
            </w:r>
          </w:p>
        </w:tc>
        <w:tc>
          <w:tcPr>
            <w:tcW w:w="719" w:type="pct"/>
            <w:gridSpan w:val="3"/>
            <w:vMerge w:val="restart"/>
            <w:vAlign w:val="center"/>
          </w:tcPr>
          <w:p w:rsidR="00FD6A34" w:rsidRPr="000E01C3" w:rsidRDefault="00FD6A34" w:rsidP="00A04A6A">
            <w:pPr>
              <w:widowControl/>
              <w:jc w:val="center"/>
              <w:rPr>
                <w:rFonts w:ascii="Arial Narrow" w:hAnsi="Arial Narrow"/>
                <w:b/>
                <w:color w:val="000000"/>
                <w:sz w:val="20"/>
                <w:szCs w:val="18"/>
              </w:rPr>
            </w:pPr>
            <w:r w:rsidRPr="000E01C3">
              <w:rPr>
                <w:rFonts w:ascii="Arial Narrow" w:hAnsi="Arial Narrow"/>
                <w:b/>
                <w:color w:val="000000"/>
                <w:sz w:val="20"/>
                <w:szCs w:val="18"/>
              </w:rPr>
              <w:t>RR</w:t>
            </w:r>
          </w:p>
          <w:p w:rsidR="00FD6A34" w:rsidRPr="000E01C3" w:rsidRDefault="00FD6A34" w:rsidP="00A04A6A">
            <w:pPr>
              <w:keepNext/>
              <w:widowControl/>
              <w:jc w:val="center"/>
              <w:rPr>
                <w:rFonts w:ascii="Arial Narrow" w:hAnsi="Arial Narrow"/>
                <w:b/>
                <w:bCs/>
                <w:color w:val="000000"/>
                <w:sz w:val="20"/>
                <w:szCs w:val="18"/>
              </w:rPr>
            </w:pPr>
            <w:r w:rsidRPr="000E01C3">
              <w:rPr>
                <w:rFonts w:ascii="Arial Narrow" w:hAnsi="Arial Narrow"/>
                <w:b/>
                <w:color w:val="000000"/>
                <w:sz w:val="20"/>
                <w:szCs w:val="18"/>
              </w:rPr>
              <w:t>(95% CI)</w:t>
            </w:r>
          </w:p>
        </w:tc>
        <w:tc>
          <w:tcPr>
            <w:tcW w:w="1113" w:type="pct"/>
            <w:gridSpan w:val="4"/>
            <w:vAlign w:val="center"/>
          </w:tcPr>
          <w:p w:rsidR="00FD6A34" w:rsidRPr="000E01C3" w:rsidRDefault="00FD6A34" w:rsidP="00A04A6A">
            <w:pPr>
              <w:keepNext/>
              <w:widowControl/>
              <w:jc w:val="center"/>
              <w:rPr>
                <w:rFonts w:ascii="Arial Narrow" w:hAnsi="Arial Narrow"/>
                <w:color w:val="000000"/>
                <w:sz w:val="20"/>
                <w:szCs w:val="18"/>
              </w:rPr>
            </w:pPr>
            <w:r w:rsidRPr="000E01C3">
              <w:rPr>
                <w:rFonts w:ascii="Arial Narrow" w:hAnsi="Arial Narrow"/>
                <w:b/>
                <w:color w:val="000000"/>
                <w:sz w:val="20"/>
                <w:szCs w:val="18"/>
              </w:rPr>
              <w:t>Event rate/100 patients*</w:t>
            </w:r>
          </w:p>
        </w:tc>
        <w:tc>
          <w:tcPr>
            <w:tcW w:w="780" w:type="pct"/>
            <w:vMerge w:val="restart"/>
            <w:vAlign w:val="center"/>
          </w:tcPr>
          <w:p w:rsidR="00FD6A34" w:rsidRPr="000E01C3" w:rsidRDefault="00FD6A34" w:rsidP="00A04A6A">
            <w:pPr>
              <w:widowControl/>
              <w:jc w:val="center"/>
              <w:rPr>
                <w:rFonts w:ascii="Arial Narrow" w:hAnsi="Arial Narrow"/>
                <w:b/>
                <w:color w:val="000000"/>
                <w:sz w:val="20"/>
                <w:szCs w:val="18"/>
              </w:rPr>
            </w:pPr>
            <w:r w:rsidRPr="000E01C3">
              <w:rPr>
                <w:rFonts w:ascii="Arial Narrow" w:hAnsi="Arial Narrow"/>
                <w:b/>
                <w:color w:val="000000"/>
                <w:sz w:val="20"/>
                <w:szCs w:val="18"/>
              </w:rPr>
              <w:t>RD</w:t>
            </w:r>
          </w:p>
          <w:p w:rsidR="00FD6A34" w:rsidRPr="000E01C3" w:rsidRDefault="00FD6A34" w:rsidP="00A04A6A">
            <w:pPr>
              <w:keepNext/>
              <w:widowControl/>
              <w:jc w:val="center"/>
              <w:rPr>
                <w:rFonts w:ascii="Arial Narrow" w:hAnsi="Arial Narrow"/>
                <w:b/>
                <w:bCs/>
                <w:color w:val="000000"/>
                <w:sz w:val="20"/>
                <w:szCs w:val="18"/>
              </w:rPr>
            </w:pPr>
            <w:r w:rsidRPr="000E01C3">
              <w:rPr>
                <w:rFonts w:ascii="Arial Narrow" w:hAnsi="Arial Narrow"/>
                <w:b/>
                <w:color w:val="000000"/>
                <w:sz w:val="20"/>
                <w:szCs w:val="18"/>
              </w:rPr>
              <w:t>(95% CI)</w:t>
            </w:r>
          </w:p>
        </w:tc>
      </w:tr>
      <w:tr w:rsidR="00A56D63" w:rsidRPr="000E01C3" w:rsidTr="00E55C12">
        <w:tc>
          <w:tcPr>
            <w:tcW w:w="1116" w:type="pct"/>
            <w:vMerge/>
            <w:shd w:val="clear" w:color="auto" w:fill="auto"/>
            <w:vAlign w:val="center"/>
          </w:tcPr>
          <w:p w:rsidR="00FD6A34" w:rsidRPr="000E01C3" w:rsidRDefault="00FD6A34" w:rsidP="00A04A6A">
            <w:pPr>
              <w:keepNext/>
              <w:widowControl/>
              <w:rPr>
                <w:rFonts w:ascii="Arial Narrow" w:hAnsi="Arial Narrow"/>
                <w:color w:val="000000"/>
                <w:sz w:val="20"/>
                <w:szCs w:val="18"/>
              </w:rPr>
            </w:pPr>
          </w:p>
        </w:tc>
        <w:tc>
          <w:tcPr>
            <w:tcW w:w="557" w:type="pct"/>
            <w:gridSpan w:val="2"/>
            <w:vMerge/>
            <w:vAlign w:val="center"/>
          </w:tcPr>
          <w:p w:rsidR="00FD6A34" w:rsidRPr="000E01C3" w:rsidRDefault="00FD6A34" w:rsidP="00A04A6A">
            <w:pPr>
              <w:keepNext/>
              <w:widowControl/>
              <w:jc w:val="center"/>
              <w:rPr>
                <w:rFonts w:ascii="Arial Narrow" w:hAnsi="Arial Narrow"/>
                <w:color w:val="000000"/>
                <w:sz w:val="20"/>
                <w:szCs w:val="18"/>
              </w:rPr>
            </w:pPr>
          </w:p>
        </w:tc>
        <w:tc>
          <w:tcPr>
            <w:tcW w:w="716" w:type="pct"/>
            <w:gridSpan w:val="2"/>
            <w:vMerge/>
            <w:vAlign w:val="center"/>
          </w:tcPr>
          <w:p w:rsidR="00FD6A34" w:rsidRPr="000E01C3" w:rsidRDefault="00FD6A34" w:rsidP="00A04A6A">
            <w:pPr>
              <w:keepNext/>
              <w:widowControl/>
              <w:jc w:val="center"/>
              <w:rPr>
                <w:rFonts w:ascii="Arial Narrow" w:hAnsi="Arial Narrow"/>
                <w:color w:val="000000"/>
                <w:sz w:val="20"/>
                <w:szCs w:val="18"/>
              </w:rPr>
            </w:pPr>
          </w:p>
        </w:tc>
        <w:tc>
          <w:tcPr>
            <w:tcW w:w="719" w:type="pct"/>
            <w:gridSpan w:val="3"/>
            <w:vMerge/>
            <w:vAlign w:val="center"/>
          </w:tcPr>
          <w:p w:rsidR="00FD6A34" w:rsidRPr="000E01C3" w:rsidRDefault="00FD6A34" w:rsidP="00A04A6A">
            <w:pPr>
              <w:keepNext/>
              <w:widowControl/>
              <w:jc w:val="center"/>
              <w:rPr>
                <w:rFonts w:ascii="Arial Narrow" w:hAnsi="Arial Narrow"/>
                <w:b/>
                <w:bCs/>
                <w:color w:val="000000"/>
                <w:sz w:val="20"/>
                <w:szCs w:val="18"/>
              </w:rPr>
            </w:pPr>
          </w:p>
        </w:tc>
        <w:tc>
          <w:tcPr>
            <w:tcW w:w="539" w:type="pct"/>
            <w:gridSpan w:val="2"/>
            <w:vAlign w:val="center"/>
          </w:tcPr>
          <w:p w:rsidR="00FD6A34" w:rsidRPr="000E01C3" w:rsidRDefault="00FD6A34" w:rsidP="00A04A6A">
            <w:pPr>
              <w:keepNext/>
              <w:widowControl/>
              <w:jc w:val="center"/>
              <w:rPr>
                <w:rFonts w:ascii="Arial Narrow" w:hAnsi="Arial Narrow"/>
                <w:color w:val="000000"/>
                <w:sz w:val="20"/>
                <w:szCs w:val="18"/>
              </w:rPr>
            </w:pPr>
            <w:r w:rsidRPr="000E01C3">
              <w:rPr>
                <w:rFonts w:ascii="Arial Narrow" w:hAnsi="Arial Narrow"/>
                <w:b/>
                <w:color w:val="000000"/>
                <w:sz w:val="20"/>
                <w:szCs w:val="18"/>
              </w:rPr>
              <w:t>mannitol</w:t>
            </w:r>
          </w:p>
        </w:tc>
        <w:tc>
          <w:tcPr>
            <w:tcW w:w="574" w:type="pct"/>
            <w:gridSpan w:val="2"/>
            <w:vAlign w:val="center"/>
          </w:tcPr>
          <w:p w:rsidR="00FD6A34" w:rsidRPr="000E01C3" w:rsidRDefault="00FD6A34" w:rsidP="00A04A6A">
            <w:pPr>
              <w:keepNext/>
              <w:widowControl/>
              <w:jc w:val="center"/>
              <w:rPr>
                <w:rFonts w:ascii="Arial Narrow" w:hAnsi="Arial Narrow"/>
                <w:color w:val="000000"/>
                <w:sz w:val="20"/>
                <w:szCs w:val="18"/>
              </w:rPr>
            </w:pPr>
            <w:r w:rsidRPr="000E01C3">
              <w:rPr>
                <w:rFonts w:ascii="Arial Narrow" w:hAnsi="Arial Narrow"/>
                <w:b/>
                <w:color w:val="000000"/>
                <w:sz w:val="20"/>
                <w:szCs w:val="18"/>
              </w:rPr>
              <w:t>control/PBO</w:t>
            </w:r>
          </w:p>
        </w:tc>
        <w:tc>
          <w:tcPr>
            <w:tcW w:w="780" w:type="pct"/>
            <w:vMerge/>
            <w:vAlign w:val="center"/>
          </w:tcPr>
          <w:p w:rsidR="00FD6A34" w:rsidRPr="000E01C3" w:rsidRDefault="00FD6A34" w:rsidP="00A04A6A">
            <w:pPr>
              <w:keepNext/>
              <w:widowControl/>
              <w:jc w:val="center"/>
              <w:rPr>
                <w:rFonts w:ascii="Arial Narrow" w:hAnsi="Arial Narrow"/>
                <w:b/>
                <w:bCs/>
                <w:color w:val="000000"/>
                <w:sz w:val="20"/>
                <w:szCs w:val="18"/>
              </w:rPr>
            </w:pPr>
          </w:p>
        </w:tc>
      </w:tr>
      <w:tr w:rsidR="00A56D63" w:rsidRPr="000E01C3" w:rsidTr="00E55C12">
        <w:tc>
          <w:tcPr>
            <w:tcW w:w="1116" w:type="pct"/>
            <w:shd w:val="clear" w:color="auto" w:fill="auto"/>
            <w:vAlign w:val="center"/>
          </w:tcPr>
          <w:p w:rsidR="00BA7B29" w:rsidRPr="000E01C3" w:rsidRDefault="00BA7B29" w:rsidP="00A04A6A">
            <w:pPr>
              <w:keepNext/>
              <w:widowControl/>
              <w:rPr>
                <w:rFonts w:ascii="Arial Narrow" w:hAnsi="Arial Narrow"/>
                <w:color w:val="000000"/>
                <w:sz w:val="20"/>
                <w:szCs w:val="18"/>
              </w:rPr>
            </w:pPr>
            <w:r w:rsidRPr="000E01C3">
              <w:rPr>
                <w:rFonts w:ascii="Arial Narrow" w:hAnsi="Arial Narrow"/>
                <w:color w:val="000000"/>
                <w:sz w:val="20"/>
                <w:szCs w:val="18"/>
              </w:rPr>
              <w:t>CF-301</w:t>
            </w:r>
          </w:p>
        </w:tc>
        <w:tc>
          <w:tcPr>
            <w:tcW w:w="557"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 xml:space="preserve">72/177 </w:t>
            </w:r>
          </w:p>
        </w:tc>
        <w:tc>
          <w:tcPr>
            <w:tcW w:w="716"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26/118</w:t>
            </w:r>
          </w:p>
        </w:tc>
        <w:tc>
          <w:tcPr>
            <w:tcW w:w="719" w:type="pct"/>
            <w:gridSpan w:val="3"/>
            <w:vAlign w:val="center"/>
          </w:tcPr>
          <w:p w:rsidR="00BA7B29" w:rsidRPr="000E01C3" w:rsidRDefault="00BA7B29" w:rsidP="00A04A6A">
            <w:pPr>
              <w:keepNext/>
              <w:widowControl/>
              <w:jc w:val="center"/>
              <w:rPr>
                <w:rFonts w:ascii="Arial Narrow" w:hAnsi="Arial Narrow"/>
                <w:b/>
                <w:bCs/>
                <w:color w:val="000000"/>
                <w:sz w:val="20"/>
                <w:szCs w:val="18"/>
              </w:rPr>
            </w:pPr>
            <w:r w:rsidRPr="000E01C3">
              <w:rPr>
                <w:rFonts w:ascii="Arial Narrow" w:hAnsi="Arial Narrow"/>
                <w:b/>
                <w:bCs/>
                <w:color w:val="000000"/>
                <w:sz w:val="20"/>
                <w:szCs w:val="18"/>
              </w:rPr>
              <w:t>1.85 (1.26, 2.71)</w:t>
            </w:r>
          </w:p>
        </w:tc>
        <w:tc>
          <w:tcPr>
            <w:tcW w:w="539"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40.7</w:t>
            </w:r>
          </w:p>
        </w:tc>
        <w:tc>
          <w:tcPr>
            <w:tcW w:w="574"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22.0</w:t>
            </w:r>
          </w:p>
        </w:tc>
        <w:tc>
          <w:tcPr>
            <w:tcW w:w="780" w:type="pct"/>
            <w:vAlign w:val="center"/>
          </w:tcPr>
          <w:p w:rsidR="00BA7B29" w:rsidRPr="000E01C3" w:rsidRDefault="00BA7B29" w:rsidP="00A04A6A">
            <w:pPr>
              <w:keepNext/>
              <w:widowControl/>
              <w:jc w:val="center"/>
              <w:rPr>
                <w:rFonts w:ascii="Arial Narrow" w:hAnsi="Arial Narrow"/>
                <w:b/>
                <w:bCs/>
                <w:color w:val="000000"/>
                <w:sz w:val="20"/>
                <w:szCs w:val="18"/>
              </w:rPr>
            </w:pPr>
            <w:r w:rsidRPr="000E01C3">
              <w:rPr>
                <w:rFonts w:ascii="Arial Narrow" w:hAnsi="Arial Narrow"/>
                <w:b/>
                <w:bCs/>
                <w:color w:val="000000"/>
                <w:sz w:val="20"/>
                <w:szCs w:val="18"/>
              </w:rPr>
              <w:t>0.19 (0.08, 0.29)</w:t>
            </w:r>
          </w:p>
        </w:tc>
      </w:tr>
      <w:tr w:rsidR="00A56D63" w:rsidRPr="000E01C3" w:rsidTr="00E55C12">
        <w:tc>
          <w:tcPr>
            <w:tcW w:w="1116" w:type="pct"/>
            <w:shd w:val="clear" w:color="auto" w:fill="auto"/>
            <w:vAlign w:val="center"/>
          </w:tcPr>
          <w:p w:rsidR="00BA7B29" w:rsidRPr="000E01C3" w:rsidRDefault="00BA7B29" w:rsidP="00A04A6A">
            <w:pPr>
              <w:keepNext/>
              <w:widowControl/>
              <w:rPr>
                <w:rFonts w:ascii="Arial Narrow" w:hAnsi="Arial Narrow"/>
                <w:color w:val="000000"/>
                <w:sz w:val="20"/>
                <w:szCs w:val="18"/>
              </w:rPr>
            </w:pPr>
            <w:r w:rsidRPr="000E01C3">
              <w:rPr>
                <w:rFonts w:ascii="Arial Narrow" w:hAnsi="Arial Narrow"/>
                <w:color w:val="000000"/>
                <w:sz w:val="20"/>
                <w:szCs w:val="18"/>
              </w:rPr>
              <w:t>CF-302</w:t>
            </w:r>
          </w:p>
        </w:tc>
        <w:tc>
          <w:tcPr>
            <w:tcW w:w="557"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44/184</w:t>
            </w:r>
          </w:p>
        </w:tc>
        <w:tc>
          <w:tcPr>
            <w:tcW w:w="716"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21/121</w:t>
            </w:r>
          </w:p>
        </w:tc>
        <w:tc>
          <w:tcPr>
            <w:tcW w:w="719" w:type="pct"/>
            <w:gridSpan w:val="3"/>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1.38 (0.86, 2.20)</w:t>
            </w:r>
          </w:p>
        </w:tc>
        <w:tc>
          <w:tcPr>
            <w:tcW w:w="539"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23.9</w:t>
            </w:r>
          </w:p>
        </w:tc>
        <w:tc>
          <w:tcPr>
            <w:tcW w:w="574"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17.4</w:t>
            </w:r>
          </w:p>
        </w:tc>
        <w:tc>
          <w:tcPr>
            <w:tcW w:w="780" w:type="pct"/>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0.07 (-0.03, 0.16)</w:t>
            </w:r>
          </w:p>
        </w:tc>
      </w:tr>
      <w:tr w:rsidR="00A56D63" w:rsidRPr="000E01C3" w:rsidTr="00E55C12">
        <w:tc>
          <w:tcPr>
            <w:tcW w:w="1116" w:type="pct"/>
            <w:shd w:val="clear" w:color="auto" w:fill="auto"/>
            <w:vAlign w:val="center"/>
          </w:tcPr>
          <w:p w:rsidR="00BA7B29" w:rsidRPr="000E01C3" w:rsidRDefault="00BA7B29" w:rsidP="00A04A6A">
            <w:pPr>
              <w:keepNext/>
              <w:widowControl/>
              <w:rPr>
                <w:rFonts w:ascii="Arial Narrow" w:hAnsi="Arial Narrow"/>
                <w:color w:val="000000"/>
                <w:sz w:val="20"/>
                <w:szCs w:val="18"/>
              </w:rPr>
            </w:pPr>
            <w:r w:rsidRPr="000E01C3">
              <w:rPr>
                <w:rFonts w:ascii="Arial Narrow" w:hAnsi="Arial Narrow"/>
                <w:color w:val="000000"/>
                <w:sz w:val="20"/>
                <w:szCs w:val="18"/>
              </w:rPr>
              <w:t>CF-201</w:t>
            </w:r>
          </w:p>
        </w:tc>
        <w:tc>
          <w:tcPr>
            <w:tcW w:w="557"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27/38</w:t>
            </w:r>
          </w:p>
        </w:tc>
        <w:tc>
          <w:tcPr>
            <w:tcW w:w="716"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25/36</w:t>
            </w:r>
          </w:p>
        </w:tc>
        <w:tc>
          <w:tcPr>
            <w:tcW w:w="719" w:type="pct"/>
            <w:gridSpan w:val="3"/>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1.02 (0.76, 1.38)</w:t>
            </w:r>
          </w:p>
        </w:tc>
        <w:tc>
          <w:tcPr>
            <w:tcW w:w="539"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71.1</w:t>
            </w:r>
          </w:p>
        </w:tc>
        <w:tc>
          <w:tcPr>
            <w:tcW w:w="574"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69.4</w:t>
            </w:r>
          </w:p>
        </w:tc>
        <w:tc>
          <w:tcPr>
            <w:tcW w:w="780" w:type="pct"/>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0.02 (-0.19, 0.22)</w:t>
            </w:r>
          </w:p>
        </w:tc>
      </w:tr>
      <w:tr w:rsidR="00A56D63" w:rsidRPr="000E01C3" w:rsidTr="00E55C12">
        <w:tc>
          <w:tcPr>
            <w:tcW w:w="1116" w:type="pct"/>
            <w:shd w:val="clear" w:color="auto" w:fill="auto"/>
            <w:vAlign w:val="center"/>
          </w:tcPr>
          <w:p w:rsidR="00BA7B29" w:rsidRPr="000E01C3" w:rsidRDefault="00BA7B29" w:rsidP="00A04A6A">
            <w:pPr>
              <w:keepNext/>
              <w:widowControl/>
              <w:rPr>
                <w:rFonts w:ascii="Arial Narrow" w:hAnsi="Arial Narrow"/>
                <w:color w:val="000000"/>
                <w:sz w:val="20"/>
                <w:szCs w:val="18"/>
              </w:rPr>
            </w:pPr>
            <w:r w:rsidRPr="000E01C3">
              <w:rPr>
                <w:rFonts w:ascii="Arial Narrow" w:hAnsi="Arial Narrow"/>
                <w:color w:val="000000"/>
                <w:sz w:val="20"/>
                <w:szCs w:val="18"/>
              </w:rPr>
              <w:t>CF-203</w:t>
            </w:r>
          </w:p>
        </w:tc>
        <w:tc>
          <w:tcPr>
            <w:tcW w:w="557"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17/23</w:t>
            </w:r>
          </w:p>
        </w:tc>
        <w:tc>
          <w:tcPr>
            <w:tcW w:w="716"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17/21</w:t>
            </w:r>
          </w:p>
        </w:tc>
        <w:tc>
          <w:tcPr>
            <w:tcW w:w="719" w:type="pct"/>
            <w:gridSpan w:val="3"/>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0.91 (0.66, 1.26)</w:t>
            </w:r>
          </w:p>
        </w:tc>
        <w:tc>
          <w:tcPr>
            <w:tcW w:w="539"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73.9</w:t>
            </w:r>
          </w:p>
        </w:tc>
        <w:tc>
          <w:tcPr>
            <w:tcW w:w="574"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81.0</w:t>
            </w:r>
          </w:p>
        </w:tc>
        <w:tc>
          <w:tcPr>
            <w:tcW w:w="780" w:type="pct"/>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-0.07 (-0.32, 0.18)</w:t>
            </w:r>
          </w:p>
        </w:tc>
      </w:tr>
      <w:tr w:rsidR="00A56D63" w:rsidRPr="000E01C3" w:rsidTr="00E55C12">
        <w:tc>
          <w:tcPr>
            <w:tcW w:w="1116" w:type="pct"/>
            <w:shd w:val="clear" w:color="auto" w:fill="auto"/>
            <w:vAlign w:val="center"/>
          </w:tcPr>
          <w:p w:rsidR="00BA7B29" w:rsidRPr="000E01C3" w:rsidRDefault="00BA7B29" w:rsidP="00A04A6A">
            <w:pPr>
              <w:keepNext/>
              <w:widowControl/>
              <w:rPr>
                <w:rFonts w:ascii="Arial Narrow" w:hAnsi="Arial Narrow"/>
                <w:color w:val="000000"/>
                <w:sz w:val="20"/>
                <w:szCs w:val="18"/>
              </w:rPr>
            </w:pPr>
            <w:r w:rsidRPr="000E01C3">
              <w:rPr>
                <w:rFonts w:ascii="Arial Narrow" w:hAnsi="Arial Narrow"/>
                <w:color w:val="000000"/>
                <w:sz w:val="20"/>
                <w:szCs w:val="18"/>
              </w:rPr>
              <w:t>CF-204</w:t>
            </w:r>
          </w:p>
        </w:tc>
        <w:tc>
          <w:tcPr>
            <w:tcW w:w="557"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15/87</w:t>
            </w:r>
          </w:p>
        </w:tc>
        <w:tc>
          <w:tcPr>
            <w:tcW w:w="716"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10/87</w:t>
            </w:r>
          </w:p>
        </w:tc>
        <w:tc>
          <w:tcPr>
            <w:tcW w:w="719" w:type="pct"/>
            <w:gridSpan w:val="3"/>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 xml:space="preserve">1.50 </w:t>
            </w:r>
            <w:r w:rsidR="00A56D63" w:rsidRPr="000E01C3">
              <w:rPr>
                <w:rFonts w:ascii="Arial Narrow" w:hAnsi="Arial Narrow"/>
                <w:color w:val="000000"/>
                <w:sz w:val="20"/>
                <w:szCs w:val="18"/>
              </w:rPr>
              <w:t>(</w:t>
            </w:r>
            <w:r w:rsidRPr="000E01C3">
              <w:rPr>
                <w:rFonts w:ascii="Arial Narrow" w:hAnsi="Arial Narrow"/>
                <w:color w:val="000000"/>
                <w:sz w:val="20"/>
                <w:szCs w:val="18"/>
              </w:rPr>
              <w:t>0.71. 3.15)</w:t>
            </w:r>
          </w:p>
        </w:tc>
        <w:tc>
          <w:tcPr>
            <w:tcW w:w="539"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17.2</w:t>
            </w:r>
          </w:p>
        </w:tc>
        <w:tc>
          <w:tcPr>
            <w:tcW w:w="574" w:type="pct"/>
            <w:gridSpan w:val="2"/>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11.5</w:t>
            </w:r>
          </w:p>
        </w:tc>
        <w:tc>
          <w:tcPr>
            <w:tcW w:w="780" w:type="pct"/>
            <w:vAlign w:val="center"/>
          </w:tcPr>
          <w:p w:rsidR="00BA7B29" w:rsidRPr="000E01C3" w:rsidRDefault="00BA7B29" w:rsidP="00A04A6A">
            <w:pPr>
              <w:keepNext/>
              <w:widowControl/>
              <w:jc w:val="center"/>
              <w:rPr>
                <w:rFonts w:ascii="Arial Narrow" w:hAnsi="Arial Narrow"/>
                <w:color w:val="000000"/>
                <w:sz w:val="20"/>
                <w:szCs w:val="18"/>
              </w:rPr>
            </w:pPr>
            <w:r w:rsidRPr="000E01C3">
              <w:rPr>
                <w:rFonts w:ascii="Arial Narrow" w:hAnsi="Arial Narrow"/>
                <w:color w:val="000000"/>
                <w:sz w:val="20"/>
                <w:szCs w:val="18"/>
              </w:rPr>
              <w:t>0.06 (-0.05, 0.16)</w:t>
            </w:r>
          </w:p>
        </w:tc>
      </w:tr>
    </w:tbl>
    <w:p w:rsidR="0053459C" w:rsidRPr="000E01C3" w:rsidRDefault="003371A2" w:rsidP="00A04A6A">
      <w:pPr>
        <w:pStyle w:val="TableFooter"/>
        <w:keepNext/>
        <w:widowControl/>
      </w:pPr>
      <w:r w:rsidRPr="000E01C3">
        <w:t>Abbreviations: AE=adverse events; PBO=placebo; PDPE = protocol-defined pulmonary exacerbation; RD = risk difference; RR = risk ratio; SD=standard deviation.</w:t>
      </w:r>
    </w:p>
    <w:p w:rsidR="003911C9" w:rsidRPr="000E01C3" w:rsidRDefault="0053459C" w:rsidP="004411AD">
      <w:pPr>
        <w:pStyle w:val="TableFooter"/>
        <w:keepNext/>
        <w:widowControl/>
      </w:pPr>
      <w:r w:rsidRPr="000E01C3">
        <w:t>*</w:t>
      </w:r>
      <w:r w:rsidR="004411AD" w:rsidRPr="000E01C3">
        <w:t xml:space="preserve"> </w:t>
      </w:r>
      <w:r w:rsidR="00D8706D" w:rsidRPr="000E01C3">
        <w:t>Median duration (range) of exposure: CF-301 = 175 (1-231) days; CF-302= 183 (0-210); CF-201 not reported, CF-203 = 170 (1</w:t>
      </w:r>
      <w:r w:rsidR="00DD4699" w:rsidRPr="000E01C3">
        <w:t>6-198); CF-204 = 56 (1-77).</w:t>
      </w:r>
      <w:r w:rsidR="002B7727" w:rsidRPr="000E01C3">
        <w:t xml:space="preserve"> </w:t>
      </w:r>
    </w:p>
    <w:p w:rsidR="00D8706D" w:rsidRPr="000E01C3" w:rsidRDefault="00D8706D" w:rsidP="00BE33FF">
      <w:pPr>
        <w:pStyle w:val="TableFooter"/>
        <w:keepNext/>
        <w:widowControl/>
        <w:spacing w:after="120"/>
        <w:rPr>
          <w:iCs/>
        </w:rPr>
      </w:pPr>
      <w:r w:rsidRPr="000E01C3">
        <w:t>Source: Tables B.6.1, B.6.21,</w:t>
      </w:r>
      <w:r w:rsidR="007869A7" w:rsidRPr="000E01C3">
        <w:t xml:space="preserve"> </w:t>
      </w:r>
      <w:r w:rsidRPr="000E01C3">
        <w:t xml:space="preserve">C.3.1, pp.108-171 of the resubmission, </w:t>
      </w:r>
      <w:r w:rsidRPr="000E01C3">
        <w:rPr>
          <w:iCs/>
        </w:rPr>
        <w:t>Table 12.2.1.1, p59 of CSR for CF-201; Table 28, p70 of CSR for CF-204; Table</w:t>
      </w:r>
      <w:r w:rsidR="00AC0BAB" w:rsidRPr="000E01C3">
        <w:rPr>
          <w:iCs/>
        </w:rPr>
        <w:t xml:space="preserve"> </w:t>
      </w:r>
      <w:r w:rsidRPr="000E01C3">
        <w:rPr>
          <w:iCs/>
        </w:rPr>
        <w:t>12.3.1, p85 of CSR for CF-203</w:t>
      </w:r>
      <w:r w:rsidR="004411AD" w:rsidRPr="000E01C3">
        <w:rPr>
          <w:iCs/>
        </w:rPr>
        <w:t xml:space="preserve"> and calculated during the evaluation</w:t>
      </w:r>
      <w:r w:rsidRPr="000E01C3">
        <w:rPr>
          <w:iCs/>
        </w:rPr>
        <w:t>.</w:t>
      </w:r>
    </w:p>
    <w:p w:rsidR="00D06935" w:rsidRPr="000E01C3" w:rsidRDefault="00D06935" w:rsidP="00BE33FF">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 xml:space="preserve">On the basis of direct evidence presented by the resubmission, the comparison of </w:t>
      </w:r>
      <w:r w:rsidR="00F92AA3" w:rsidRPr="000E01C3">
        <w:rPr>
          <w:rFonts w:asciiTheme="minorHAnsi" w:hAnsiTheme="minorHAnsi" w:cstheme="minorHAnsi"/>
          <w:sz w:val="24"/>
          <w:szCs w:val="24"/>
        </w:rPr>
        <w:t xml:space="preserve">mannitol </w:t>
      </w:r>
      <w:r w:rsidRPr="000E01C3">
        <w:rPr>
          <w:rFonts w:asciiTheme="minorHAnsi" w:hAnsiTheme="minorHAnsi" w:cstheme="minorHAnsi"/>
          <w:sz w:val="24"/>
          <w:szCs w:val="24"/>
        </w:rPr>
        <w:t xml:space="preserve">+ </w:t>
      </w:r>
      <w:r w:rsidR="00D16665" w:rsidRPr="000E01C3">
        <w:rPr>
          <w:rFonts w:asciiTheme="minorHAnsi" w:hAnsiTheme="minorHAnsi" w:cstheme="minorHAnsi"/>
          <w:sz w:val="24"/>
          <w:szCs w:val="24"/>
        </w:rPr>
        <w:t>BSC and</w:t>
      </w:r>
      <w:r w:rsidRPr="000E01C3">
        <w:rPr>
          <w:rFonts w:asciiTheme="minorHAnsi" w:hAnsiTheme="minorHAnsi" w:cstheme="minorHAnsi"/>
          <w:sz w:val="24"/>
          <w:szCs w:val="24"/>
        </w:rPr>
        <w:t xml:space="preserve"> </w:t>
      </w:r>
      <w:r w:rsidR="0053459C" w:rsidRPr="000E01C3">
        <w:rPr>
          <w:rFonts w:asciiTheme="minorHAnsi" w:hAnsiTheme="minorHAnsi" w:cstheme="minorHAnsi"/>
          <w:sz w:val="24"/>
          <w:szCs w:val="24"/>
        </w:rPr>
        <w:t>control</w:t>
      </w:r>
      <w:r w:rsidR="006D3278" w:rsidRPr="000E01C3">
        <w:rPr>
          <w:rFonts w:asciiTheme="minorHAnsi" w:hAnsiTheme="minorHAnsi" w:cstheme="minorHAnsi"/>
          <w:sz w:val="24"/>
          <w:szCs w:val="24"/>
        </w:rPr>
        <w:t xml:space="preserve"> </w:t>
      </w:r>
      <w:r w:rsidR="0053459C" w:rsidRPr="000E01C3">
        <w:rPr>
          <w:rFonts w:asciiTheme="minorHAnsi" w:hAnsiTheme="minorHAnsi" w:cstheme="minorHAnsi"/>
          <w:sz w:val="24"/>
          <w:szCs w:val="24"/>
        </w:rPr>
        <w:t xml:space="preserve">+ </w:t>
      </w:r>
      <w:r w:rsidR="00D16665" w:rsidRPr="000E01C3">
        <w:rPr>
          <w:rFonts w:asciiTheme="minorHAnsi" w:hAnsiTheme="minorHAnsi" w:cstheme="minorHAnsi"/>
          <w:sz w:val="24"/>
          <w:szCs w:val="24"/>
        </w:rPr>
        <w:t>BSC</w:t>
      </w:r>
      <w:r w:rsidR="000C736E" w:rsidRPr="000E01C3">
        <w:rPr>
          <w:rFonts w:asciiTheme="minorHAnsi" w:hAnsiTheme="minorHAnsi" w:cstheme="minorHAnsi"/>
          <w:sz w:val="24"/>
          <w:szCs w:val="24"/>
        </w:rPr>
        <w:t xml:space="preserve"> over a median follow-up of approximately 26</w:t>
      </w:r>
      <w:r w:rsidR="00F01956" w:rsidRPr="000E01C3">
        <w:rPr>
          <w:rFonts w:asciiTheme="minorHAnsi" w:hAnsiTheme="minorHAnsi" w:cstheme="minorHAnsi"/>
          <w:sz w:val="24"/>
          <w:szCs w:val="24"/>
        </w:rPr>
        <w:t> </w:t>
      </w:r>
      <w:r w:rsidR="000C736E" w:rsidRPr="000E01C3">
        <w:rPr>
          <w:rFonts w:asciiTheme="minorHAnsi" w:hAnsiTheme="minorHAnsi" w:cstheme="minorHAnsi"/>
          <w:sz w:val="24"/>
          <w:szCs w:val="24"/>
        </w:rPr>
        <w:t>weeks in CF-301/302</w:t>
      </w:r>
      <w:r w:rsidR="00D16665" w:rsidRPr="000E01C3">
        <w:rPr>
          <w:rFonts w:asciiTheme="minorHAnsi" w:hAnsiTheme="minorHAnsi" w:cstheme="minorHAnsi"/>
          <w:sz w:val="24"/>
          <w:szCs w:val="24"/>
        </w:rPr>
        <w:t xml:space="preserve"> </w:t>
      </w:r>
      <w:r w:rsidRPr="000E01C3">
        <w:rPr>
          <w:rFonts w:asciiTheme="minorHAnsi" w:hAnsiTheme="minorHAnsi" w:cstheme="minorHAnsi"/>
          <w:sz w:val="24"/>
          <w:szCs w:val="24"/>
        </w:rPr>
        <w:t>resulted in:</w:t>
      </w:r>
    </w:p>
    <w:p w:rsidR="00D06935" w:rsidRPr="000E01C3" w:rsidRDefault="00D06935" w:rsidP="00BE33FF">
      <w:pPr>
        <w:pStyle w:val="ListParagraph"/>
        <w:widowControl/>
        <w:numPr>
          <w:ilvl w:val="0"/>
          <w:numId w:val="4"/>
        </w:numPr>
        <w:spacing w:after="120"/>
        <w:ind w:left="993"/>
        <w:contextualSpacing w:val="0"/>
        <w:rPr>
          <w:rFonts w:asciiTheme="minorHAnsi" w:hAnsiTheme="minorHAnsi" w:cstheme="minorHAnsi"/>
          <w:sz w:val="24"/>
          <w:szCs w:val="24"/>
        </w:rPr>
      </w:pPr>
      <w:r w:rsidRPr="000E01C3">
        <w:rPr>
          <w:rFonts w:asciiTheme="minorHAnsi" w:hAnsiTheme="minorHAnsi" w:cstheme="minorHAnsi"/>
          <w:sz w:val="24"/>
          <w:szCs w:val="24"/>
        </w:rPr>
        <w:t xml:space="preserve">Approximately </w:t>
      </w:r>
      <w:r w:rsidR="00D16665" w:rsidRPr="000E01C3">
        <w:rPr>
          <w:rFonts w:asciiTheme="minorHAnsi" w:hAnsiTheme="minorHAnsi" w:cstheme="minorHAnsi"/>
          <w:sz w:val="24"/>
          <w:szCs w:val="24"/>
        </w:rPr>
        <w:t>73</w:t>
      </w:r>
      <w:r w:rsidR="00CA2EBA" w:rsidRPr="000E01C3">
        <w:rPr>
          <w:rFonts w:asciiTheme="minorHAnsi" w:hAnsiTheme="minorHAnsi" w:cstheme="minorHAnsi"/>
          <w:sz w:val="24"/>
          <w:szCs w:val="24"/>
        </w:rPr>
        <w:t>mL</w:t>
      </w:r>
      <w:r w:rsidRPr="000E01C3">
        <w:rPr>
          <w:rFonts w:asciiTheme="minorHAnsi" w:hAnsiTheme="minorHAnsi" w:cstheme="minorHAnsi"/>
          <w:sz w:val="24"/>
          <w:szCs w:val="24"/>
        </w:rPr>
        <w:t xml:space="preserve"> </w:t>
      </w:r>
      <w:r w:rsidR="002B7727" w:rsidRPr="000E01C3">
        <w:rPr>
          <w:rFonts w:asciiTheme="minorHAnsi" w:hAnsiTheme="minorHAnsi" w:cstheme="minorHAnsi"/>
          <w:sz w:val="24"/>
          <w:szCs w:val="24"/>
        </w:rPr>
        <w:t xml:space="preserve">improvement </w:t>
      </w:r>
      <w:r w:rsidRPr="000E01C3">
        <w:rPr>
          <w:rFonts w:asciiTheme="minorHAnsi" w:hAnsiTheme="minorHAnsi" w:cstheme="minorHAnsi"/>
          <w:sz w:val="24"/>
          <w:szCs w:val="24"/>
        </w:rPr>
        <w:t xml:space="preserve">in </w:t>
      </w:r>
      <w:r w:rsidR="002B7727" w:rsidRPr="000E01C3">
        <w:rPr>
          <w:rFonts w:asciiTheme="minorHAnsi" w:hAnsiTheme="minorHAnsi" w:cstheme="minorHAnsi"/>
          <w:sz w:val="24"/>
          <w:szCs w:val="24"/>
        </w:rPr>
        <w:t xml:space="preserve">lung function </w:t>
      </w:r>
      <w:r w:rsidR="000C736E" w:rsidRPr="000E01C3">
        <w:rPr>
          <w:rFonts w:asciiTheme="minorHAnsi" w:hAnsiTheme="minorHAnsi" w:cstheme="minorHAnsi"/>
          <w:sz w:val="24"/>
          <w:szCs w:val="24"/>
        </w:rPr>
        <w:t>(</w:t>
      </w:r>
      <w:r w:rsidR="00CA2EBA" w:rsidRPr="000E01C3">
        <w:rPr>
          <w:rFonts w:asciiTheme="minorHAnsi" w:hAnsiTheme="minorHAnsi" w:cstheme="minorHAnsi"/>
          <w:sz w:val="24"/>
          <w:szCs w:val="24"/>
        </w:rPr>
        <w:t xml:space="preserve">absolute change in </w:t>
      </w:r>
      <w:r w:rsidR="00710FD5" w:rsidRPr="000E01C3">
        <w:rPr>
          <w:rFonts w:asciiTheme="minorHAnsi" w:hAnsiTheme="minorHAnsi" w:cstheme="minorHAnsi"/>
          <w:sz w:val="24"/>
          <w:szCs w:val="24"/>
        </w:rPr>
        <w:t>FEV</w:t>
      </w:r>
      <w:r w:rsidR="00710FD5" w:rsidRPr="000E01C3">
        <w:rPr>
          <w:rFonts w:asciiTheme="minorHAnsi" w:hAnsiTheme="minorHAnsi" w:cstheme="minorHAnsi"/>
          <w:sz w:val="24"/>
          <w:szCs w:val="24"/>
          <w:vertAlign w:val="subscript"/>
        </w:rPr>
        <w:t>1</w:t>
      </w:r>
      <w:r w:rsidR="000C736E" w:rsidRPr="000E01C3">
        <w:rPr>
          <w:rFonts w:asciiTheme="minorHAnsi" w:hAnsiTheme="minorHAnsi" w:cstheme="minorHAnsi"/>
          <w:sz w:val="24"/>
          <w:szCs w:val="24"/>
        </w:rPr>
        <w:t>).</w:t>
      </w:r>
    </w:p>
    <w:p w:rsidR="00D16665" w:rsidRPr="000E01C3" w:rsidRDefault="00D16665" w:rsidP="00BE33FF">
      <w:pPr>
        <w:pStyle w:val="ListParagraph"/>
        <w:widowControl/>
        <w:numPr>
          <w:ilvl w:val="0"/>
          <w:numId w:val="4"/>
        </w:numPr>
        <w:spacing w:after="120"/>
        <w:ind w:left="993"/>
        <w:contextualSpacing w:val="0"/>
        <w:rPr>
          <w:rFonts w:asciiTheme="minorHAnsi" w:hAnsiTheme="minorHAnsi" w:cstheme="minorHAnsi"/>
          <w:sz w:val="24"/>
          <w:szCs w:val="24"/>
        </w:rPr>
      </w:pPr>
      <w:r w:rsidRPr="000E01C3">
        <w:rPr>
          <w:rFonts w:asciiTheme="minorHAnsi" w:hAnsiTheme="minorHAnsi" w:cstheme="minorHAnsi"/>
          <w:sz w:val="24"/>
          <w:szCs w:val="24"/>
        </w:rPr>
        <w:t xml:space="preserve">Approximately </w:t>
      </w:r>
      <w:r w:rsidR="000C736E" w:rsidRPr="000E01C3">
        <w:rPr>
          <w:rFonts w:asciiTheme="minorHAnsi" w:hAnsiTheme="minorHAnsi" w:cstheme="minorHAnsi"/>
          <w:sz w:val="24"/>
          <w:szCs w:val="24"/>
        </w:rPr>
        <w:t xml:space="preserve">7 (CF-302) or </w:t>
      </w:r>
      <w:r w:rsidRPr="000E01C3">
        <w:rPr>
          <w:rFonts w:asciiTheme="minorHAnsi" w:hAnsiTheme="minorHAnsi" w:cstheme="minorHAnsi"/>
          <w:sz w:val="24"/>
          <w:szCs w:val="24"/>
        </w:rPr>
        <w:t xml:space="preserve">19 </w:t>
      </w:r>
      <w:r w:rsidR="000C736E" w:rsidRPr="000E01C3">
        <w:rPr>
          <w:rFonts w:asciiTheme="minorHAnsi" w:hAnsiTheme="minorHAnsi" w:cstheme="minorHAnsi"/>
          <w:sz w:val="24"/>
          <w:szCs w:val="24"/>
        </w:rPr>
        <w:t xml:space="preserve">(CF-301) </w:t>
      </w:r>
      <w:r w:rsidRPr="000E01C3">
        <w:rPr>
          <w:rFonts w:asciiTheme="minorHAnsi" w:hAnsiTheme="minorHAnsi" w:cstheme="minorHAnsi"/>
          <w:sz w:val="24"/>
          <w:szCs w:val="24"/>
        </w:rPr>
        <w:t xml:space="preserve">additional patients with </w:t>
      </w:r>
      <w:r w:rsidR="000C736E" w:rsidRPr="000E01C3">
        <w:rPr>
          <w:rFonts w:asciiTheme="minorHAnsi" w:hAnsiTheme="minorHAnsi" w:cstheme="minorHAnsi"/>
          <w:sz w:val="24"/>
          <w:szCs w:val="24"/>
        </w:rPr>
        <w:t xml:space="preserve">a </w:t>
      </w:r>
      <w:r w:rsidRPr="000E01C3">
        <w:rPr>
          <w:rFonts w:asciiTheme="minorHAnsi" w:hAnsiTheme="minorHAnsi" w:cstheme="minorHAnsi"/>
          <w:sz w:val="24"/>
          <w:szCs w:val="24"/>
        </w:rPr>
        <w:t>treatment related adverse event for every 100 patient</w:t>
      </w:r>
      <w:r w:rsidR="00F92AA3" w:rsidRPr="000E01C3">
        <w:rPr>
          <w:rFonts w:asciiTheme="minorHAnsi" w:hAnsiTheme="minorHAnsi" w:cstheme="minorHAnsi"/>
          <w:sz w:val="24"/>
          <w:szCs w:val="24"/>
        </w:rPr>
        <w:t>s</w:t>
      </w:r>
      <w:r w:rsidRPr="000E01C3">
        <w:rPr>
          <w:rFonts w:asciiTheme="minorHAnsi" w:hAnsiTheme="minorHAnsi" w:cstheme="minorHAnsi"/>
          <w:sz w:val="24"/>
          <w:szCs w:val="24"/>
        </w:rPr>
        <w:t xml:space="preserve"> treated</w:t>
      </w:r>
      <w:r w:rsidR="002B7727" w:rsidRPr="000E01C3">
        <w:rPr>
          <w:rFonts w:asciiTheme="minorHAnsi" w:hAnsiTheme="minorHAnsi" w:cstheme="minorHAnsi"/>
          <w:sz w:val="24"/>
          <w:szCs w:val="24"/>
        </w:rPr>
        <w:t>,</w:t>
      </w:r>
      <w:r w:rsidR="000C736E" w:rsidRPr="000E01C3">
        <w:rPr>
          <w:rFonts w:asciiTheme="minorHAnsi" w:hAnsiTheme="minorHAnsi" w:cstheme="minorHAnsi"/>
          <w:sz w:val="24"/>
          <w:szCs w:val="24"/>
        </w:rPr>
        <w:t xml:space="preserve"> most commonly cough, haemoptysis and pharyngolaryngeal pain</w:t>
      </w:r>
      <w:r w:rsidRPr="000E01C3">
        <w:rPr>
          <w:rFonts w:asciiTheme="minorHAnsi" w:hAnsiTheme="minorHAnsi" w:cstheme="minorHAnsi"/>
          <w:sz w:val="24"/>
          <w:szCs w:val="24"/>
        </w:rPr>
        <w:t>.</w:t>
      </w:r>
    </w:p>
    <w:p w:rsidR="00D20EC1" w:rsidRPr="000E01C3" w:rsidRDefault="00A56D63" w:rsidP="00D20EC1">
      <w:pPr>
        <w:pStyle w:val="ListParagraph"/>
        <w:widowControl/>
        <w:numPr>
          <w:ilvl w:val="0"/>
          <w:numId w:val="4"/>
        </w:numPr>
        <w:spacing w:after="120"/>
        <w:ind w:left="993"/>
        <w:contextualSpacing w:val="0"/>
        <w:rPr>
          <w:rFonts w:asciiTheme="minorHAnsi" w:hAnsiTheme="minorHAnsi" w:cstheme="minorHAnsi"/>
          <w:i/>
          <w:sz w:val="24"/>
          <w:szCs w:val="24"/>
        </w:rPr>
      </w:pPr>
      <w:r w:rsidRPr="000E01C3">
        <w:rPr>
          <w:rFonts w:asciiTheme="minorHAnsi" w:hAnsiTheme="minorHAnsi" w:cstheme="minorHAnsi"/>
          <w:sz w:val="24"/>
          <w:szCs w:val="24"/>
        </w:rPr>
        <w:t xml:space="preserve">In </w:t>
      </w:r>
      <w:r w:rsidR="00F92AA3" w:rsidRPr="000E01C3">
        <w:rPr>
          <w:rFonts w:asciiTheme="minorHAnsi" w:hAnsiTheme="minorHAnsi" w:cstheme="minorHAnsi"/>
          <w:sz w:val="24"/>
          <w:szCs w:val="24"/>
        </w:rPr>
        <w:t xml:space="preserve">the </w:t>
      </w:r>
      <w:r w:rsidRPr="000E01C3">
        <w:rPr>
          <w:rFonts w:asciiTheme="minorHAnsi" w:hAnsiTheme="minorHAnsi" w:cstheme="minorHAnsi"/>
          <w:sz w:val="24"/>
          <w:szCs w:val="24"/>
        </w:rPr>
        <w:t xml:space="preserve">subgroup of </w:t>
      </w:r>
      <w:r w:rsidR="000C736E" w:rsidRPr="000E01C3">
        <w:rPr>
          <w:rFonts w:asciiTheme="minorHAnsi" w:hAnsiTheme="minorHAnsi" w:cstheme="minorHAnsi"/>
          <w:sz w:val="24"/>
          <w:szCs w:val="24"/>
        </w:rPr>
        <w:t xml:space="preserve">patients who were </w:t>
      </w:r>
      <w:r w:rsidR="003371A2" w:rsidRPr="000E01C3">
        <w:rPr>
          <w:rFonts w:asciiTheme="minorHAnsi" w:hAnsiTheme="minorHAnsi" w:cstheme="minorHAnsi"/>
          <w:sz w:val="24"/>
          <w:szCs w:val="24"/>
        </w:rPr>
        <w:t>D</w:t>
      </w:r>
      <w:r w:rsidR="00F92AA3" w:rsidRPr="000E01C3">
        <w:rPr>
          <w:rFonts w:asciiTheme="minorHAnsi" w:hAnsiTheme="minorHAnsi" w:cstheme="minorHAnsi"/>
          <w:sz w:val="24"/>
          <w:szCs w:val="24"/>
        </w:rPr>
        <w:t>N</w:t>
      </w:r>
      <w:r w:rsidR="003371A2" w:rsidRPr="000E01C3">
        <w:rPr>
          <w:rFonts w:asciiTheme="minorHAnsi" w:hAnsiTheme="minorHAnsi" w:cstheme="minorHAnsi"/>
          <w:sz w:val="24"/>
          <w:szCs w:val="24"/>
        </w:rPr>
        <w:t>ase</w:t>
      </w:r>
      <w:r w:rsidRPr="000E01C3">
        <w:rPr>
          <w:rFonts w:asciiTheme="minorHAnsi" w:hAnsiTheme="minorHAnsi" w:cstheme="minorHAnsi"/>
          <w:sz w:val="24"/>
          <w:szCs w:val="24"/>
        </w:rPr>
        <w:t xml:space="preserve"> users</w:t>
      </w:r>
      <w:r w:rsidR="000C736E" w:rsidRPr="000E01C3">
        <w:rPr>
          <w:rFonts w:asciiTheme="minorHAnsi" w:hAnsiTheme="minorHAnsi" w:cstheme="minorHAnsi"/>
          <w:sz w:val="24"/>
          <w:szCs w:val="24"/>
        </w:rPr>
        <w:t xml:space="preserve"> (</w:t>
      </w:r>
      <w:r w:rsidR="00F01956" w:rsidRPr="000E01C3">
        <w:rPr>
          <w:rFonts w:asciiTheme="minorHAnsi" w:hAnsiTheme="minorHAnsi" w:cstheme="minorHAnsi"/>
          <w:sz w:val="24"/>
          <w:szCs w:val="24"/>
        </w:rPr>
        <w:t xml:space="preserve">of </w:t>
      </w:r>
      <w:r w:rsidR="000C736E" w:rsidRPr="000E01C3">
        <w:rPr>
          <w:rFonts w:asciiTheme="minorHAnsi" w:hAnsiTheme="minorHAnsi" w:cstheme="minorHAnsi"/>
          <w:sz w:val="24"/>
          <w:szCs w:val="24"/>
        </w:rPr>
        <w:t>relevan</w:t>
      </w:r>
      <w:r w:rsidR="00F01956" w:rsidRPr="000E01C3">
        <w:rPr>
          <w:rFonts w:asciiTheme="minorHAnsi" w:hAnsiTheme="minorHAnsi" w:cstheme="minorHAnsi"/>
          <w:sz w:val="24"/>
          <w:szCs w:val="24"/>
        </w:rPr>
        <w:t>ce</w:t>
      </w:r>
      <w:r w:rsidR="000C736E" w:rsidRPr="000E01C3">
        <w:rPr>
          <w:rFonts w:asciiTheme="minorHAnsi" w:hAnsiTheme="minorHAnsi" w:cstheme="minorHAnsi"/>
          <w:sz w:val="24"/>
          <w:szCs w:val="24"/>
        </w:rPr>
        <w:t xml:space="preserve"> to the current </w:t>
      </w:r>
      <w:r w:rsidR="00F01956" w:rsidRPr="000E01C3">
        <w:rPr>
          <w:rFonts w:asciiTheme="minorHAnsi" w:hAnsiTheme="minorHAnsi" w:cstheme="minorHAnsi"/>
          <w:sz w:val="24"/>
          <w:szCs w:val="24"/>
        </w:rPr>
        <w:t>re</w:t>
      </w:r>
      <w:r w:rsidR="000C736E" w:rsidRPr="000E01C3">
        <w:rPr>
          <w:rFonts w:asciiTheme="minorHAnsi" w:hAnsiTheme="minorHAnsi" w:cstheme="minorHAnsi"/>
          <w:sz w:val="24"/>
          <w:szCs w:val="24"/>
        </w:rPr>
        <w:t xml:space="preserve">submission), there was no significant difference in the prevalence of </w:t>
      </w:r>
      <w:r w:rsidR="00C346BC" w:rsidRPr="000E01C3">
        <w:rPr>
          <w:rFonts w:asciiTheme="minorHAnsi" w:hAnsiTheme="minorHAnsi" w:cstheme="minorHAnsi"/>
          <w:sz w:val="24"/>
          <w:szCs w:val="24"/>
        </w:rPr>
        <w:t xml:space="preserve">pulmonary exacerbations </w:t>
      </w:r>
      <w:r w:rsidR="000C736E" w:rsidRPr="000E01C3">
        <w:rPr>
          <w:rFonts w:asciiTheme="minorHAnsi" w:hAnsiTheme="minorHAnsi" w:cstheme="minorHAnsi"/>
          <w:sz w:val="24"/>
          <w:szCs w:val="24"/>
        </w:rPr>
        <w:t xml:space="preserve">between mannitol and control. Amongst </w:t>
      </w:r>
      <w:r w:rsidR="005175D1" w:rsidRPr="000E01C3">
        <w:rPr>
          <w:rFonts w:asciiTheme="minorHAnsi" w:hAnsiTheme="minorHAnsi" w:cstheme="minorHAnsi"/>
          <w:sz w:val="24"/>
          <w:szCs w:val="24"/>
        </w:rPr>
        <w:t xml:space="preserve">the subgroup who were not </w:t>
      </w:r>
      <w:r w:rsidR="000C736E" w:rsidRPr="000E01C3">
        <w:rPr>
          <w:rFonts w:asciiTheme="minorHAnsi" w:hAnsiTheme="minorHAnsi" w:cstheme="minorHAnsi"/>
          <w:sz w:val="24"/>
          <w:szCs w:val="24"/>
        </w:rPr>
        <w:t>DNase users</w:t>
      </w:r>
      <w:r w:rsidR="00307D95" w:rsidRPr="000E01C3">
        <w:rPr>
          <w:rFonts w:asciiTheme="minorHAnsi" w:hAnsiTheme="minorHAnsi" w:cstheme="minorHAnsi"/>
          <w:sz w:val="24"/>
          <w:szCs w:val="24"/>
        </w:rPr>
        <w:t>, the prevalence of</w:t>
      </w:r>
      <w:r w:rsidR="00D20EC1" w:rsidRPr="000E01C3">
        <w:rPr>
          <w:rFonts w:asciiTheme="minorHAnsi" w:hAnsiTheme="minorHAnsi" w:cstheme="minorHAnsi"/>
          <w:sz w:val="24"/>
          <w:szCs w:val="24"/>
        </w:rPr>
        <w:t xml:space="preserve"> </w:t>
      </w:r>
      <w:r w:rsidR="00C346BC" w:rsidRPr="000E01C3">
        <w:rPr>
          <w:rFonts w:asciiTheme="minorHAnsi" w:hAnsiTheme="minorHAnsi" w:cstheme="minorHAnsi"/>
          <w:sz w:val="24"/>
          <w:szCs w:val="24"/>
        </w:rPr>
        <w:t>pulmonary exacerbation</w:t>
      </w:r>
      <w:r w:rsidR="00D852A7" w:rsidRPr="000E01C3">
        <w:rPr>
          <w:rFonts w:asciiTheme="minorHAnsi" w:hAnsiTheme="minorHAnsi" w:cstheme="minorHAnsi"/>
          <w:sz w:val="24"/>
          <w:szCs w:val="24"/>
        </w:rPr>
        <w:t xml:space="preserve"> events </w:t>
      </w:r>
      <w:r w:rsidR="00307D95" w:rsidRPr="000E01C3">
        <w:rPr>
          <w:rFonts w:asciiTheme="minorHAnsi" w:hAnsiTheme="minorHAnsi" w:cstheme="minorHAnsi"/>
          <w:sz w:val="24"/>
          <w:szCs w:val="24"/>
        </w:rPr>
        <w:t>was approximately halved with use of mannitol vs control</w:t>
      </w:r>
      <w:r w:rsidR="00307D95" w:rsidRPr="000E01C3">
        <w:rPr>
          <w:rFonts w:asciiTheme="minorHAnsi" w:hAnsiTheme="minorHAnsi" w:cstheme="minorHAnsi"/>
          <w:i/>
          <w:sz w:val="24"/>
          <w:szCs w:val="24"/>
        </w:rPr>
        <w:t xml:space="preserve">. </w:t>
      </w:r>
      <w:bookmarkStart w:id="14" w:name="_Toc482779073"/>
    </w:p>
    <w:p w:rsidR="00D06935" w:rsidRPr="000E01C3" w:rsidRDefault="00D06935" w:rsidP="001E4508">
      <w:pPr>
        <w:pStyle w:val="Heading2"/>
        <w:keepNext/>
        <w:keepLines/>
        <w:widowControl/>
        <w:spacing w:before="240" w:after="120"/>
        <w:jc w:val="left"/>
        <w:rPr>
          <w:rFonts w:asciiTheme="minorHAnsi" w:eastAsiaTheme="majorEastAsia" w:hAnsiTheme="minorHAnsi" w:cstheme="majorBidi"/>
          <w:i/>
          <w:snapToGrid/>
          <w:sz w:val="28"/>
          <w:szCs w:val="28"/>
        </w:rPr>
      </w:pPr>
      <w:r w:rsidRPr="000E01C3">
        <w:rPr>
          <w:rFonts w:asciiTheme="minorHAnsi" w:eastAsiaTheme="majorEastAsia" w:hAnsiTheme="minorHAnsi" w:cstheme="majorBidi"/>
          <w:i/>
          <w:snapToGrid/>
          <w:sz w:val="28"/>
          <w:szCs w:val="28"/>
        </w:rPr>
        <w:t>Clinical claim</w:t>
      </w:r>
      <w:bookmarkEnd w:id="14"/>
    </w:p>
    <w:p w:rsidR="00D06935" w:rsidRPr="000E01C3" w:rsidRDefault="00D06935" w:rsidP="00BE33FF">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The resubmission described mannitol + BSC (</w:t>
      </w:r>
      <w:r w:rsidR="00224FCF" w:rsidRPr="000E01C3">
        <w:rPr>
          <w:rFonts w:asciiTheme="minorHAnsi" w:hAnsiTheme="minorHAnsi" w:cstheme="minorHAnsi"/>
          <w:sz w:val="24"/>
          <w:szCs w:val="24"/>
        </w:rPr>
        <w:t xml:space="preserve">which </w:t>
      </w:r>
      <w:r w:rsidRPr="000E01C3">
        <w:rPr>
          <w:rFonts w:asciiTheme="minorHAnsi" w:hAnsiTheme="minorHAnsi" w:cstheme="minorHAnsi"/>
          <w:sz w:val="24"/>
          <w:szCs w:val="24"/>
        </w:rPr>
        <w:t xml:space="preserve">may </w:t>
      </w:r>
      <w:r w:rsidR="00A2195C" w:rsidRPr="000E01C3">
        <w:rPr>
          <w:rFonts w:asciiTheme="minorHAnsi" w:hAnsiTheme="minorHAnsi" w:cstheme="minorHAnsi"/>
          <w:sz w:val="24"/>
          <w:szCs w:val="24"/>
        </w:rPr>
        <w:t xml:space="preserve">or may not </w:t>
      </w:r>
      <w:r w:rsidRPr="000E01C3">
        <w:rPr>
          <w:rFonts w:asciiTheme="minorHAnsi" w:hAnsiTheme="minorHAnsi" w:cstheme="minorHAnsi"/>
          <w:sz w:val="24"/>
          <w:szCs w:val="24"/>
        </w:rPr>
        <w:t xml:space="preserve">include DNase) as superior in terms of comparative effectiveness and inferior in terms of comparative safety over placebo/control + BSC (which may </w:t>
      </w:r>
      <w:r w:rsidR="00A2195C" w:rsidRPr="000E01C3">
        <w:rPr>
          <w:rFonts w:asciiTheme="minorHAnsi" w:hAnsiTheme="minorHAnsi" w:cstheme="minorHAnsi"/>
          <w:sz w:val="24"/>
          <w:szCs w:val="24"/>
        </w:rPr>
        <w:t xml:space="preserve">or may not </w:t>
      </w:r>
      <w:r w:rsidRPr="000E01C3">
        <w:rPr>
          <w:rFonts w:asciiTheme="minorHAnsi" w:hAnsiTheme="minorHAnsi" w:cstheme="minorHAnsi"/>
          <w:sz w:val="24"/>
          <w:szCs w:val="24"/>
        </w:rPr>
        <w:t>include DNase).</w:t>
      </w:r>
      <w:r w:rsidR="007869A7" w:rsidRPr="000E01C3">
        <w:rPr>
          <w:rFonts w:asciiTheme="minorHAnsi" w:hAnsiTheme="minorHAnsi" w:cstheme="minorHAnsi"/>
          <w:sz w:val="24"/>
          <w:szCs w:val="24"/>
        </w:rPr>
        <w:t xml:space="preserve"> </w:t>
      </w:r>
      <w:r w:rsidRPr="000E01C3">
        <w:rPr>
          <w:rFonts w:asciiTheme="minorHAnsi" w:hAnsiTheme="minorHAnsi" w:cstheme="minorHAnsi"/>
          <w:sz w:val="24"/>
          <w:szCs w:val="24"/>
        </w:rPr>
        <w:t xml:space="preserve">The claim was </w:t>
      </w:r>
      <w:r w:rsidRPr="000E01C3">
        <w:rPr>
          <w:rFonts w:asciiTheme="minorHAnsi" w:hAnsiTheme="minorHAnsi" w:cstheme="minorHAnsi"/>
          <w:iCs/>
          <w:sz w:val="24"/>
          <w:szCs w:val="24"/>
        </w:rPr>
        <w:t>appropriate</w:t>
      </w:r>
      <w:r w:rsidRPr="000E01C3">
        <w:rPr>
          <w:rFonts w:asciiTheme="minorHAnsi" w:hAnsiTheme="minorHAnsi" w:cstheme="minorHAnsi"/>
          <w:sz w:val="24"/>
          <w:szCs w:val="24"/>
        </w:rPr>
        <w:t xml:space="preserve"> with respect to safety</w:t>
      </w:r>
      <w:r w:rsidR="00033056" w:rsidRPr="000E01C3">
        <w:rPr>
          <w:rFonts w:asciiTheme="minorHAnsi" w:hAnsiTheme="minorHAnsi" w:cstheme="minorHAnsi"/>
          <w:sz w:val="24"/>
          <w:szCs w:val="24"/>
        </w:rPr>
        <w:t>.</w:t>
      </w:r>
      <w:r w:rsidRPr="000E01C3">
        <w:rPr>
          <w:rFonts w:asciiTheme="minorHAnsi" w:hAnsiTheme="minorHAnsi" w:cstheme="minorHAnsi"/>
          <w:sz w:val="24"/>
          <w:szCs w:val="24"/>
        </w:rPr>
        <w:t xml:space="preserve"> </w:t>
      </w:r>
      <w:r w:rsidR="00033056" w:rsidRPr="000E01C3">
        <w:rPr>
          <w:rFonts w:asciiTheme="minorHAnsi" w:hAnsiTheme="minorHAnsi" w:cstheme="minorHAnsi"/>
          <w:sz w:val="24"/>
          <w:szCs w:val="24"/>
        </w:rPr>
        <w:t xml:space="preserve">However, the </w:t>
      </w:r>
      <w:r w:rsidR="00EB77DF" w:rsidRPr="000E01C3">
        <w:rPr>
          <w:rFonts w:asciiTheme="minorHAnsi" w:hAnsiTheme="minorHAnsi" w:cstheme="minorHAnsi"/>
          <w:sz w:val="24"/>
          <w:szCs w:val="24"/>
        </w:rPr>
        <w:t xml:space="preserve">ESC considered the </w:t>
      </w:r>
      <w:r w:rsidR="00033056" w:rsidRPr="000E01C3">
        <w:rPr>
          <w:rFonts w:asciiTheme="minorHAnsi" w:hAnsiTheme="minorHAnsi" w:cstheme="minorHAnsi"/>
          <w:sz w:val="24"/>
          <w:szCs w:val="24"/>
        </w:rPr>
        <w:t xml:space="preserve">claim </w:t>
      </w:r>
      <w:r w:rsidR="008F5290" w:rsidRPr="000E01C3">
        <w:rPr>
          <w:rFonts w:asciiTheme="minorHAnsi" w:hAnsiTheme="minorHAnsi" w:cstheme="minorHAnsi"/>
          <w:sz w:val="24"/>
          <w:szCs w:val="24"/>
        </w:rPr>
        <w:t xml:space="preserve">was inadequately </w:t>
      </w:r>
      <w:r w:rsidRPr="000E01C3">
        <w:rPr>
          <w:rFonts w:asciiTheme="minorHAnsi" w:hAnsiTheme="minorHAnsi" w:cstheme="minorHAnsi"/>
          <w:sz w:val="24"/>
          <w:szCs w:val="24"/>
        </w:rPr>
        <w:t xml:space="preserve">supported with respect to </w:t>
      </w:r>
      <w:r w:rsidR="00224FCF" w:rsidRPr="000E01C3">
        <w:rPr>
          <w:rFonts w:asciiTheme="minorHAnsi" w:hAnsiTheme="minorHAnsi" w:cstheme="minorHAnsi"/>
          <w:sz w:val="24"/>
          <w:szCs w:val="24"/>
        </w:rPr>
        <w:t xml:space="preserve">effectiveness </w:t>
      </w:r>
      <w:r w:rsidRPr="000E01C3">
        <w:rPr>
          <w:rFonts w:asciiTheme="minorHAnsi" w:hAnsiTheme="minorHAnsi" w:cstheme="minorHAnsi"/>
          <w:sz w:val="24"/>
          <w:szCs w:val="24"/>
        </w:rPr>
        <w:t xml:space="preserve">as the evidence did not directly inform the </w:t>
      </w:r>
      <w:r w:rsidR="00A2195C" w:rsidRPr="000E01C3">
        <w:rPr>
          <w:rFonts w:asciiTheme="minorHAnsi" w:hAnsiTheme="minorHAnsi" w:cstheme="minorHAnsi"/>
          <w:sz w:val="24"/>
          <w:szCs w:val="24"/>
        </w:rPr>
        <w:t xml:space="preserve">requested additional </w:t>
      </w:r>
      <w:r w:rsidRPr="000E01C3">
        <w:rPr>
          <w:rFonts w:asciiTheme="minorHAnsi" w:hAnsiTheme="minorHAnsi" w:cstheme="minorHAnsi"/>
          <w:sz w:val="24"/>
          <w:szCs w:val="24"/>
        </w:rPr>
        <w:t xml:space="preserve">population of patients who are inadequately responsive to DNase and </w:t>
      </w:r>
      <w:r w:rsidR="005A21C5" w:rsidRPr="000E01C3">
        <w:rPr>
          <w:rFonts w:asciiTheme="minorHAnsi" w:hAnsiTheme="minorHAnsi" w:cstheme="minorHAnsi"/>
          <w:sz w:val="24"/>
          <w:szCs w:val="24"/>
        </w:rPr>
        <w:t xml:space="preserve">seek </w:t>
      </w:r>
      <w:r w:rsidRPr="000E01C3">
        <w:rPr>
          <w:rFonts w:asciiTheme="minorHAnsi" w:hAnsiTheme="minorHAnsi" w:cstheme="minorHAnsi"/>
          <w:sz w:val="24"/>
          <w:szCs w:val="24"/>
        </w:rPr>
        <w:t xml:space="preserve">to add mannitol to existing DNase therapy </w:t>
      </w:r>
      <w:r w:rsidR="00033056" w:rsidRPr="000E01C3">
        <w:rPr>
          <w:rFonts w:asciiTheme="minorHAnsi" w:hAnsiTheme="minorHAnsi" w:cstheme="minorHAnsi"/>
          <w:sz w:val="24"/>
          <w:szCs w:val="24"/>
        </w:rPr>
        <w:t>because:</w:t>
      </w:r>
    </w:p>
    <w:p w:rsidR="00D06935" w:rsidRPr="000E01C3" w:rsidRDefault="00D06935" w:rsidP="00EB77DF">
      <w:pPr>
        <w:pStyle w:val="ListParagraph"/>
        <w:widowControl/>
        <w:numPr>
          <w:ilvl w:val="0"/>
          <w:numId w:val="10"/>
        </w:numPr>
        <w:tabs>
          <w:tab w:val="left" w:pos="993"/>
        </w:tabs>
        <w:spacing w:after="120"/>
        <w:ind w:left="993" w:hanging="284"/>
        <w:contextualSpacing w:val="0"/>
        <w:rPr>
          <w:rFonts w:asciiTheme="minorHAnsi" w:hAnsiTheme="minorHAnsi" w:cstheme="minorHAnsi"/>
          <w:sz w:val="24"/>
          <w:szCs w:val="24"/>
        </w:rPr>
      </w:pPr>
      <w:r w:rsidRPr="000E01C3">
        <w:rPr>
          <w:rFonts w:asciiTheme="minorHAnsi" w:hAnsiTheme="minorHAnsi" w:cstheme="minorHAnsi"/>
          <w:sz w:val="24"/>
          <w:szCs w:val="24"/>
        </w:rPr>
        <w:t>None of the included trials had specifically enrolled patients who were inadequately responsive to DNase</w:t>
      </w:r>
      <w:r w:rsidR="00EB77DF" w:rsidRPr="000E01C3">
        <w:rPr>
          <w:rFonts w:asciiTheme="minorHAnsi" w:hAnsiTheme="minorHAnsi" w:cstheme="minorHAnsi"/>
          <w:sz w:val="24"/>
          <w:szCs w:val="24"/>
        </w:rPr>
        <w:t>; t</w:t>
      </w:r>
      <w:r w:rsidRPr="000E01C3">
        <w:rPr>
          <w:rFonts w:asciiTheme="minorHAnsi" w:hAnsiTheme="minorHAnsi" w:cstheme="minorHAnsi"/>
          <w:sz w:val="24"/>
          <w:szCs w:val="24"/>
        </w:rPr>
        <w:t>he closest proxy was patients who were taking concomitant DNase in the trials (Trial CF-203 and subgroups of patients in Trials CF-201, CF-301 and CF-302)</w:t>
      </w:r>
      <w:r w:rsidR="008F5290" w:rsidRPr="000E01C3">
        <w:rPr>
          <w:rFonts w:asciiTheme="minorHAnsi" w:hAnsiTheme="minorHAnsi" w:cstheme="minorHAnsi"/>
          <w:sz w:val="24"/>
          <w:szCs w:val="24"/>
        </w:rPr>
        <w:t>.</w:t>
      </w:r>
    </w:p>
    <w:p w:rsidR="00D06935" w:rsidRPr="000E01C3" w:rsidRDefault="00D06935" w:rsidP="00BE33FF">
      <w:pPr>
        <w:pStyle w:val="ListParagraph"/>
        <w:widowControl/>
        <w:numPr>
          <w:ilvl w:val="0"/>
          <w:numId w:val="10"/>
        </w:numPr>
        <w:tabs>
          <w:tab w:val="left" w:pos="993"/>
        </w:tabs>
        <w:spacing w:after="120"/>
        <w:ind w:left="993" w:hanging="284"/>
        <w:contextualSpacing w:val="0"/>
        <w:rPr>
          <w:rFonts w:asciiTheme="minorHAnsi" w:hAnsiTheme="minorHAnsi" w:cstheme="minorHAnsi"/>
          <w:iCs/>
          <w:sz w:val="24"/>
          <w:szCs w:val="24"/>
        </w:rPr>
      </w:pPr>
      <w:r w:rsidRPr="000E01C3">
        <w:rPr>
          <w:rFonts w:asciiTheme="minorHAnsi" w:hAnsiTheme="minorHAnsi" w:cstheme="minorHAnsi"/>
          <w:iCs/>
          <w:sz w:val="24"/>
          <w:szCs w:val="24"/>
        </w:rPr>
        <w:t>Trial CF-203</w:t>
      </w:r>
      <w:r w:rsidR="00D14E0D" w:rsidRPr="000E01C3">
        <w:rPr>
          <w:rFonts w:asciiTheme="minorHAnsi" w:hAnsiTheme="minorHAnsi" w:cstheme="minorHAnsi"/>
          <w:iCs/>
          <w:sz w:val="24"/>
          <w:szCs w:val="24"/>
        </w:rPr>
        <w:t>,</w:t>
      </w:r>
      <w:r w:rsidR="002B7727" w:rsidRPr="000E01C3">
        <w:rPr>
          <w:rFonts w:asciiTheme="minorHAnsi" w:hAnsiTheme="minorHAnsi" w:cstheme="minorHAnsi"/>
          <w:iCs/>
          <w:sz w:val="24"/>
          <w:szCs w:val="24"/>
        </w:rPr>
        <w:t xml:space="preserve"> which</w:t>
      </w:r>
      <w:r w:rsidRPr="000E01C3">
        <w:rPr>
          <w:rFonts w:asciiTheme="minorHAnsi" w:hAnsiTheme="minorHAnsi" w:cstheme="minorHAnsi"/>
          <w:iCs/>
          <w:sz w:val="24"/>
          <w:szCs w:val="24"/>
        </w:rPr>
        <w:t xml:space="preserve"> directly compared patients taking concomitant DNase and mannitol and the two therapies separately, found no significant differences in lung function between mannitol + DNase versus DNase</w:t>
      </w:r>
      <w:r w:rsidR="005A21C5" w:rsidRPr="000E01C3">
        <w:rPr>
          <w:rFonts w:asciiTheme="minorHAnsi" w:hAnsiTheme="minorHAnsi" w:cstheme="minorHAnsi"/>
          <w:iCs/>
          <w:sz w:val="24"/>
          <w:szCs w:val="24"/>
        </w:rPr>
        <w:t>. T</w:t>
      </w:r>
      <w:r w:rsidRPr="000E01C3">
        <w:rPr>
          <w:rFonts w:asciiTheme="minorHAnsi" w:hAnsiTheme="minorHAnsi" w:cstheme="minorHAnsi"/>
          <w:iCs/>
          <w:sz w:val="24"/>
          <w:szCs w:val="24"/>
        </w:rPr>
        <w:t xml:space="preserve">he </w:t>
      </w:r>
      <w:r w:rsidR="00710FD5" w:rsidRPr="000E01C3">
        <w:rPr>
          <w:rFonts w:asciiTheme="minorHAnsi" w:hAnsiTheme="minorHAnsi" w:cstheme="minorHAnsi"/>
          <w:iCs/>
          <w:sz w:val="24"/>
          <w:szCs w:val="24"/>
        </w:rPr>
        <w:t>FEV</w:t>
      </w:r>
      <w:r w:rsidR="00710FD5" w:rsidRPr="000E01C3">
        <w:rPr>
          <w:rFonts w:asciiTheme="minorHAnsi" w:hAnsiTheme="minorHAnsi" w:cstheme="minorHAnsi"/>
          <w:iCs/>
          <w:sz w:val="24"/>
          <w:szCs w:val="24"/>
          <w:vertAlign w:val="subscript"/>
        </w:rPr>
        <w:t>1</w:t>
      </w:r>
      <w:r w:rsidRPr="000E01C3">
        <w:rPr>
          <w:rFonts w:asciiTheme="minorHAnsi" w:hAnsiTheme="minorHAnsi" w:cstheme="minorHAnsi"/>
          <w:iCs/>
          <w:sz w:val="24"/>
          <w:szCs w:val="24"/>
        </w:rPr>
        <w:t xml:space="preserve"> results showed combined use to</w:t>
      </w:r>
      <w:r w:rsidR="00414B2A" w:rsidRPr="000E01C3">
        <w:rPr>
          <w:rFonts w:asciiTheme="minorHAnsi" w:hAnsiTheme="minorHAnsi" w:cstheme="minorHAnsi"/>
          <w:iCs/>
          <w:sz w:val="24"/>
          <w:szCs w:val="24"/>
        </w:rPr>
        <w:t xml:space="preserve"> be numerically</w:t>
      </w:r>
      <w:r w:rsidR="005548DF" w:rsidRPr="000E01C3">
        <w:rPr>
          <w:rFonts w:asciiTheme="minorHAnsi" w:hAnsiTheme="minorHAnsi" w:cstheme="minorHAnsi"/>
          <w:iCs/>
          <w:sz w:val="24"/>
          <w:szCs w:val="24"/>
        </w:rPr>
        <w:t xml:space="preserve"> </w:t>
      </w:r>
      <w:r w:rsidRPr="000E01C3">
        <w:rPr>
          <w:rFonts w:asciiTheme="minorHAnsi" w:hAnsiTheme="minorHAnsi" w:cstheme="minorHAnsi"/>
          <w:iCs/>
          <w:sz w:val="24"/>
          <w:szCs w:val="24"/>
        </w:rPr>
        <w:t>worse than DNase</w:t>
      </w:r>
      <w:r w:rsidR="005548DF" w:rsidRPr="000E01C3">
        <w:rPr>
          <w:rFonts w:asciiTheme="minorHAnsi" w:hAnsiTheme="minorHAnsi" w:cstheme="minorHAnsi"/>
          <w:iCs/>
          <w:sz w:val="24"/>
          <w:szCs w:val="24"/>
        </w:rPr>
        <w:t xml:space="preserve"> </w:t>
      </w:r>
      <w:r w:rsidR="005A21C5" w:rsidRPr="000E01C3">
        <w:rPr>
          <w:rFonts w:asciiTheme="minorHAnsi" w:hAnsiTheme="minorHAnsi" w:cstheme="minorHAnsi"/>
          <w:iCs/>
          <w:sz w:val="24"/>
          <w:szCs w:val="24"/>
        </w:rPr>
        <w:t xml:space="preserve">alone, although </w:t>
      </w:r>
      <w:r w:rsidR="005548DF" w:rsidRPr="000E01C3">
        <w:rPr>
          <w:rFonts w:asciiTheme="minorHAnsi" w:hAnsiTheme="minorHAnsi" w:cstheme="minorHAnsi"/>
          <w:iCs/>
          <w:sz w:val="24"/>
          <w:szCs w:val="24"/>
        </w:rPr>
        <w:t>the difference was</w:t>
      </w:r>
      <w:r w:rsidR="00414B2A" w:rsidRPr="000E01C3">
        <w:rPr>
          <w:rFonts w:asciiTheme="minorHAnsi" w:hAnsiTheme="minorHAnsi" w:cstheme="minorHAnsi"/>
          <w:iCs/>
          <w:sz w:val="24"/>
          <w:szCs w:val="24"/>
        </w:rPr>
        <w:t xml:space="preserve"> not statistically significant</w:t>
      </w:r>
      <w:r w:rsidRPr="000E01C3">
        <w:rPr>
          <w:rFonts w:asciiTheme="minorHAnsi" w:hAnsiTheme="minorHAnsi" w:cstheme="minorHAnsi"/>
          <w:iCs/>
          <w:sz w:val="24"/>
          <w:szCs w:val="24"/>
        </w:rPr>
        <w:t>.</w:t>
      </w:r>
    </w:p>
    <w:p w:rsidR="00D06935" w:rsidRPr="000E01C3" w:rsidRDefault="00D06935" w:rsidP="00BE33FF">
      <w:pPr>
        <w:pStyle w:val="ListParagraph"/>
        <w:widowControl/>
        <w:numPr>
          <w:ilvl w:val="0"/>
          <w:numId w:val="10"/>
        </w:numPr>
        <w:tabs>
          <w:tab w:val="left" w:pos="993"/>
        </w:tabs>
        <w:spacing w:after="120"/>
        <w:ind w:left="993" w:hanging="284"/>
        <w:contextualSpacing w:val="0"/>
        <w:rPr>
          <w:rFonts w:asciiTheme="minorHAnsi" w:hAnsiTheme="minorHAnsi" w:cstheme="minorHAnsi"/>
          <w:iCs/>
          <w:sz w:val="24"/>
          <w:szCs w:val="24"/>
        </w:rPr>
      </w:pPr>
      <w:r w:rsidRPr="000E01C3">
        <w:rPr>
          <w:rFonts w:asciiTheme="minorHAnsi" w:hAnsiTheme="minorHAnsi" w:cstheme="minorHAnsi"/>
          <w:iCs/>
          <w:sz w:val="24"/>
          <w:szCs w:val="24"/>
        </w:rPr>
        <w:t xml:space="preserve">For the sub-group of 18 patients using DNase in Trial CF-201, no significant difference between mannitol and placebo was found in </w:t>
      </w:r>
      <w:r w:rsidR="00AB73F9" w:rsidRPr="000E01C3">
        <w:rPr>
          <w:rFonts w:asciiTheme="minorHAnsi" w:hAnsiTheme="minorHAnsi" w:cstheme="minorHAnsi"/>
          <w:iCs/>
          <w:sz w:val="24"/>
          <w:szCs w:val="24"/>
        </w:rPr>
        <w:t xml:space="preserve">percentage change in </w:t>
      </w:r>
      <w:r w:rsidR="00710FD5" w:rsidRPr="000E01C3">
        <w:rPr>
          <w:rFonts w:asciiTheme="minorHAnsi" w:hAnsiTheme="minorHAnsi" w:cstheme="minorHAnsi"/>
          <w:iCs/>
          <w:sz w:val="24"/>
          <w:szCs w:val="24"/>
        </w:rPr>
        <w:t>FEV</w:t>
      </w:r>
      <w:r w:rsidR="00710FD5" w:rsidRPr="000E01C3">
        <w:rPr>
          <w:rFonts w:asciiTheme="minorHAnsi" w:hAnsiTheme="minorHAnsi" w:cstheme="minorHAnsi"/>
          <w:iCs/>
          <w:sz w:val="24"/>
          <w:szCs w:val="24"/>
          <w:vertAlign w:val="subscript"/>
        </w:rPr>
        <w:t>1</w:t>
      </w:r>
      <w:r w:rsidR="002B7727" w:rsidRPr="000E01C3">
        <w:rPr>
          <w:rFonts w:asciiTheme="minorHAnsi" w:hAnsiTheme="minorHAnsi" w:cstheme="minorHAnsi"/>
          <w:iCs/>
          <w:sz w:val="24"/>
          <w:szCs w:val="24"/>
        </w:rPr>
        <w:t xml:space="preserve"> from baseline.</w:t>
      </w:r>
    </w:p>
    <w:p w:rsidR="00D06935" w:rsidRPr="000E01C3" w:rsidRDefault="00D06935" w:rsidP="00BE33FF">
      <w:pPr>
        <w:pStyle w:val="ListParagraph"/>
        <w:widowControl/>
        <w:numPr>
          <w:ilvl w:val="0"/>
          <w:numId w:val="10"/>
        </w:numPr>
        <w:tabs>
          <w:tab w:val="left" w:pos="993"/>
        </w:tabs>
        <w:spacing w:after="120"/>
        <w:ind w:left="993" w:hanging="284"/>
        <w:contextualSpacing w:val="0"/>
        <w:rPr>
          <w:rFonts w:asciiTheme="minorHAnsi" w:hAnsiTheme="minorHAnsi" w:cstheme="minorHAnsi"/>
          <w:sz w:val="24"/>
          <w:szCs w:val="24"/>
        </w:rPr>
      </w:pPr>
      <w:r w:rsidRPr="000E01C3">
        <w:rPr>
          <w:rFonts w:asciiTheme="minorHAnsi" w:hAnsiTheme="minorHAnsi" w:cstheme="minorHAnsi"/>
          <w:iCs/>
          <w:sz w:val="24"/>
          <w:szCs w:val="24"/>
        </w:rPr>
        <w:t>For Trials CF</w:t>
      </w:r>
      <w:r w:rsidR="006B5072" w:rsidRPr="000E01C3">
        <w:rPr>
          <w:rFonts w:asciiTheme="minorHAnsi" w:hAnsiTheme="minorHAnsi" w:cstheme="minorHAnsi"/>
          <w:iCs/>
          <w:sz w:val="24"/>
          <w:szCs w:val="24"/>
        </w:rPr>
        <w:t>-</w:t>
      </w:r>
      <w:r w:rsidRPr="000E01C3">
        <w:rPr>
          <w:rFonts w:asciiTheme="minorHAnsi" w:hAnsiTheme="minorHAnsi" w:cstheme="minorHAnsi"/>
          <w:iCs/>
          <w:sz w:val="24"/>
          <w:szCs w:val="24"/>
        </w:rPr>
        <w:t>301 and CF</w:t>
      </w:r>
      <w:r w:rsidR="006B5072" w:rsidRPr="000E01C3">
        <w:rPr>
          <w:rFonts w:asciiTheme="minorHAnsi" w:hAnsiTheme="minorHAnsi" w:cstheme="minorHAnsi"/>
          <w:iCs/>
          <w:sz w:val="24"/>
          <w:szCs w:val="24"/>
        </w:rPr>
        <w:t>-</w:t>
      </w:r>
      <w:r w:rsidRPr="000E01C3">
        <w:rPr>
          <w:rFonts w:asciiTheme="minorHAnsi" w:hAnsiTheme="minorHAnsi" w:cstheme="minorHAnsi"/>
          <w:iCs/>
          <w:sz w:val="24"/>
          <w:szCs w:val="24"/>
        </w:rPr>
        <w:t xml:space="preserve">302, the incremental benefits with respect to both the statistically significant </w:t>
      </w:r>
      <w:r w:rsidR="00710FD5" w:rsidRPr="000E01C3">
        <w:rPr>
          <w:rFonts w:asciiTheme="minorHAnsi" w:hAnsiTheme="minorHAnsi" w:cstheme="minorHAnsi"/>
          <w:iCs/>
          <w:sz w:val="24"/>
          <w:szCs w:val="24"/>
        </w:rPr>
        <w:t>FEV</w:t>
      </w:r>
      <w:r w:rsidR="00710FD5" w:rsidRPr="000E01C3">
        <w:rPr>
          <w:rFonts w:asciiTheme="minorHAnsi" w:hAnsiTheme="minorHAnsi" w:cstheme="minorHAnsi"/>
          <w:iCs/>
          <w:sz w:val="24"/>
          <w:szCs w:val="24"/>
          <w:vertAlign w:val="subscript"/>
        </w:rPr>
        <w:t>1</w:t>
      </w:r>
      <w:r w:rsidRPr="000E01C3">
        <w:rPr>
          <w:rFonts w:asciiTheme="minorHAnsi" w:hAnsiTheme="minorHAnsi" w:cstheme="minorHAnsi"/>
          <w:iCs/>
          <w:sz w:val="24"/>
          <w:szCs w:val="24"/>
          <w:vertAlign w:val="subscript"/>
        </w:rPr>
        <w:t xml:space="preserve"> </w:t>
      </w:r>
      <w:r w:rsidRPr="000E01C3">
        <w:rPr>
          <w:rFonts w:asciiTheme="minorHAnsi" w:hAnsiTheme="minorHAnsi" w:cstheme="minorHAnsi"/>
          <w:iCs/>
          <w:sz w:val="24"/>
          <w:szCs w:val="24"/>
        </w:rPr>
        <w:t>outcomes and the non-significant clinical outcomes were consistently smaller in the DNase users subgroups than the ITT populations which included 34.7% of patients who were not taking concurrent DNase</w:t>
      </w:r>
      <w:r w:rsidR="000610AC" w:rsidRPr="000E01C3">
        <w:rPr>
          <w:rFonts w:asciiTheme="minorHAnsi" w:hAnsiTheme="minorHAnsi" w:cstheme="minorHAnsi"/>
          <w:iCs/>
          <w:sz w:val="24"/>
          <w:szCs w:val="24"/>
        </w:rPr>
        <w:t>.</w:t>
      </w:r>
    </w:p>
    <w:p w:rsidR="00D06935" w:rsidRPr="000E01C3" w:rsidRDefault="00D06935" w:rsidP="00BE33FF">
      <w:pPr>
        <w:pStyle w:val="ListParagraph"/>
        <w:widowControl/>
        <w:numPr>
          <w:ilvl w:val="0"/>
          <w:numId w:val="10"/>
        </w:numPr>
        <w:tabs>
          <w:tab w:val="left" w:pos="993"/>
        </w:tabs>
        <w:spacing w:after="120"/>
        <w:ind w:left="993" w:hanging="284"/>
        <w:contextualSpacing w:val="0"/>
        <w:rPr>
          <w:rFonts w:asciiTheme="minorHAnsi" w:hAnsiTheme="minorHAnsi" w:cstheme="minorHAnsi"/>
          <w:iCs/>
          <w:sz w:val="24"/>
          <w:szCs w:val="24"/>
        </w:rPr>
      </w:pPr>
      <w:r w:rsidRPr="000E01C3">
        <w:rPr>
          <w:rFonts w:asciiTheme="minorHAnsi" w:hAnsiTheme="minorHAnsi" w:cstheme="minorHAnsi"/>
          <w:iCs/>
          <w:sz w:val="24"/>
          <w:szCs w:val="24"/>
        </w:rPr>
        <w:t xml:space="preserve">Despite some statistically significant differences in </w:t>
      </w:r>
      <w:r w:rsidR="00710FD5" w:rsidRPr="000E01C3">
        <w:rPr>
          <w:rFonts w:asciiTheme="minorHAnsi" w:hAnsiTheme="minorHAnsi" w:cstheme="minorHAnsi"/>
          <w:iCs/>
          <w:sz w:val="24"/>
          <w:szCs w:val="24"/>
        </w:rPr>
        <w:t>FEV</w:t>
      </w:r>
      <w:r w:rsidR="00710FD5" w:rsidRPr="000E01C3">
        <w:rPr>
          <w:rFonts w:asciiTheme="minorHAnsi" w:hAnsiTheme="minorHAnsi" w:cstheme="minorHAnsi"/>
          <w:iCs/>
          <w:sz w:val="24"/>
          <w:szCs w:val="24"/>
          <w:vertAlign w:val="subscript"/>
        </w:rPr>
        <w:t>1</w:t>
      </w:r>
      <w:r w:rsidRPr="000E01C3">
        <w:rPr>
          <w:rFonts w:asciiTheme="minorHAnsi" w:hAnsiTheme="minorHAnsi" w:cstheme="minorHAnsi"/>
          <w:iCs/>
          <w:sz w:val="24"/>
          <w:szCs w:val="24"/>
        </w:rPr>
        <w:t xml:space="preserve"> outcomes, there </w:t>
      </w:r>
      <w:r w:rsidR="002B7727" w:rsidRPr="000E01C3">
        <w:rPr>
          <w:rFonts w:asciiTheme="minorHAnsi" w:hAnsiTheme="minorHAnsi" w:cstheme="minorHAnsi"/>
          <w:iCs/>
          <w:sz w:val="24"/>
          <w:szCs w:val="24"/>
        </w:rPr>
        <w:t>were no significant differences between mannitol and control treatments in mean annualised rate of PDPE events per patient or hospitalisation in CF-301/302 for either the ITT population or DNase user subgrou</w:t>
      </w:r>
      <w:r w:rsidR="006B5072" w:rsidRPr="000E01C3">
        <w:rPr>
          <w:rFonts w:asciiTheme="minorHAnsi" w:hAnsiTheme="minorHAnsi" w:cstheme="minorHAnsi"/>
          <w:iCs/>
          <w:sz w:val="24"/>
          <w:szCs w:val="24"/>
        </w:rPr>
        <w:t>p.</w:t>
      </w:r>
      <w:r w:rsidR="002B7727" w:rsidRPr="000E01C3">
        <w:rPr>
          <w:rFonts w:asciiTheme="minorHAnsi" w:hAnsiTheme="minorHAnsi" w:cstheme="minorHAnsi"/>
          <w:iCs/>
          <w:sz w:val="24"/>
          <w:szCs w:val="24"/>
        </w:rPr>
        <w:t xml:space="preserve"> </w:t>
      </w:r>
      <w:r w:rsidRPr="000E01C3">
        <w:rPr>
          <w:rFonts w:asciiTheme="minorHAnsi" w:hAnsiTheme="minorHAnsi" w:cstheme="minorHAnsi"/>
          <w:iCs/>
          <w:sz w:val="24"/>
          <w:szCs w:val="24"/>
        </w:rPr>
        <w:t xml:space="preserve">In Trial CF-203, there were no statistically significant differences in </w:t>
      </w:r>
      <w:r w:rsidR="001E4508" w:rsidRPr="000E01C3">
        <w:rPr>
          <w:rFonts w:asciiTheme="minorHAnsi" w:hAnsiTheme="minorHAnsi" w:cstheme="minorHAnsi"/>
          <w:iCs/>
          <w:sz w:val="24"/>
          <w:szCs w:val="24"/>
        </w:rPr>
        <w:t xml:space="preserve">the </w:t>
      </w:r>
      <w:r w:rsidRPr="000E01C3">
        <w:rPr>
          <w:rFonts w:asciiTheme="minorHAnsi" w:hAnsiTheme="minorHAnsi" w:cstheme="minorHAnsi"/>
          <w:iCs/>
          <w:sz w:val="24"/>
          <w:szCs w:val="24"/>
        </w:rPr>
        <w:t xml:space="preserve">proportion of patients with PDPE </w:t>
      </w:r>
      <w:r w:rsidR="005548DF" w:rsidRPr="000E01C3">
        <w:rPr>
          <w:rFonts w:asciiTheme="minorHAnsi" w:hAnsiTheme="minorHAnsi" w:cstheme="minorHAnsi"/>
          <w:iCs/>
          <w:sz w:val="24"/>
          <w:szCs w:val="24"/>
        </w:rPr>
        <w:t xml:space="preserve">events </w:t>
      </w:r>
      <w:r w:rsidRPr="000E01C3">
        <w:rPr>
          <w:rFonts w:asciiTheme="minorHAnsi" w:hAnsiTheme="minorHAnsi" w:cstheme="minorHAnsi"/>
          <w:iCs/>
          <w:sz w:val="24"/>
          <w:szCs w:val="24"/>
        </w:rPr>
        <w:t xml:space="preserve">between treatment groups. A higher proportion of patients had PDPE </w:t>
      </w:r>
      <w:r w:rsidR="005548DF" w:rsidRPr="000E01C3">
        <w:rPr>
          <w:rFonts w:asciiTheme="minorHAnsi" w:hAnsiTheme="minorHAnsi" w:cstheme="minorHAnsi"/>
          <w:iCs/>
          <w:sz w:val="24"/>
          <w:szCs w:val="24"/>
        </w:rPr>
        <w:t xml:space="preserve">events </w:t>
      </w:r>
      <w:r w:rsidRPr="000E01C3">
        <w:rPr>
          <w:rFonts w:asciiTheme="minorHAnsi" w:hAnsiTheme="minorHAnsi" w:cstheme="minorHAnsi"/>
          <w:iCs/>
          <w:sz w:val="24"/>
          <w:szCs w:val="24"/>
        </w:rPr>
        <w:t xml:space="preserve">on mannitol </w:t>
      </w:r>
      <w:r w:rsidR="00582CF0" w:rsidRPr="000E01C3">
        <w:rPr>
          <w:rFonts w:asciiTheme="minorHAnsi" w:hAnsiTheme="minorHAnsi" w:cstheme="minorHAnsi"/>
          <w:iCs/>
          <w:sz w:val="24"/>
          <w:szCs w:val="24"/>
        </w:rPr>
        <w:t>+</w:t>
      </w:r>
      <w:r w:rsidRPr="000E01C3">
        <w:rPr>
          <w:rFonts w:asciiTheme="minorHAnsi" w:hAnsiTheme="minorHAnsi" w:cstheme="minorHAnsi"/>
          <w:iCs/>
          <w:sz w:val="24"/>
          <w:szCs w:val="24"/>
        </w:rPr>
        <w:t xml:space="preserve"> DNase compared </w:t>
      </w:r>
      <w:r w:rsidR="00582CF0" w:rsidRPr="000E01C3">
        <w:rPr>
          <w:rFonts w:asciiTheme="minorHAnsi" w:hAnsiTheme="minorHAnsi" w:cstheme="minorHAnsi"/>
          <w:iCs/>
          <w:sz w:val="24"/>
          <w:szCs w:val="24"/>
        </w:rPr>
        <w:t xml:space="preserve">with </w:t>
      </w:r>
      <w:r w:rsidRPr="000E01C3">
        <w:rPr>
          <w:rFonts w:asciiTheme="minorHAnsi" w:hAnsiTheme="minorHAnsi" w:cstheme="minorHAnsi"/>
          <w:iCs/>
          <w:sz w:val="24"/>
          <w:szCs w:val="24"/>
        </w:rPr>
        <w:t>DNase alone</w:t>
      </w:r>
      <w:r w:rsidR="005548DF" w:rsidRPr="000E01C3">
        <w:rPr>
          <w:rFonts w:asciiTheme="minorHAnsi" w:hAnsiTheme="minorHAnsi" w:cstheme="minorHAnsi"/>
          <w:iCs/>
          <w:sz w:val="24"/>
          <w:szCs w:val="24"/>
        </w:rPr>
        <w:t xml:space="preserve"> (although this difference did not reach statistical significance)</w:t>
      </w:r>
      <w:r w:rsidRPr="000E01C3">
        <w:rPr>
          <w:rFonts w:asciiTheme="minorHAnsi" w:hAnsiTheme="minorHAnsi" w:cstheme="minorHAnsi"/>
          <w:iCs/>
          <w:sz w:val="24"/>
          <w:szCs w:val="24"/>
        </w:rPr>
        <w:t>.</w:t>
      </w:r>
    </w:p>
    <w:p w:rsidR="009F13CE" w:rsidRPr="000E01C3" w:rsidRDefault="00613371" w:rsidP="009F13CE">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 xml:space="preserve">The PSCR (p1-2) argued that concomitant DNase use was not a </w:t>
      </w:r>
      <w:r w:rsidR="00195979" w:rsidRPr="000E01C3">
        <w:rPr>
          <w:rFonts w:asciiTheme="minorHAnsi" w:hAnsiTheme="minorHAnsi" w:cstheme="minorHAnsi"/>
          <w:sz w:val="24"/>
          <w:szCs w:val="24"/>
        </w:rPr>
        <w:t xml:space="preserve">statistically significant </w:t>
      </w:r>
      <w:r w:rsidRPr="000E01C3">
        <w:rPr>
          <w:rFonts w:asciiTheme="minorHAnsi" w:hAnsiTheme="minorHAnsi" w:cstheme="minorHAnsi"/>
          <w:sz w:val="24"/>
          <w:szCs w:val="24"/>
        </w:rPr>
        <w:t xml:space="preserve">treatment effect modifier, and thus, use of the ITT population </w:t>
      </w:r>
      <w:r w:rsidR="009F13CE" w:rsidRPr="000E01C3">
        <w:rPr>
          <w:rFonts w:asciiTheme="minorHAnsi" w:hAnsiTheme="minorHAnsi" w:cstheme="minorHAnsi"/>
          <w:sz w:val="24"/>
          <w:szCs w:val="24"/>
        </w:rPr>
        <w:t xml:space="preserve">as the basis for the effectiveness </w:t>
      </w:r>
      <w:r w:rsidRPr="000E01C3">
        <w:rPr>
          <w:rFonts w:asciiTheme="minorHAnsi" w:hAnsiTheme="minorHAnsi" w:cstheme="minorHAnsi"/>
          <w:sz w:val="24"/>
          <w:szCs w:val="24"/>
        </w:rPr>
        <w:t>claim was appropriate.</w:t>
      </w:r>
      <w:r w:rsidR="00ED56F8" w:rsidRPr="000E01C3">
        <w:rPr>
          <w:rFonts w:asciiTheme="minorHAnsi" w:hAnsiTheme="minorHAnsi" w:cstheme="minorHAnsi"/>
          <w:sz w:val="24"/>
          <w:szCs w:val="24"/>
        </w:rPr>
        <w:t xml:space="preserve"> </w:t>
      </w:r>
      <w:r w:rsidR="009F13CE" w:rsidRPr="000E01C3">
        <w:rPr>
          <w:rFonts w:asciiTheme="minorHAnsi" w:hAnsiTheme="minorHAnsi" w:cstheme="minorHAnsi"/>
          <w:sz w:val="24"/>
          <w:szCs w:val="24"/>
        </w:rPr>
        <w:t>The ESC considered that the ITT population from CF</w:t>
      </w:r>
      <w:r w:rsidR="0030294F" w:rsidRPr="000E01C3">
        <w:rPr>
          <w:rFonts w:asciiTheme="minorHAnsi" w:hAnsiTheme="minorHAnsi" w:cstheme="minorHAnsi"/>
          <w:sz w:val="24"/>
          <w:szCs w:val="24"/>
        </w:rPr>
        <w:t>-301/302 was not relevant to the requested expansion to the PBS population</w:t>
      </w:r>
      <w:r w:rsidR="003C4E1B" w:rsidRPr="000E01C3">
        <w:rPr>
          <w:rFonts w:asciiTheme="minorHAnsi" w:hAnsiTheme="minorHAnsi" w:cstheme="minorHAnsi"/>
          <w:sz w:val="24"/>
          <w:szCs w:val="24"/>
        </w:rPr>
        <w:t>.</w:t>
      </w:r>
      <w:r w:rsidR="0030294F" w:rsidRPr="000E01C3">
        <w:rPr>
          <w:rFonts w:asciiTheme="minorHAnsi" w:hAnsiTheme="minorHAnsi" w:cstheme="minorHAnsi"/>
          <w:sz w:val="24"/>
          <w:szCs w:val="24"/>
        </w:rPr>
        <w:t xml:space="preserve"> </w:t>
      </w:r>
      <w:r w:rsidR="009F13CE" w:rsidRPr="000E01C3">
        <w:rPr>
          <w:rFonts w:asciiTheme="minorHAnsi" w:hAnsiTheme="minorHAnsi" w:cstheme="minorHAnsi"/>
          <w:sz w:val="24"/>
          <w:szCs w:val="24"/>
        </w:rPr>
        <w:t xml:space="preserve">The ESC </w:t>
      </w:r>
      <w:r w:rsidR="0030294F" w:rsidRPr="000E01C3">
        <w:rPr>
          <w:rFonts w:asciiTheme="minorHAnsi" w:hAnsiTheme="minorHAnsi" w:cstheme="minorHAnsi"/>
          <w:sz w:val="24"/>
          <w:szCs w:val="24"/>
        </w:rPr>
        <w:t xml:space="preserve">agreed that DNase use was not demonstrated to be a treatment effect modifier, but </w:t>
      </w:r>
      <w:r w:rsidR="009F13CE" w:rsidRPr="000E01C3">
        <w:rPr>
          <w:rFonts w:asciiTheme="minorHAnsi" w:hAnsiTheme="minorHAnsi" w:cstheme="minorHAnsi"/>
          <w:sz w:val="24"/>
          <w:szCs w:val="24"/>
        </w:rPr>
        <w:t>questioned whether the interaction analysis was adequately powered. The ESC furt</w:t>
      </w:r>
      <w:r w:rsidR="0030294F" w:rsidRPr="000E01C3">
        <w:rPr>
          <w:rFonts w:asciiTheme="minorHAnsi" w:hAnsiTheme="minorHAnsi" w:cstheme="minorHAnsi"/>
          <w:sz w:val="24"/>
          <w:szCs w:val="24"/>
        </w:rPr>
        <w:t xml:space="preserve">her noted that the treatment effect for mannitol versus control was consistently smaller for the </w:t>
      </w:r>
      <w:r w:rsidR="00195979" w:rsidRPr="000E01C3">
        <w:rPr>
          <w:rFonts w:asciiTheme="minorHAnsi" w:hAnsiTheme="minorHAnsi" w:cstheme="minorHAnsi"/>
          <w:sz w:val="24"/>
          <w:szCs w:val="24"/>
        </w:rPr>
        <w:t xml:space="preserve">subgroup that was also being treated with </w:t>
      </w:r>
      <w:r w:rsidR="0030294F" w:rsidRPr="000E01C3">
        <w:rPr>
          <w:rFonts w:asciiTheme="minorHAnsi" w:hAnsiTheme="minorHAnsi" w:cstheme="minorHAnsi"/>
          <w:sz w:val="24"/>
          <w:szCs w:val="24"/>
        </w:rPr>
        <w:t>DNase across all the spirometry outcomes</w:t>
      </w:r>
      <w:r w:rsidR="009F13CE" w:rsidRPr="000E01C3">
        <w:rPr>
          <w:rFonts w:asciiTheme="minorHAnsi" w:hAnsiTheme="minorHAnsi" w:cstheme="minorHAnsi"/>
          <w:sz w:val="24"/>
          <w:szCs w:val="24"/>
        </w:rPr>
        <w:t>.</w:t>
      </w:r>
      <w:r w:rsidR="00716C65" w:rsidRPr="000E01C3">
        <w:rPr>
          <w:rFonts w:asciiTheme="minorHAnsi" w:hAnsiTheme="minorHAnsi" w:cstheme="minorHAnsi"/>
          <w:sz w:val="24"/>
          <w:szCs w:val="24"/>
        </w:rPr>
        <w:t xml:space="preserve"> </w:t>
      </w:r>
    </w:p>
    <w:p w:rsidR="00613371" w:rsidRPr="000E01C3" w:rsidRDefault="00ED56F8" w:rsidP="0030294F">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 xml:space="preserve">The PSCR (p2) </w:t>
      </w:r>
      <w:r w:rsidR="0030294F" w:rsidRPr="000E01C3">
        <w:rPr>
          <w:rFonts w:asciiTheme="minorHAnsi" w:hAnsiTheme="minorHAnsi" w:cstheme="minorHAnsi"/>
          <w:sz w:val="24"/>
          <w:szCs w:val="24"/>
        </w:rPr>
        <w:t>noted</w:t>
      </w:r>
      <w:r w:rsidRPr="000E01C3">
        <w:rPr>
          <w:rFonts w:asciiTheme="minorHAnsi" w:hAnsiTheme="minorHAnsi" w:cstheme="minorHAnsi"/>
          <w:sz w:val="24"/>
          <w:szCs w:val="24"/>
        </w:rPr>
        <w:t xml:space="preserve"> that as a number of disparate studies were included in the submission, FEV</w:t>
      </w:r>
      <w:r w:rsidRPr="000E01C3">
        <w:rPr>
          <w:rFonts w:asciiTheme="minorHAnsi" w:hAnsiTheme="minorHAnsi" w:cstheme="minorHAnsi"/>
          <w:sz w:val="24"/>
          <w:szCs w:val="24"/>
          <w:vertAlign w:val="subscript"/>
        </w:rPr>
        <w:t>1</w:t>
      </w:r>
      <w:r w:rsidRPr="000E01C3">
        <w:rPr>
          <w:rFonts w:asciiTheme="minorHAnsi" w:hAnsiTheme="minorHAnsi" w:cstheme="minorHAnsi"/>
          <w:sz w:val="24"/>
          <w:szCs w:val="24"/>
        </w:rPr>
        <w:t xml:space="preserve"> was the unifying endpoint across the studies</w:t>
      </w:r>
      <w:r w:rsidR="009F13CE" w:rsidRPr="000E01C3">
        <w:rPr>
          <w:rFonts w:asciiTheme="minorHAnsi" w:hAnsiTheme="minorHAnsi" w:cstheme="minorHAnsi"/>
          <w:sz w:val="24"/>
          <w:szCs w:val="24"/>
        </w:rPr>
        <w:t xml:space="preserve"> and</w:t>
      </w:r>
      <w:r w:rsidRPr="000E01C3">
        <w:rPr>
          <w:rFonts w:asciiTheme="minorHAnsi" w:hAnsiTheme="minorHAnsi" w:cstheme="minorHAnsi"/>
          <w:sz w:val="24"/>
          <w:szCs w:val="24"/>
        </w:rPr>
        <w:t xml:space="preserve"> FEV</w:t>
      </w:r>
      <w:r w:rsidRPr="000E01C3">
        <w:rPr>
          <w:rFonts w:asciiTheme="minorHAnsi" w:hAnsiTheme="minorHAnsi" w:cstheme="minorHAnsi"/>
          <w:sz w:val="24"/>
          <w:szCs w:val="24"/>
          <w:vertAlign w:val="subscript"/>
        </w:rPr>
        <w:t>1</w:t>
      </w:r>
      <w:r w:rsidRPr="000E01C3">
        <w:rPr>
          <w:rFonts w:asciiTheme="minorHAnsi" w:hAnsiTheme="minorHAnsi" w:cstheme="minorHAnsi"/>
          <w:sz w:val="24"/>
          <w:szCs w:val="24"/>
        </w:rPr>
        <w:t xml:space="preserve"> is linked to mortality</w:t>
      </w:r>
      <w:r w:rsidR="00F92AA3" w:rsidRPr="000E01C3">
        <w:rPr>
          <w:rFonts w:asciiTheme="minorHAnsi" w:hAnsiTheme="minorHAnsi" w:cstheme="minorHAnsi"/>
          <w:sz w:val="24"/>
          <w:szCs w:val="24"/>
        </w:rPr>
        <w:t>,</w:t>
      </w:r>
      <w:r w:rsidRPr="000E01C3">
        <w:rPr>
          <w:rFonts w:asciiTheme="minorHAnsi" w:hAnsiTheme="minorHAnsi" w:cstheme="minorHAnsi"/>
          <w:sz w:val="24"/>
          <w:szCs w:val="24"/>
        </w:rPr>
        <w:t xml:space="preserve"> so any significant differen</w:t>
      </w:r>
      <w:r w:rsidR="003B6521" w:rsidRPr="000E01C3">
        <w:rPr>
          <w:rFonts w:asciiTheme="minorHAnsi" w:hAnsiTheme="minorHAnsi" w:cstheme="minorHAnsi"/>
          <w:sz w:val="24"/>
          <w:szCs w:val="24"/>
        </w:rPr>
        <w:t>ce</w:t>
      </w:r>
      <w:r w:rsidRPr="000E01C3">
        <w:rPr>
          <w:rFonts w:asciiTheme="minorHAnsi" w:hAnsiTheme="minorHAnsi" w:cstheme="minorHAnsi"/>
          <w:sz w:val="24"/>
          <w:szCs w:val="24"/>
        </w:rPr>
        <w:t xml:space="preserve"> between placebo and treatment is potentially clinically relevant.</w:t>
      </w:r>
      <w:r w:rsidR="0030294F" w:rsidRPr="000E01C3">
        <w:rPr>
          <w:rFonts w:asciiTheme="minorHAnsi" w:hAnsiTheme="minorHAnsi" w:cstheme="minorHAnsi"/>
          <w:sz w:val="24"/>
          <w:szCs w:val="24"/>
        </w:rPr>
        <w:t xml:space="preserve"> The PSCR argued that due to the relative infrequency of pulmonary exacerbations, they represent a difficult endpoint for clinical trials in CF. Nevertheless, the ESC noted there </w:t>
      </w:r>
      <w:r w:rsidR="005175D1" w:rsidRPr="000E01C3">
        <w:rPr>
          <w:rFonts w:asciiTheme="minorHAnsi" w:hAnsiTheme="minorHAnsi" w:cstheme="minorHAnsi"/>
          <w:sz w:val="24"/>
          <w:szCs w:val="24"/>
        </w:rPr>
        <w:t xml:space="preserve">were </w:t>
      </w:r>
      <w:r w:rsidR="0030294F" w:rsidRPr="000E01C3">
        <w:rPr>
          <w:rFonts w:asciiTheme="minorHAnsi" w:hAnsiTheme="minorHAnsi" w:cstheme="minorHAnsi"/>
          <w:sz w:val="24"/>
          <w:szCs w:val="24"/>
        </w:rPr>
        <w:t>generally a lack of significant difference</w:t>
      </w:r>
      <w:r w:rsidR="00195979" w:rsidRPr="000E01C3">
        <w:rPr>
          <w:rFonts w:asciiTheme="minorHAnsi" w:hAnsiTheme="minorHAnsi" w:cstheme="minorHAnsi"/>
          <w:sz w:val="24"/>
          <w:szCs w:val="24"/>
        </w:rPr>
        <w:t>s</w:t>
      </w:r>
      <w:r w:rsidR="005175D1" w:rsidRPr="000E01C3">
        <w:rPr>
          <w:rFonts w:asciiTheme="minorHAnsi" w:hAnsiTheme="minorHAnsi" w:cstheme="minorHAnsi"/>
          <w:sz w:val="24"/>
          <w:szCs w:val="24"/>
        </w:rPr>
        <w:t xml:space="preserve"> </w:t>
      </w:r>
      <w:r w:rsidR="0030294F" w:rsidRPr="000E01C3">
        <w:rPr>
          <w:rFonts w:asciiTheme="minorHAnsi" w:hAnsiTheme="minorHAnsi" w:cstheme="minorHAnsi"/>
          <w:sz w:val="24"/>
          <w:szCs w:val="24"/>
        </w:rPr>
        <w:t>between mannitol and control treatments in relation to mean annualised rate of PDPE events per patient or hospitalisations due to exacerbations, for either the ITT population or the subgroup of patients receiving concurrent DNase.</w:t>
      </w:r>
      <w:r w:rsidR="003C4FBF" w:rsidRPr="000E01C3">
        <w:rPr>
          <w:rFonts w:asciiTheme="minorHAnsi" w:hAnsiTheme="minorHAnsi" w:cstheme="minorHAnsi"/>
          <w:sz w:val="24"/>
          <w:szCs w:val="24"/>
        </w:rPr>
        <w:t xml:space="preserve"> </w:t>
      </w:r>
    </w:p>
    <w:p w:rsidR="006E2708" w:rsidRPr="000E01C3" w:rsidRDefault="006E2708" w:rsidP="001F4D71">
      <w:pPr>
        <w:pStyle w:val="ListParagraph"/>
        <w:widowControl/>
        <w:numPr>
          <w:ilvl w:val="1"/>
          <w:numId w:val="5"/>
        </w:numPr>
        <w:spacing w:after="120"/>
        <w:contextualSpacing w:val="0"/>
        <w:rPr>
          <w:rFonts w:asciiTheme="minorHAnsi" w:hAnsiTheme="minorHAnsi"/>
          <w:bCs/>
          <w:sz w:val="24"/>
          <w:szCs w:val="24"/>
        </w:rPr>
      </w:pPr>
      <w:r w:rsidRPr="000E01C3">
        <w:rPr>
          <w:rFonts w:asciiTheme="minorHAnsi" w:hAnsiTheme="minorHAnsi"/>
          <w:bCs/>
          <w:sz w:val="24"/>
          <w:szCs w:val="24"/>
        </w:rPr>
        <w:t xml:space="preserve">The PBAC </w:t>
      </w:r>
      <w:r w:rsidR="001F4D71" w:rsidRPr="000E01C3">
        <w:rPr>
          <w:rFonts w:asciiTheme="minorHAnsi" w:hAnsiTheme="minorHAnsi"/>
          <w:bCs/>
          <w:sz w:val="24"/>
          <w:szCs w:val="24"/>
        </w:rPr>
        <w:t xml:space="preserve">considered that the claim that mannitol + BSC (which may or may not include DNase) is superior in terms of comparative effectiveness over placebo/control + BSC (which may or may not include DNase) was </w:t>
      </w:r>
      <w:r w:rsidR="003262E9" w:rsidRPr="000E01C3">
        <w:rPr>
          <w:rFonts w:asciiTheme="minorHAnsi" w:hAnsiTheme="minorHAnsi"/>
          <w:bCs/>
          <w:sz w:val="24"/>
          <w:szCs w:val="24"/>
        </w:rPr>
        <w:t xml:space="preserve">reasonable. However, the PBAC agreed with the ESC that </w:t>
      </w:r>
      <w:r w:rsidR="004B630C" w:rsidRPr="000E01C3">
        <w:rPr>
          <w:rFonts w:asciiTheme="minorHAnsi" w:hAnsiTheme="minorHAnsi"/>
          <w:bCs/>
          <w:sz w:val="24"/>
          <w:szCs w:val="24"/>
        </w:rPr>
        <w:t xml:space="preserve">this comparison and </w:t>
      </w:r>
      <w:r w:rsidR="003262E9" w:rsidRPr="000E01C3">
        <w:rPr>
          <w:rFonts w:asciiTheme="minorHAnsi" w:hAnsiTheme="minorHAnsi" w:cstheme="minorHAnsi"/>
          <w:sz w:val="24"/>
          <w:szCs w:val="24"/>
        </w:rPr>
        <w:t>the evidence presented in the submission did not inform the requested additional population of patients who are inadequately responsive to DNase and seek to add mannitol to existing DNase therapy. Nevertheless, the PBAC</w:t>
      </w:r>
      <w:r w:rsidR="003262E9" w:rsidRPr="000E01C3">
        <w:rPr>
          <w:rFonts w:asciiTheme="minorHAnsi" w:hAnsiTheme="minorHAnsi"/>
          <w:bCs/>
          <w:sz w:val="24"/>
          <w:szCs w:val="24"/>
        </w:rPr>
        <w:t xml:space="preserve"> </w:t>
      </w:r>
      <w:r w:rsidR="001F4D71" w:rsidRPr="000E01C3">
        <w:rPr>
          <w:rFonts w:asciiTheme="minorHAnsi" w:hAnsiTheme="minorHAnsi"/>
          <w:bCs/>
          <w:sz w:val="24"/>
          <w:szCs w:val="24"/>
        </w:rPr>
        <w:t xml:space="preserve">considered that there </w:t>
      </w:r>
      <w:r w:rsidR="003262E9" w:rsidRPr="000E01C3">
        <w:rPr>
          <w:rFonts w:asciiTheme="minorHAnsi" w:hAnsiTheme="minorHAnsi"/>
          <w:bCs/>
          <w:sz w:val="24"/>
          <w:szCs w:val="24"/>
        </w:rPr>
        <w:t>is</w:t>
      </w:r>
      <w:r w:rsidR="001F4D71" w:rsidRPr="000E01C3">
        <w:rPr>
          <w:rFonts w:asciiTheme="minorHAnsi" w:hAnsiTheme="minorHAnsi"/>
          <w:bCs/>
          <w:sz w:val="24"/>
          <w:szCs w:val="24"/>
        </w:rPr>
        <w:t xml:space="preserve"> likely to be a small group of patients who would benefit from combination therapy compared with DNase monotherapy</w:t>
      </w:r>
      <w:r w:rsidR="00DC1C81" w:rsidRPr="000E01C3">
        <w:rPr>
          <w:rFonts w:asciiTheme="minorHAnsi" w:hAnsiTheme="minorHAnsi"/>
          <w:bCs/>
          <w:sz w:val="24"/>
          <w:szCs w:val="24"/>
        </w:rPr>
        <w:t>.</w:t>
      </w:r>
    </w:p>
    <w:p w:rsidR="006E2708" w:rsidRPr="000E01C3" w:rsidRDefault="006E2708" w:rsidP="001F4D71">
      <w:pPr>
        <w:pStyle w:val="ListParagraph"/>
        <w:widowControl/>
        <w:numPr>
          <w:ilvl w:val="1"/>
          <w:numId w:val="5"/>
        </w:numPr>
        <w:spacing w:after="120"/>
        <w:contextualSpacing w:val="0"/>
        <w:rPr>
          <w:rStyle w:val="IntenseReference"/>
          <w:b w:val="0"/>
          <w:bCs w:val="0"/>
          <w:i/>
          <w:smallCaps w:val="0"/>
        </w:rPr>
      </w:pPr>
      <w:r w:rsidRPr="000E01C3">
        <w:rPr>
          <w:rFonts w:asciiTheme="minorHAnsi" w:hAnsiTheme="minorHAnsi"/>
          <w:sz w:val="24"/>
          <w:szCs w:val="24"/>
        </w:rPr>
        <w:t>The PBAC considered that the claim of inferior</w:t>
      </w:r>
      <w:r w:rsidR="0022788D" w:rsidRPr="000E01C3" w:rsidDel="0022788D">
        <w:rPr>
          <w:rFonts w:asciiTheme="minorHAnsi" w:hAnsiTheme="minorHAnsi"/>
          <w:sz w:val="24"/>
          <w:szCs w:val="24"/>
        </w:rPr>
        <w:t xml:space="preserve"> </w:t>
      </w:r>
      <w:r w:rsidR="001F4D71" w:rsidRPr="000E01C3">
        <w:rPr>
          <w:rFonts w:asciiTheme="minorHAnsi" w:hAnsiTheme="minorHAnsi"/>
          <w:sz w:val="24"/>
          <w:szCs w:val="24"/>
        </w:rPr>
        <w:t xml:space="preserve">comparative </w:t>
      </w:r>
      <w:r w:rsidRPr="000E01C3">
        <w:rPr>
          <w:rFonts w:asciiTheme="minorHAnsi" w:hAnsiTheme="minorHAnsi"/>
          <w:sz w:val="24"/>
          <w:szCs w:val="24"/>
        </w:rPr>
        <w:t>safety was reasonable</w:t>
      </w:r>
      <w:r w:rsidR="001F4D71" w:rsidRPr="000E01C3">
        <w:rPr>
          <w:rFonts w:asciiTheme="minorHAnsi" w:hAnsiTheme="minorHAnsi"/>
          <w:sz w:val="24"/>
          <w:szCs w:val="24"/>
        </w:rPr>
        <w:t>.</w:t>
      </w:r>
    </w:p>
    <w:p w:rsidR="00D06935" w:rsidRPr="000E01C3" w:rsidRDefault="00D06935" w:rsidP="00A04A6A">
      <w:pPr>
        <w:pStyle w:val="Heading2"/>
        <w:keepNext/>
        <w:keepLines/>
        <w:widowControl/>
        <w:spacing w:before="240" w:after="120"/>
        <w:jc w:val="left"/>
        <w:rPr>
          <w:rFonts w:asciiTheme="minorHAnsi" w:eastAsiaTheme="majorEastAsia" w:hAnsiTheme="minorHAnsi" w:cstheme="majorBidi"/>
          <w:i/>
          <w:snapToGrid/>
          <w:sz w:val="28"/>
          <w:szCs w:val="28"/>
        </w:rPr>
      </w:pPr>
      <w:bookmarkStart w:id="15" w:name="_Toc482779074"/>
      <w:r w:rsidRPr="000E01C3">
        <w:rPr>
          <w:rFonts w:asciiTheme="minorHAnsi" w:eastAsiaTheme="majorEastAsia" w:hAnsiTheme="minorHAnsi" w:cstheme="majorBidi"/>
          <w:i/>
          <w:snapToGrid/>
          <w:sz w:val="28"/>
          <w:szCs w:val="28"/>
        </w:rPr>
        <w:t>Economic analysis</w:t>
      </w:r>
      <w:bookmarkEnd w:id="15"/>
      <w:r w:rsidRPr="000E01C3">
        <w:rPr>
          <w:rFonts w:asciiTheme="minorHAnsi" w:eastAsiaTheme="majorEastAsia" w:hAnsiTheme="minorHAnsi" w:cstheme="majorBidi"/>
          <w:i/>
          <w:snapToGrid/>
          <w:sz w:val="28"/>
          <w:szCs w:val="28"/>
        </w:rPr>
        <w:t xml:space="preserve"> </w:t>
      </w:r>
    </w:p>
    <w:p w:rsidR="0072709E" w:rsidRPr="000E01C3" w:rsidRDefault="00D06935" w:rsidP="00BE33FF">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 xml:space="preserve">The modelled economic evaluation was updated </w:t>
      </w:r>
      <w:r w:rsidR="00552F34" w:rsidRPr="000E01C3">
        <w:rPr>
          <w:rFonts w:asciiTheme="minorHAnsi" w:hAnsiTheme="minorHAnsi" w:cstheme="minorHAnsi"/>
          <w:sz w:val="24"/>
          <w:szCs w:val="24"/>
        </w:rPr>
        <w:t xml:space="preserve">compared with </w:t>
      </w:r>
      <w:r w:rsidRPr="000E01C3">
        <w:rPr>
          <w:rFonts w:asciiTheme="minorHAnsi" w:hAnsiTheme="minorHAnsi" w:cstheme="minorHAnsi"/>
          <w:sz w:val="24"/>
          <w:szCs w:val="24"/>
        </w:rPr>
        <w:t>the March 2011 submission.</w:t>
      </w:r>
      <w:r w:rsidR="007869A7" w:rsidRPr="000E01C3">
        <w:rPr>
          <w:rFonts w:asciiTheme="minorHAnsi" w:hAnsiTheme="minorHAnsi" w:cstheme="minorHAnsi"/>
          <w:sz w:val="24"/>
          <w:szCs w:val="24"/>
        </w:rPr>
        <w:t xml:space="preserve"> </w:t>
      </w:r>
      <w:r w:rsidR="00C60D6E" w:rsidRPr="000E01C3">
        <w:rPr>
          <w:rFonts w:asciiTheme="minorHAnsi" w:hAnsiTheme="minorHAnsi" w:cstheme="minorHAnsi"/>
          <w:sz w:val="24"/>
          <w:szCs w:val="24"/>
        </w:rPr>
        <w:t>While the overall structure of the model was similar, the model no longer included change in respiratory symptoms as distinct from ppFEV</w:t>
      </w:r>
      <w:r w:rsidR="00C60D6E" w:rsidRPr="000E01C3">
        <w:rPr>
          <w:rFonts w:asciiTheme="minorHAnsi" w:hAnsiTheme="minorHAnsi" w:cstheme="minorHAnsi"/>
          <w:sz w:val="24"/>
          <w:szCs w:val="24"/>
          <w:vertAlign w:val="subscript"/>
        </w:rPr>
        <w:t>1</w:t>
      </w:r>
      <w:r w:rsidR="00C60D6E" w:rsidRPr="000E01C3">
        <w:rPr>
          <w:rFonts w:asciiTheme="minorHAnsi" w:hAnsiTheme="minorHAnsi" w:cstheme="minorHAnsi"/>
          <w:sz w:val="24"/>
          <w:szCs w:val="24"/>
        </w:rPr>
        <w:t xml:space="preserve"> or their associated differences in utilities</w:t>
      </w:r>
      <w:r w:rsidR="00F92F11" w:rsidRPr="000E01C3">
        <w:rPr>
          <w:rFonts w:asciiTheme="minorHAnsi" w:hAnsiTheme="minorHAnsi" w:cstheme="minorHAnsi"/>
          <w:sz w:val="24"/>
          <w:szCs w:val="24"/>
        </w:rPr>
        <w:t>.</w:t>
      </w:r>
      <w:r w:rsidR="007869A7" w:rsidRPr="000E01C3">
        <w:rPr>
          <w:rFonts w:asciiTheme="minorHAnsi" w:hAnsiTheme="minorHAnsi" w:cstheme="minorHAnsi"/>
          <w:sz w:val="24"/>
          <w:szCs w:val="24"/>
        </w:rPr>
        <w:t xml:space="preserve"> </w:t>
      </w:r>
      <w:r w:rsidR="00C60D6E" w:rsidRPr="000E01C3">
        <w:rPr>
          <w:rFonts w:asciiTheme="minorHAnsi" w:hAnsiTheme="minorHAnsi" w:cstheme="minorHAnsi"/>
          <w:sz w:val="24"/>
          <w:szCs w:val="24"/>
        </w:rPr>
        <w:t xml:space="preserve">Resource data </w:t>
      </w:r>
      <w:r w:rsidR="0072709E" w:rsidRPr="000E01C3">
        <w:rPr>
          <w:rFonts w:asciiTheme="minorHAnsi" w:hAnsiTheme="minorHAnsi" w:cstheme="minorHAnsi"/>
          <w:sz w:val="24"/>
          <w:szCs w:val="24"/>
        </w:rPr>
        <w:t xml:space="preserve">were </w:t>
      </w:r>
      <w:r w:rsidR="00C60D6E" w:rsidRPr="000E01C3">
        <w:rPr>
          <w:rFonts w:asciiTheme="minorHAnsi" w:hAnsiTheme="minorHAnsi" w:cstheme="minorHAnsi"/>
          <w:sz w:val="24"/>
          <w:szCs w:val="24"/>
        </w:rPr>
        <w:t>also no longer sourced from the trials.</w:t>
      </w:r>
      <w:r w:rsidR="007869A7" w:rsidRPr="000E01C3">
        <w:rPr>
          <w:rFonts w:asciiTheme="minorHAnsi" w:hAnsiTheme="minorHAnsi" w:cstheme="minorHAnsi"/>
          <w:sz w:val="24"/>
          <w:szCs w:val="24"/>
        </w:rPr>
        <w:t xml:space="preserve"> </w:t>
      </w:r>
      <w:r w:rsidRPr="000E01C3">
        <w:rPr>
          <w:rFonts w:asciiTheme="minorHAnsi" w:hAnsiTheme="minorHAnsi" w:cstheme="minorHAnsi"/>
          <w:sz w:val="24"/>
          <w:szCs w:val="24"/>
        </w:rPr>
        <w:t>The patient population used in the model was based on the combined ITT populat</w:t>
      </w:r>
      <w:r w:rsidR="00995E87" w:rsidRPr="000E01C3">
        <w:rPr>
          <w:rFonts w:asciiTheme="minorHAnsi" w:hAnsiTheme="minorHAnsi" w:cstheme="minorHAnsi"/>
          <w:sz w:val="24"/>
          <w:szCs w:val="24"/>
        </w:rPr>
        <w:t>ions from Trial CF</w:t>
      </w:r>
      <w:r w:rsidR="00995E87" w:rsidRPr="000E01C3">
        <w:rPr>
          <w:rFonts w:asciiTheme="minorHAnsi" w:hAnsiTheme="minorHAnsi" w:cstheme="minorHAnsi"/>
          <w:sz w:val="24"/>
          <w:szCs w:val="24"/>
        </w:rPr>
        <w:noBreakHyphen/>
        <w:t xml:space="preserve">301/CF-302. </w:t>
      </w:r>
      <w:r w:rsidR="0072709E" w:rsidRPr="000E01C3">
        <w:rPr>
          <w:rFonts w:asciiTheme="minorHAnsi" w:hAnsiTheme="minorHAnsi" w:cstheme="minorHAnsi"/>
          <w:sz w:val="24"/>
          <w:szCs w:val="24"/>
        </w:rPr>
        <w:t xml:space="preserve">The type of economic evaluation presented was a cost-utility analysis comparing the incremental costs and benefits of using mannitol </w:t>
      </w:r>
      <w:r w:rsidR="00582CF0" w:rsidRPr="000E01C3">
        <w:rPr>
          <w:rFonts w:asciiTheme="minorHAnsi" w:hAnsiTheme="minorHAnsi" w:cstheme="minorHAnsi"/>
          <w:sz w:val="24"/>
          <w:szCs w:val="24"/>
        </w:rPr>
        <w:t>+</w:t>
      </w:r>
      <w:r w:rsidR="0072709E" w:rsidRPr="000E01C3">
        <w:rPr>
          <w:rFonts w:asciiTheme="minorHAnsi" w:hAnsiTheme="minorHAnsi" w:cstheme="minorHAnsi"/>
          <w:sz w:val="24"/>
          <w:szCs w:val="24"/>
        </w:rPr>
        <w:t xml:space="preserve"> BSC</w:t>
      </w:r>
      <w:r w:rsidR="005A1BBC" w:rsidRPr="000E01C3">
        <w:rPr>
          <w:rFonts w:asciiTheme="minorHAnsi" w:hAnsiTheme="minorHAnsi" w:cstheme="minorHAnsi"/>
          <w:sz w:val="24"/>
          <w:szCs w:val="24"/>
        </w:rPr>
        <w:t>,</w:t>
      </w:r>
      <w:r w:rsidR="0072709E" w:rsidRPr="000E01C3">
        <w:rPr>
          <w:rFonts w:asciiTheme="minorHAnsi" w:hAnsiTheme="minorHAnsi" w:cstheme="minorHAnsi"/>
          <w:sz w:val="24"/>
          <w:szCs w:val="24"/>
        </w:rPr>
        <w:t xml:space="preserve"> versus BSC alone (where BSC may or may not include DNase). </w:t>
      </w:r>
      <w:r w:rsidR="0072709E" w:rsidRPr="000E01C3">
        <w:rPr>
          <w:rFonts w:asciiTheme="minorHAnsi" w:hAnsiTheme="minorHAnsi" w:cstheme="minorHAnsi"/>
          <w:iCs/>
          <w:sz w:val="24"/>
          <w:szCs w:val="24"/>
        </w:rPr>
        <w:t xml:space="preserve">The model assumed that 65% of patients </w:t>
      </w:r>
      <w:r w:rsidR="005A1BBC" w:rsidRPr="000E01C3">
        <w:rPr>
          <w:rFonts w:asciiTheme="minorHAnsi" w:hAnsiTheme="minorHAnsi" w:cstheme="minorHAnsi"/>
          <w:iCs/>
          <w:sz w:val="24"/>
          <w:szCs w:val="24"/>
        </w:rPr>
        <w:t>were receiving concomitant</w:t>
      </w:r>
      <w:r w:rsidR="0072709E" w:rsidRPr="000E01C3">
        <w:rPr>
          <w:rFonts w:asciiTheme="minorHAnsi" w:hAnsiTheme="minorHAnsi" w:cstheme="minorHAnsi"/>
          <w:iCs/>
          <w:sz w:val="24"/>
          <w:szCs w:val="24"/>
        </w:rPr>
        <w:t xml:space="preserve"> </w:t>
      </w:r>
      <w:r w:rsidR="005A1BBC" w:rsidRPr="000E01C3">
        <w:rPr>
          <w:rFonts w:asciiTheme="minorHAnsi" w:hAnsiTheme="minorHAnsi" w:cstheme="minorHAnsi"/>
          <w:iCs/>
          <w:sz w:val="24"/>
          <w:szCs w:val="24"/>
        </w:rPr>
        <w:t xml:space="preserve">treatment with </w:t>
      </w:r>
      <w:r w:rsidR="0072709E" w:rsidRPr="000E01C3">
        <w:rPr>
          <w:rFonts w:asciiTheme="minorHAnsi" w:hAnsiTheme="minorHAnsi" w:cstheme="minorHAnsi"/>
          <w:iCs/>
          <w:sz w:val="24"/>
          <w:szCs w:val="24"/>
        </w:rPr>
        <w:t>DNase.</w:t>
      </w:r>
    </w:p>
    <w:p w:rsidR="00D06935" w:rsidRPr="000E01C3" w:rsidRDefault="0072709E" w:rsidP="00BE33FF">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 xml:space="preserve">The ESC considered that the </w:t>
      </w:r>
      <w:r w:rsidR="008016AC" w:rsidRPr="000E01C3">
        <w:rPr>
          <w:rFonts w:asciiTheme="minorHAnsi" w:hAnsiTheme="minorHAnsi" w:cstheme="minorHAnsi"/>
          <w:sz w:val="24"/>
          <w:szCs w:val="24"/>
        </w:rPr>
        <w:t xml:space="preserve">model </w:t>
      </w:r>
      <w:r w:rsidRPr="000E01C3">
        <w:rPr>
          <w:rFonts w:asciiTheme="minorHAnsi" w:hAnsiTheme="minorHAnsi" w:cstheme="minorHAnsi"/>
          <w:sz w:val="24"/>
          <w:szCs w:val="24"/>
        </w:rPr>
        <w:t>did</w:t>
      </w:r>
      <w:r w:rsidR="008016AC" w:rsidRPr="000E01C3">
        <w:rPr>
          <w:rFonts w:asciiTheme="minorHAnsi" w:hAnsiTheme="minorHAnsi" w:cstheme="minorHAnsi"/>
          <w:sz w:val="24"/>
          <w:szCs w:val="24"/>
        </w:rPr>
        <w:t xml:space="preserve"> not provide a</w:t>
      </w:r>
      <w:r w:rsidR="00DB15B9" w:rsidRPr="000E01C3">
        <w:rPr>
          <w:rFonts w:asciiTheme="minorHAnsi" w:hAnsiTheme="minorHAnsi" w:cstheme="minorHAnsi"/>
          <w:sz w:val="24"/>
          <w:szCs w:val="24"/>
        </w:rPr>
        <w:t xml:space="preserve"> reliable</w:t>
      </w:r>
      <w:r w:rsidR="002235BB" w:rsidRPr="000E01C3">
        <w:rPr>
          <w:rFonts w:asciiTheme="minorHAnsi" w:hAnsiTheme="minorHAnsi" w:cstheme="minorHAnsi"/>
          <w:sz w:val="24"/>
          <w:szCs w:val="24"/>
        </w:rPr>
        <w:t xml:space="preserve"> indication of the cost</w:t>
      </w:r>
      <w:r w:rsidR="002235BB" w:rsidRPr="000E01C3">
        <w:rPr>
          <w:rFonts w:asciiTheme="minorHAnsi" w:hAnsiTheme="minorHAnsi" w:cstheme="minorHAnsi"/>
          <w:sz w:val="24"/>
          <w:szCs w:val="24"/>
        </w:rPr>
        <w:noBreakHyphen/>
      </w:r>
      <w:r w:rsidR="008016AC" w:rsidRPr="000E01C3">
        <w:rPr>
          <w:rFonts w:asciiTheme="minorHAnsi" w:hAnsiTheme="minorHAnsi" w:cstheme="minorHAnsi"/>
          <w:sz w:val="24"/>
          <w:szCs w:val="24"/>
        </w:rPr>
        <w:t xml:space="preserve">effectiveness of </w:t>
      </w:r>
      <w:r w:rsidR="005A1BBC" w:rsidRPr="000E01C3">
        <w:rPr>
          <w:rFonts w:asciiTheme="minorHAnsi" w:hAnsiTheme="minorHAnsi" w:cstheme="minorHAnsi"/>
          <w:sz w:val="24"/>
          <w:szCs w:val="24"/>
        </w:rPr>
        <w:t xml:space="preserve">the comparison </w:t>
      </w:r>
      <w:r w:rsidR="00593D7F" w:rsidRPr="000E01C3">
        <w:rPr>
          <w:rFonts w:asciiTheme="minorHAnsi" w:hAnsiTheme="minorHAnsi" w:cstheme="minorHAnsi"/>
          <w:sz w:val="24"/>
          <w:szCs w:val="24"/>
        </w:rPr>
        <w:t>relevant</w:t>
      </w:r>
      <w:r w:rsidR="005A1BBC" w:rsidRPr="000E01C3">
        <w:rPr>
          <w:rFonts w:asciiTheme="minorHAnsi" w:hAnsiTheme="minorHAnsi" w:cstheme="minorHAnsi"/>
          <w:sz w:val="24"/>
          <w:szCs w:val="24"/>
        </w:rPr>
        <w:t xml:space="preserve"> to the </w:t>
      </w:r>
      <w:r w:rsidR="00573DA7" w:rsidRPr="000E01C3">
        <w:rPr>
          <w:rFonts w:asciiTheme="minorHAnsi" w:hAnsiTheme="minorHAnsi" w:cstheme="minorHAnsi"/>
          <w:sz w:val="24"/>
          <w:szCs w:val="24"/>
        </w:rPr>
        <w:t xml:space="preserve">requested change to the current listing; i.e. </w:t>
      </w:r>
      <w:r w:rsidR="008016AC" w:rsidRPr="000E01C3">
        <w:rPr>
          <w:rFonts w:asciiTheme="minorHAnsi" w:hAnsiTheme="minorHAnsi" w:cstheme="minorHAnsi"/>
          <w:sz w:val="24"/>
          <w:szCs w:val="24"/>
        </w:rPr>
        <w:t xml:space="preserve">mannitol </w:t>
      </w:r>
      <w:r w:rsidR="00573DA7" w:rsidRPr="000E01C3">
        <w:rPr>
          <w:rFonts w:asciiTheme="minorHAnsi" w:hAnsiTheme="minorHAnsi" w:cstheme="minorHAnsi"/>
          <w:sz w:val="24"/>
          <w:szCs w:val="24"/>
        </w:rPr>
        <w:t>+</w:t>
      </w:r>
      <w:r w:rsidRPr="000E01C3">
        <w:rPr>
          <w:rFonts w:asciiTheme="minorHAnsi" w:hAnsiTheme="minorHAnsi" w:cstheme="minorHAnsi"/>
          <w:sz w:val="24"/>
          <w:szCs w:val="24"/>
        </w:rPr>
        <w:t xml:space="preserve"> </w:t>
      </w:r>
      <w:r w:rsidR="008016AC" w:rsidRPr="000E01C3">
        <w:rPr>
          <w:rFonts w:asciiTheme="minorHAnsi" w:hAnsiTheme="minorHAnsi" w:cstheme="minorHAnsi"/>
          <w:sz w:val="24"/>
          <w:szCs w:val="24"/>
        </w:rPr>
        <w:t xml:space="preserve">DNase, </w:t>
      </w:r>
      <w:r w:rsidRPr="000E01C3">
        <w:rPr>
          <w:rFonts w:asciiTheme="minorHAnsi" w:hAnsiTheme="minorHAnsi" w:cstheme="minorHAnsi"/>
          <w:sz w:val="24"/>
          <w:szCs w:val="24"/>
        </w:rPr>
        <w:t xml:space="preserve">compared with optimised DNase </w:t>
      </w:r>
      <w:r w:rsidR="00582CF0" w:rsidRPr="000E01C3">
        <w:rPr>
          <w:rFonts w:asciiTheme="minorHAnsi" w:hAnsiTheme="minorHAnsi" w:cstheme="minorHAnsi"/>
          <w:sz w:val="24"/>
          <w:szCs w:val="24"/>
        </w:rPr>
        <w:t>+</w:t>
      </w:r>
      <w:r w:rsidRPr="000E01C3">
        <w:rPr>
          <w:rFonts w:asciiTheme="minorHAnsi" w:hAnsiTheme="minorHAnsi" w:cstheme="minorHAnsi"/>
          <w:sz w:val="24"/>
          <w:szCs w:val="24"/>
        </w:rPr>
        <w:t xml:space="preserve"> placebo</w:t>
      </w:r>
      <w:r w:rsidR="008016AC" w:rsidRPr="000E01C3">
        <w:rPr>
          <w:rFonts w:asciiTheme="minorHAnsi" w:hAnsiTheme="minorHAnsi" w:cstheme="minorHAnsi"/>
          <w:i/>
          <w:sz w:val="24"/>
          <w:szCs w:val="24"/>
        </w:rPr>
        <w:t>.</w:t>
      </w:r>
    </w:p>
    <w:p w:rsidR="00E55C12" w:rsidRDefault="00E55C12" w:rsidP="00E55C12">
      <w:pPr>
        <w:pStyle w:val="Caption"/>
        <w:keepNext/>
      </w:pPr>
      <w:r>
        <w:t xml:space="preserve">Table </w:t>
      </w:r>
      <w:r>
        <w:rPr>
          <w:noProof/>
        </w:rPr>
        <w:t>9</w:t>
      </w:r>
      <w:r w:rsidRPr="00280770">
        <w:t>: Summary of model structure and rationale</w:t>
      </w:r>
    </w:p>
    <w:tbl>
      <w:tblPr>
        <w:tblStyle w:val="TableGrid"/>
        <w:tblW w:w="0" w:type="auto"/>
        <w:tblCellMar>
          <w:left w:w="28" w:type="dxa"/>
          <w:right w:w="28" w:type="dxa"/>
        </w:tblCellMar>
        <w:tblLook w:val="04A0" w:firstRow="1" w:lastRow="0" w:firstColumn="1" w:lastColumn="0" w:noHBand="0" w:noVBand="1"/>
        <w:tblCaption w:val=": Summary of model structure and rationale"/>
      </w:tblPr>
      <w:tblGrid>
        <w:gridCol w:w="1413"/>
        <w:gridCol w:w="7603"/>
      </w:tblGrid>
      <w:tr w:rsidR="00EE0EED" w:rsidRPr="000E01C3" w:rsidTr="00BE33FF">
        <w:trPr>
          <w:tblHeader/>
        </w:trPr>
        <w:tc>
          <w:tcPr>
            <w:tcW w:w="1413" w:type="dxa"/>
          </w:tcPr>
          <w:p w:rsidR="00EE0EED" w:rsidRPr="000E01C3" w:rsidRDefault="00EE0EED" w:rsidP="0072709E">
            <w:pPr>
              <w:keepNext/>
              <w:widowControl/>
              <w:rPr>
                <w:rFonts w:ascii="Arial Narrow" w:hAnsi="Arial Narrow"/>
                <w:sz w:val="20"/>
              </w:rPr>
            </w:pPr>
            <w:r w:rsidRPr="000E01C3">
              <w:rPr>
                <w:rFonts w:ascii="Arial Narrow" w:hAnsi="Arial Narrow"/>
                <w:b/>
                <w:sz w:val="20"/>
              </w:rPr>
              <w:t>Component</w:t>
            </w:r>
          </w:p>
        </w:tc>
        <w:tc>
          <w:tcPr>
            <w:tcW w:w="7603" w:type="dxa"/>
          </w:tcPr>
          <w:p w:rsidR="00EE0EED" w:rsidRPr="000E01C3" w:rsidRDefault="00EE0EED" w:rsidP="0072709E">
            <w:pPr>
              <w:keepNext/>
              <w:widowControl/>
              <w:rPr>
                <w:rFonts w:ascii="Arial Narrow" w:hAnsi="Arial Narrow"/>
                <w:sz w:val="20"/>
              </w:rPr>
            </w:pPr>
            <w:r w:rsidRPr="000E01C3">
              <w:rPr>
                <w:rFonts w:ascii="Arial Narrow" w:hAnsi="Arial Narrow"/>
                <w:b/>
                <w:sz w:val="20"/>
              </w:rPr>
              <w:t>Summary</w:t>
            </w:r>
          </w:p>
        </w:tc>
      </w:tr>
      <w:tr w:rsidR="00EE0EED" w:rsidRPr="000E01C3" w:rsidTr="00EE0EED">
        <w:tc>
          <w:tcPr>
            <w:tcW w:w="1413" w:type="dxa"/>
          </w:tcPr>
          <w:p w:rsidR="00EE0EED" w:rsidRPr="000E01C3" w:rsidRDefault="00EE0EED" w:rsidP="0072709E">
            <w:pPr>
              <w:keepNext/>
              <w:widowControl/>
              <w:rPr>
                <w:rFonts w:ascii="Arial Narrow" w:hAnsi="Arial Narrow"/>
                <w:sz w:val="20"/>
                <w:szCs w:val="16"/>
              </w:rPr>
            </w:pPr>
            <w:r w:rsidRPr="000E01C3">
              <w:rPr>
                <w:rFonts w:ascii="Arial Narrow" w:hAnsi="Arial Narrow"/>
                <w:sz w:val="20"/>
              </w:rPr>
              <w:t>Time horizon</w:t>
            </w:r>
          </w:p>
        </w:tc>
        <w:tc>
          <w:tcPr>
            <w:tcW w:w="7603" w:type="dxa"/>
          </w:tcPr>
          <w:p w:rsidR="00EE0EED" w:rsidRPr="000E01C3" w:rsidRDefault="00EE0EED" w:rsidP="0072709E">
            <w:pPr>
              <w:keepNext/>
              <w:widowControl/>
              <w:rPr>
                <w:rFonts w:ascii="Arial Narrow" w:hAnsi="Arial Narrow"/>
                <w:sz w:val="20"/>
                <w:szCs w:val="16"/>
              </w:rPr>
            </w:pPr>
            <w:r w:rsidRPr="000E01C3">
              <w:rPr>
                <w:rFonts w:ascii="Arial Narrow" w:hAnsi="Arial Narrow"/>
                <w:sz w:val="20"/>
              </w:rPr>
              <w:t>100 years (lifetime) in the model base case versus 74 weeks in trials</w:t>
            </w:r>
          </w:p>
        </w:tc>
      </w:tr>
      <w:tr w:rsidR="00EE0EED" w:rsidRPr="000E01C3" w:rsidTr="00EE0EED">
        <w:tc>
          <w:tcPr>
            <w:tcW w:w="1413" w:type="dxa"/>
          </w:tcPr>
          <w:p w:rsidR="00EE0EED" w:rsidRPr="000E01C3" w:rsidRDefault="00EE0EED" w:rsidP="0072709E">
            <w:pPr>
              <w:keepNext/>
              <w:widowControl/>
              <w:rPr>
                <w:rFonts w:ascii="Arial Narrow" w:hAnsi="Arial Narrow"/>
                <w:sz w:val="20"/>
                <w:szCs w:val="16"/>
              </w:rPr>
            </w:pPr>
            <w:r w:rsidRPr="000E01C3">
              <w:rPr>
                <w:rFonts w:ascii="Arial Narrow" w:hAnsi="Arial Narrow"/>
                <w:sz w:val="20"/>
              </w:rPr>
              <w:t>Outcomes</w:t>
            </w:r>
          </w:p>
        </w:tc>
        <w:tc>
          <w:tcPr>
            <w:tcW w:w="7603" w:type="dxa"/>
          </w:tcPr>
          <w:p w:rsidR="00EE0EED" w:rsidRPr="000E01C3" w:rsidRDefault="00BA638B" w:rsidP="00BA638B">
            <w:pPr>
              <w:keepNext/>
              <w:widowControl/>
              <w:rPr>
                <w:rFonts w:ascii="Arial Narrow" w:hAnsi="Arial Narrow"/>
                <w:sz w:val="20"/>
                <w:szCs w:val="16"/>
              </w:rPr>
            </w:pPr>
            <w:r w:rsidRPr="000E01C3">
              <w:rPr>
                <w:rFonts w:ascii="Arial Narrow" w:hAnsi="Arial Narrow"/>
                <w:sz w:val="20"/>
              </w:rPr>
              <w:t xml:space="preserve">LYs </w:t>
            </w:r>
            <w:r w:rsidR="00EE0EED" w:rsidRPr="000E01C3">
              <w:rPr>
                <w:rFonts w:ascii="Arial Narrow" w:hAnsi="Arial Narrow"/>
                <w:sz w:val="20"/>
              </w:rPr>
              <w:t>and QALYs</w:t>
            </w:r>
            <w:r w:rsidRPr="000E01C3">
              <w:rPr>
                <w:rFonts w:ascii="Arial Narrow" w:hAnsi="Arial Narrow"/>
                <w:sz w:val="20"/>
              </w:rPr>
              <w:t xml:space="preserve"> gained</w:t>
            </w:r>
          </w:p>
        </w:tc>
      </w:tr>
      <w:tr w:rsidR="00EE0EED" w:rsidRPr="000E01C3" w:rsidTr="00EE0EED">
        <w:tc>
          <w:tcPr>
            <w:tcW w:w="1413" w:type="dxa"/>
            <w:vAlign w:val="center"/>
          </w:tcPr>
          <w:p w:rsidR="00EE0EED" w:rsidRPr="000E01C3" w:rsidRDefault="00EE0EED" w:rsidP="0072709E">
            <w:pPr>
              <w:keepNext/>
              <w:widowControl/>
              <w:rPr>
                <w:rFonts w:ascii="Arial Narrow" w:hAnsi="Arial Narrow"/>
                <w:sz w:val="20"/>
                <w:szCs w:val="16"/>
              </w:rPr>
            </w:pPr>
            <w:r w:rsidRPr="000E01C3">
              <w:rPr>
                <w:rFonts w:ascii="Arial Narrow" w:hAnsi="Arial Narrow"/>
                <w:sz w:val="20"/>
              </w:rPr>
              <w:t>Methods used to generate results</w:t>
            </w:r>
          </w:p>
        </w:tc>
        <w:tc>
          <w:tcPr>
            <w:tcW w:w="7603" w:type="dxa"/>
            <w:vAlign w:val="center"/>
          </w:tcPr>
          <w:p w:rsidR="00EE0EED" w:rsidRPr="000E01C3" w:rsidRDefault="00EE0EED" w:rsidP="0072709E">
            <w:pPr>
              <w:keepNext/>
              <w:widowControl/>
              <w:rPr>
                <w:rFonts w:ascii="Arial Narrow" w:hAnsi="Arial Narrow"/>
                <w:sz w:val="20"/>
              </w:rPr>
            </w:pPr>
            <w:r w:rsidRPr="000E01C3">
              <w:rPr>
                <w:rFonts w:ascii="Arial Narrow" w:hAnsi="Arial Narrow"/>
                <w:sz w:val="20"/>
              </w:rPr>
              <w:t>Patient-level simulation Markov model (10,000 patients/trials).</w:t>
            </w:r>
            <w:r w:rsidR="007869A7" w:rsidRPr="000E01C3">
              <w:rPr>
                <w:rFonts w:ascii="Arial Narrow" w:hAnsi="Arial Narrow"/>
                <w:sz w:val="20"/>
              </w:rPr>
              <w:t xml:space="preserve"> </w:t>
            </w:r>
            <w:r w:rsidRPr="000E01C3">
              <w:rPr>
                <w:rFonts w:ascii="Arial Narrow" w:hAnsi="Arial Narrow"/>
                <w:sz w:val="20"/>
              </w:rPr>
              <w:t>Patient characteristics (including gender, age, BMI, ppFEV</w:t>
            </w:r>
            <w:r w:rsidRPr="000E01C3">
              <w:rPr>
                <w:rFonts w:ascii="Arial Narrow" w:hAnsi="Arial Narrow"/>
                <w:sz w:val="20"/>
                <w:vertAlign w:val="subscript"/>
              </w:rPr>
              <w:t>1</w:t>
            </w:r>
            <w:r w:rsidRPr="000E01C3">
              <w:rPr>
                <w:rFonts w:ascii="Arial Narrow" w:hAnsi="Arial Narrow"/>
                <w:sz w:val="20"/>
              </w:rPr>
              <w:t>, Burkholderia cepacia complex (Bcc) infection status and ppFEV</w:t>
            </w:r>
            <w:r w:rsidRPr="000E01C3">
              <w:rPr>
                <w:rFonts w:ascii="Arial Narrow" w:hAnsi="Arial Narrow"/>
                <w:sz w:val="20"/>
                <w:vertAlign w:val="subscript"/>
              </w:rPr>
              <w:t>1</w:t>
            </w:r>
            <w:r w:rsidRPr="000E01C3">
              <w:rPr>
                <w:rFonts w:ascii="Arial Narrow" w:hAnsi="Arial Narrow"/>
                <w:sz w:val="20"/>
              </w:rPr>
              <w:t xml:space="preserve"> responder at Week 14) were sampled at baseline and influenc</w:t>
            </w:r>
            <w:r w:rsidR="00A539FA" w:rsidRPr="000E01C3">
              <w:rPr>
                <w:rFonts w:ascii="Arial Narrow" w:hAnsi="Arial Narrow"/>
                <w:sz w:val="20"/>
              </w:rPr>
              <w:t>ed patient</w:t>
            </w:r>
            <w:r w:rsidRPr="000E01C3">
              <w:rPr>
                <w:rFonts w:ascii="Arial Narrow" w:hAnsi="Arial Narrow"/>
                <w:sz w:val="20"/>
              </w:rPr>
              <w:t xml:space="preserve"> transition</w:t>
            </w:r>
            <w:r w:rsidR="00A539FA" w:rsidRPr="000E01C3">
              <w:rPr>
                <w:rFonts w:ascii="Arial Narrow" w:hAnsi="Arial Narrow"/>
                <w:sz w:val="20"/>
              </w:rPr>
              <w:t>s</w:t>
            </w:r>
            <w:r w:rsidRPr="000E01C3">
              <w:rPr>
                <w:rFonts w:ascii="Arial Narrow" w:hAnsi="Arial Narrow"/>
                <w:sz w:val="20"/>
              </w:rPr>
              <w:t xml:space="preserve"> through the model (see ‘Transition probabilities’ below). All patients commenced in a base CF health state. Each cycle, patients with ppFEV</w:t>
            </w:r>
            <w:r w:rsidRPr="000E01C3">
              <w:rPr>
                <w:rFonts w:ascii="Arial Narrow" w:hAnsi="Arial Narrow"/>
                <w:sz w:val="20"/>
                <w:vertAlign w:val="subscript"/>
              </w:rPr>
              <w:t>1</w:t>
            </w:r>
            <w:r w:rsidRPr="000E01C3">
              <w:rPr>
                <w:rFonts w:ascii="Arial Narrow" w:hAnsi="Arial Narrow"/>
                <w:sz w:val="20"/>
              </w:rPr>
              <w:t xml:space="preserve"> &lt;30 have a chance to receive a lung transplant. Patients who did not receive a lung transplant remain at risk of experiencing a pulmonary exacerbation in that cycle, dying due to CF or dying due to an unrelated cause. Patients who did receive a lung transplant were no longer at risk of suffering pulmonary exacerbations and remained in that health state until death (due to CF or an unrelated cause).</w:t>
            </w:r>
          </w:p>
          <w:p w:rsidR="00EE0EED" w:rsidRPr="000E01C3" w:rsidRDefault="00EE0EED" w:rsidP="0072709E">
            <w:pPr>
              <w:keepNext/>
              <w:widowControl/>
              <w:rPr>
                <w:rFonts w:ascii="Arial Narrow" w:hAnsi="Arial Narrow"/>
                <w:sz w:val="20"/>
                <w:szCs w:val="16"/>
              </w:rPr>
            </w:pPr>
            <w:r w:rsidRPr="000E01C3">
              <w:rPr>
                <w:rFonts w:ascii="Arial Narrow" w:hAnsi="Arial Narrow"/>
                <w:sz w:val="20"/>
              </w:rPr>
              <w:t>In the mannitol arm of the model, all patients were assumed to commence on mannitol. Patients classified as mannitol week 14 ‘responders’ at baseline ceased therapy at a constant rate from the first cycle; whereas all patients classified as non-responders cease therapy after the first cycle.</w:t>
            </w:r>
            <w:r w:rsidRPr="000E01C3">
              <w:rPr>
                <w:rFonts w:ascii="Arial Narrow" w:hAnsi="Arial Narrow"/>
                <w:iCs/>
                <w:sz w:val="20"/>
              </w:rPr>
              <w:t xml:space="preserve"> However responders who ceased in cycles 0, 1 and 2 were still attributed a response at Week 26.</w:t>
            </w:r>
          </w:p>
        </w:tc>
      </w:tr>
      <w:tr w:rsidR="00EE0EED" w:rsidRPr="000E01C3" w:rsidTr="00EE0EED">
        <w:tc>
          <w:tcPr>
            <w:tcW w:w="1413" w:type="dxa"/>
          </w:tcPr>
          <w:p w:rsidR="00EE0EED" w:rsidRPr="000E01C3" w:rsidRDefault="00EE0EED" w:rsidP="0072709E">
            <w:pPr>
              <w:keepNext/>
              <w:widowControl/>
              <w:rPr>
                <w:rFonts w:ascii="Arial Narrow" w:hAnsi="Arial Narrow"/>
                <w:sz w:val="20"/>
                <w:szCs w:val="16"/>
              </w:rPr>
            </w:pPr>
            <w:r w:rsidRPr="000E01C3">
              <w:rPr>
                <w:rFonts w:ascii="Arial Narrow" w:hAnsi="Arial Narrow"/>
                <w:sz w:val="20"/>
              </w:rPr>
              <w:t>Health states</w:t>
            </w:r>
          </w:p>
        </w:tc>
        <w:tc>
          <w:tcPr>
            <w:tcW w:w="7603" w:type="dxa"/>
          </w:tcPr>
          <w:p w:rsidR="00EE0EED" w:rsidRPr="000E01C3" w:rsidRDefault="00EE0EED" w:rsidP="0072709E">
            <w:pPr>
              <w:keepNext/>
              <w:widowControl/>
              <w:rPr>
                <w:rFonts w:ascii="Arial Narrow" w:hAnsi="Arial Narrow"/>
                <w:sz w:val="20"/>
                <w:szCs w:val="16"/>
              </w:rPr>
            </w:pPr>
            <w:r w:rsidRPr="000E01C3">
              <w:rPr>
                <w:rFonts w:ascii="Arial Narrow" w:hAnsi="Arial Narrow"/>
                <w:sz w:val="20"/>
              </w:rPr>
              <w:t>1) CF; 2) Lung transplant; 3) Dead</w:t>
            </w:r>
          </w:p>
        </w:tc>
      </w:tr>
      <w:tr w:rsidR="00EE0EED" w:rsidRPr="000E01C3" w:rsidTr="00EE0EED">
        <w:tc>
          <w:tcPr>
            <w:tcW w:w="1413" w:type="dxa"/>
          </w:tcPr>
          <w:p w:rsidR="00EE0EED" w:rsidRPr="000E01C3" w:rsidRDefault="00EE0EED" w:rsidP="0072709E">
            <w:pPr>
              <w:keepNext/>
              <w:widowControl/>
              <w:rPr>
                <w:rFonts w:ascii="Arial Narrow" w:hAnsi="Arial Narrow"/>
                <w:sz w:val="20"/>
                <w:szCs w:val="16"/>
              </w:rPr>
            </w:pPr>
            <w:r w:rsidRPr="000E01C3">
              <w:rPr>
                <w:rFonts w:ascii="Arial Narrow" w:hAnsi="Arial Narrow"/>
                <w:sz w:val="20"/>
              </w:rPr>
              <w:t>Utilities</w:t>
            </w:r>
          </w:p>
        </w:tc>
        <w:tc>
          <w:tcPr>
            <w:tcW w:w="7603" w:type="dxa"/>
          </w:tcPr>
          <w:p w:rsidR="00EE0EED" w:rsidRPr="000E01C3" w:rsidRDefault="00EE0EED" w:rsidP="0072709E">
            <w:pPr>
              <w:keepNext/>
              <w:widowControl/>
              <w:rPr>
                <w:rFonts w:ascii="Arial Narrow" w:hAnsi="Arial Narrow"/>
                <w:sz w:val="20"/>
                <w:szCs w:val="16"/>
              </w:rPr>
            </w:pPr>
            <w:r w:rsidRPr="000E01C3">
              <w:rPr>
                <w:rFonts w:ascii="Arial Narrow" w:hAnsi="Arial Narrow"/>
                <w:sz w:val="20"/>
              </w:rPr>
              <w:t>CF ppFEV</w:t>
            </w:r>
            <w:r w:rsidRPr="000E01C3">
              <w:rPr>
                <w:rFonts w:ascii="Arial Narrow" w:hAnsi="Arial Narrow"/>
                <w:sz w:val="20"/>
                <w:vertAlign w:val="subscript"/>
              </w:rPr>
              <w:t>1</w:t>
            </w:r>
            <w:r w:rsidRPr="000E01C3">
              <w:rPr>
                <w:rFonts w:ascii="Arial Narrow" w:hAnsi="Arial Narrow"/>
                <w:sz w:val="20"/>
              </w:rPr>
              <w:t>≥30: 0.92; CF ppFEV</w:t>
            </w:r>
            <w:r w:rsidRPr="000E01C3">
              <w:rPr>
                <w:rFonts w:ascii="Arial Narrow" w:hAnsi="Arial Narrow"/>
                <w:sz w:val="20"/>
                <w:vertAlign w:val="subscript"/>
              </w:rPr>
              <w:t>1</w:t>
            </w:r>
            <w:r w:rsidRPr="000E01C3">
              <w:rPr>
                <w:rFonts w:ascii="Arial Narrow" w:hAnsi="Arial Narrow"/>
                <w:sz w:val="20"/>
              </w:rPr>
              <w:t>&lt;30: 0.31; Lung</w:t>
            </w:r>
            <w:r w:rsidR="007869A7" w:rsidRPr="000E01C3">
              <w:rPr>
                <w:rFonts w:ascii="Arial Narrow" w:hAnsi="Arial Narrow"/>
                <w:sz w:val="20"/>
              </w:rPr>
              <w:t xml:space="preserve"> </w:t>
            </w:r>
            <w:r w:rsidRPr="000E01C3">
              <w:rPr>
                <w:rFonts w:ascii="Arial Narrow" w:hAnsi="Arial Narrow"/>
                <w:sz w:val="20"/>
              </w:rPr>
              <w:t>transplant: 0.803; Exacerbation: -0.0097 / event</w:t>
            </w:r>
          </w:p>
        </w:tc>
      </w:tr>
      <w:tr w:rsidR="00EE0EED" w:rsidRPr="000E01C3" w:rsidTr="00EE0EED">
        <w:tc>
          <w:tcPr>
            <w:tcW w:w="1413" w:type="dxa"/>
          </w:tcPr>
          <w:p w:rsidR="00EE0EED" w:rsidRPr="000E01C3" w:rsidRDefault="00EE0EED" w:rsidP="0072709E">
            <w:pPr>
              <w:keepNext/>
              <w:widowControl/>
              <w:rPr>
                <w:rFonts w:ascii="Arial Narrow" w:hAnsi="Arial Narrow"/>
                <w:sz w:val="20"/>
              </w:rPr>
            </w:pPr>
            <w:r w:rsidRPr="000E01C3">
              <w:rPr>
                <w:rFonts w:ascii="Arial Narrow" w:hAnsi="Arial Narrow"/>
                <w:sz w:val="20"/>
              </w:rPr>
              <w:t>Cycle length</w:t>
            </w:r>
          </w:p>
        </w:tc>
        <w:tc>
          <w:tcPr>
            <w:tcW w:w="7603" w:type="dxa"/>
          </w:tcPr>
          <w:p w:rsidR="00EE0EED" w:rsidRPr="000E01C3" w:rsidRDefault="00EE0EED" w:rsidP="0072709E">
            <w:pPr>
              <w:keepNext/>
              <w:widowControl/>
              <w:rPr>
                <w:rFonts w:ascii="Arial Narrow" w:hAnsi="Arial Narrow"/>
                <w:sz w:val="20"/>
              </w:rPr>
            </w:pPr>
            <w:r w:rsidRPr="000E01C3">
              <w:rPr>
                <w:rFonts w:ascii="Arial Narrow" w:hAnsi="Arial Narrow"/>
                <w:sz w:val="20"/>
              </w:rPr>
              <w:t>1</w:t>
            </w:r>
            <w:r w:rsidRPr="000E01C3">
              <w:rPr>
                <w:rFonts w:ascii="Arial Narrow" w:hAnsi="Arial Narrow"/>
                <w:sz w:val="20"/>
                <w:vertAlign w:val="superscript"/>
              </w:rPr>
              <w:t>st</w:t>
            </w:r>
            <w:r w:rsidRPr="000E01C3">
              <w:rPr>
                <w:rFonts w:ascii="Arial Narrow" w:hAnsi="Arial Narrow"/>
                <w:sz w:val="20"/>
              </w:rPr>
              <w:t xml:space="preserve"> cycle and ≥3</w:t>
            </w:r>
            <w:r w:rsidRPr="000E01C3">
              <w:rPr>
                <w:rFonts w:ascii="Arial Narrow" w:hAnsi="Arial Narrow"/>
                <w:sz w:val="20"/>
                <w:vertAlign w:val="superscript"/>
              </w:rPr>
              <w:t>rd</w:t>
            </w:r>
            <w:r w:rsidRPr="000E01C3">
              <w:rPr>
                <w:rFonts w:ascii="Arial Narrow" w:hAnsi="Arial Narrow"/>
                <w:sz w:val="20"/>
              </w:rPr>
              <w:t xml:space="preserve"> cycles: 12 weeks</w:t>
            </w:r>
            <w:r w:rsidRPr="000E01C3">
              <w:rPr>
                <w:rFonts w:ascii="Arial Narrow" w:hAnsi="Arial Narrow"/>
                <w:sz w:val="20"/>
                <w:vertAlign w:val="superscript"/>
              </w:rPr>
              <w:t>a</w:t>
            </w:r>
            <w:r w:rsidRPr="000E01C3">
              <w:rPr>
                <w:rFonts w:ascii="Arial Narrow" w:hAnsi="Arial Narrow"/>
                <w:sz w:val="20"/>
              </w:rPr>
              <w:t>;</w:t>
            </w:r>
            <w:r w:rsidR="007869A7" w:rsidRPr="000E01C3">
              <w:rPr>
                <w:rFonts w:ascii="Arial Narrow" w:hAnsi="Arial Narrow"/>
                <w:sz w:val="20"/>
                <w:vertAlign w:val="superscript"/>
              </w:rPr>
              <w:t xml:space="preserve"> </w:t>
            </w:r>
            <w:r w:rsidRPr="000E01C3">
              <w:rPr>
                <w:rFonts w:ascii="Arial Narrow" w:hAnsi="Arial Narrow"/>
                <w:sz w:val="20"/>
              </w:rPr>
              <w:t>2</w:t>
            </w:r>
            <w:r w:rsidRPr="000E01C3">
              <w:rPr>
                <w:rFonts w:ascii="Arial Narrow" w:hAnsi="Arial Narrow"/>
                <w:sz w:val="20"/>
                <w:vertAlign w:val="superscript"/>
              </w:rPr>
              <w:t>nd</w:t>
            </w:r>
            <w:r w:rsidRPr="000E01C3">
              <w:rPr>
                <w:rFonts w:ascii="Arial Narrow" w:hAnsi="Arial Narrow"/>
                <w:sz w:val="20"/>
              </w:rPr>
              <w:t xml:space="preserve"> cycle: 2 weeks</w:t>
            </w:r>
            <w:r w:rsidRPr="000E01C3">
              <w:rPr>
                <w:rFonts w:ascii="Arial Narrow" w:hAnsi="Arial Narrow"/>
                <w:sz w:val="20"/>
                <w:vertAlign w:val="superscript"/>
              </w:rPr>
              <w:t>b</w:t>
            </w:r>
            <w:r w:rsidRPr="000E01C3">
              <w:rPr>
                <w:rFonts w:ascii="Arial Narrow" w:hAnsi="Arial Narrow"/>
                <w:sz w:val="20"/>
              </w:rPr>
              <w:t>.</w:t>
            </w:r>
            <w:r w:rsidR="007869A7" w:rsidRPr="000E01C3">
              <w:rPr>
                <w:rFonts w:ascii="Arial Narrow" w:hAnsi="Arial Narrow"/>
                <w:sz w:val="20"/>
              </w:rPr>
              <w:t xml:space="preserve"> </w:t>
            </w:r>
            <w:r w:rsidRPr="000E01C3">
              <w:rPr>
                <w:rFonts w:ascii="Arial Narrow" w:hAnsi="Arial Narrow"/>
                <w:sz w:val="20"/>
              </w:rPr>
              <w:t>No half cycle correction.</w:t>
            </w:r>
          </w:p>
        </w:tc>
      </w:tr>
      <w:tr w:rsidR="00EE0EED" w:rsidRPr="000E01C3" w:rsidTr="00EE0EED">
        <w:tc>
          <w:tcPr>
            <w:tcW w:w="1413" w:type="dxa"/>
          </w:tcPr>
          <w:p w:rsidR="00EE0EED" w:rsidRPr="000E01C3" w:rsidRDefault="00EE0EED" w:rsidP="0072709E">
            <w:pPr>
              <w:keepNext/>
              <w:widowControl/>
              <w:rPr>
                <w:rFonts w:ascii="Arial Narrow" w:hAnsi="Arial Narrow"/>
                <w:sz w:val="20"/>
                <w:szCs w:val="16"/>
              </w:rPr>
            </w:pPr>
            <w:r w:rsidRPr="000E01C3">
              <w:rPr>
                <w:rFonts w:ascii="Arial Narrow" w:hAnsi="Arial Narrow"/>
                <w:sz w:val="20"/>
              </w:rPr>
              <w:t>Transition probabilities</w:t>
            </w:r>
          </w:p>
        </w:tc>
        <w:tc>
          <w:tcPr>
            <w:tcW w:w="7603" w:type="dxa"/>
          </w:tcPr>
          <w:p w:rsidR="00EE0EED" w:rsidRPr="000E01C3" w:rsidRDefault="00EE0EED" w:rsidP="0072709E">
            <w:pPr>
              <w:keepNext/>
              <w:rPr>
                <w:rFonts w:ascii="Arial Narrow" w:hAnsi="Arial Narrow"/>
                <w:sz w:val="20"/>
              </w:rPr>
            </w:pPr>
            <w:r w:rsidRPr="000E01C3">
              <w:rPr>
                <w:rFonts w:ascii="Arial Narrow" w:hAnsi="Arial Narrow"/>
                <w:sz w:val="20"/>
              </w:rPr>
              <w:t>Transitions through the model were dependent on patient characteristics (drawn at baseline and tracked over the model) via a number of regression</w:t>
            </w:r>
            <w:r w:rsidR="00DB15B9" w:rsidRPr="000E01C3">
              <w:rPr>
                <w:rFonts w:ascii="Arial Narrow" w:hAnsi="Arial Narrow"/>
                <w:sz w:val="20"/>
              </w:rPr>
              <w:t xml:space="preserve"> analyses</w:t>
            </w:r>
            <w:r w:rsidRPr="000E01C3">
              <w:rPr>
                <w:rFonts w:ascii="Arial Narrow" w:hAnsi="Arial Narrow"/>
                <w:sz w:val="20"/>
              </w:rPr>
              <w:t xml:space="preserve"> and other assumptions:</w:t>
            </w:r>
          </w:p>
          <w:p w:rsidR="00EE0EED" w:rsidRPr="000E01C3" w:rsidRDefault="00EE0EED" w:rsidP="0072709E">
            <w:pPr>
              <w:keepNext/>
              <w:rPr>
                <w:rFonts w:ascii="Arial Narrow" w:hAnsi="Arial Narrow"/>
                <w:sz w:val="20"/>
              </w:rPr>
            </w:pPr>
            <w:r w:rsidRPr="000E01C3">
              <w:rPr>
                <w:rFonts w:ascii="Arial Narrow" w:hAnsi="Arial Narrow"/>
                <w:sz w:val="20"/>
              </w:rPr>
              <w:t>Absolute ppFEV</w:t>
            </w:r>
            <w:r w:rsidRPr="000E01C3">
              <w:rPr>
                <w:rFonts w:ascii="Arial Narrow" w:hAnsi="Arial Narrow"/>
                <w:sz w:val="20"/>
                <w:vertAlign w:val="subscript"/>
              </w:rPr>
              <w:t>1</w:t>
            </w:r>
            <w:r w:rsidRPr="000E01C3">
              <w:rPr>
                <w:rFonts w:ascii="Arial Narrow" w:hAnsi="Arial Narrow"/>
                <w:sz w:val="20"/>
              </w:rPr>
              <w:t xml:space="preserve"> at week 26 derived from a linear regression which included covariates treatment with mannitol, ‘responder’ at baseline, BMI at baseline, ppFEV</w:t>
            </w:r>
            <w:r w:rsidRPr="000E01C3">
              <w:rPr>
                <w:rFonts w:ascii="Arial Narrow" w:hAnsi="Arial Narrow"/>
                <w:sz w:val="20"/>
                <w:vertAlign w:val="subscript"/>
              </w:rPr>
              <w:t>1</w:t>
            </w:r>
            <w:r w:rsidRPr="000E01C3">
              <w:rPr>
                <w:rFonts w:ascii="Arial Narrow" w:hAnsi="Arial Narrow"/>
                <w:sz w:val="20"/>
              </w:rPr>
              <w:t xml:space="preserve"> at baseline, and exacerbations.</w:t>
            </w:r>
          </w:p>
          <w:p w:rsidR="00EE0EED" w:rsidRPr="000E01C3" w:rsidRDefault="00EE0EED" w:rsidP="0072709E">
            <w:pPr>
              <w:keepNext/>
              <w:rPr>
                <w:rFonts w:ascii="Arial Narrow" w:hAnsi="Arial Narrow"/>
                <w:sz w:val="20"/>
              </w:rPr>
            </w:pPr>
            <w:r w:rsidRPr="000E01C3">
              <w:rPr>
                <w:rFonts w:ascii="Arial Narrow" w:hAnsi="Arial Narrow"/>
                <w:sz w:val="20"/>
              </w:rPr>
              <w:t>No change in ppFEV</w:t>
            </w:r>
            <w:r w:rsidRPr="000E01C3">
              <w:rPr>
                <w:rFonts w:ascii="Arial Narrow" w:hAnsi="Arial Narrow"/>
                <w:sz w:val="20"/>
                <w:vertAlign w:val="subscript"/>
              </w:rPr>
              <w:t>1</w:t>
            </w:r>
            <w:r w:rsidRPr="000E01C3">
              <w:rPr>
                <w:rFonts w:ascii="Arial Narrow" w:hAnsi="Arial Narrow"/>
                <w:sz w:val="20"/>
              </w:rPr>
              <w:t xml:space="preserve"> assumed for ‘responders’ on mannitol for a maximum of 48 weeks.</w:t>
            </w:r>
          </w:p>
          <w:p w:rsidR="00EE0EED" w:rsidRPr="000E01C3" w:rsidRDefault="00EE0EED" w:rsidP="0072709E">
            <w:pPr>
              <w:keepNext/>
              <w:rPr>
                <w:rFonts w:ascii="Arial Narrow" w:hAnsi="Arial Narrow"/>
                <w:sz w:val="20"/>
              </w:rPr>
            </w:pPr>
            <w:r w:rsidRPr="000E01C3">
              <w:rPr>
                <w:rFonts w:ascii="Arial Narrow" w:hAnsi="Arial Narrow"/>
                <w:sz w:val="20"/>
              </w:rPr>
              <w:t>Change in ppFEV</w:t>
            </w:r>
            <w:r w:rsidRPr="000E01C3">
              <w:rPr>
                <w:rFonts w:ascii="Arial Narrow" w:hAnsi="Arial Narrow"/>
                <w:sz w:val="20"/>
                <w:vertAlign w:val="subscript"/>
              </w:rPr>
              <w:t>1</w:t>
            </w:r>
            <w:r w:rsidRPr="000E01C3">
              <w:rPr>
                <w:rFonts w:ascii="Arial Narrow" w:hAnsi="Arial Narrow"/>
                <w:sz w:val="20"/>
              </w:rPr>
              <w:t xml:space="preserve"> after week 26 for non-responders or after week 74 for mannitol responders derived from a linear regression which included covariates: age, age≥30 and current exacerbation.</w:t>
            </w:r>
          </w:p>
          <w:p w:rsidR="00EE0EED" w:rsidRPr="000E01C3" w:rsidRDefault="00EE0EED" w:rsidP="0072709E">
            <w:pPr>
              <w:keepNext/>
              <w:rPr>
                <w:rFonts w:ascii="Arial Narrow" w:hAnsi="Arial Narrow"/>
                <w:sz w:val="20"/>
              </w:rPr>
            </w:pPr>
            <w:r w:rsidRPr="000E01C3">
              <w:rPr>
                <w:rFonts w:ascii="Arial Narrow" w:hAnsi="Arial Narrow"/>
                <w:sz w:val="20"/>
              </w:rPr>
              <w:t>Assumed constant rate of exacerbations with reduced risk on mannitol.</w:t>
            </w:r>
          </w:p>
          <w:p w:rsidR="00EE0EED" w:rsidRPr="000E01C3" w:rsidRDefault="00EE0EED" w:rsidP="0072709E">
            <w:pPr>
              <w:keepNext/>
              <w:rPr>
                <w:rFonts w:ascii="Arial Narrow" w:hAnsi="Arial Narrow"/>
                <w:sz w:val="20"/>
              </w:rPr>
            </w:pPr>
            <w:r w:rsidRPr="000E01C3">
              <w:rPr>
                <w:rFonts w:ascii="Arial Narrow" w:hAnsi="Arial Narrow"/>
                <w:sz w:val="20"/>
              </w:rPr>
              <w:t>Assumed constant rate of lung transplant for patients ppFEV</w:t>
            </w:r>
            <w:r w:rsidRPr="000E01C3">
              <w:rPr>
                <w:rFonts w:ascii="Arial Narrow" w:hAnsi="Arial Narrow"/>
                <w:sz w:val="20"/>
                <w:vertAlign w:val="subscript"/>
              </w:rPr>
              <w:t>1</w:t>
            </w:r>
            <w:r w:rsidRPr="000E01C3">
              <w:rPr>
                <w:rFonts w:ascii="Arial Narrow" w:hAnsi="Arial Narrow"/>
                <w:sz w:val="20"/>
              </w:rPr>
              <w:t xml:space="preserve"> &gt;30.</w:t>
            </w:r>
          </w:p>
          <w:p w:rsidR="00EE0EED" w:rsidRPr="000E01C3" w:rsidRDefault="00EE0EED" w:rsidP="0072709E">
            <w:pPr>
              <w:keepNext/>
              <w:rPr>
                <w:rFonts w:ascii="Arial Narrow" w:hAnsi="Arial Narrow"/>
                <w:sz w:val="20"/>
              </w:rPr>
            </w:pPr>
            <w:r w:rsidRPr="000E01C3">
              <w:rPr>
                <w:rFonts w:ascii="Arial Narrow" w:hAnsi="Arial Narrow"/>
                <w:sz w:val="20"/>
              </w:rPr>
              <w:t>Probability of dying due to CF derived from a cox survival model which included covariates ppFEV</w:t>
            </w:r>
            <w:r w:rsidRPr="000E01C3">
              <w:rPr>
                <w:rFonts w:ascii="Arial Narrow" w:hAnsi="Arial Narrow"/>
                <w:sz w:val="20"/>
                <w:vertAlign w:val="subscript"/>
              </w:rPr>
              <w:t>1</w:t>
            </w:r>
            <w:r w:rsidRPr="000E01C3">
              <w:rPr>
                <w:rFonts w:ascii="Arial Narrow" w:hAnsi="Arial Narrow"/>
                <w:sz w:val="20"/>
              </w:rPr>
              <w:t xml:space="preserve"> and BMI, and assumed increased risk with Bcc and current exacerbation; probability of dying due to lung transplant dependent on time since transplant; probability of dying from other causes derived from national life tables.</w:t>
            </w:r>
          </w:p>
          <w:p w:rsidR="00EE0EED" w:rsidRPr="000E01C3" w:rsidRDefault="00EE0EED" w:rsidP="0072709E">
            <w:pPr>
              <w:keepNext/>
              <w:rPr>
                <w:szCs w:val="16"/>
              </w:rPr>
            </w:pPr>
            <w:r w:rsidRPr="000E01C3">
              <w:rPr>
                <w:rFonts w:ascii="Arial Narrow" w:hAnsi="Arial Narrow"/>
                <w:sz w:val="20"/>
              </w:rPr>
              <w:t>Assumed all non-responders cease mannitol after cycle 0; assumed constant rate of cessation for responders from cycle 0.</w:t>
            </w:r>
            <w:r w:rsidR="007869A7" w:rsidRPr="000E01C3">
              <w:rPr>
                <w:rFonts w:ascii="Arial Narrow" w:hAnsi="Arial Narrow"/>
                <w:sz w:val="20"/>
              </w:rPr>
              <w:t xml:space="preserve"> </w:t>
            </w:r>
            <w:r w:rsidRPr="000E01C3">
              <w:rPr>
                <w:rFonts w:ascii="Arial Narrow" w:hAnsi="Arial Narrow"/>
                <w:iCs/>
                <w:sz w:val="20"/>
              </w:rPr>
              <w:t>Inappropriately, cessation of mannitol was unrelated to ppFEV</w:t>
            </w:r>
            <w:r w:rsidRPr="000E01C3">
              <w:rPr>
                <w:rFonts w:ascii="Arial Narrow" w:hAnsi="Arial Narrow"/>
                <w:iCs/>
                <w:sz w:val="20"/>
                <w:vertAlign w:val="subscript"/>
              </w:rPr>
              <w:t>1</w:t>
            </w:r>
            <w:r w:rsidRPr="000E01C3">
              <w:rPr>
                <w:rFonts w:ascii="Arial Narrow" w:hAnsi="Arial Narrow"/>
                <w:iCs/>
                <w:sz w:val="20"/>
              </w:rPr>
              <w:t>.</w:t>
            </w:r>
          </w:p>
        </w:tc>
      </w:tr>
      <w:tr w:rsidR="00EE0EED" w:rsidRPr="000E01C3" w:rsidTr="00EE0EED">
        <w:tc>
          <w:tcPr>
            <w:tcW w:w="1413" w:type="dxa"/>
          </w:tcPr>
          <w:p w:rsidR="00EE0EED" w:rsidRPr="000E01C3" w:rsidRDefault="00EE0EED" w:rsidP="0072709E">
            <w:pPr>
              <w:keepNext/>
              <w:widowControl/>
              <w:rPr>
                <w:rFonts w:ascii="Arial Narrow" w:hAnsi="Arial Narrow"/>
                <w:sz w:val="20"/>
                <w:szCs w:val="16"/>
              </w:rPr>
            </w:pPr>
            <w:r w:rsidRPr="000E01C3">
              <w:rPr>
                <w:rFonts w:ascii="Arial Narrow" w:hAnsi="Arial Narrow"/>
                <w:sz w:val="20"/>
              </w:rPr>
              <w:t>Software package</w:t>
            </w:r>
          </w:p>
        </w:tc>
        <w:tc>
          <w:tcPr>
            <w:tcW w:w="7603" w:type="dxa"/>
          </w:tcPr>
          <w:p w:rsidR="00EE0EED" w:rsidRPr="000E01C3" w:rsidRDefault="00EE0EED" w:rsidP="0072709E">
            <w:pPr>
              <w:keepNext/>
              <w:widowControl/>
              <w:rPr>
                <w:rFonts w:ascii="Arial Narrow" w:hAnsi="Arial Narrow"/>
                <w:sz w:val="20"/>
              </w:rPr>
            </w:pPr>
            <w:r w:rsidRPr="000E01C3">
              <w:rPr>
                <w:rFonts w:ascii="Arial Narrow" w:hAnsi="Arial Narrow"/>
                <w:sz w:val="20"/>
              </w:rPr>
              <w:t>Trial-based analysis: Excel 2010.</w:t>
            </w:r>
          </w:p>
          <w:p w:rsidR="00EE0EED" w:rsidRPr="000E01C3" w:rsidRDefault="00EE0EED" w:rsidP="0072709E">
            <w:pPr>
              <w:keepNext/>
              <w:widowControl/>
              <w:rPr>
                <w:rFonts w:ascii="Arial Narrow" w:hAnsi="Arial Narrow"/>
                <w:sz w:val="20"/>
                <w:szCs w:val="16"/>
              </w:rPr>
            </w:pPr>
            <w:r w:rsidRPr="000E01C3">
              <w:rPr>
                <w:rFonts w:ascii="Arial Narrow" w:hAnsi="Arial Narrow"/>
                <w:sz w:val="20"/>
              </w:rPr>
              <w:t xml:space="preserve">Modelled evaluation: TreeAge 2013 (10,000 iterations in base case; </w:t>
            </w:r>
            <w:r w:rsidRPr="000E01C3">
              <w:rPr>
                <w:rFonts w:ascii="Arial Narrow" w:hAnsi="Arial Narrow"/>
                <w:iCs/>
                <w:sz w:val="20"/>
              </w:rPr>
              <w:t xml:space="preserve">this did not appear to </w:t>
            </w:r>
            <w:r w:rsidR="00F92F11" w:rsidRPr="000E01C3">
              <w:rPr>
                <w:rFonts w:ascii="Arial Narrow" w:hAnsi="Arial Narrow"/>
                <w:iCs/>
                <w:sz w:val="20"/>
              </w:rPr>
              <w:t>be adequate for stable results.</w:t>
            </w:r>
            <w:r w:rsidRPr="000E01C3">
              <w:rPr>
                <w:rFonts w:ascii="Arial Narrow" w:hAnsi="Arial Narrow"/>
                <w:iCs/>
                <w:sz w:val="20"/>
              </w:rPr>
              <w:t xml:space="preserve"> 50,000 iterations increased the ICER by 5%)</w:t>
            </w:r>
            <w:r w:rsidRPr="000E01C3">
              <w:rPr>
                <w:rFonts w:ascii="Arial Narrow" w:hAnsi="Arial Narrow"/>
                <w:sz w:val="20"/>
              </w:rPr>
              <w:t>.</w:t>
            </w:r>
          </w:p>
        </w:tc>
      </w:tr>
    </w:tbl>
    <w:p w:rsidR="00E37881" w:rsidRPr="000E01C3" w:rsidRDefault="00E37881" w:rsidP="00A04A6A">
      <w:pPr>
        <w:pStyle w:val="TableFooter"/>
        <w:keepNext/>
        <w:widowControl/>
      </w:pPr>
      <w:r w:rsidRPr="000E01C3">
        <w:rPr>
          <w:vertAlign w:val="superscript"/>
        </w:rPr>
        <w:t>a</w:t>
      </w:r>
      <w:r w:rsidRPr="000E01C3">
        <w:rPr>
          <w:vertAlign w:val="superscript"/>
        </w:rPr>
        <w:tab/>
      </w:r>
      <w:r w:rsidRPr="000E01C3">
        <w:t>The modelled evaluation uses response rates from CF-301/CF-302 at week 14 as a proxy for response rates at week 12.</w:t>
      </w:r>
    </w:p>
    <w:p w:rsidR="00E37881" w:rsidRPr="000E01C3" w:rsidRDefault="00E37881" w:rsidP="00A04A6A">
      <w:pPr>
        <w:pStyle w:val="TableFooter"/>
        <w:keepNext/>
        <w:widowControl/>
      </w:pPr>
      <w:r w:rsidRPr="000E01C3">
        <w:rPr>
          <w:vertAlign w:val="superscript"/>
        </w:rPr>
        <w:t>b</w:t>
      </w:r>
      <w:r w:rsidRPr="000E01C3">
        <w:tab/>
        <w:t>The second cycle is set to 2 weeks such that the sum of the first three cycles (i.e. 12 + 2 + 12) equals 26 weeks (the time point</w:t>
      </w:r>
      <w:r w:rsidR="00A61C45" w:rsidRPr="000E01C3">
        <w:t xml:space="preserve"> at which </w:t>
      </w:r>
      <w:r w:rsidR="00710FD5" w:rsidRPr="000E01C3">
        <w:t>FEV</w:t>
      </w:r>
      <w:r w:rsidR="00710FD5" w:rsidRPr="000E01C3">
        <w:rPr>
          <w:vertAlign w:val="subscript"/>
        </w:rPr>
        <w:t>1</w:t>
      </w:r>
      <w:r w:rsidR="00A61C45" w:rsidRPr="000E01C3">
        <w:t xml:space="preserve"> is taken from</w:t>
      </w:r>
      <w:r w:rsidRPr="000E01C3">
        <w:t xml:space="preserve"> CF-301/CF-302). The </w:t>
      </w:r>
      <w:r w:rsidR="00710FD5" w:rsidRPr="000E01C3">
        <w:t>FEV</w:t>
      </w:r>
      <w:r w:rsidR="00710FD5" w:rsidRPr="000E01C3">
        <w:rPr>
          <w:vertAlign w:val="subscript"/>
        </w:rPr>
        <w:t>1</w:t>
      </w:r>
      <w:r w:rsidRPr="000E01C3">
        <w:t xml:space="preserve"> regression model from the CF-301/CF-302 trial data is used up to week 26 in the model.</w:t>
      </w:r>
    </w:p>
    <w:p w:rsidR="00E37881" w:rsidRPr="000E01C3" w:rsidRDefault="00E37881" w:rsidP="00BE33FF">
      <w:pPr>
        <w:pStyle w:val="TableFooter"/>
        <w:widowControl/>
        <w:spacing w:after="120"/>
        <w:rPr>
          <w:iCs/>
        </w:rPr>
      </w:pPr>
      <w:r w:rsidRPr="000E01C3">
        <w:rPr>
          <w:iCs/>
        </w:rPr>
        <w:t>Source: constructed during the evaluation</w:t>
      </w:r>
    </w:p>
    <w:p w:rsidR="00101F71" w:rsidRPr="000E01C3" w:rsidRDefault="00D06935" w:rsidP="00B50602">
      <w:pPr>
        <w:pStyle w:val="ListParagraph"/>
        <w:widowControl/>
        <w:numPr>
          <w:ilvl w:val="1"/>
          <w:numId w:val="5"/>
        </w:numPr>
        <w:spacing w:after="120"/>
        <w:contextualSpacing w:val="0"/>
        <w:rPr>
          <w:rFonts w:asciiTheme="minorHAnsi" w:hAnsiTheme="minorHAnsi" w:cstheme="minorHAnsi"/>
          <w:iCs/>
          <w:sz w:val="24"/>
          <w:szCs w:val="24"/>
        </w:rPr>
      </w:pPr>
      <w:r w:rsidRPr="000E01C3">
        <w:rPr>
          <w:rFonts w:asciiTheme="minorHAnsi" w:hAnsiTheme="minorHAnsi" w:cstheme="minorHAnsi"/>
          <w:sz w:val="24"/>
          <w:szCs w:val="24"/>
        </w:rPr>
        <w:t>The method of analysis was an individual patient microsimulation</w:t>
      </w:r>
      <w:r w:rsidR="00BC4B4A" w:rsidRPr="000E01C3">
        <w:rPr>
          <w:rFonts w:asciiTheme="minorHAnsi" w:hAnsiTheme="minorHAnsi" w:cstheme="minorHAnsi"/>
          <w:sz w:val="24"/>
          <w:szCs w:val="24"/>
        </w:rPr>
        <w:t xml:space="preserve"> model</w:t>
      </w:r>
      <w:r w:rsidR="00A61C45" w:rsidRPr="000E01C3">
        <w:rPr>
          <w:rFonts w:asciiTheme="minorHAnsi" w:hAnsiTheme="minorHAnsi" w:cstheme="minorHAnsi"/>
          <w:sz w:val="24"/>
          <w:szCs w:val="24"/>
        </w:rPr>
        <w:t>.</w:t>
      </w:r>
      <w:r w:rsidR="007869A7" w:rsidRPr="000E01C3">
        <w:rPr>
          <w:rFonts w:asciiTheme="minorHAnsi" w:hAnsiTheme="minorHAnsi" w:cstheme="minorHAnsi"/>
          <w:sz w:val="24"/>
          <w:szCs w:val="24"/>
        </w:rPr>
        <w:t xml:space="preserve"> </w:t>
      </w:r>
      <w:r w:rsidR="005C4059" w:rsidRPr="000E01C3">
        <w:rPr>
          <w:rFonts w:asciiTheme="minorHAnsi" w:hAnsiTheme="minorHAnsi" w:cstheme="minorHAnsi"/>
          <w:sz w:val="24"/>
          <w:szCs w:val="24"/>
        </w:rPr>
        <w:t>T</w:t>
      </w:r>
      <w:r w:rsidR="00890D7B" w:rsidRPr="000E01C3">
        <w:rPr>
          <w:rFonts w:asciiTheme="minorHAnsi" w:hAnsiTheme="minorHAnsi" w:cstheme="minorHAnsi"/>
          <w:sz w:val="24"/>
          <w:szCs w:val="24"/>
        </w:rPr>
        <w:t xml:space="preserve">ransitions through the model </w:t>
      </w:r>
      <w:r w:rsidR="00652A49" w:rsidRPr="000E01C3">
        <w:rPr>
          <w:rFonts w:asciiTheme="minorHAnsi" w:hAnsiTheme="minorHAnsi" w:cstheme="minorHAnsi"/>
          <w:sz w:val="24"/>
          <w:szCs w:val="24"/>
        </w:rPr>
        <w:t>health states</w:t>
      </w:r>
      <w:r w:rsidR="00542199" w:rsidRPr="000E01C3">
        <w:rPr>
          <w:rFonts w:asciiTheme="minorHAnsi" w:hAnsiTheme="minorHAnsi" w:cstheme="minorHAnsi"/>
          <w:sz w:val="24"/>
          <w:szCs w:val="24"/>
        </w:rPr>
        <w:t xml:space="preserve"> (CF, Lung transplant, and Dea</w:t>
      </w:r>
      <w:r w:rsidR="00F92AA3" w:rsidRPr="000E01C3">
        <w:rPr>
          <w:rFonts w:asciiTheme="minorHAnsi" w:hAnsiTheme="minorHAnsi" w:cstheme="minorHAnsi"/>
          <w:sz w:val="24"/>
          <w:szCs w:val="24"/>
        </w:rPr>
        <w:t>th</w:t>
      </w:r>
      <w:r w:rsidR="00542199" w:rsidRPr="000E01C3">
        <w:rPr>
          <w:rFonts w:asciiTheme="minorHAnsi" w:hAnsiTheme="minorHAnsi" w:cstheme="minorHAnsi"/>
          <w:sz w:val="24"/>
          <w:szCs w:val="24"/>
        </w:rPr>
        <w:t>)</w:t>
      </w:r>
      <w:r w:rsidR="00652A49" w:rsidRPr="000E01C3">
        <w:rPr>
          <w:rFonts w:asciiTheme="minorHAnsi" w:hAnsiTheme="minorHAnsi" w:cstheme="minorHAnsi"/>
          <w:sz w:val="24"/>
          <w:szCs w:val="24"/>
        </w:rPr>
        <w:t xml:space="preserve"> </w:t>
      </w:r>
      <w:r w:rsidR="00890D7B" w:rsidRPr="000E01C3">
        <w:rPr>
          <w:rFonts w:asciiTheme="minorHAnsi" w:hAnsiTheme="minorHAnsi" w:cstheme="minorHAnsi"/>
          <w:sz w:val="24"/>
          <w:szCs w:val="24"/>
        </w:rPr>
        <w:t xml:space="preserve">were dependent on </w:t>
      </w:r>
      <w:r w:rsidR="005C4059" w:rsidRPr="000E01C3">
        <w:rPr>
          <w:rFonts w:asciiTheme="minorHAnsi" w:hAnsiTheme="minorHAnsi" w:cstheme="minorHAnsi"/>
          <w:sz w:val="24"/>
          <w:szCs w:val="24"/>
        </w:rPr>
        <w:t>patient characteristics drawn at baseline and tracked throughout the model</w:t>
      </w:r>
      <w:r w:rsidR="00F92AA3" w:rsidRPr="000E01C3">
        <w:rPr>
          <w:rFonts w:asciiTheme="minorHAnsi" w:hAnsiTheme="minorHAnsi" w:cstheme="minorHAnsi"/>
          <w:sz w:val="24"/>
          <w:szCs w:val="24"/>
        </w:rPr>
        <w:t>.</w:t>
      </w:r>
      <w:r w:rsidR="00D36B2D" w:rsidRPr="000E01C3">
        <w:rPr>
          <w:rFonts w:asciiTheme="minorHAnsi" w:hAnsiTheme="minorHAnsi" w:cstheme="minorHAnsi"/>
          <w:iCs/>
          <w:sz w:val="24"/>
          <w:szCs w:val="24"/>
        </w:rPr>
        <w:t xml:space="preserve"> </w:t>
      </w:r>
      <w:r w:rsidR="00F04FCA" w:rsidRPr="000E01C3">
        <w:rPr>
          <w:rFonts w:asciiTheme="minorHAnsi" w:hAnsiTheme="minorHAnsi" w:cstheme="minorHAnsi"/>
          <w:iCs/>
          <w:sz w:val="24"/>
          <w:szCs w:val="24"/>
        </w:rPr>
        <w:t>Treatment with mannitol was assumed to directly improve ppFEV</w:t>
      </w:r>
      <w:r w:rsidR="00F04FCA" w:rsidRPr="000E01C3">
        <w:rPr>
          <w:rFonts w:asciiTheme="minorHAnsi" w:hAnsiTheme="minorHAnsi" w:cstheme="minorHAnsi"/>
          <w:iCs/>
          <w:sz w:val="24"/>
          <w:szCs w:val="24"/>
          <w:vertAlign w:val="subscript"/>
        </w:rPr>
        <w:t>1</w:t>
      </w:r>
      <w:r w:rsidR="00F04FCA" w:rsidRPr="000E01C3">
        <w:rPr>
          <w:rFonts w:asciiTheme="minorHAnsi" w:hAnsiTheme="minorHAnsi" w:cstheme="minorHAnsi"/>
          <w:iCs/>
          <w:sz w:val="24"/>
          <w:szCs w:val="24"/>
        </w:rPr>
        <w:t xml:space="preserve"> at </w:t>
      </w:r>
      <w:r w:rsidR="00D835F2" w:rsidRPr="000E01C3">
        <w:rPr>
          <w:rFonts w:asciiTheme="minorHAnsi" w:hAnsiTheme="minorHAnsi" w:cstheme="minorHAnsi"/>
          <w:iCs/>
          <w:sz w:val="24"/>
          <w:szCs w:val="24"/>
        </w:rPr>
        <w:t>the start of the model (Week 26)</w:t>
      </w:r>
      <w:r w:rsidR="00F04FCA" w:rsidRPr="000E01C3">
        <w:rPr>
          <w:rFonts w:asciiTheme="minorHAnsi" w:hAnsiTheme="minorHAnsi" w:cstheme="minorHAnsi"/>
          <w:iCs/>
          <w:sz w:val="24"/>
          <w:szCs w:val="24"/>
        </w:rPr>
        <w:t xml:space="preserve"> and indirectly </w:t>
      </w:r>
      <w:r w:rsidR="00D835F2" w:rsidRPr="000E01C3">
        <w:rPr>
          <w:rFonts w:asciiTheme="minorHAnsi" w:hAnsiTheme="minorHAnsi" w:cstheme="minorHAnsi"/>
          <w:iCs/>
          <w:sz w:val="24"/>
          <w:szCs w:val="24"/>
        </w:rPr>
        <w:t>across</w:t>
      </w:r>
      <w:r w:rsidR="00F04FCA" w:rsidRPr="000E01C3">
        <w:rPr>
          <w:rFonts w:asciiTheme="minorHAnsi" w:hAnsiTheme="minorHAnsi" w:cstheme="minorHAnsi"/>
          <w:iCs/>
          <w:sz w:val="24"/>
          <w:szCs w:val="24"/>
        </w:rPr>
        <w:t xml:space="preserve"> the model via a reduced risk of pulmo</w:t>
      </w:r>
      <w:r w:rsidR="00EB3C34" w:rsidRPr="000E01C3">
        <w:rPr>
          <w:rFonts w:asciiTheme="minorHAnsi" w:hAnsiTheme="minorHAnsi" w:cstheme="minorHAnsi"/>
          <w:iCs/>
          <w:sz w:val="24"/>
          <w:szCs w:val="24"/>
        </w:rPr>
        <w:t>nary exacerbation on treatment.</w:t>
      </w:r>
      <w:r w:rsidR="00F04FCA" w:rsidRPr="000E01C3">
        <w:rPr>
          <w:rFonts w:asciiTheme="minorHAnsi" w:hAnsiTheme="minorHAnsi" w:cstheme="minorHAnsi"/>
          <w:iCs/>
          <w:sz w:val="24"/>
          <w:szCs w:val="24"/>
        </w:rPr>
        <w:t xml:space="preserve"> </w:t>
      </w:r>
      <w:r w:rsidR="00D835F2" w:rsidRPr="000E01C3">
        <w:rPr>
          <w:rFonts w:asciiTheme="minorHAnsi" w:hAnsiTheme="minorHAnsi" w:cstheme="minorHAnsi"/>
          <w:iCs/>
          <w:sz w:val="24"/>
          <w:szCs w:val="24"/>
        </w:rPr>
        <w:t>The difference in ppFEV</w:t>
      </w:r>
      <w:r w:rsidR="00D835F2" w:rsidRPr="000E01C3">
        <w:rPr>
          <w:rFonts w:asciiTheme="minorHAnsi" w:hAnsiTheme="minorHAnsi" w:cstheme="minorHAnsi"/>
          <w:iCs/>
          <w:sz w:val="24"/>
          <w:szCs w:val="24"/>
          <w:vertAlign w:val="subscript"/>
        </w:rPr>
        <w:t>1</w:t>
      </w:r>
      <w:r w:rsidR="00EB3C34" w:rsidRPr="000E01C3">
        <w:rPr>
          <w:rFonts w:asciiTheme="minorHAnsi" w:hAnsiTheme="minorHAnsi" w:cstheme="minorHAnsi"/>
          <w:iCs/>
          <w:sz w:val="24"/>
          <w:szCs w:val="24"/>
        </w:rPr>
        <w:t>,</w:t>
      </w:r>
      <w:r w:rsidR="00D835F2" w:rsidRPr="000E01C3">
        <w:rPr>
          <w:rFonts w:asciiTheme="minorHAnsi" w:hAnsiTheme="minorHAnsi" w:cstheme="minorHAnsi"/>
          <w:iCs/>
          <w:sz w:val="24"/>
          <w:szCs w:val="24"/>
        </w:rPr>
        <w:t xml:space="preserve"> as well as reduced risk of pulmonary exacerbation </w:t>
      </w:r>
      <w:r w:rsidR="00127365" w:rsidRPr="000E01C3">
        <w:rPr>
          <w:rFonts w:asciiTheme="minorHAnsi" w:hAnsiTheme="minorHAnsi" w:cstheme="minorHAnsi"/>
          <w:iCs/>
          <w:sz w:val="24"/>
          <w:szCs w:val="24"/>
        </w:rPr>
        <w:t>on mannitol</w:t>
      </w:r>
      <w:r w:rsidR="00EB3C34" w:rsidRPr="000E01C3">
        <w:rPr>
          <w:rFonts w:asciiTheme="minorHAnsi" w:hAnsiTheme="minorHAnsi" w:cstheme="minorHAnsi"/>
          <w:iCs/>
          <w:sz w:val="24"/>
          <w:szCs w:val="24"/>
        </w:rPr>
        <w:t>,</w:t>
      </w:r>
      <w:r w:rsidR="00127365" w:rsidRPr="000E01C3">
        <w:rPr>
          <w:rFonts w:asciiTheme="minorHAnsi" w:hAnsiTheme="minorHAnsi" w:cstheme="minorHAnsi"/>
          <w:iCs/>
          <w:sz w:val="24"/>
          <w:szCs w:val="24"/>
        </w:rPr>
        <w:t xml:space="preserve"> </w:t>
      </w:r>
      <w:r w:rsidR="00D835F2" w:rsidRPr="000E01C3">
        <w:rPr>
          <w:rFonts w:asciiTheme="minorHAnsi" w:hAnsiTheme="minorHAnsi" w:cstheme="minorHAnsi"/>
          <w:iCs/>
          <w:sz w:val="24"/>
          <w:szCs w:val="24"/>
        </w:rPr>
        <w:t>was translated into fewer lung transpl</w:t>
      </w:r>
      <w:r w:rsidR="00EB3C34" w:rsidRPr="000E01C3">
        <w:rPr>
          <w:rFonts w:asciiTheme="minorHAnsi" w:hAnsiTheme="minorHAnsi" w:cstheme="minorHAnsi"/>
          <w:iCs/>
          <w:sz w:val="24"/>
          <w:szCs w:val="24"/>
        </w:rPr>
        <w:t>ants and a lower risk of death.</w:t>
      </w:r>
      <w:r w:rsidR="00D835F2" w:rsidRPr="000E01C3">
        <w:rPr>
          <w:rFonts w:asciiTheme="minorHAnsi" w:hAnsiTheme="minorHAnsi" w:cstheme="minorHAnsi"/>
          <w:iCs/>
          <w:sz w:val="24"/>
          <w:szCs w:val="24"/>
        </w:rPr>
        <w:t xml:space="preserve"> It was unclear </w:t>
      </w:r>
      <w:r w:rsidR="00890D7B" w:rsidRPr="000E01C3">
        <w:rPr>
          <w:rFonts w:asciiTheme="minorHAnsi" w:hAnsiTheme="minorHAnsi" w:cstheme="minorHAnsi"/>
          <w:iCs/>
          <w:sz w:val="24"/>
          <w:szCs w:val="24"/>
        </w:rPr>
        <w:t xml:space="preserve">whether the </w:t>
      </w:r>
      <w:r w:rsidR="009477A1" w:rsidRPr="000E01C3">
        <w:rPr>
          <w:rFonts w:asciiTheme="minorHAnsi" w:hAnsiTheme="minorHAnsi" w:cstheme="minorHAnsi"/>
          <w:iCs/>
          <w:sz w:val="24"/>
          <w:szCs w:val="24"/>
        </w:rPr>
        <w:t>re</w:t>
      </w:r>
      <w:r w:rsidR="00890D7B" w:rsidRPr="000E01C3">
        <w:rPr>
          <w:rFonts w:asciiTheme="minorHAnsi" w:hAnsiTheme="minorHAnsi" w:cstheme="minorHAnsi"/>
          <w:iCs/>
          <w:sz w:val="24"/>
          <w:szCs w:val="24"/>
        </w:rPr>
        <w:t xml:space="preserve">submission was double counting some of the benefits of treatment with mannitol, particularly with respect to exacerbations and their separate effects on </w:t>
      </w:r>
      <w:r w:rsidR="00695B56" w:rsidRPr="000E01C3">
        <w:rPr>
          <w:rFonts w:asciiTheme="minorHAnsi" w:hAnsiTheme="minorHAnsi" w:cstheme="minorHAnsi"/>
          <w:iCs/>
          <w:sz w:val="24"/>
          <w:szCs w:val="24"/>
        </w:rPr>
        <w:t xml:space="preserve">change in </w:t>
      </w:r>
      <w:r w:rsidR="00890D7B" w:rsidRPr="000E01C3">
        <w:rPr>
          <w:rFonts w:asciiTheme="minorHAnsi" w:hAnsiTheme="minorHAnsi" w:cstheme="minorHAnsi"/>
          <w:iCs/>
          <w:sz w:val="24"/>
          <w:szCs w:val="24"/>
        </w:rPr>
        <w:t>pp</w:t>
      </w:r>
      <w:r w:rsidR="00710FD5" w:rsidRPr="000E01C3">
        <w:rPr>
          <w:rFonts w:asciiTheme="minorHAnsi" w:hAnsiTheme="minorHAnsi" w:cstheme="minorHAnsi"/>
          <w:iCs/>
          <w:sz w:val="24"/>
          <w:szCs w:val="24"/>
        </w:rPr>
        <w:t>FEV</w:t>
      </w:r>
      <w:r w:rsidR="00710FD5" w:rsidRPr="000E01C3">
        <w:rPr>
          <w:rFonts w:asciiTheme="minorHAnsi" w:hAnsiTheme="minorHAnsi" w:cstheme="minorHAnsi"/>
          <w:iCs/>
          <w:sz w:val="24"/>
          <w:szCs w:val="24"/>
          <w:vertAlign w:val="subscript"/>
        </w:rPr>
        <w:t>1</w:t>
      </w:r>
      <w:r w:rsidR="00890D7B" w:rsidRPr="000E01C3">
        <w:rPr>
          <w:rFonts w:asciiTheme="minorHAnsi" w:hAnsiTheme="minorHAnsi" w:cstheme="minorHAnsi"/>
          <w:iCs/>
          <w:sz w:val="24"/>
          <w:szCs w:val="24"/>
        </w:rPr>
        <w:t xml:space="preserve"> and mortality.</w:t>
      </w:r>
    </w:p>
    <w:p w:rsidR="006E1494" w:rsidRPr="000E01C3" w:rsidRDefault="00127365" w:rsidP="00B50602">
      <w:pPr>
        <w:pStyle w:val="ListParagraph"/>
        <w:widowControl/>
        <w:numPr>
          <w:ilvl w:val="1"/>
          <w:numId w:val="5"/>
        </w:numPr>
        <w:spacing w:after="120"/>
        <w:contextualSpacing w:val="0"/>
        <w:rPr>
          <w:szCs w:val="22"/>
        </w:rPr>
      </w:pPr>
      <w:r w:rsidRPr="000E01C3">
        <w:rPr>
          <w:rFonts w:asciiTheme="minorHAnsi" w:hAnsiTheme="minorHAnsi" w:cstheme="minorHAnsi"/>
          <w:iCs/>
          <w:sz w:val="24"/>
          <w:szCs w:val="24"/>
        </w:rPr>
        <w:t>A</w:t>
      </w:r>
      <w:r w:rsidR="00101F71" w:rsidRPr="000E01C3">
        <w:rPr>
          <w:rFonts w:asciiTheme="minorHAnsi" w:hAnsiTheme="minorHAnsi" w:cstheme="minorHAnsi"/>
          <w:iCs/>
          <w:sz w:val="24"/>
          <w:szCs w:val="24"/>
        </w:rPr>
        <w:t xml:space="preserve"> key </w:t>
      </w:r>
      <w:r w:rsidRPr="000E01C3">
        <w:rPr>
          <w:rFonts w:asciiTheme="minorHAnsi" w:hAnsiTheme="minorHAnsi" w:cstheme="minorHAnsi"/>
          <w:iCs/>
          <w:sz w:val="24"/>
          <w:szCs w:val="24"/>
        </w:rPr>
        <w:t xml:space="preserve">implicit </w:t>
      </w:r>
      <w:r w:rsidR="00101F71" w:rsidRPr="000E01C3">
        <w:rPr>
          <w:rFonts w:asciiTheme="minorHAnsi" w:hAnsiTheme="minorHAnsi" w:cstheme="minorHAnsi"/>
          <w:iCs/>
          <w:sz w:val="24"/>
          <w:szCs w:val="24"/>
        </w:rPr>
        <w:t xml:space="preserve">assumption </w:t>
      </w:r>
      <w:r w:rsidRPr="000E01C3">
        <w:rPr>
          <w:rFonts w:asciiTheme="minorHAnsi" w:hAnsiTheme="minorHAnsi" w:cstheme="minorHAnsi"/>
          <w:iCs/>
          <w:sz w:val="24"/>
          <w:szCs w:val="24"/>
        </w:rPr>
        <w:t xml:space="preserve">of the model was </w:t>
      </w:r>
      <w:r w:rsidR="00101F71" w:rsidRPr="000E01C3">
        <w:rPr>
          <w:rFonts w:asciiTheme="minorHAnsi" w:hAnsiTheme="minorHAnsi" w:cstheme="minorHAnsi"/>
          <w:iCs/>
          <w:sz w:val="24"/>
          <w:szCs w:val="24"/>
        </w:rPr>
        <w:t>that cessation of mannitol was not related to a change in ppFEV</w:t>
      </w:r>
      <w:r w:rsidR="00101F71" w:rsidRPr="000E01C3">
        <w:rPr>
          <w:rFonts w:asciiTheme="minorHAnsi" w:hAnsiTheme="minorHAnsi" w:cstheme="minorHAnsi"/>
          <w:iCs/>
          <w:sz w:val="24"/>
          <w:szCs w:val="24"/>
          <w:vertAlign w:val="subscript"/>
        </w:rPr>
        <w:t>1</w:t>
      </w:r>
      <w:r w:rsidR="00101F71" w:rsidRPr="000E01C3">
        <w:rPr>
          <w:rFonts w:asciiTheme="minorHAnsi" w:hAnsiTheme="minorHAnsi" w:cstheme="minorHAnsi"/>
          <w:iCs/>
          <w:sz w:val="24"/>
          <w:szCs w:val="24"/>
        </w:rPr>
        <w:t>, therefore any difference in ppFEV</w:t>
      </w:r>
      <w:r w:rsidR="00101F71" w:rsidRPr="000E01C3">
        <w:rPr>
          <w:rFonts w:asciiTheme="minorHAnsi" w:hAnsiTheme="minorHAnsi" w:cstheme="minorHAnsi"/>
          <w:iCs/>
          <w:sz w:val="24"/>
          <w:szCs w:val="24"/>
          <w:vertAlign w:val="subscript"/>
        </w:rPr>
        <w:t>1</w:t>
      </w:r>
      <w:r w:rsidR="00101F71" w:rsidRPr="000E01C3">
        <w:rPr>
          <w:rFonts w:asciiTheme="minorHAnsi" w:hAnsiTheme="minorHAnsi" w:cstheme="minorHAnsi"/>
          <w:iCs/>
          <w:sz w:val="24"/>
          <w:szCs w:val="24"/>
        </w:rPr>
        <w:t xml:space="preserve"> established at the start of the model was preserved over the duration of the model</w:t>
      </w:r>
      <w:r w:rsidR="00EE0EED" w:rsidRPr="000E01C3">
        <w:rPr>
          <w:rFonts w:asciiTheme="minorHAnsi" w:hAnsiTheme="minorHAnsi" w:cstheme="minorHAnsi"/>
          <w:iCs/>
          <w:sz w:val="24"/>
          <w:szCs w:val="24"/>
        </w:rPr>
        <w:t>. This assumption resulted in considerable survival benefits being accrued to mannitol</w:t>
      </w:r>
      <w:r w:rsidRPr="000E01C3">
        <w:rPr>
          <w:rFonts w:asciiTheme="minorHAnsi" w:hAnsiTheme="minorHAnsi" w:cstheme="minorHAnsi"/>
          <w:iCs/>
          <w:sz w:val="24"/>
          <w:szCs w:val="24"/>
        </w:rPr>
        <w:t>.</w:t>
      </w:r>
      <w:r w:rsidR="005A1BBC" w:rsidRPr="000E01C3">
        <w:rPr>
          <w:rFonts w:asciiTheme="minorHAnsi" w:hAnsiTheme="minorHAnsi" w:cstheme="minorHAnsi"/>
          <w:iCs/>
          <w:sz w:val="24"/>
          <w:szCs w:val="24"/>
        </w:rPr>
        <w:t xml:space="preserve"> </w:t>
      </w:r>
    </w:p>
    <w:p w:rsidR="00AC0633" w:rsidRPr="000E01C3" w:rsidRDefault="00AC0633" w:rsidP="00AC0633">
      <w:pPr>
        <w:pStyle w:val="ListParagraph"/>
        <w:widowControl/>
        <w:numPr>
          <w:ilvl w:val="1"/>
          <w:numId w:val="5"/>
        </w:numPr>
        <w:spacing w:after="120"/>
        <w:contextualSpacing w:val="0"/>
        <w:rPr>
          <w:rFonts w:asciiTheme="minorHAnsi" w:hAnsiTheme="minorHAnsi" w:cstheme="minorHAnsi"/>
          <w:iCs/>
          <w:sz w:val="24"/>
          <w:szCs w:val="24"/>
        </w:rPr>
      </w:pPr>
      <w:r w:rsidRPr="000E01C3">
        <w:rPr>
          <w:rFonts w:asciiTheme="minorHAnsi" w:hAnsiTheme="minorHAnsi" w:cstheme="minorHAnsi"/>
          <w:iCs/>
          <w:sz w:val="24"/>
          <w:szCs w:val="24"/>
        </w:rPr>
        <w:t xml:space="preserve">The ESC </w:t>
      </w:r>
      <w:r w:rsidR="006E1494" w:rsidRPr="000E01C3">
        <w:rPr>
          <w:rFonts w:asciiTheme="minorHAnsi" w:hAnsiTheme="minorHAnsi" w:cstheme="minorHAnsi"/>
          <w:iCs/>
          <w:sz w:val="24"/>
          <w:szCs w:val="24"/>
        </w:rPr>
        <w:t>considered</w:t>
      </w:r>
      <w:r w:rsidRPr="000E01C3">
        <w:rPr>
          <w:rFonts w:asciiTheme="minorHAnsi" w:hAnsiTheme="minorHAnsi" w:cstheme="minorHAnsi"/>
          <w:iCs/>
          <w:sz w:val="24"/>
          <w:szCs w:val="24"/>
        </w:rPr>
        <w:t xml:space="preserve"> the utilities used in the model did not adequately reflect the relationship between ppFEV</w:t>
      </w:r>
      <w:r w:rsidRPr="000E01C3">
        <w:rPr>
          <w:rFonts w:asciiTheme="minorHAnsi" w:hAnsiTheme="minorHAnsi" w:cstheme="minorHAnsi"/>
          <w:iCs/>
          <w:sz w:val="24"/>
          <w:szCs w:val="24"/>
          <w:vertAlign w:val="subscript"/>
        </w:rPr>
        <w:t>1</w:t>
      </w:r>
      <w:r w:rsidRPr="000E01C3">
        <w:rPr>
          <w:rFonts w:asciiTheme="minorHAnsi" w:hAnsiTheme="minorHAnsi" w:cstheme="minorHAnsi"/>
          <w:iCs/>
          <w:sz w:val="24"/>
          <w:szCs w:val="24"/>
        </w:rPr>
        <w:t xml:space="preserve"> and health-related quality of life. </w:t>
      </w:r>
      <w:r w:rsidR="006E1494" w:rsidRPr="000E01C3">
        <w:rPr>
          <w:rFonts w:asciiTheme="minorHAnsi" w:hAnsiTheme="minorHAnsi" w:cstheme="minorHAnsi"/>
          <w:iCs/>
          <w:sz w:val="24"/>
          <w:szCs w:val="24"/>
        </w:rPr>
        <w:t xml:space="preserve">The model used crude utilities for </w:t>
      </w:r>
      <w:r w:rsidRPr="000E01C3">
        <w:rPr>
          <w:rFonts w:asciiTheme="minorHAnsi" w:hAnsiTheme="minorHAnsi" w:cstheme="minorHAnsi"/>
          <w:iCs/>
          <w:sz w:val="24"/>
          <w:szCs w:val="24"/>
        </w:rPr>
        <w:t>ppFEV</w:t>
      </w:r>
      <w:r w:rsidRPr="000E01C3">
        <w:rPr>
          <w:rFonts w:asciiTheme="minorHAnsi" w:hAnsiTheme="minorHAnsi" w:cstheme="minorHAnsi"/>
          <w:iCs/>
          <w:sz w:val="24"/>
          <w:szCs w:val="24"/>
          <w:vertAlign w:val="subscript"/>
        </w:rPr>
        <w:t>1</w:t>
      </w:r>
      <w:r w:rsidR="006E1494" w:rsidRPr="000E01C3">
        <w:rPr>
          <w:rFonts w:asciiTheme="minorHAnsi" w:hAnsiTheme="minorHAnsi" w:cstheme="minorHAnsi"/>
          <w:iCs/>
          <w:sz w:val="24"/>
          <w:szCs w:val="24"/>
        </w:rPr>
        <w:t xml:space="preserve">&lt;30% </w:t>
      </w:r>
      <w:r w:rsidRPr="000E01C3">
        <w:rPr>
          <w:rFonts w:asciiTheme="minorHAnsi" w:hAnsiTheme="minorHAnsi" w:cstheme="minorHAnsi"/>
          <w:iCs/>
          <w:sz w:val="24"/>
          <w:szCs w:val="24"/>
        </w:rPr>
        <w:t>and ppFEV</w:t>
      </w:r>
      <w:r w:rsidRPr="000E01C3">
        <w:rPr>
          <w:rFonts w:asciiTheme="minorHAnsi" w:hAnsiTheme="minorHAnsi" w:cstheme="minorHAnsi"/>
          <w:iCs/>
          <w:sz w:val="24"/>
          <w:szCs w:val="24"/>
          <w:vertAlign w:val="subscript"/>
        </w:rPr>
        <w:t>1</w:t>
      </w:r>
      <w:r w:rsidR="006E1494" w:rsidRPr="000E01C3">
        <w:rPr>
          <w:rFonts w:asciiTheme="minorHAnsi" w:hAnsiTheme="minorHAnsi" w:cstheme="minorHAnsi"/>
          <w:iCs/>
          <w:sz w:val="24"/>
          <w:szCs w:val="24"/>
        </w:rPr>
        <w:t>≥30%</w:t>
      </w:r>
      <w:r w:rsidRPr="000E01C3">
        <w:rPr>
          <w:rFonts w:asciiTheme="minorHAnsi" w:hAnsiTheme="minorHAnsi" w:cstheme="minorHAnsi"/>
          <w:iCs/>
          <w:sz w:val="24"/>
          <w:szCs w:val="24"/>
        </w:rPr>
        <w:t xml:space="preserve"> </w:t>
      </w:r>
      <w:r w:rsidR="00DC009C" w:rsidRPr="000E01C3">
        <w:rPr>
          <w:rFonts w:asciiTheme="minorHAnsi" w:hAnsiTheme="minorHAnsi" w:cstheme="minorHAnsi"/>
          <w:iCs/>
          <w:sz w:val="24"/>
          <w:szCs w:val="24"/>
        </w:rPr>
        <w:t>(0.92). T</w:t>
      </w:r>
      <w:r w:rsidR="00593D7F" w:rsidRPr="000E01C3">
        <w:rPr>
          <w:rFonts w:asciiTheme="minorHAnsi" w:hAnsiTheme="minorHAnsi" w:cstheme="minorHAnsi"/>
          <w:iCs/>
          <w:sz w:val="24"/>
          <w:szCs w:val="24"/>
        </w:rPr>
        <w:t>his means that any direct effect on quality of life of improvement in FEV</w:t>
      </w:r>
      <w:r w:rsidR="00593D7F" w:rsidRPr="000E01C3">
        <w:rPr>
          <w:rFonts w:asciiTheme="minorHAnsi" w:hAnsiTheme="minorHAnsi" w:cstheme="minorHAnsi"/>
          <w:iCs/>
          <w:sz w:val="24"/>
          <w:szCs w:val="24"/>
          <w:vertAlign w:val="subscript"/>
        </w:rPr>
        <w:t>1</w:t>
      </w:r>
      <w:r w:rsidR="00593D7F" w:rsidRPr="000E01C3">
        <w:rPr>
          <w:rFonts w:asciiTheme="minorHAnsi" w:hAnsiTheme="minorHAnsi" w:cstheme="minorHAnsi"/>
          <w:iCs/>
          <w:sz w:val="24"/>
          <w:szCs w:val="24"/>
        </w:rPr>
        <w:t xml:space="preserve"> in the mannitol arm is not captured until a threshold of ppFEV</w:t>
      </w:r>
      <w:r w:rsidR="00593D7F" w:rsidRPr="000E01C3">
        <w:rPr>
          <w:rFonts w:asciiTheme="minorHAnsi" w:hAnsiTheme="minorHAnsi" w:cstheme="minorHAnsi"/>
          <w:iCs/>
          <w:sz w:val="24"/>
          <w:szCs w:val="24"/>
          <w:vertAlign w:val="subscript"/>
        </w:rPr>
        <w:t>1</w:t>
      </w:r>
      <w:r w:rsidR="00593D7F" w:rsidRPr="000E01C3">
        <w:rPr>
          <w:rFonts w:asciiTheme="minorHAnsi" w:hAnsiTheme="minorHAnsi" w:cstheme="minorHAnsi"/>
          <w:iCs/>
          <w:sz w:val="24"/>
          <w:szCs w:val="24"/>
        </w:rPr>
        <w:t xml:space="preserve">&gt;30% is reached. </w:t>
      </w:r>
    </w:p>
    <w:p w:rsidR="00511F8F" w:rsidRPr="000E01C3" w:rsidRDefault="00511F8F" w:rsidP="00AC0633">
      <w:pPr>
        <w:pStyle w:val="ListParagraph"/>
        <w:widowControl/>
        <w:numPr>
          <w:ilvl w:val="1"/>
          <w:numId w:val="5"/>
        </w:numPr>
        <w:spacing w:after="120"/>
        <w:contextualSpacing w:val="0"/>
        <w:rPr>
          <w:rFonts w:asciiTheme="minorHAnsi" w:hAnsiTheme="minorHAnsi" w:cstheme="minorHAnsi"/>
          <w:iCs/>
          <w:sz w:val="24"/>
          <w:szCs w:val="24"/>
        </w:rPr>
      </w:pPr>
      <w:r w:rsidRPr="000E01C3">
        <w:rPr>
          <w:rFonts w:asciiTheme="minorHAnsi" w:hAnsiTheme="minorHAnsi" w:cstheme="minorHAnsi"/>
          <w:iCs/>
          <w:sz w:val="24"/>
          <w:szCs w:val="24"/>
        </w:rPr>
        <w:t xml:space="preserve">The ESC noted that </w:t>
      </w:r>
      <w:r w:rsidRPr="000E01C3">
        <w:rPr>
          <w:rFonts w:asciiTheme="minorHAnsi" w:hAnsiTheme="minorHAnsi"/>
          <w:sz w:val="24"/>
        </w:rPr>
        <w:t xml:space="preserve">the F1 statutory 5% price cut that will </w:t>
      </w:r>
      <w:r w:rsidR="00C17B8E" w:rsidRPr="000E01C3">
        <w:rPr>
          <w:rFonts w:asciiTheme="minorHAnsi" w:hAnsiTheme="minorHAnsi"/>
          <w:sz w:val="24"/>
        </w:rPr>
        <w:t xml:space="preserve">apply to mannitol </w:t>
      </w:r>
      <w:r w:rsidRPr="000E01C3">
        <w:rPr>
          <w:rFonts w:asciiTheme="minorHAnsi" w:hAnsiTheme="minorHAnsi"/>
          <w:sz w:val="24"/>
        </w:rPr>
        <w:t>in April 2018 was applied to the price of mannitol in the economic model. This assumption is contrary to the PBAC Guidelines which state that submissions should value future costs at current prices (PBAC Guidelines, Version 5.0 p.82). However, the ESC did not expect th</w:t>
      </w:r>
      <w:r w:rsidR="00C17B8E" w:rsidRPr="000E01C3">
        <w:rPr>
          <w:rFonts w:asciiTheme="minorHAnsi" w:hAnsiTheme="minorHAnsi"/>
          <w:sz w:val="24"/>
        </w:rPr>
        <w:t xml:space="preserve">e inclusion of this </w:t>
      </w:r>
      <w:r w:rsidRPr="000E01C3">
        <w:rPr>
          <w:rFonts w:asciiTheme="minorHAnsi" w:hAnsiTheme="minorHAnsi"/>
          <w:sz w:val="24"/>
        </w:rPr>
        <w:t xml:space="preserve">price change would have a large impact on the </w:t>
      </w:r>
      <w:r w:rsidR="00C17B8E" w:rsidRPr="000E01C3">
        <w:rPr>
          <w:rFonts w:asciiTheme="minorHAnsi" w:hAnsiTheme="minorHAnsi"/>
          <w:sz w:val="24"/>
        </w:rPr>
        <w:t xml:space="preserve">estimate of </w:t>
      </w:r>
      <w:r w:rsidRPr="000E01C3">
        <w:rPr>
          <w:rFonts w:asciiTheme="minorHAnsi" w:hAnsiTheme="minorHAnsi"/>
          <w:sz w:val="24"/>
        </w:rPr>
        <w:t>cost effectiveness.</w:t>
      </w:r>
    </w:p>
    <w:p w:rsidR="00D06935" w:rsidRPr="000E01C3" w:rsidRDefault="00D06935" w:rsidP="00B50602">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 xml:space="preserve">Table </w:t>
      </w:r>
      <w:r w:rsidR="00B83459" w:rsidRPr="000E01C3">
        <w:rPr>
          <w:rFonts w:asciiTheme="minorHAnsi" w:hAnsiTheme="minorHAnsi" w:cstheme="minorHAnsi"/>
          <w:sz w:val="24"/>
          <w:szCs w:val="24"/>
        </w:rPr>
        <w:t>10</w:t>
      </w:r>
      <w:r w:rsidR="002518F2" w:rsidRPr="000E01C3">
        <w:rPr>
          <w:rFonts w:asciiTheme="minorHAnsi" w:hAnsiTheme="minorHAnsi" w:cstheme="minorHAnsi"/>
          <w:sz w:val="24"/>
          <w:szCs w:val="24"/>
        </w:rPr>
        <w:t xml:space="preserve"> </w:t>
      </w:r>
      <w:r w:rsidRPr="000E01C3">
        <w:rPr>
          <w:rFonts w:asciiTheme="minorHAnsi" w:hAnsiTheme="minorHAnsi" w:cstheme="minorHAnsi"/>
          <w:sz w:val="24"/>
          <w:szCs w:val="24"/>
        </w:rPr>
        <w:t>provides a summary of the key drivers in the modelled economic evaluation.</w:t>
      </w:r>
    </w:p>
    <w:p w:rsidR="00E55C12" w:rsidRDefault="00E55C12" w:rsidP="00E55C12">
      <w:pPr>
        <w:pStyle w:val="Caption"/>
        <w:keepNext/>
      </w:pPr>
      <w:r>
        <w:t xml:space="preserve">Table </w:t>
      </w:r>
      <w:r>
        <w:rPr>
          <w:noProof/>
        </w:rPr>
        <w:t>10</w:t>
      </w:r>
      <w:r w:rsidRPr="00D87517">
        <w:t>: Key drivers of the model</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42"/>
        <w:gridCol w:w="4563"/>
        <w:gridCol w:w="1377"/>
      </w:tblGrid>
      <w:tr w:rsidR="00D06935" w:rsidRPr="000E01C3" w:rsidTr="003B43D3">
        <w:trPr>
          <w:tblHeader/>
        </w:trPr>
        <w:tc>
          <w:tcPr>
            <w:tcW w:w="1730" w:type="pct"/>
            <w:shd w:val="clear" w:color="auto" w:fill="auto"/>
            <w:vAlign w:val="center"/>
          </w:tcPr>
          <w:p w:rsidR="00D06935" w:rsidRPr="000E01C3" w:rsidRDefault="00D06935" w:rsidP="00A04A6A">
            <w:pPr>
              <w:keepNext/>
              <w:widowControl/>
              <w:jc w:val="left"/>
              <w:rPr>
                <w:rFonts w:ascii="Arial Narrow" w:hAnsi="Arial Narrow"/>
                <w:b/>
                <w:sz w:val="20"/>
              </w:rPr>
            </w:pPr>
            <w:r w:rsidRPr="000E01C3">
              <w:rPr>
                <w:rFonts w:ascii="Arial Narrow" w:hAnsi="Arial Narrow"/>
                <w:b/>
                <w:sz w:val="20"/>
              </w:rPr>
              <w:t>Description</w:t>
            </w:r>
          </w:p>
        </w:tc>
        <w:tc>
          <w:tcPr>
            <w:tcW w:w="2512" w:type="pct"/>
            <w:shd w:val="clear" w:color="auto" w:fill="auto"/>
            <w:vAlign w:val="center"/>
          </w:tcPr>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Method/Value</w:t>
            </w:r>
          </w:p>
        </w:tc>
        <w:tc>
          <w:tcPr>
            <w:tcW w:w="758" w:type="pct"/>
            <w:shd w:val="clear" w:color="auto" w:fill="auto"/>
            <w:vAlign w:val="center"/>
          </w:tcPr>
          <w:p w:rsidR="00D06935" w:rsidRPr="000E01C3" w:rsidRDefault="00D06935" w:rsidP="00A04A6A">
            <w:pPr>
              <w:keepNext/>
              <w:widowControl/>
              <w:jc w:val="center"/>
              <w:rPr>
                <w:rFonts w:ascii="Arial Narrow" w:hAnsi="Arial Narrow"/>
                <w:b/>
                <w:sz w:val="20"/>
              </w:rPr>
            </w:pPr>
            <w:r w:rsidRPr="000E01C3">
              <w:rPr>
                <w:rFonts w:ascii="Arial Narrow" w:hAnsi="Arial Narrow"/>
                <w:b/>
                <w:sz w:val="20"/>
              </w:rPr>
              <w:t>Impact</w:t>
            </w:r>
          </w:p>
        </w:tc>
      </w:tr>
      <w:tr w:rsidR="00D06935" w:rsidRPr="000E01C3" w:rsidTr="003B43D3">
        <w:tc>
          <w:tcPr>
            <w:tcW w:w="1730" w:type="pct"/>
            <w:shd w:val="clear" w:color="auto" w:fill="auto"/>
            <w:vAlign w:val="center"/>
          </w:tcPr>
          <w:p w:rsidR="00D06935" w:rsidRPr="000E01C3" w:rsidRDefault="00BD1F4C" w:rsidP="00A04A6A">
            <w:pPr>
              <w:keepNext/>
              <w:widowControl/>
              <w:jc w:val="left"/>
              <w:rPr>
                <w:rFonts w:ascii="Arial Narrow" w:hAnsi="Arial Narrow"/>
                <w:sz w:val="20"/>
              </w:rPr>
            </w:pPr>
            <w:r w:rsidRPr="000E01C3">
              <w:rPr>
                <w:rFonts w:ascii="Arial Narrow" w:hAnsi="Arial Narrow"/>
                <w:sz w:val="20"/>
              </w:rPr>
              <w:t>Model structural assumption that mannitol cessation was unrelated to changes in pp</w:t>
            </w:r>
            <w:r w:rsidR="00710FD5" w:rsidRPr="000E01C3">
              <w:rPr>
                <w:rFonts w:ascii="Arial Narrow" w:hAnsi="Arial Narrow"/>
                <w:sz w:val="20"/>
              </w:rPr>
              <w:t>FEV</w:t>
            </w:r>
            <w:r w:rsidR="00710FD5" w:rsidRPr="000E01C3">
              <w:rPr>
                <w:rFonts w:ascii="Arial Narrow" w:hAnsi="Arial Narrow"/>
                <w:sz w:val="20"/>
                <w:vertAlign w:val="subscript"/>
              </w:rPr>
              <w:t>1</w:t>
            </w:r>
            <w:r w:rsidRPr="000E01C3">
              <w:rPr>
                <w:rFonts w:ascii="Arial Narrow" w:hAnsi="Arial Narrow"/>
                <w:sz w:val="20"/>
              </w:rPr>
              <w:t xml:space="preserve"> (the main benefit)</w:t>
            </w:r>
          </w:p>
        </w:tc>
        <w:tc>
          <w:tcPr>
            <w:tcW w:w="2512" w:type="pct"/>
            <w:shd w:val="clear" w:color="auto" w:fill="auto"/>
            <w:vAlign w:val="center"/>
          </w:tcPr>
          <w:p w:rsidR="00D06935" w:rsidRPr="000E01C3" w:rsidRDefault="00BD1F4C" w:rsidP="00A04A6A">
            <w:pPr>
              <w:keepNext/>
              <w:widowControl/>
              <w:jc w:val="left"/>
              <w:rPr>
                <w:rFonts w:ascii="Arial Narrow" w:hAnsi="Arial Narrow"/>
                <w:sz w:val="20"/>
              </w:rPr>
            </w:pPr>
            <w:r w:rsidRPr="000E01C3">
              <w:rPr>
                <w:rFonts w:ascii="Arial Narrow" w:hAnsi="Arial Narrow"/>
                <w:sz w:val="20"/>
              </w:rPr>
              <w:t>This assumption allow</w:t>
            </w:r>
            <w:r w:rsidR="00BC404D" w:rsidRPr="000E01C3">
              <w:rPr>
                <w:rFonts w:ascii="Arial Narrow" w:hAnsi="Arial Narrow"/>
                <w:sz w:val="20"/>
              </w:rPr>
              <w:t>ed</w:t>
            </w:r>
            <w:r w:rsidRPr="000E01C3">
              <w:rPr>
                <w:rFonts w:ascii="Arial Narrow" w:hAnsi="Arial Narrow"/>
                <w:sz w:val="20"/>
              </w:rPr>
              <w:t xml:space="preserve"> differences between mannitol and control </w:t>
            </w:r>
            <w:r w:rsidR="00BC404D" w:rsidRPr="000E01C3">
              <w:rPr>
                <w:rFonts w:ascii="Arial Narrow" w:hAnsi="Arial Narrow"/>
                <w:sz w:val="20"/>
              </w:rPr>
              <w:t>established by Week 26 were maintained indefinitely in the model regardless of ongoing treatment.</w:t>
            </w:r>
          </w:p>
        </w:tc>
        <w:tc>
          <w:tcPr>
            <w:tcW w:w="758" w:type="pct"/>
            <w:shd w:val="clear" w:color="auto" w:fill="auto"/>
            <w:vAlign w:val="center"/>
          </w:tcPr>
          <w:p w:rsidR="00D06935" w:rsidRPr="000E01C3" w:rsidRDefault="00D06935" w:rsidP="00A04A6A">
            <w:pPr>
              <w:keepNext/>
              <w:widowControl/>
              <w:jc w:val="center"/>
              <w:rPr>
                <w:rFonts w:ascii="Arial Narrow" w:hAnsi="Arial Narrow"/>
                <w:sz w:val="20"/>
              </w:rPr>
            </w:pPr>
            <w:r w:rsidRPr="000E01C3">
              <w:rPr>
                <w:rFonts w:ascii="Arial Narrow" w:hAnsi="Arial Narrow"/>
                <w:sz w:val="20"/>
              </w:rPr>
              <w:t>High, favour</w:t>
            </w:r>
            <w:r w:rsidR="00F70089" w:rsidRPr="000E01C3">
              <w:rPr>
                <w:rFonts w:ascii="Arial Narrow" w:hAnsi="Arial Narrow"/>
                <w:sz w:val="20"/>
              </w:rPr>
              <w:t>ed</w:t>
            </w:r>
            <w:r w:rsidRPr="000E01C3">
              <w:rPr>
                <w:rFonts w:ascii="Arial Narrow" w:hAnsi="Arial Narrow"/>
                <w:sz w:val="20"/>
              </w:rPr>
              <w:t xml:space="preserve"> </w:t>
            </w:r>
            <w:r w:rsidR="00BC404D" w:rsidRPr="000E01C3">
              <w:rPr>
                <w:rFonts w:ascii="Arial Narrow" w:hAnsi="Arial Narrow"/>
                <w:sz w:val="20"/>
              </w:rPr>
              <w:t>mannitol</w:t>
            </w:r>
          </w:p>
        </w:tc>
      </w:tr>
      <w:tr w:rsidR="00B647C5" w:rsidRPr="000E01C3" w:rsidTr="003B43D3">
        <w:tc>
          <w:tcPr>
            <w:tcW w:w="1730" w:type="pct"/>
            <w:shd w:val="clear" w:color="auto" w:fill="auto"/>
            <w:vAlign w:val="center"/>
          </w:tcPr>
          <w:p w:rsidR="00B647C5" w:rsidRPr="000E01C3" w:rsidRDefault="00B647C5" w:rsidP="00A04A6A">
            <w:pPr>
              <w:keepNext/>
              <w:widowControl/>
              <w:jc w:val="left"/>
              <w:rPr>
                <w:rFonts w:ascii="Arial Narrow" w:hAnsi="Arial Narrow"/>
                <w:sz w:val="20"/>
              </w:rPr>
            </w:pPr>
            <w:r w:rsidRPr="000E01C3">
              <w:rPr>
                <w:rFonts w:ascii="Arial Narrow" w:hAnsi="Arial Narrow"/>
                <w:sz w:val="20"/>
              </w:rPr>
              <w:t>The assumption that pp</w:t>
            </w:r>
            <w:r w:rsidR="00710FD5" w:rsidRPr="000E01C3">
              <w:rPr>
                <w:rFonts w:ascii="Arial Narrow" w:hAnsi="Arial Narrow"/>
                <w:sz w:val="20"/>
              </w:rPr>
              <w:t>FEV</w:t>
            </w:r>
            <w:r w:rsidR="00710FD5" w:rsidRPr="000E01C3">
              <w:rPr>
                <w:rFonts w:ascii="Arial Narrow" w:hAnsi="Arial Narrow"/>
                <w:sz w:val="20"/>
                <w:vertAlign w:val="subscript"/>
              </w:rPr>
              <w:t>1</w:t>
            </w:r>
            <w:r w:rsidRPr="000E01C3">
              <w:rPr>
                <w:rFonts w:ascii="Arial Narrow" w:hAnsi="Arial Narrow"/>
                <w:sz w:val="20"/>
              </w:rPr>
              <w:t xml:space="preserve"> increases over time indefinitely for patients over 30 years of age.</w:t>
            </w:r>
            <w:r w:rsidR="001629C2" w:rsidRPr="000E01C3">
              <w:rPr>
                <w:rFonts w:ascii="Arial Narrow" w:hAnsi="Arial Narrow"/>
                <w:sz w:val="20"/>
              </w:rPr>
              <w:t xml:space="preserve"> </w:t>
            </w:r>
          </w:p>
        </w:tc>
        <w:tc>
          <w:tcPr>
            <w:tcW w:w="2512" w:type="pct"/>
            <w:shd w:val="clear" w:color="auto" w:fill="auto"/>
            <w:vAlign w:val="center"/>
          </w:tcPr>
          <w:p w:rsidR="00B647C5" w:rsidRPr="000E01C3" w:rsidRDefault="00B647C5" w:rsidP="00A04A6A">
            <w:pPr>
              <w:keepNext/>
              <w:widowControl/>
              <w:jc w:val="left"/>
              <w:rPr>
                <w:rFonts w:ascii="Arial Narrow" w:hAnsi="Arial Narrow"/>
                <w:sz w:val="20"/>
              </w:rPr>
            </w:pPr>
            <w:r w:rsidRPr="000E01C3">
              <w:rPr>
                <w:rFonts w:ascii="Arial Narrow" w:hAnsi="Arial Narrow"/>
                <w:sz w:val="20"/>
              </w:rPr>
              <w:t xml:space="preserve">This assumption </w:t>
            </w:r>
            <w:r w:rsidR="005716B5" w:rsidRPr="000E01C3">
              <w:rPr>
                <w:rFonts w:ascii="Arial Narrow" w:hAnsi="Arial Narrow"/>
                <w:sz w:val="20"/>
              </w:rPr>
              <w:t xml:space="preserve">independently did not drive the model as it was applied to both arms, but together with the inappropriate structural assumption that </w:t>
            </w:r>
            <w:r w:rsidR="000E5EE4" w:rsidRPr="000E01C3">
              <w:rPr>
                <w:rFonts w:ascii="Arial Narrow" w:hAnsi="Arial Narrow"/>
                <w:sz w:val="20"/>
              </w:rPr>
              <w:t xml:space="preserve">delinked ongoing </w:t>
            </w:r>
            <w:r w:rsidR="005716B5" w:rsidRPr="000E01C3">
              <w:rPr>
                <w:rFonts w:ascii="Arial Narrow" w:hAnsi="Arial Narrow"/>
                <w:sz w:val="20"/>
              </w:rPr>
              <w:t>treatment and benefit</w:t>
            </w:r>
            <w:r w:rsidR="000E5EE4" w:rsidRPr="000E01C3">
              <w:rPr>
                <w:rFonts w:ascii="Arial Narrow" w:hAnsi="Arial Narrow"/>
                <w:sz w:val="20"/>
              </w:rPr>
              <w:t>s, it allowed that inappropriate difference to be maintained for a lifetime.</w:t>
            </w:r>
          </w:p>
        </w:tc>
        <w:tc>
          <w:tcPr>
            <w:tcW w:w="758" w:type="pct"/>
            <w:shd w:val="clear" w:color="auto" w:fill="auto"/>
            <w:vAlign w:val="center"/>
          </w:tcPr>
          <w:p w:rsidR="00B647C5" w:rsidRPr="000E01C3" w:rsidRDefault="000E5EE4" w:rsidP="00A04A6A">
            <w:pPr>
              <w:keepNext/>
              <w:widowControl/>
              <w:jc w:val="center"/>
              <w:rPr>
                <w:rFonts w:ascii="Arial Narrow" w:hAnsi="Arial Narrow"/>
                <w:sz w:val="20"/>
              </w:rPr>
            </w:pPr>
            <w:r w:rsidRPr="000E01C3">
              <w:rPr>
                <w:rFonts w:ascii="Arial Narrow" w:hAnsi="Arial Narrow"/>
                <w:sz w:val="20"/>
              </w:rPr>
              <w:t>High, favour</w:t>
            </w:r>
            <w:r w:rsidR="00F70089" w:rsidRPr="000E01C3">
              <w:rPr>
                <w:rFonts w:ascii="Arial Narrow" w:hAnsi="Arial Narrow"/>
                <w:sz w:val="20"/>
              </w:rPr>
              <w:t>ed</w:t>
            </w:r>
            <w:r w:rsidRPr="000E01C3">
              <w:rPr>
                <w:rFonts w:ascii="Arial Narrow" w:hAnsi="Arial Narrow"/>
                <w:sz w:val="20"/>
              </w:rPr>
              <w:t xml:space="preserve"> mannitol</w:t>
            </w:r>
          </w:p>
        </w:tc>
      </w:tr>
      <w:tr w:rsidR="00D06935" w:rsidRPr="000E01C3" w:rsidTr="003B43D3">
        <w:tc>
          <w:tcPr>
            <w:tcW w:w="1730" w:type="pct"/>
            <w:shd w:val="clear" w:color="auto" w:fill="auto"/>
            <w:vAlign w:val="center"/>
          </w:tcPr>
          <w:p w:rsidR="00D06935" w:rsidRPr="000E01C3" w:rsidRDefault="00BC404D" w:rsidP="00A04A6A">
            <w:pPr>
              <w:keepNext/>
              <w:widowControl/>
              <w:jc w:val="left"/>
              <w:rPr>
                <w:rFonts w:ascii="Arial Narrow" w:hAnsi="Arial Narrow"/>
                <w:sz w:val="20"/>
              </w:rPr>
            </w:pPr>
            <w:r w:rsidRPr="000E01C3">
              <w:rPr>
                <w:rFonts w:ascii="Arial Narrow" w:hAnsi="Arial Narrow"/>
                <w:sz w:val="20"/>
              </w:rPr>
              <w:t>Model mortality based on pp</w:t>
            </w:r>
            <w:r w:rsidR="00710FD5" w:rsidRPr="000E01C3">
              <w:rPr>
                <w:rFonts w:ascii="Arial Narrow" w:hAnsi="Arial Narrow"/>
                <w:sz w:val="20"/>
              </w:rPr>
              <w:t>FEV</w:t>
            </w:r>
            <w:r w:rsidR="00710FD5" w:rsidRPr="000E01C3">
              <w:rPr>
                <w:rFonts w:ascii="Arial Narrow" w:hAnsi="Arial Narrow"/>
                <w:sz w:val="20"/>
                <w:vertAlign w:val="subscript"/>
              </w:rPr>
              <w:t>1</w:t>
            </w:r>
          </w:p>
        </w:tc>
        <w:tc>
          <w:tcPr>
            <w:tcW w:w="2512" w:type="pct"/>
            <w:shd w:val="clear" w:color="auto" w:fill="auto"/>
            <w:vAlign w:val="center"/>
          </w:tcPr>
          <w:p w:rsidR="00D06935" w:rsidRPr="000E01C3" w:rsidRDefault="00BC404D" w:rsidP="00A04A6A">
            <w:pPr>
              <w:keepNext/>
              <w:widowControl/>
              <w:jc w:val="left"/>
              <w:rPr>
                <w:rFonts w:ascii="Arial Narrow" w:hAnsi="Arial Narrow"/>
                <w:sz w:val="20"/>
              </w:rPr>
            </w:pPr>
            <w:r w:rsidRPr="000E01C3">
              <w:rPr>
                <w:rFonts w:ascii="Arial Narrow" w:hAnsi="Arial Narrow"/>
                <w:sz w:val="20"/>
              </w:rPr>
              <w:t>The model translates the difference in pp</w:t>
            </w:r>
            <w:r w:rsidR="00710FD5" w:rsidRPr="000E01C3">
              <w:rPr>
                <w:rFonts w:ascii="Arial Narrow" w:hAnsi="Arial Narrow"/>
                <w:sz w:val="20"/>
              </w:rPr>
              <w:t>FEV</w:t>
            </w:r>
            <w:r w:rsidR="00710FD5" w:rsidRPr="000E01C3">
              <w:rPr>
                <w:rFonts w:ascii="Arial Narrow" w:hAnsi="Arial Narrow"/>
                <w:sz w:val="20"/>
                <w:vertAlign w:val="subscript"/>
              </w:rPr>
              <w:t>1</w:t>
            </w:r>
            <w:r w:rsidRPr="000E01C3">
              <w:rPr>
                <w:rFonts w:ascii="Arial Narrow" w:hAnsi="Arial Narrow"/>
                <w:sz w:val="20"/>
              </w:rPr>
              <w:t xml:space="preserve"> from the trials to a considerable difference in survival for a much extended life expectancy, accruing considerable life years over time.</w:t>
            </w:r>
          </w:p>
        </w:tc>
        <w:tc>
          <w:tcPr>
            <w:tcW w:w="758" w:type="pct"/>
            <w:shd w:val="clear" w:color="auto" w:fill="auto"/>
            <w:vAlign w:val="center"/>
          </w:tcPr>
          <w:p w:rsidR="00D06935" w:rsidRPr="000E01C3" w:rsidRDefault="00BC404D" w:rsidP="00A04A6A">
            <w:pPr>
              <w:keepNext/>
              <w:widowControl/>
              <w:jc w:val="center"/>
              <w:rPr>
                <w:rFonts w:ascii="Arial Narrow" w:hAnsi="Arial Narrow"/>
                <w:sz w:val="20"/>
              </w:rPr>
            </w:pPr>
            <w:r w:rsidRPr="000E01C3">
              <w:rPr>
                <w:rFonts w:ascii="Arial Narrow" w:hAnsi="Arial Narrow"/>
                <w:sz w:val="20"/>
              </w:rPr>
              <w:t>High, favour</w:t>
            </w:r>
            <w:r w:rsidR="00F70089" w:rsidRPr="000E01C3">
              <w:rPr>
                <w:rFonts w:ascii="Arial Narrow" w:hAnsi="Arial Narrow"/>
                <w:sz w:val="20"/>
              </w:rPr>
              <w:t>ed</w:t>
            </w:r>
            <w:r w:rsidRPr="000E01C3">
              <w:rPr>
                <w:rFonts w:ascii="Arial Narrow" w:hAnsi="Arial Narrow"/>
                <w:sz w:val="20"/>
              </w:rPr>
              <w:t xml:space="preserve"> mannitol</w:t>
            </w:r>
          </w:p>
        </w:tc>
      </w:tr>
    </w:tbl>
    <w:p w:rsidR="00D06935" w:rsidRPr="000E01C3" w:rsidRDefault="00D06935" w:rsidP="00B50602">
      <w:pPr>
        <w:pStyle w:val="TableFooter"/>
        <w:widowControl/>
        <w:spacing w:after="120"/>
      </w:pPr>
      <w:r w:rsidRPr="000E01C3">
        <w:t>Source: compiled during the evaluation</w:t>
      </w:r>
    </w:p>
    <w:p w:rsidR="000B0E43" w:rsidRPr="000E01C3" w:rsidRDefault="00E60D21" w:rsidP="00B50602">
      <w:pPr>
        <w:pStyle w:val="ListParagraph"/>
        <w:widowControl/>
        <w:numPr>
          <w:ilvl w:val="1"/>
          <w:numId w:val="5"/>
        </w:numPr>
        <w:spacing w:after="120"/>
        <w:contextualSpacing w:val="0"/>
        <w:rPr>
          <w:rFonts w:asciiTheme="minorHAnsi" w:hAnsiTheme="minorHAnsi" w:cstheme="minorHAnsi"/>
          <w:iCs/>
          <w:sz w:val="24"/>
          <w:szCs w:val="24"/>
        </w:rPr>
      </w:pPr>
      <w:r w:rsidRPr="000E01C3">
        <w:rPr>
          <w:rFonts w:asciiTheme="minorHAnsi" w:hAnsiTheme="minorHAnsi" w:cstheme="minorHAnsi"/>
          <w:iCs/>
          <w:sz w:val="24"/>
          <w:szCs w:val="24"/>
        </w:rPr>
        <w:t xml:space="preserve">Figure </w:t>
      </w:r>
      <w:r w:rsidR="00F70089" w:rsidRPr="000E01C3">
        <w:rPr>
          <w:rFonts w:asciiTheme="minorHAnsi" w:hAnsiTheme="minorHAnsi" w:cstheme="minorHAnsi"/>
          <w:iCs/>
          <w:sz w:val="24"/>
          <w:szCs w:val="24"/>
        </w:rPr>
        <w:t>1</w:t>
      </w:r>
      <w:r w:rsidR="007342FB" w:rsidRPr="000E01C3">
        <w:rPr>
          <w:rFonts w:asciiTheme="minorHAnsi" w:hAnsiTheme="minorHAnsi" w:cstheme="minorHAnsi"/>
          <w:iCs/>
          <w:sz w:val="24"/>
          <w:szCs w:val="24"/>
        </w:rPr>
        <w:t xml:space="preserve"> </w:t>
      </w:r>
      <w:r w:rsidR="000B0E43" w:rsidRPr="000E01C3">
        <w:rPr>
          <w:rFonts w:asciiTheme="minorHAnsi" w:hAnsiTheme="minorHAnsi" w:cstheme="minorHAnsi"/>
          <w:iCs/>
          <w:sz w:val="24"/>
          <w:szCs w:val="24"/>
        </w:rPr>
        <w:t>show</w:t>
      </w:r>
      <w:r w:rsidR="007342FB" w:rsidRPr="000E01C3">
        <w:rPr>
          <w:rFonts w:asciiTheme="minorHAnsi" w:hAnsiTheme="minorHAnsi" w:cstheme="minorHAnsi"/>
          <w:iCs/>
          <w:sz w:val="24"/>
          <w:szCs w:val="24"/>
        </w:rPr>
        <w:t>s a</w:t>
      </w:r>
      <w:r w:rsidR="000B0E43" w:rsidRPr="000E01C3">
        <w:rPr>
          <w:rFonts w:asciiTheme="minorHAnsi" w:hAnsiTheme="minorHAnsi" w:cstheme="minorHAnsi"/>
          <w:iCs/>
          <w:sz w:val="24"/>
          <w:szCs w:val="24"/>
        </w:rPr>
        <w:t xml:space="preserve"> trace of </w:t>
      </w:r>
      <w:r w:rsidR="00127365" w:rsidRPr="000E01C3">
        <w:rPr>
          <w:rFonts w:asciiTheme="minorHAnsi" w:hAnsiTheme="minorHAnsi" w:cstheme="minorHAnsi"/>
          <w:iCs/>
          <w:sz w:val="24"/>
          <w:szCs w:val="24"/>
        </w:rPr>
        <w:t xml:space="preserve">average </w:t>
      </w:r>
      <w:r w:rsidR="000B0E43" w:rsidRPr="000E01C3">
        <w:rPr>
          <w:rFonts w:asciiTheme="minorHAnsi" w:hAnsiTheme="minorHAnsi" w:cstheme="minorHAnsi"/>
          <w:iCs/>
          <w:sz w:val="24"/>
          <w:szCs w:val="24"/>
        </w:rPr>
        <w:t>pp</w:t>
      </w:r>
      <w:r w:rsidR="00710FD5" w:rsidRPr="000E01C3">
        <w:rPr>
          <w:rFonts w:asciiTheme="minorHAnsi" w:hAnsiTheme="minorHAnsi" w:cstheme="minorHAnsi"/>
          <w:iCs/>
          <w:sz w:val="24"/>
          <w:szCs w:val="24"/>
        </w:rPr>
        <w:t>FEV</w:t>
      </w:r>
      <w:r w:rsidR="00710FD5" w:rsidRPr="000E01C3">
        <w:rPr>
          <w:rFonts w:asciiTheme="minorHAnsi" w:hAnsiTheme="minorHAnsi" w:cstheme="minorHAnsi"/>
          <w:iCs/>
          <w:sz w:val="24"/>
          <w:szCs w:val="24"/>
          <w:vertAlign w:val="subscript"/>
        </w:rPr>
        <w:t>1</w:t>
      </w:r>
      <w:r w:rsidR="000B0E43" w:rsidRPr="000E01C3">
        <w:rPr>
          <w:rFonts w:asciiTheme="minorHAnsi" w:hAnsiTheme="minorHAnsi" w:cstheme="minorHAnsi"/>
          <w:iCs/>
          <w:sz w:val="24"/>
          <w:szCs w:val="24"/>
        </w:rPr>
        <w:t xml:space="preserve"> in the CF health state </w:t>
      </w:r>
      <w:r w:rsidR="00127365" w:rsidRPr="000E01C3">
        <w:rPr>
          <w:rFonts w:asciiTheme="minorHAnsi" w:hAnsiTheme="minorHAnsi" w:cstheme="minorHAnsi"/>
          <w:iCs/>
          <w:sz w:val="24"/>
          <w:szCs w:val="24"/>
        </w:rPr>
        <w:t>(left axis)</w:t>
      </w:r>
      <w:r w:rsidR="007342FB" w:rsidRPr="000E01C3">
        <w:rPr>
          <w:rFonts w:asciiTheme="minorHAnsi" w:hAnsiTheme="minorHAnsi" w:cstheme="minorHAnsi"/>
          <w:iCs/>
          <w:sz w:val="24"/>
          <w:szCs w:val="24"/>
        </w:rPr>
        <w:t xml:space="preserve"> and </w:t>
      </w:r>
      <w:r w:rsidR="000B0E43" w:rsidRPr="000E01C3">
        <w:rPr>
          <w:rFonts w:asciiTheme="minorHAnsi" w:hAnsiTheme="minorHAnsi" w:cstheme="minorHAnsi"/>
          <w:iCs/>
          <w:sz w:val="24"/>
          <w:szCs w:val="24"/>
        </w:rPr>
        <w:t>the proportion of patients on mannitol (right</w:t>
      </w:r>
      <w:r w:rsidR="00127365" w:rsidRPr="000E01C3">
        <w:rPr>
          <w:rFonts w:asciiTheme="minorHAnsi" w:hAnsiTheme="minorHAnsi" w:cstheme="minorHAnsi"/>
          <w:iCs/>
          <w:sz w:val="24"/>
          <w:szCs w:val="24"/>
        </w:rPr>
        <w:t xml:space="preserve"> axis</w:t>
      </w:r>
      <w:r w:rsidR="000B0E43" w:rsidRPr="000E01C3">
        <w:rPr>
          <w:rFonts w:asciiTheme="minorHAnsi" w:hAnsiTheme="minorHAnsi" w:cstheme="minorHAnsi"/>
          <w:iCs/>
          <w:sz w:val="24"/>
          <w:szCs w:val="24"/>
        </w:rPr>
        <w:t>)</w:t>
      </w:r>
      <w:r w:rsidR="007342FB" w:rsidRPr="000E01C3">
        <w:rPr>
          <w:rFonts w:asciiTheme="minorHAnsi" w:hAnsiTheme="minorHAnsi" w:cstheme="minorHAnsi"/>
          <w:iCs/>
          <w:sz w:val="24"/>
          <w:szCs w:val="24"/>
        </w:rPr>
        <w:t xml:space="preserve">, while Figure </w:t>
      </w:r>
      <w:r w:rsidR="00F70089" w:rsidRPr="000E01C3">
        <w:rPr>
          <w:rFonts w:asciiTheme="minorHAnsi" w:hAnsiTheme="minorHAnsi" w:cstheme="minorHAnsi"/>
          <w:iCs/>
          <w:sz w:val="24"/>
          <w:szCs w:val="24"/>
        </w:rPr>
        <w:t>2</w:t>
      </w:r>
      <w:r w:rsidR="007342FB" w:rsidRPr="000E01C3">
        <w:rPr>
          <w:rFonts w:asciiTheme="minorHAnsi" w:hAnsiTheme="minorHAnsi" w:cstheme="minorHAnsi"/>
          <w:iCs/>
          <w:sz w:val="24"/>
          <w:szCs w:val="24"/>
        </w:rPr>
        <w:t xml:space="preserve"> presents overall survival</w:t>
      </w:r>
      <w:r w:rsidR="000B0E43" w:rsidRPr="000E01C3">
        <w:rPr>
          <w:rFonts w:asciiTheme="minorHAnsi" w:hAnsiTheme="minorHAnsi" w:cstheme="minorHAnsi"/>
          <w:iCs/>
          <w:sz w:val="24"/>
          <w:szCs w:val="24"/>
        </w:rPr>
        <w:t>.</w:t>
      </w:r>
      <w:r w:rsidR="007869A7" w:rsidRPr="000E01C3">
        <w:rPr>
          <w:rFonts w:asciiTheme="minorHAnsi" w:hAnsiTheme="minorHAnsi" w:cstheme="minorHAnsi"/>
          <w:iCs/>
          <w:sz w:val="24"/>
          <w:szCs w:val="24"/>
        </w:rPr>
        <w:t xml:space="preserve"> </w:t>
      </w:r>
      <w:r w:rsidR="00127365" w:rsidRPr="000E01C3">
        <w:rPr>
          <w:rFonts w:asciiTheme="minorHAnsi" w:hAnsiTheme="minorHAnsi" w:cstheme="minorHAnsi"/>
          <w:iCs/>
          <w:sz w:val="24"/>
          <w:szCs w:val="24"/>
        </w:rPr>
        <w:t>The</w:t>
      </w:r>
      <w:r w:rsidR="00F70089" w:rsidRPr="000E01C3">
        <w:rPr>
          <w:rFonts w:asciiTheme="minorHAnsi" w:hAnsiTheme="minorHAnsi" w:cstheme="minorHAnsi"/>
          <w:iCs/>
          <w:sz w:val="24"/>
          <w:szCs w:val="24"/>
        </w:rPr>
        <w:t xml:space="preserve"> evaluation </w:t>
      </w:r>
      <w:r w:rsidR="002A68B4" w:rsidRPr="000E01C3">
        <w:rPr>
          <w:rFonts w:asciiTheme="minorHAnsi" w:hAnsiTheme="minorHAnsi" w:cstheme="minorHAnsi"/>
          <w:iCs/>
          <w:sz w:val="24"/>
          <w:szCs w:val="24"/>
        </w:rPr>
        <w:t xml:space="preserve">and the ESC </w:t>
      </w:r>
      <w:r w:rsidR="00F70089" w:rsidRPr="000E01C3">
        <w:rPr>
          <w:rFonts w:asciiTheme="minorHAnsi" w:hAnsiTheme="minorHAnsi" w:cstheme="minorHAnsi"/>
          <w:iCs/>
          <w:sz w:val="24"/>
          <w:szCs w:val="24"/>
        </w:rPr>
        <w:t>considered that the</w:t>
      </w:r>
      <w:r w:rsidR="00127365" w:rsidRPr="000E01C3">
        <w:rPr>
          <w:rFonts w:asciiTheme="minorHAnsi" w:hAnsiTheme="minorHAnsi" w:cstheme="minorHAnsi"/>
          <w:iCs/>
          <w:sz w:val="24"/>
          <w:szCs w:val="24"/>
        </w:rPr>
        <w:t xml:space="preserve"> </w:t>
      </w:r>
      <w:r w:rsidR="000B0E43" w:rsidRPr="000E01C3">
        <w:rPr>
          <w:rFonts w:asciiTheme="minorHAnsi" w:hAnsiTheme="minorHAnsi" w:cstheme="minorHAnsi"/>
          <w:iCs/>
          <w:sz w:val="24"/>
          <w:szCs w:val="24"/>
        </w:rPr>
        <w:t>graph</w:t>
      </w:r>
      <w:r w:rsidR="007342FB" w:rsidRPr="000E01C3">
        <w:rPr>
          <w:rFonts w:asciiTheme="minorHAnsi" w:hAnsiTheme="minorHAnsi" w:cstheme="minorHAnsi"/>
          <w:iCs/>
          <w:sz w:val="24"/>
          <w:szCs w:val="24"/>
        </w:rPr>
        <w:t>s</w:t>
      </w:r>
      <w:r w:rsidR="000B0E43" w:rsidRPr="000E01C3">
        <w:rPr>
          <w:rFonts w:asciiTheme="minorHAnsi" w:hAnsiTheme="minorHAnsi" w:cstheme="minorHAnsi"/>
          <w:iCs/>
          <w:sz w:val="24"/>
          <w:szCs w:val="24"/>
        </w:rPr>
        <w:t xml:space="preserve"> illustrate </w:t>
      </w:r>
      <w:r w:rsidR="00CC542F" w:rsidRPr="000E01C3">
        <w:rPr>
          <w:rFonts w:asciiTheme="minorHAnsi" w:hAnsiTheme="minorHAnsi" w:cstheme="minorHAnsi"/>
          <w:iCs/>
          <w:sz w:val="24"/>
          <w:szCs w:val="24"/>
        </w:rPr>
        <w:t>four</w:t>
      </w:r>
      <w:r w:rsidR="00206371" w:rsidRPr="000E01C3">
        <w:rPr>
          <w:rFonts w:asciiTheme="minorHAnsi" w:hAnsiTheme="minorHAnsi" w:cstheme="minorHAnsi"/>
          <w:iCs/>
          <w:sz w:val="24"/>
          <w:szCs w:val="24"/>
        </w:rPr>
        <w:t xml:space="preserve"> </w:t>
      </w:r>
      <w:r w:rsidR="00CC542F" w:rsidRPr="000E01C3">
        <w:rPr>
          <w:rFonts w:asciiTheme="minorHAnsi" w:hAnsiTheme="minorHAnsi" w:cstheme="minorHAnsi"/>
          <w:iCs/>
          <w:sz w:val="24"/>
          <w:szCs w:val="24"/>
        </w:rPr>
        <w:t xml:space="preserve">key </w:t>
      </w:r>
      <w:r w:rsidR="00127365" w:rsidRPr="000E01C3">
        <w:rPr>
          <w:rFonts w:asciiTheme="minorHAnsi" w:hAnsiTheme="minorHAnsi" w:cstheme="minorHAnsi"/>
          <w:iCs/>
          <w:sz w:val="24"/>
          <w:szCs w:val="24"/>
        </w:rPr>
        <w:t xml:space="preserve">findings of </w:t>
      </w:r>
      <w:r w:rsidR="000B0E43" w:rsidRPr="000E01C3">
        <w:rPr>
          <w:rFonts w:asciiTheme="minorHAnsi" w:hAnsiTheme="minorHAnsi" w:cstheme="minorHAnsi"/>
          <w:iCs/>
          <w:sz w:val="24"/>
          <w:szCs w:val="24"/>
        </w:rPr>
        <w:t>the model</w:t>
      </w:r>
      <w:r w:rsidR="00127365" w:rsidRPr="000E01C3">
        <w:rPr>
          <w:rFonts w:asciiTheme="minorHAnsi" w:hAnsiTheme="minorHAnsi" w:cstheme="minorHAnsi"/>
          <w:iCs/>
          <w:sz w:val="24"/>
          <w:szCs w:val="24"/>
        </w:rPr>
        <w:t xml:space="preserve"> which are not </w:t>
      </w:r>
      <w:r w:rsidR="00206371" w:rsidRPr="000E01C3">
        <w:rPr>
          <w:rFonts w:asciiTheme="minorHAnsi" w:hAnsiTheme="minorHAnsi" w:cstheme="minorHAnsi"/>
          <w:iCs/>
          <w:sz w:val="24"/>
          <w:szCs w:val="24"/>
        </w:rPr>
        <w:t>supported by the literature</w:t>
      </w:r>
      <w:r w:rsidR="00CC5FFF" w:rsidRPr="000E01C3">
        <w:rPr>
          <w:rFonts w:asciiTheme="minorHAnsi" w:hAnsiTheme="minorHAnsi" w:cstheme="minorHAnsi"/>
          <w:iCs/>
          <w:sz w:val="24"/>
          <w:szCs w:val="24"/>
        </w:rPr>
        <w:t>:</w:t>
      </w:r>
    </w:p>
    <w:p w:rsidR="00F70089" w:rsidRPr="000E01C3" w:rsidRDefault="00F70089" w:rsidP="008C1479">
      <w:pPr>
        <w:pStyle w:val="PBACheading1"/>
        <w:numPr>
          <w:ilvl w:val="2"/>
          <w:numId w:val="30"/>
        </w:numPr>
        <w:spacing w:after="120"/>
        <w:ind w:left="993" w:hanging="284"/>
        <w:jc w:val="both"/>
        <w:rPr>
          <w:rFonts w:asciiTheme="minorHAnsi" w:hAnsiTheme="minorHAnsi"/>
          <w:sz w:val="24"/>
          <w:szCs w:val="24"/>
        </w:rPr>
      </w:pPr>
      <w:r w:rsidRPr="000E01C3">
        <w:rPr>
          <w:rFonts w:asciiTheme="minorHAnsi" w:hAnsiTheme="minorHAnsi"/>
          <w:sz w:val="24"/>
          <w:szCs w:val="24"/>
        </w:rPr>
        <w:t>The model predicted a decrease in ppFEV</w:t>
      </w:r>
      <w:r w:rsidRPr="000E01C3">
        <w:rPr>
          <w:rFonts w:asciiTheme="minorHAnsi" w:hAnsiTheme="minorHAnsi"/>
          <w:sz w:val="24"/>
          <w:szCs w:val="24"/>
          <w:vertAlign w:val="subscript"/>
        </w:rPr>
        <w:t>1</w:t>
      </w:r>
      <w:r w:rsidRPr="000E01C3">
        <w:rPr>
          <w:rFonts w:asciiTheme="minorHAnsi" w:hAnsiTheme="minorHAnsi"/>
          <w:sz w:val="24"/>
          <w:szCs w:val="24"/>
        </w:rPr>
        <w:t xml:space="preserve"> initially followed by a continuous</w:t>
      </w:r>
      <w:r w:rsidR="006E1494" w:rsidRPr="000E01C3">
        <w:rPr>
          <w:rFonts w:asciiTheme="minorHAnsi" w:hAnsiTheme="minorHAnsi"/>
          <w:sz w:val="24"/>
          <w:szCs w:val="24"/>
        </w:rPr>
        <w:t xml:space="preserve"> increase over the age of 30</w:t>
      </w:r>
      <w:r w:rsidR="00754297" w:rsidRPr="000E01C3">
        <w:rPr>
          <w:rFonts w:asciiTheme="minorHAnsi" w:hAnsiTheme="minorHAnsi"/>
          <w:sz w:val="24"/>
          <w:szCs w:val="24"/>
        </w:rPr>
        <w:t xml:space="preserve"> (at which point almost all patients are no longer receiving mannitol)</w:t>
      </w:r>
      <w:r w:rsidR="006E1494" w:rsidRPr="000E01C3">
        <w:rPr>
          <w:rFonts w:asciiTheme="minorHAnsi" w:hAnsiTheme="minorHAnsi"/>
          <w:sz w:val="24"/>
          <w:szCs w:val="24"/>
        </w:rPr>
        <w:t>,</w:t>
      </w:r>
      <w:r w:rsidRPr="000E01C3">
        <w:rPr>
          <w:rFonts w:asciiTheme="minorHAnsi" w:hAnsiTheme="minorHAnsi"/>
          <w:sz w:val="24"/>
          <w:szCs w:val="24"/>
        </w:rPr>
        <w:t xml:space="preserve"> with 18.93% of patients in the control arm achieving pp</w:t>
      </w:r>
      <w:r w:rsidR="00AB1AE6" w:rsidRPr="000E01C3">
        <w:rPr>
          <w:rFonts w:asciiTheme="minorHAnsi" w:hAnsiTheme="minorHAnsi"/>
          <w:sz w:val="24"/>
          <w:szCs w:val="24"/>
        </w:rPr>
        <w:t>FEV</w:t>
      </w:r>
      <w:r w:rsidR="00AB1AE6" w:rsidRPr="000E01C3">
        <w:rPr>
          <w:rFonts w:asciiTheme="minorHAnsi" w:hAnsiTheme="minorHAnsi"/>
          <w:sz w:val="24"/>
          <w:szCs w:val="24"/>
          <w:vertAlign w:val="subscript"/>
        </w:rPr>
        <w:t>1</w:t>
      </w:r>
      <w:r w:rsidR="00AB1AE6" w:rsidRPr="000E01C3">
        <w:rPr>
          <w:rFonts w:asciiTheme="minorHAnsi" w:hAnsiTheme="minorHAnsi"/>
          <w:sz w:val="24"/>
          <w:szCs w:val="24"/>
        </w:rPr>
        <w:t xml:space="preserve"> &gt;100 within their lifetime. The ESC considered this was implausible, noting that </w:t>
      </w:r>
      <w:r w:rsidRPr="000E01C3">
        <w:rPr>
          <w:rFonts w:asciiTheme="minorHAnsi" w:hAnsiTheme="minorHAnsi"/>
          <w:sz w:val="24"/>
          <w:szCs w:val="24"/>
        </w:rPr>
        <w:t xml:space="preserve">fewer than 10% </w:t>
      </w:r>
      <w:r w:rsidR="00AB1AE6" w:rsidRPr="000E01C3">
        <w:rPr>
          <w:rFonts w:asciiTheme="minorHAnsi" w:hAnsiTheme="minorHAnsi"/>
          <w:sz w:val="24"/>
          <w:szCs w:val="24"/>
        </w:rPr>
        <w:t xml:space="preserve">of patients </w:t>
      </w:r>
      <w:r w:rsidRPr="000E01C3">
        <w:rPr>
          <w:rFonts w:asciiTheme="minorHAnsi" w:hAnsiTheme="minorHAnsi"/>
          <w:sz w:val="24"/>
          <w:szCs w:val="24"/>
        </w:rPr>
        <w:t xml:space="preserve">over the age 20 </w:t>
      </w:r>
      <w:r w:rsidR="00AB1AE6" w:rsidRPr="000E01C3">
        <w:rPr>
          <w:rFonts w:asciiTheme="minorHAnsi" w:hAnsiTheme="minorHAnsi"/>
          <w:sz w:val="24"/>
          <w:szCs w:val="24"/>
        </w:rPr>
        <w:t>had</w:t>
      </w:r>
      <w:r w:rsidRPr="000E01C3">
        <w:rPr>
          <w:rFonts w:asciiTheme="minorHAnsi" w:hAnsiTheme="minorHAnsi"/>
          <w:sz w:val="24"/>
          <w:szCs w:val="24"/>
        </w:rPr>
        <w:t xml:space="preserve"> ppFEV</w:t>
      </w:r>
      <w:r w:rsidRPr="000E01C3">
        <w:rPr>
          <w:rFonts w:asciiTheme="minorHAnsi" w:hAnsiTheme="minorHAnsi"/>
          <w:sz w:val="24"/>
          <w:szCs w:val="24"/>
          <w:vertAlign w:val="subscript"/>
        </w:rPr>
        <w:t>1</w:t>
      </w:r>
      <w:r w:rsidRPr="000E01C3">
        <w:rPr>
          <w:rFonts w:asciiTheme="minorHAnsi" w:hAnsiTheme="minorHAnsi"/>
          <w:sz w:val="24"/>
          <w:szCs w:val="24"/>
        </w:rPr>
        <w:t>&gt;100</w:t>
      </w:r>
      <w:r w:rsidR="00B44AE6" w:rsidRPr="000E01C3">
        <w:rPr>
          <w:rFonts w:asciiTheme="minorHAnsi" w:hAnsiTheme="minorHAnsi"/>
          <w:sz w:val="24"/>
          <w:szCs w:val="24"/>
        </w:rPr>
        <w:t>%</w:t>
      </w:r>
      <w:r w:rsidRPr="000E01C3">
        <w:rPr>
          <w:rFonts w:asciiTheme="minorHAnsi" w:hAnsiTheme="minorHAnsi"/>
          <w:sz w:val="24"/>
          <w:szCs w:val="24"/>
        </w:rPr>
        <w:t xml:space="preserve"> in Liou et al 2010.</w:t>
      </w:r>
    </w:p>
    <w:p w:rsidR="00F70089" w:rsidRPr="000E01C3" w:rsidRDefault="00F70089" w:rsidP="008C1479">
      <w:pPr>
        <w:pStyle w:val="PBACheading1"/>
        <w:numPr>
          <w:ilvl w:val="2"/>
          <w:numId w:val="30"/>
        </w:numPr>
        <w:spacing w:after="120"/>
        <w:ind w:left="993" w:hanging="284"/>
        <w:jc w:val="both"/>
        <w:rPr>
          <w:rFonts w:asciiTheme="minorHAnsi" w:hAnsiTheme="minorHAnsi"/>
          <w:sz w:val="24"/>
          <w:szCs w:val="24"/>
        </w:rPr>
      </w:pPr>
      <w:r w:rsidRPr="000E01C3">
        <w:rPr>
          <w:rFonts w:asciiTheme="minorHAnsi" w:hAnsiTheme="minorHAnsi"/>
          <w:sz w:val="24"/>
          <w:szCs w:val="24"/>
        </w:rPr>
        <w:t>The difference in ppFEV</w:t>
      </w:r>
      <w:r w:rsidRPr="000E01C3">
        <w:rPr>
          <w:rFonts w:asciiTheme="minorHAnsi" w:hAnsiTheme="minorHAnsi"/>
          <w:sz w:val="24"/>
          <w:szCs w:val="24"/>
          <w:vertAlign w:val="subscript"/>
        </w:rPr>
        <w:t>1</w:t>
      </w:r>
      <w:r w:rsidRPr="000E01C3">
        <w:rPr>
          <w:rFonts w:asciiTheme="minorHAnsi" w:hAnsiTheme="minorHAnsi"/>
          <w:sz w:val="24"/>
          <w:szCs w:val="24"/>
        </w:rPr>
        <w:t xml:space="preserve"> established between the mannitol and control arms at Week 26 was preserved long after all patients had ceased mannitol.</w:t>
      </w:r>
    </w:p>
    <w:p w:rsidR="00F70089" w:rsidRPr="000E01C3" w:rsidRDefault="00F70089" w:rsidP="008C1479">
      <w:pPr>
        <w:pStyle w:val="PBACheading1"/>
        <w:numPr>
          <w:ilvl w:val="2"/>
          <w:numId w:val="30"/>
        </w:numPr>
        <w:spacing w:after="120"/>
        <w:ind w:left="993" w:hanging="284"/>
        <w:jc w:val="both"/>
        <w:rPr>
          <w:rFonts w:asciiTheme="minorHAnsi" w:hAnsiTheme="minorHAnsi"/>
          <w:sz w:val="24"/>
          <w:szCs w:val="24"/>
        </w:rPr>
      </w:pPr>
      <w:r w:rsidRPr="000E01C3">
        <w:rPr>
          <w:rFonts w:asciiTheme="minorHAnsi" w:hAnsiTheme="minorHAnsi"/>
          <w:sz w:val="24"/>
          <w:szCs w:val="24"/>
        </w:rPr>
        <w:t>A majority of patients are alive after 30 years in the model; the median age at death was 61 years for mannitol versus 52 years for control, compared with median survival of less than 40 years in the literature.</w:t>
      </w:r>
    </w:p>
    <w:p w:rsidR="004E63A8" w:rsidRPr="000E01C3" w:rsidRDefault="004E63A8" w:rsidP="008C1479">
      <w:pPr>
        <w:pStyle w:val="PBACheading1"/>
        <w:numPr>
          <w:ilvl w:val="2"/>
          <w:numId w:val="30"/>
        </w:numPr>
        <w:spacing w:after="120"/>
        <w:ind w:left="993" w:hanging="284"/>
        <w:jc w:val="both"/>
        <w:rPr>
          <w:rFonts w:asciiTheme="minorHAnsi" w:hAnsiTheme="minorHAnsi"/>
          <w:sz w:val="24"/>
          <w:szCs w:val="24"/>
        </w:rPr>
      </w:pPr>
      <w:r w:rsidRPr="000E01C3">
        <w:rPr>
          <w:rFonts w:asciiTheme="minorHAnsi" w:hAnsiTheme="minorHAnsi"/>
          <w:sz w:val="24"/>
          <w:szCs w:val="24"/>
        </w:rPr>
        <w:t xml:space="preserve">Discontinuation rates of mannitol </w:t>
      </w:r>
      <w:r w:rsidR="00691095" w:rsidRPr="000E01C3">
        <w:rPr>
          <w:rFonts w:asciiTheme="minorHAnsi" w:hAnsiTheme="minorHAnsi"/>
          <w:sz w:val="24"/>
          <w:szCs w:val="24"/>
        </w:rPr>
        <w:t>were</w:t>
      </w:r>
      <w:r w:rsidRPr="000E01C3">
        <w:rPr>
          <w:rFonts w:asciiTheme="minorHAnsi" w:hAnsiTheme="minorHAnsi"/>
          <w:sz w:val="24"/>
          <w:szCs w:val="24"/>
        </w:rPr>
        <w:t xml:space="preserve"> taken from the trial data (CF-301 and CF</w:t>
      </w:r>
      <w:r w:rsidR="004A2225" w:rsidRPr="000E01C3">
        <w:rPr>
          <w:rFonts w:asciiTheme="minorHAnsi" w:hAnsiTheme="minorHAnsi"/>
          <w:sz w:val="24"/>
          <w:szCs w:val="24"/>
        </w:rPr>
        <w:noBreakHyphen/>
      </w:r>
      <w:r w:rsidRPr="000E01C3">
        <w:rPr>
          <w:rFonts w:asciiTheme="minorHAnsi" w:hAnsiTheme="minorHAnsi"/>
          <w:sz w:val="24"/>
          <w:szCs w:val="24"/>
        </w:rPr>
        <w:t xml:space="preserve">302) and applied throughout the model. The ESC considered the discontinuation rate in later cycles was likely to be less than the initial rate, meaning the total use of mannitol in the model is an underestimate. </w:t>
      </w:r>
    </w:p>
    <w:p w:rsidR="00F70089" w:rsidRPr="000E01C3" w:rsidRDefault="00F70089" w:rsidP="008C1479">
      <w:pPr>
        <w:pStyle w:val="PBACheading1"/>
        <w:numPr>
          <w:ilvl w:val="2"/>
          <w:numId w:val="30"/>
        </w:numPr>
        <w:spacing w:after="120"/>
        <w:ind w:left="993" w:hanging="284"/>
        <w:jc w:val="both"/>
        <w:rPr>
          <w:rFonts w:asciiTheme="minorHAnsi" w:hAnsiTheme="minorHAnsi"/>
          <w:sz w:val="24"/>
          <w:szCs w:val="24"/>
        </w:rPr>
      </w:pPr>
      <w:r w:rsidRPr="000E01C3">
        <w:rPr>
          <w:rFonts w:asciiTheme="minorHAnsi" w:hAnsiTheme="minorHAnsi"/>
          <w:sz w:val="24"/>
          <w:szCs w:val="24"/>
        </w:rPr>
        <w:t>A small improvement in ppFEV</w:t>
      </w:r>
      <w:r w:rsidRPr="000E01C3">
        <w:rPr>
          <w:rFonts w:asciiTheme="minorHAnsi" w:hAnsiTheme="minorHAnsi"/>
          <w:sz w:val="24"/>
          <w:szCs w:val="24"/>
          <w:vertAlign w:val="subscript"/>
        </w:rPr>
        <w:t>1</w:t>
      </w:r>
      <w:r w:rsidRPr="000E01C3">
        <w:rPr>
          <w:rFonts w:asciiTheme="minorHAnsi" w:hAnsiTheme="minorHAnsi"/>
          <w:sz w:val="24"/>
          <w:szCs w:val="24"/>
        </w:rPr>
        <w:t xml:space="preserve"> at Week 26 in the trial data was translated by the model into a considerable survival benefit for mannitol (mean = 3.18 years; median = 6.92 years) in the model. The ESC considered that </w:t>
      </w:r>
      <w:r w:rsidRPr="000E01C3">
        <w:rPr>
          <w:rFonts w:asciiTheme="minorHAnsi" w:hAnsiTheme="minorHAnsi" w:cstheme="minorHAnsi"/>
          <w:iCs/>
          <w:sz w:val="24"/>
          <w:szCs w:val="24"/>
        </w:rPr>
        <w:t>while there is some evidence supporting a link between ppFEV</w:t>
      </w:r>
      <w:r w:rsidRPr="000E01C3">
        <w:rPr>
          <w:rFonts w:asciiTheme="minorHAnsi" w:hAnsiTheme="minorHAnsi" w:cstheme="minorHAnsi"/>
          <w:iCs/>
          <w:sz w:val="24"/>
          <w:szCs w:val="24"/>
          <w:vertAlign w:val="subscript"/>
        </w:rPr>
        <w:t>1</w:t>
      </w:r>
      <w:r w:rsidRPr="000E01C3">
        <w:rPr>
          <w:rFonts w:asciiTheme="minorHAnsi" w:hAnsiTheme="minorHAnsi" w:cstheme="minorHAnsi"/>
          <w:iCs/>
          <w:sz w:val="24"/>
          <w:szCs w:val="24"/>
        </w:rPr>
        <w:t xml:space="preserve"> and survival, it is </w:t>
      </w:r>
      <w:r w:rsidR="00F232BB" w:rsidRPr="000E01C3">
        <w:rPr>
          <w:rFonts w:asciiTheme="minorHAnsi" w:hAnsiTheme="minorHAnsi" w:cstheme="minorHAnsi"/>
          <w:iCs/>
          <w:sz w:val="24"/>
          <w:szCs w:val="24"/>
        </w:rPr>
        <w:t>unlikely to be of</w:t>
      </w:r>
      <w:r w:rsidRPr="000E01C3">
        <w:rPr>
          <w:rFonts w:asciiTheme="minorHAnsi" w:hAnsiTheme="minorHAnsi" w:cstheme="minorHAnsi"/>
          <w:iCs/>
          <w:sz w:val="24"/>
          <w:szCs w:val="24"/>
        </w:rPr>
        <w:t xml:space="preserve"> this magnitude.</w:t>
      </w:r>
    </w:p>
    <w:p w:rsidR="00E55C12" w:rsidRDefault="00E55C12" w:rsidP="00E55C12">
      <w:pPr>
        <w:pStyle w:val="Caption"/>
        <w:keepNext/>
      </w:pPr>
      <w:r>
        <w:t xml:space="preserve">Figure </w:t>
      </w:r>
      <w:r>
        <w:rPr>
          <w:noProof/>
        </w:rPr>
        <w:t>1</w:t>
      </w:r>
      <w:r w:rsidRPr="00E72E69">
        <w:t>: Trace of average ppFEV1 in the model and time to discontinuation of mannitol</w:t>
      </w:r>
    </w:p>
    <w:p w:rsidR="00807C9C" w:rsidRPr="000E01C3" w:rsidRDefault="007A6AE6" w:rsidP="00A04A6A">
      <w:pPr>
        <w:pStyle w:val="ListParagraph"/>
        <w:keepNext/>
        <w:keepLines/>
        <w:widowControl/>
        <w:ind w:hanging="720"/>
      </w:pPr>
      <w:r w:rsidRPr="000E01C3">
        <w:rPr>
          <w:noProof/>
          <w:snapToGrid/>
          <w:lang w:eastAsia="en-AU"/>
        </w:rPr>
        <w:drawing>
          <wp:inline distT="0" distB="0" distL="0" distR="0" wp14:anchorId="3EDF9BD4" wp14:editId="2369E3F7">
            <wp:extent cx="5295900" cy="3000375"/>
            <wp:effectExtent l="0" t="0" r="19050" b="9525"/>
            <wp:docPr id="1" name="Chart 1" title=": Trace of average ppFEV1 in the model and time to discontinuation of mannitol"/>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07C9C" w:rsidRPr="000E01C3" w:rsidRDefault="00807C9C" w:rsidP="00B44AE6">
      <w:pPr>
        <w:keepLines/>
        <w:widowControl/>
        <w:spacing w:after="120"/>
        <w:ind w:left="709" w:hanging="709"/>
        <w:rPr>
          <w:rFonts w:ascii="Arial Narrow" w:hAnsi="Arial Narrow"/>
          <w:sz w:val="18"/>
          <w:szCs w:val="14"/>
        </w:rPr>
      </w:pPr>
      <w:r w:rsidRPr="000E01C3">
        <w:rPr>
          <w:rFonts w:ascii="Arial Narrow" w:hAnsi="Arial Narrow"/>
          <w:sz w:val="18"/>
          <w:szCs w:val="14"/>
        </w:rPr>
        <w:t>Source: constructed during the evaluation</w:t>
      </w:r>
    </w:p>
    <w:p w:rsidR="00E55C12" w:rsidRDefault="00E55C12" w:rsidP="00E55C12">
      <w:pPr>
        <w:pStyle w:val="Caption"/>
        <w:keepNext/>
      </w:pPr>
      <w:r>
        <w:t xml:space="preserve">Figure </w:t>
      </w:r>
      <w:r>
        <w:rPr>
          <w:noProof/>
        </w:rPr>
        <w:t>2</w:t>
      </w:r>
      <w:r w:rsidRPr="00A924F0">
        <w:t>: Markov trace of overall survival in the economic evaluation</w:t>
      </w:r>
    </w:p>
    <w:p w:rsidR="005C2A89" w:rsidRPr="000E01C3" w:rsidRDefault="007342FB" w:rsidP="00A04A6A">
      <w:pPr>
        <w:keepNext/>
        <w:keepLines/>
        <w:widowControl/>
        <w:ind w:left="709" w:hanging="709"/>
      </w:pPr>
      <w:r w:rsidRPr="000E01C3">
        <w:rPr>
          <w:noProof/>
          <w:snapToGrid/>
          <w:lang w:eastAsia="en-AU"/>
        </w:rPr>
        <w:drawing>
          <wp:inline distT="0" distB="0" distL="0" distR="0" wp14:anchorId="305B4D4D" wp14:editId="39B16342">
            <wp:extent cx="5238750" cy="2867025"/>
            <wp:effectExtent l="0" t="0" r="19050" b="9525"/>
            <wp:docPr id="2" name="Chart 2" title=": Markov trace of overall survival in the economic evalu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C2A89" w:rsidRPr="000E01C3" w:rsidRDefault="005C2A89" w:rsidP="00B50602">
      <w:pPr>
        <w:keepNext/>
        <w:keepLines/>
        <w:widowControl/>
        <w:spacing w:after="120"/>
        <w:ind w:left="709" w:hanging="709"/>
        <w:rPr>
          <w:rFonts w:ascii="Arial Narrow" w:hAnsi="Arial Narrow"/>
          <w:sz w:val="18"/>
          <w:szCs w:val="14"/>
        </w:rPr>
      </w:pPr>
      <w:r w:rsidRPr="000E01C3">
        <w:rPr>
          <w:rFonts w:ascii="Arial Narrow" w:hAnsi="Arial Narrow"/>
          <w:sz w:val="18"/>
          <w:szCs w:val="14"/>
        </w:rPr>
        <w:t>Source: constructed during the evaluation</w:t>
      </w:r>
    </w:p>
    <w:p w:rsidR="002C44D8" w:rsidRPr="000E01C3" w:rsidRDefault="000F6EF4" w:rsidP="00B7693B">
      <w:pPr>
        <w:pStyle w:val="ListParagraph"/>
        <w:widowControl/>
        <w:numPr>
          <w:ilvl w:val="1"/>
          <w:numId w:val="5"/>
        </w:numPr>
        <w:spacing w:after="120"/>
        <w:contextualSpacing w:val="0"/>
        <w:rPr>
          <w:rFonts w:asciiTheme="minorHAnsi" w:hAnsiTheme="minorHAnsi"/>
          <w:iCs/>
          <w:sz w:val="24"/>
          <w:szCs w:val="24"/>
        </w:rPr>
      </w:pPr>
      <w:r w:rsidRPr="000E01C3">
        <w:rPr>
          <w:rFonts w:asciiTheme="minorHAnsi" w:hAnsiTheme="minorHAnsi" w:cstheme="minorHAnsi"/>
          <w:iCs/>
          <w:sz w:val="24"/>
          <w:szCs w:val="24"/>
        </w:rPr>
        <w:t xml:space="preserve">The PSCR (p3-4) acknowledged that the </w:t>
      </w:r>
      <w:r w:rsidR="00037403" w:rsidRPr="000E01C3">
        <w:rPr>
          <w:rFonts w:asciiTheme="minorHAnsi" w:hAnsiTheme="minorHAnsi" w:cstheme="minorHAnsi"/>
          <w:iCs/>
          <w:sz w:val="24"/>
          <w:szCs w:val="24"/>
        </w:rPr>
        <w:t>“</w:t>
      </w:r>
      <w:r w:rsidRPr="000E01C3">
        <w:rPr>
          <w:rFonts w:asciiTheme="minorHAnsi" w:hAnsiTheme="minorHAnsi" w:cstheme="minorHAnsi"/>
          <w:iCs/>
          <w:sz w:val="24"/>
          <w:szCs w:val="24"/>
        </w:rPr>
        <w:t>unusual S-shaped survival curve</w:t>
      </w:r>
      <w:r w:rsidR="00037403" w:rsidRPr="000E01C3">
        <w:rPr>
          <w:rFonts w:asciiTheme="minorHAnsi" w:hAnsiTheme="minorHAnsi" w:cstheme="minorHAnsi"/>
          <w:iCs/>
          <w:sz w:val="24"/>
          <w:szCs w:val="24"/>
        </w:rPr>
        <w:t>”</w:t>
      </w:r>
      <w:r w:rsidRPr="000E01C3">
        <w:rPr>
          <w:rFonts w:asciiTheme="minorHAnsi" w:hAnsiTheme="minorHAnsi" w:cstheme="minorHAnsi"/>
          <w:iCs/>
          <w:sz w:val="24"/>
          <w:szCs w:val="24"/>
        </w:rPr>
        <w:t xml:space="preserve"> was caused by the assumption that </w:t>
      </w:r>
      <w:r w:rsidR="001D6BEC" w:rsidRPr="000E01C3">
        <w:rPr>
          <w:rFonts w:asciiTheme="minorHAnsi" w:hAnsiTheme="minorHAnsi" w:cstheme="minorHAnsi"/>
          <w:iCs/>
          <w:sz w:val="24"/>
          <w:szCs w:val="24"/>
        </w:rPr>
        <w:t>pp</w:t>
      </w:r>
      <w:r w:rsidRPr="000E01C3">
        <w:rPr>
          <w:rFonts w:asciiTheme="minorHAnsi" w:hAnsiTheme="minorHAnsi" w:cstheme="minorHAnsi"/>
          <w:iCs/>
          <w:sz w:val="24"/>
          <w:szCs w:val="24"/>
        </w:rPr>
        <w:t>FEV</w:t>
      </w:r>
      <w:r w:rsidRPr="000E01C3">
        <w:rPr>
          <w:rFonts w:asciiTheme="minorHAnsi" w:hAnsiTheme="minorHAnsi" w:cstheme="minorHAnsi"/>
          <w:iCs/>
          <w:sz w:val="24"/>
          <w:szCs w:val="24"/>
          <w:vertAlign w:val="subscript"/>
        </w:rPr>
        <w:t>1</w:t>
      </w:r>
      <w:r w:rsidRPr="000E01C3">
        <w:rPr>
          <w:rFonts w:asciiTheme="minorHAnsi" w:hAnsiTheme="minorHAnsi" w:cstheme="minorHAnsi"/>
          <w:iCs/>
          <w:sz w:val="24"/>
          <w:szCs w:val="24"/>
        </w:rPr>
        <w:t xml:space="preserve"> increases with age over 30 years. The PSCR </w:t>
      </w:r>
      <w:r w:rsidR="001D6BEC" w:rsidRPr="000E01C3">
        <w:rPr>
          <w:rFonts w:asciiTheme="minorHAnsi" w:hAnsiTheme="minorHAnsi" w:cstheme="minorHAnsi"/>
          <w:iCs/>
          <w:sz w:val="24"/>
          <w:szCs w:val="24"/>
        </w:rPr>
        <w:t>stated</w:t>
      </w:r>
      <w:r w:rsidR="00382410" w:rsidRPr="000E01C3">
        <w:rPr>
          <w:rFonts w:asciiTheme="minorHAnsi" w:hAnsiTheme="minorHAnsi" w:cstheme="minorHAnsi"/>
          <w:iCs/>
          <w:sz w:val="24"/>
          <w:szCs w:val="24"/>
        </w:rPr>
        <w:t xml:space="preserve"> that assuming no change in ppFEV</w:t>
      </w:r>
      <w:r w:rsidR="00382410" w:rsidRPr="000E01C3">
        <w:rPr>
          <w:rFonts w:asciiTheme="minorHAnsi" w:hAnsiTheme="minorHAnsi" w:cstheme="minorHAnsi"/>
          <w:iCs/>
          <w:sz w:val="24"/>
          <w:szCs w:val="24"/>
          <w:vertAlign w:val="subscript"/>
        </w:rPr>
        <w:t>1</w:t>
      </w:r>
      <w:r w:rsidR="001D6BEC" w:rsidRPr="000E01C3">
        <w:rPr>
          <w:rFonts w:asciiTheme="minorHAnsi" w:hAnsiTheme="minorHAnsi" w:cstheme="minorHAnsi"/>
          <w:iCs/>
          <w:sz w:val="24"/>
          <w:szCs w:val="24"/>
        </w:rPr>
        <w:t xml:space="preserve"> due to age &gt;30</w:t>
      </w:r>
      <w:r w:rsidR="00CE2D4D" w:rsidRPr="000E01C3">
        <w:rPr>
          <w:rFonts w:asciiTheme="minorHAnsi" w:hAnsiTheme="minorHAnsi" w:cstheme="minorHAnsi"/>
          <w:iCs/>
          <w:sz w:val="24"/>
          <w:szCs w:val="24"/>
        </w:rPr>
        <w:t xml:space="preserve"> years</w:t>
      </w:r>
      <w:r w:rsidR="002E3363" w:rsidRPr="000E01C3">
        <w:rPr>
          <w:rFonts w:asciiTheme="minorHAnsi" w:hAnsiTheme="minorHAnsi" w:cstheme="minorHAnsi"/>
          <w:iCs/>
          <w:sz w:val="24"/>
          <w:szCs w:val="24"/>
        </w:rPr>
        <w:t xml:space="preserve"> resulted in</w:t>
      </w:r>
      <w:r w:rsidR="001D6BEC" w:rsidRPr="000E01C3">
        <w:rPr>
          <w:rFonts w:asciiTheme="minorHAnsi" w:hAnsiTheme="minorHAnsi" w:cstheme="minorHAnsi"/>
          <w:iCs/>
          <w:sz w:val="24"/>
          <w:szCs w:val="24"/>
        </w:rPr>
        <w:t xml:space="preserve"> reduced</w:t>
      </w:r>
      <w:r w:rsidR="00382410" w:rsidRPr="000E01C3">
        <w:rPr>
          <w:rFonts w:asciiTheme="minorHAnsi" w:hAnsiTheme="minorHAnsi" w:cstheme="minorHAnsi"/>
          <w:iCs/>
          <w:sz w:val="24"/>
          <w:szCs w:val="24"/>
        </w:rPr>
        <w:t xml:space="preserve"> median undiscounted survival gain from 6.9 years to 2.8 years, </w:t>
      </w:r>
      <w:r w:rsidR="001D6BEC" w:rsidRPr="000E01C3">
        <w:rPr>
          <w:rFonts w:asciiTheme="minorHAnsi" w:hAnsiTheme="minorHAnsi" w:cstheme="minorHAnsi"/>
          <w:iCs/>
          <w:sz w:val="24"/>
          <w:szCs w:val="24"/>
        </w:rPr>
        <w:t xml:space="preserve">reduced </w:t>
      </w:r>
      <w:r w:rsidR="00382410" w:rsidRPr="000E01C3">
        <w:rPr>
          <w:rFonts w:asciiTheme="minorHAnsi" w:hAnsiTheme="minorHAnsi" w:cstheme="minorHAnsi"/>
          <w:iCs/>
          <w:sz w:val="24"/>
          <w:szCs w:val="24"/>
        </w:rPr>
        <w:t>median age of survival in the control arm from 52 to 45 years, and average ppFEV</w:t>
      </w:r>
      <w:r w:rsidR="00382410" w:rsidRPr="000E01C3">
        <w:rPr>
          <w:rFonts w:asciiTheme="minorHAnsi" w:hAnsiTheme="minorHAnsi" w:cstheme="minorHAnsi"/>
          <w:iCs/>
          <w:sz w:val="24"/>
          <w:szCs w:val="24"/>
          <w:vertAlign w:val="subscript"/>
        </w:rPr>
        <w:t>1</w:t>
      </w:r>
      <w:r w:rsidR="00382410" w:rsidRPr="000E01C3">
        <w:rPr>
          <w:rFonts w:asciiTheme="minorHAnsi" w:hAnsiTheme="minorHAnsi" w:cstheme="minorHAnsi"/>
          <w:iCs/>
          <w:sz w:val="24"/>
          <w:szCs w:val="24"/>
        </w:rPr>
        <w:t xml:space="preserve"> </w:t>
      </w:r>
      <w:r w:rsidR="001D6BEC" w:rsidRPr="000E01C3">
        <w:rPr>
          <w:rFonts w:asciiTheme="minorHAnsi" w:hAnsiTheme="minorHAnsi" w:cstheme="minorHAnsi"/>
          <w:iCs/>
          <w:sz w:val="24"/>
          <w:szCs w:val="24"/>
        </w:rPr>
        <w:t>decreased</w:t>
      </w:r>
      <w:r w:rsidR="00382410" w:rsidRPr="000E01C3">
        <w:rPr>
          <w:rFonts w:asciiTheme="minorHAnsi" w:hAnsiTheme="minorHAnsi" w:cstheme="minorHAnsi"/>
          <w:iCs/>
          <w:sz w:val="24"/>
          <w:szCs w:val="24"/>
        </w:rPr>
        <w:t xml:space="preserve"> over time.</w:t>
      </w:r>
      <w:r w:rsidR="002E3363" w:rsidRPr="000E01C3">
        <w:rPr>
          <w:rFonts w:asciiTheme="minorHAnsi" w:hAnsiTheme="minorHAnsi" w:cstheme="minorHAnsi"/>
          <w:iCs/>
          <w:sz w:val="24"/>
          <w:szCs w:val="24"/>
        </w:rPr>
        <w:t xml:space="preserve"> </w:t>
      </w:r>
      <w:r w:rsidR="00905E6B" w:rsidRPr="000E01C3">
        <w:rPr>
          <w:rFonts w:asciiTheme="minorHAnsi" w:hAnsiTheme="minorHAnsi" w:cstheme="minorHAnsi"/>
          <w:iCs/>
          <w:sz w:val="24"/>
          <w:szCs w:val="24"/>
        </w:rPr>
        <w:t>The model was not sensitive to this</w:t>
      </w:r>
      <w:r w:rsidR="002E3363" w:rsidRPr="000E01C3">
        <w:rPr>
          <w:rFonts w:asciiTheme="minorHAnsi" w:hAnsiTheme="minorHAnsi" w:cstheme="minorHAnsi"/>
          <w:iCs/>
          <w:sz w:val="24"/>
          <w:szCs w:val="24"/>
        </w:rPr>
        <w:t xml:space="preserve"> change in assumption</w:t>
      </w:r>
      <w:r w:rsidR="00905E6B" w:rsidRPr="000E01C3">
        <w:rPr>
          <w:rFonts w:asciiTheme="minorHAnsi" w:hAnsiTheme="minorHAnsi" w:cstheme="minorHAnsi"/>
          <w:iCs/>
          <w:sz w:val="24"/>
          <w:szCs w:val="24"/>
        </w:rPr>
        <w:t xml:space="preserve"> with a small increase in</w:t>
      </w:r>
      <w:r w:rsidR="002E3363" w:rsidRPr="000E01C3">
        <w:rPr>
          <w:rFonts w:asciiTheme="minorHAnsi" w:hAnsiTheme="minorHAnsi" w:cstheme="minorHAnsi"/>
          <w:iCs/>
          <w:sz w:val="24"/>
          <w:szCs w:val="24"/>
        </w:rPr>
        <w:t xml:space="preserve"> the ICER to </w:t>
      </w:r>
      <w:r w:rsidR="00B7693B">
        <w:rPr>
          <w:rFonts w:asciiTheme="minorHAnsi" w:hAnsiTheme="minorHAnsi" w:cstheme="minorHAnsi"/>
          <w:iCs/>
          <w:sz w:val="24"/>
          <w:szCs w:val="24"/>
        </w:rPr>
        <w:t xml:space="preserve">$15,000 - $45,000 </w:t>
      </w:r>
      <w:r w:rsidR="002E3363" w:rsidRPr="000E01C3">
        <w:rPr>
          <w:rFonts w:asciiTheme="minorHAnsi" w:hAnsiTheme="minorHAnsi" w:cstheme="minorHAnsi"/>
          <w:iCs/>
          <w:sz w:val="24"/>
          <w:szCs w:val="24"/>
        </w:rPr>
        <w:t>per QALY gained</w:t>
      </w:r>
      <w:r w:rsidR="002E3363" w:rsidRPr="000E01C3">
        <w:rPr>
          <w:rStyle w:val="FootnoteReference"/>
          <w:rFonts w:asciiTheme="minorHAnsi" w:hAnsiTheme="minorHAnsi" w:cstheme="minorHAnsi"/>
          <w:iCs/>
          <w:sz w:val="24"/>
          <w:szCs w:val="24"/>
        </w:rPr>
        <w:footnoteReference w:id="1"/>
      </w:r>
      <w:r w:rsidR="00905E6B" w:rsidRPr="000E01C3">
        <w:rPr>
          <w:rFonts w:asciiTheme="minorHAnsi" w:hAnsiTheme="minorHAnsi" w:cstheme="minorHAnsi"/>
          <w:iCs/>
          <w:sz w:val="24"/>
          <w:szCs w:val="24"/>
        </w:rPr>
        <w:t xml:space="preserve"> (compared with the base case of </w:t>
      </w:r>
      <w:r w:rsidR="00B7693B" w:rsidRPr="00B7693B">
        <w:rPr>
          <w:rFonts w:asciiTheme="minorHAnsi" w:hAnsiTheme="minorHAnsi" w:cstheme="minorHAnsi"/>
          <w:iCs/>
          <w:sz w:val="24"/>
          <w:szCs w:val="24"/>
        </w:rPr>
        <w:t xml:space="preserve">$15,000 - $45,000 </w:t>
      </w:r>
      <w:r w:rsidR="00905E6B" w:rsidRPr="000E01C3">
        <w:rPr>
          <w:rFonts w:asciiTheme="minorHAnsi" w:hAnsiTheme="minorHAnsi" w:cstheme="minorHAnsi"/>
          <w:iCs/>
          <w:sz w:val="24"/>
          <w:szCs w:val="24"/>
        </w:rPr>
        <w:t>per QALY gained).</w:t>
      </w:r>
      <w:r w:rsidR="00382410" w:rsidRPr="000E01C3">
        <w:rPr>
          <w:rFonts w:asciiTheme="minorHAnsi" w:hAnsiTheme="minorHAnsi" w:cstheme="minorHAnsi"/>
          <w:iCs/>
          <w:sz w:val="24"/>
          <w:szCs w:val="24"/>
        </w:rPr>
        <w:t xml:space="preserve"> The ESC considered that </w:t>
      </w:r>
      <w:r w:rsidR="001D6BEC" w:rsidRPr="000E01C3">
        <w:rPr>
          <w:rFonts w:asciiTheme="minorHAnsi" w:hAnsiTheme="minorHAnsi" w:cstheme="minorHAnsi"/>
          <w:iCs/>
          <w:sz w:val="24"/>
          <w:szCs w:val="24"/>
        </w:rPr>
        <w:t xml:space="preserve">this was a more reasonable </w:t>
      </w:r>
      <w:r w:rsidR="00382410" w:rsidRPr="000E01C3">
        <w:rPr>
          <w:rFonts w:asciiTheme="minorHAnsi" w:hAnsiTheme="minorHAnsi" w:cstheme="minorHAnsi"/>
          <w:iCs/>
          <w:sz w:val="24"/>
          <w:szCs w:val="24"/>
        </w:rPr>
        <w:t>assumption</w:t>
      </w:r>
      <w:r w:rsidR="001D6BEC" w:rsidRPr="000E01C3">
        <w:rPr>
          <w:rFonts w:asciiTheme="minorHAnsi" w:hAnsiTheme="minorHAnsi" w:cstheme="minorHAnsi"/>
          <w:iCs/>
          <w:sz w:val="24"/>
          <w:szCs w:val="24"/>
        </w:rPr>
        <w:t xml:space="preserve"> than that in the submission</w:t>
      </w:r>
      <w:r w:rsidR="00CE2D4D" w:rsidRPr="000E01C3">
        <w:rPr>
          <w:rFonts w:asciiTheme="minorHAnsi" w:hAnsiTheme="minorHAnsi" w:cstheme="minorHAnsi"/>
          <w:iCs/>
          <w:sz w:val="24"/>
          <w:szCs w:val="24"/>
        </w:rPr>
        <w:t>,</w:t>
      </w:r>
      <w:r w:rsidR="001D6BEC" w:rsidRPr="000E01C3">
        <w:rPr>
          <w:rFonts w:asciiTheme="minorHAnsi" w:hAnsiTheme="minorHAnsi" w:cstheme="minorHAnsi"/>
          <w:iCs/>
          <w:sz w:val="24"/>
          <w:szCs w:val="24"/>
        </w:rPr>
        <w:t xml:space="preserve"> but would expect ppFEV</w:t>
      </w:r>
      <w:r w:rsidR="001D6BEC" w:rsidRPr="000E01C3">
        <w:rPr>
          <w:rFonts w:asciiTheme="minorHAnsi" w:hAnsiTheme="minorHAnsi" w:cstheme="minorHAnsi"/>
          <w:iCs/>
          <w:sz w:val="24"/>
          <w:szCs w:val="24"/>
          <w:vertAlign w:val="subscript"/>
        </w:rPr>
        <w:t xml:space="preserve">1 </w:t>
      </w:r>
      <w:r w:rsidR="001D6BEC" w:rsidRPr="000E01C3">
        <w:rPr>
          <w:rFonts w:asciiTheme="minorHAnsi" w:hAnsiTheme="minorHAnsi" w:cstheme="minorHAnsi"/>
          <w:iCs/>
          <w:sz w:val="24"/>
          <w:szCs w:val="24"/>
        </w:rPr>
        <w:t>would decline with age</w:t>
      </w:r>
      <w:r w:rsidR="00382410" w:rsidRPr="000E01C3">
        <w:rPr>
          <w:rFonts w:asciiTheme="minorHAnsi" w:hAnsiTheme="minorHAnsi" w:cstheme="minorHAnsi"/>
          <w:iCs/>
          <w:sz w:val="24"/>
          <w:szCs w:val="24"/>
        </w:rPr>
        <w:t>.</w:t>
      </w:r>
      <w:r w:rsidR="00905E6B" w:rsidRPr="000E01C3">
        <w:rPr>
          <w:rFonts w:asciiTheme="minorHAnsi" w:hAnsiTheme="minorHAnsi" w:cstheme="minorHAnsi"/>
          <w:iCs/>
          <w:sz w:val="24"/>
          <w:szCs w:val="24"/>
        </w:rPr>
        <w:t xml:space="preserve"> Furthermore, the ESC considered this scenario still favoured mannitol (see paragraph 6.34).</w:t>
      </w:r>
      <w:r w:rsidR="0005672B" w:rsidRPr="000E01C3">
        <w:rPr>
          <w:rFonts w:asciiTheme="minorHAnsi" w:hAnsiTheme="minorHAnsi" w:cstheme="minorHAnsi"/>
          <w:iCs/>
          <w:sz w:val="24"/>
          <w:szCs w:val="24"/>
        </w:rPr>
        <w:t xml:space="preserve"> </w:t>
      </w:r>
    </w:p>
    <w:p w:rsidR="00520D2B" w:rsidRPr="000E01C3" w:rsidRDefault="00520D2B" w:rsidP="00B50602">
      <w:pPr>
        <w:pStyle w:val="ListParagraph"/>
        <w:widowControl/>
        <w:numPr>
          <w:ilvl w:val="1"/>
          <w:numId w:val="5"/>
        </w:numPr>
        <w:spacing w:after="120"/>
        <w:contextualSpacing w:val="0"/>
        <w:rPr>
          <w:rFonts w:asciiTheme="minorHAnsi" w:hAnsiTheme="minorHAnsi"/>
          <w:iCs/>
          <w:sz w:val="24"/>
          <w:szCs w:val="24"/>
        </w:rPr>
      </w:pPr>
      <w:r w:rsidRPr="000E01C3">
        <w:rPr>
          <w:rFonts w:asciiTheme="minorHAnsi" w:hAnsiTheme="minorHAnsi"/>
          <w:sz w:val="24"/>
          <w:szCs w:val="24"/>
        </w:rPr>
        <w:t>Table</w:t>
      </w:r>
      <w:r w:rsidR="002518F2" w:rsidRPr="000E01C3">
        <w:rPr>
          <w:rFonts w:asciiTheme="minorHAnsi" w:hAnsiTheme="minorHAnsi"/>
          <w:sz w:val="24"/>
          <w:szCs w:val="24"/>
        </w:rPr>
        <w:t xml:space="preserve"> </w:t>
      </w:r>
      <w:r w:rsidR="00E56C24" w:rsidRPr="000E01C3">
        <w:rPr>
          <w:rFonts w:asciiTheme="minorHAnsi" w:hAnsiTheme="minorHAnsi"/>
          <w:sz w:val="24"/>
          <w:szCs w:val="24"/>
        </w:rPr>
        <w:t>1</w:t>
      </w:r>
      <w:r w:rsidR="00B83459" w:rsidRPr="000E01C3">
        <w:rPr>
          <w:rFonts w:asciiTheme="minorHAnsi" w:hAnsiTheme="minorHAnsi"/>
          <w:sz w:val="24"/>
          <w:szCs w:val="24"/>
        </w:rPr>
        <w:t>1</w:t>
      </w:r>
      <w:r w:rsidRPr="000E01C3">
        <w:rPr>
          <w:rFonts w:asciiTheme="minorHAnsi" w:hAnsiTheme="minorHAnsi"/>
          <w:sz w:val="24"/>
          <w:szCs w:val="24"/>
        </w:rPr>
        <w:t xml:space="preserve"> provides the results of the stepped economic evaluation.</w:t>
      </w:r>
    </w:p>
    <w:p w:rsidR="00E55C12" w:rsidRDefault="00E55C12" w:rsidP="00E55C12">
      <w:pPr>
        <w:pStyle w:val="Caption"/>
        <w:keepNext/>
      </w:pPr>
      <w:r>
        <w:t xml:space="preserve">Table </w:t>
      </w:r>
      <w:r>
        <w:rPr>
          <w:noProof/>
        </w:rPr>
        <w:t>11</w:t>
      </w:r>
      <w:r w:rsidRPr="003043DF">
        <w:t>: Results of the stepped economic evaluation</w:t>
      </w:r>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45"/>
        <w:gridCol w:w="2141"/>
        <w:gridCol w:w="2285"/>
        <w:gridCol w:w="2426"/>
      </w:tblGrid>
      <w:tr w:rsidR="00520D2B" w:rsidRPr="000E01C3" w:rsidTr="00E55C12">
        <w:trPr>
          <w:cantSplit/>
          <w:tblHeader/>
        </w:trPr>
        <w:tc>
          <w:tcPr>
            <w:tcW w:w="1192" w:type="pct"/>
            <w:vAlign w:val="center"/>
          </w:tcPr>
          <w:p w:rsidR="00520D2B" w:rsidRPr="000E01C3" w:rsidRDefault="00520D2B" w:rsidP="00A04A6A">
            <w:pPr>
              <w:keepNext/>
              <w:widowControl/>
              <w:jc w:val="left"/>
              <w:rPr>
                <w:rFonts w:ascii="Arial Narrow" w:hAnsi="Arial Narrow" w:cs="Times New Roman"/>
                <w:b/>
                <w:sz w:val="20"/>
              </w:rPr>
            </w:pPr>
            <w:r w:rsidRPr="000E01C3">
              <w:rPr>
                <w:rFonts w:ascii="Arial Narrow" w:hAnsi="Arial Narrow" w:cs="Times New Roman"/>
                <w:b/>
                <w:sz w:val="20"/>
              </w:rPr>
              <w:t>Step and component</w:t>
            </w:r>
          </w:p>
        </w:tc>
        <w:tc>
          <w:tcPr>
            <w:tcW w:w="1190" w:type="pct"/>
          </w:tcPr>
          <w:p w:rsidR="00520D2B" w:rsidRPr="000E01C3" w:rsidRDefault="00520D2B" w:rsidP="00A04A6A">
            <w:pPr>
              <w:keepNext/>
              <w:widowControl/>
              <w:jc w:val="center"/>
              <w:rPr>
                <w:rFonts w:ascii="Arial Narrow" w:hAnsi="Arial Narrow" w:cs="Times New Roman"/>
                <w:b/>
                <w:sz w:val="20"/>
              </w:rPr>
            </w:pPr>
            <w:r w:rsidRPr="000E01C3">
              <w:rPr>
                <w:rFonts w:ascii="Arial Narrow" w:hAnsi="Arial Narrow" w:cs="Times New Roman"/>
                <w:b/>
                <w:sz w:val="20"/>
              </w:rPr>
              <w:t>Mannitol + BSC</w:t>
            </w:r>
          </w:p>
        </w:tc>
        <w:tc>
          <w:tcPr>
            <w:tcW w:w="1270" w:type="pct"/>
            <w:vAlign w:val="center"/>
          </w:tcPr>
          <w:p w:rsidR="00520D2B" w:rsidRPr="000E01C3" w:rsidRDefault="00520D2B" w:rsidP="00A04A6A">
            <w:pPr>
              <w:keepNext/>
              <w:widowControl/>
              <w:jc w:val="center"/>
              <w:rPr>
                <w:rFonts w:ascii="Arial Narrow" w:hAnsi="Arial Narrow" w:cs="Times New Roman"/>
                <w:b/>
                <w:sz w:val="20"/>
              </w:rPr>
            </w:pPr>
            <w:r w:rsidRPr="000E01C3">
              <w:rPr>
                <w:rFonts w:ascii="Arial Narrow" w:hAnsi="Arial Narrow" w:cs="Times New Roman"/>
                <w:b/>
                <w:sz w:val="20"/>
              </w:rPr>
              <w:t>Placebo + BSC</w:t>
            </w:r>
          </w:p>
        </w:tc>
        <w:tc>
          <w:tcPr>
            <w:tcW w:w="1349" w:type="pct"/>
          </w:tcPr>
          <w:p w:rsidR="00520D2B" w:rsidRPr="000E01C3" w:rsidRDefault="00520D2B" w:rsidP="00A04A6A">
            <w:pPr>
              <w:keepNext/>
              <w:widowControl/>
              <w:jc w:val="center"/>
              <w:rPr>
                <w:rFonts w:ascii="Arial Narrow" w:hAnsi="Arial Narrow" w:cs="Times New Roman"/>
                <w:b/>
                <w:sz w:val="20"/>
              </w:rPr>
            </w:pPr>
            <w:r w:rsidRPr="000E01C3">
              <w:rPr>
                <w:rFonts w:ascii="Arial Narrow" w:hAnsi="Arial Narrow" w:cs="Times New Roman"/>
                <w:b/>
                <w:sz w:val="20"/>
              </w:rPr>
              <w:t>Increment</w:t>
            </w:r>
          </w:p>
        </w:tc>
      </w:tr>
      <w:tr w:rsidR="00520D2B" w:rsidRPr="000E01C3" w:rsidTr="00D10BC7">
        <w:trPr>
          <w:cantSplit/>
        </w:trPr>
        <w:tc>
          <w:tcPr>
            <w:tcW w:w="5000" w:type="pct"/>
            <w:gridSpan w:val="4"/>
            <w:vAlign w:val="center"/>
          </w:tcPr>
          <w:p w:rsidR="00520D2B" w:rsidRPr="000E01C3" w:rsidRDefault="00520D2B" w:rsidP="00A04A6A">
            <w:pPr>
              <w:keepNext/>
              <w:widowControl/>
              <w:jc w:val="left"/>
              <w:rPr>
                <w:rFonts w:ascii="Arial Narrow" w:hAnsi="Arial Narrow" w:cs="Arial Narrow"/>
                <w:sz w:val="20"/>
              </w:rPr>
            </w:pPr>
            <w:r w:rsidRPr="000E01C3">
              <w:rPr>
                <w:rFonts w:ascii="Arial Narrow" w:hAnsi="Arial Narrow" w:cs="Arial Narrow"/>
                <w:sz w:val="20"/>
              </w:rPr>
              <w:t xml:space="preserve">Step 1a: </w:t>
            </w:r>
          </w:p>
          <w:p w:rsidR="00520D2B" w:rsidRPr="000E01C3" w:rsidRDefault="00520D2B" w:rsidP="00A04A6A">
            <w:pPr>
              <w:pStyle w:val="ListParagraph"/>
              <w:keepNext/>
              <w:widowControl/>
              <w:numPr>
                <w:ilvl w:val="0"/>
                <w:numId w:val="23"/>
              </w:numPr>
              <w:ind w:left="251" w:hanging="186"/>
              <w:jc w:val="left"/>
              <w:rPr>
                <w:rFonts w:ascii="Arial Narrow" w:hAnsi="Arial Narrow" w:cs="Arial Narrow"/>
                <w:sz w:val="20"/>
              </w:rPr>
            </w:pPr>
            <w:r w:rsidRPr="000E01C3">
              <w:rPr>
                <w:rFonts w:ascii="Arial Narrow" w:hAnsi="Arial Narrow" w:cs="Times New Roman"/>
                <w:sz w:val="20"/>
              </w:rPr>
              <w:t>Number of ‘responders’ at Wk 14 in Trials CF-301/CF-302</w:t>
            </w:r>
          </w:p>
          <w:p w:rsidR="00520D2B" w:rsidRPr="000E01C3" w:rsidRDefault="00520D2B" w:rsidP="00A04A6A">
            <w:pPr>
              <w:pStyle w:val="ListParagraph"/>
              <w:keepNext/>
              <w:widowControl/>
              <w:numPr>
                <w:ilvl w:val="0"/>
                <w:numId w:val="23"/>
              </w:numPr>
              <w:ind w:left="251" w:hanging="186"/>
              <w:jc w:val="left"/>
              <w:rPr>
                <w:rFonts w:ascii="Arial Narrow" w:hAnsi="Arial Narrow" w:cs="Arial Narrow"/>
                <w:b/>
                <w:bCs/>
                <w:sz w:val="20"/>
              </w:rPr>
            </w:pPr>
            <w:r w:rsidRPr="000E01C3">
              <w:rPr>
                <w:rFonts w:ascii="Arial Narrow" w:hAnsi="Arial Narrow" w:cs="Times New Roman"/>
                <w:sz w:val="20"/>
              </w:rPr>
              <w:t>Mannitol drug cost; assuming average treatment duration in Trials CF-301/CF-302</w:t>
            </w:r>
            <w:r w:rsidR="001629C2" w:rsidRPr="000E01C3">
              <w:rPr>
                <w:rFonts w:ascii="Arial Narrow" w:hAnsi="Arial Narrow" w:cs="Times New Roman"/>
                <w:sz w:val="20"/>
              </w:rPr>
              <w:t xml:space="preserve"> </w:t>
            </w:r>
            <w:r w:rsidRPr="000E01C3">
              <w:rPr>
                <w:rFonts w:ascii="Arial Narrow" w:hAnsi="Arial Narrow" w:cs="Times New Roman"/>
                <w:sz w:val="20"/>
              </w:rPr>
              <w:t>(21 weeks)</w:t>
            </w:r>
          </w:p>
        </w:tc>
      </w:tr>
      <w:tr w:rsidR="00520D2B" w:rsidRPr="000E01C3" w:rsidTr="00E55C12">
        <w:trPr>
          <w:cantSplit/>
        </w:trPr>
        <w:tc>
          <w:tcPr>
            <w:tcW w:w="1192" w:type="pct"/>
            <w:vAlign w:val="center"/>
          </w:tcPr>
          <w:p w:rsidR="00520D2B" w:rsidRPr="000E01C3" w:rsidRDefault="00520D2B" w:rsidP="00A04A6A">
            <w:pPr>
              <w:keepNext/>
              <w:widowControl/>
              <w:jc w:val="left"/>
              <w:rPr>
                <w:rFonts w:ascii="Arial Narrow" w:hAnsi="Arial Narrow" w:cs="Times New Roman"/>
                <w:sz w:val="20"/>
              </w:rPr>
            </w:pPr>
            <w:r w:rsidRPr="000E01C3">
              <w:rPr>
                <w:rFonts w:ascii="Arial Narrow" w:hAnsi="Arial Narrow" w:cs="Times New Roman"/>
                <w:sz w:val="20"/>
              </w:rPr>
              <w:t>Costs</w:t>
            </w:r>
          </w:p>
        </w:tc>
        <w:tc>
          <w:tcPr>
            <w:tcW w:w="1190" w:type="pct"/>
          </w:tcPr>
          <w:p w:rsidR="00520D2B" w:rsidRPr="000E01C3" w:rsidRDefault="00520D2B" w:rsidP="00A04A6A">
            <w:pPr>
              <w:keepNext/>
              <w:widowControl/>
              <w:jc w:val="center"/>
              <w:rPr>
                <w:rFonts w:ascii="Arial Narrow" w:hAnsi="Arial Narrow" w:cs="Times New Roman"/>
                <w:sz w:val="20"/>
              </w:rPr>
            </w:pPr>
            <w:r w:rsidRPr="000E01C3">
              <w:rPr>
                <w:rFonts w:ascii="Arial Narrow" w:hAnsi="Arial Narrow" w:cs="Times New Roman"/>
                <w:sz w:val="20"/>
              </w:rPr>
              <w:t>$</w:t>
            </w:r>
            <w:r w:rsidR="004519D0">
              <w:rPr>
                <w:rFonts w:ascii="Arial Narrow" w:hAnsi="Arial Narrow" w:cs="Times New Roman"/>
                <w:noProof/>
                <w:color w:val="000000"/>
                <w:sz w:val="20"/>
                <w:highlight w:val="black"/>
              </w:rPr>
              <w:t>''''''''''''''</w:t>
            </w:r>
            <w:r w:rsidR="00B7693B">
              <w:rPr>
                <w:rFonts w:ascii="Arial Narrow" w:hAnsi="Arial Narrow" w:cs="Times New Roman"/>
                <w:sz w:val="20"/>
              </w:rPr>
              <w:t xml:space="preserve"> </w:t>
            </w:r>
            <w:r w:rsidRPr="000E01C3">
              <w:rPr>
                <w:rFonts w:ascii="Arial Narrow" w:hAnsi="Arial Narrow" w:cs="Times New Roman"/>
                <w:sz w:val="20"/>
                <w:vertAlign w:val="superscript"/>
              </w:rPr>
              <w:t>a</w:t>
            </w:r>
          </w:p>
        </w:tc>
        <w:tc>
          <w:tcPr>
            <w:tcW w:w="1270" w:type="pct"/>
            <w:vAlign w:val="center"/>
          </w:tcPr>
          <w:p w:rsidR="00520D2B" w:rsidRPr="000E01C3" w:rsidRDefault="00520D2B" w:rsidP="00A04A6A">
            <w:pPr>
              <w:keepNext/>
              <w:widowControl/>
              <w:jc w:val="center"/>
              <w:rPr>
                <w:rFonts w:ascii="Arial Narrow" w:hAnsi="Arial Narrow" w:cs="Times New Roman"/>
                <w:sz w:val="20"/>
              </w:rPr>
            </w:pPr>
            <w:r w:rsidRPr="000E01C3">
              <w:rPr>
                <w:rFonts w:ascii="Arial Narrow" w:hAnsi="Arial Narrow" w:cs="Times New Roman"/>
                <w:sz w:val="20"/>
              </w:rPr>
              <w:t>$0</w:t>
            </w:r>
          </w:p>
        </w:tc>
        <w:tc>
          <w:tcPr>
            <w:tcW w:w="1349" w:type="pct"/>
          </w:tcPr>
          <w:p w:rsidR="00520D2B" w:rsidRPr="000E01C3" w:rsidRDefault="00520D2B" w:rsidP="00A04A6A">
            <w:pPr>
              <w:keepNext/>
              <w:widowControl/>
              <w:jc w:val="center"/>
              <w:rPr>
                <w:rFonts w:ascii="Arial Narrow" w:hAnsi="Arial Narrow" w:cs="Times New Roman"/>
                <w:sz w:val="20"/>
              </w:rPr>
            </w:pPr>
            <w:r w:rsidRPr="000E01C3">
              <w:rPr>
                <w:rFonts w:ascii="Arial Narrow" w:hAnsi="Arial Narrow" w:cs="Times New Roman"/>
                <w:sz w:val="20"/>
              </w:rPr>
              <w:t>$</w:t>
            </w:r>
            <w:r w:rsidR="004519D0">
              <w:rPr>
                <w:rFonts w:ascii="Arial Narrow" w:hAnsi="Arial Narrow" w:cs="Times New Roman"/>
                <w:noProof/>
                <w:color w:val="000000"/>
                <w:sz w:val="20"/>
                <w:highlight w:val="black"/>
              </w:rPr>
              <w:t>'''''''''''''</w:t>
            </w:r>
          </w:p>
        </w:tc>
      </w:tr>
      <w:tr w:rsidR="00520D2B" w:rsidRPr="000E01C3" w:rsidTr="00E55C12">
        <w:trPr>
          <w:cantSplit/>
        </w:trPr>
        <w:tc>
          <w:tcPr>
            <w:tcW w:w="1192" w:type="pct"/>
            <w:vAlign w:val="center"/>
          </w:tcPr>
          <w:p w:rsidR="00520D2B" w:rsidRPr="000E01C3" w:rsidRDefault="00520D2B" w:rsidP="00A04A6A">
            <w:pPr>
              <w:keepNext/>
              <w:widowControl/>
              <w:jc w:val="left"/>
              <w:rPr>
                <w:rFonts w:ascii="Arial Narrow" w:hAnsi="Arial Narrow" w:cs="Times New Roman"/>
                <w:sz w:val="20"/>
              </w:rPr>
            </w:pPr>
            <w:r w:rsidRPr="000E01C3">
              <w:rPr>
                <w:rFonts w:ascii="Arial Narrow" w:hAnsi="Arial Narrow" w:cs="Times New Roman"/>
                <w:sz w:val="20"/>
              </w:rPr>
              <w:t>‘Responders’ Wk 14</w:t>
            </w:r>
          </w:p>
        </w:tc>
        <w:tc>
          <w:tcPr>
            <w:tcW w:w="1190" w:type="pct"/>
          </w:tcPr>
          <w:p w:rsidR="00520D2B" w:rsidRPr="000E01C3" w:rsidRDefault="00520D2B" w:rsidP="00A04A6A">
            <w:pPr>
              <w:keepNext/>
              <w:widowControl/>
              <w:jc w:val="center"/>
              <w:rPr>
                <w:rFonts w:ascii="Arial Narrow" w:hAnsi="Arial Narrow" w:cs="Times New Roman"/>
                <w:sz w:val="20"/>
              </w:rPr>
            </w:pPr>
            <w:r w:rsidRPr="000E01C3">
              <w:rPr>
                <w:rFonts w:ascii="Arial Narrow" w:hAnsi="Arial Narrow" w:cs="Times New Roman"/>
                <w:sz w:val="20"/>
              </w:rPr>
              <w:t>0.5097</w:t>
            </w:r>
          </w:p>
        </w:tc>
        <w:tc>
          <w:tcPr>
            <w:tcW w:w="1270" w:type="pct"/>
            <w:vAlign w:val="center"/>
          </w:tcPr>
          <w:p w:rsidR="00520D2B" w:rsidRPr="000E01C3" w:rsidRDefault="00520D2B" w:rsidP="00A04A6A">
            <w:pPr>
              <w:keepNext/>
              <w:widowControl/>
              <w:jc w:val="center"/>
              <w:rPr>
                <w:rFonts w:ascii="Arial Narrow" w:hAnsi="Arial Narrow" w:cs="Times New Roman"/>
                <w:sz w:val="20"/>
              </w:rPr>
            </w:pPr>
            <w:r w:rsidRPr="000E01C3">
              <w:rPr>
                <w:rFonts w:ascii="Arial Narrow" w:hAnsi="Arial Narrow" w:cs="Times New Roman"/>
                <w:sz w:val="20"/>
              </w:rPr>
              <w:t>0.4937</w:t>
            </w:r>
          </w:p>
        </w:tc>
        <w:tc>
          <w:tcPr>
            <w:tcW w:w="1349" w:type="pct"/>
          </w:tcPr>
          <w:p w:rsidR="00520D2B" w:rsidRPr="000E01C3" w:rsidRDefault="00520D2B" w:rsidP="00A04A6A">
            <w:pPr>
              <w:keepNext/>
              <w:widowControl/>
              <w:jc w:val="center"/>
              <w:rPr>
                <w:rFonts w:ascii="Arial Narrow" w:hAnsi="Arial Narrow" w:cs="Times New Roman"/>
                <w:sz w:val="20"/>
              </w:rPr>
            </w:pPr>
            <w:r w:rsidRPr="000E01C3">
              <w:rPr>
                <w:rFonts w:ascii="Arial Narrow" w:hAnsi="Arial Narrow" w:cs="Times New Roman"/>
                <w:sz w:val="20"/>
              </w:rPr>
              <w:t>0.016</w:t>
            </w:r>
          </w:p>
        </w:tc>
      </w:tr>
      <w:tr w:rsidR="00520D2B" w:rsidRPr="000E01C3" w:rsidTr="00D10BC7">
        <w:trPr>
          <w:cantSplit/>
        </w:trPr>
        <w:tc>
          <w:tcPr>
            <w:tcW w:w="3651" w:type="pct"/>
            <w:gridSpan w:val="3"/>
            <w:vAlign w:val="center"/>
          </w:tcPr>
          <w:p w:rsidR="00520D2B" w:rsidRPr="000E01C3" w:rsidRDefault="00520D2B" w:rsidP="00A04A6A">
            <w:pPr>
              <w:keepNext/>
              <w:widowControl/>
              <w:jc w:val="right"/>
              <w:rPr>
                <w:rFonts w:ascii="Arial Narrow" w:hAnsi="Arial Narrow" w:cs="Times New Roman"/>
                <w:bCs/>
                <w:sz w:val="20"/>
              </w:rPr>
            </w:pPr>
            <w:r w:rsidRPr="000E01C3">
              <w:rPr>
                <w:rFonts w:ascii="Arial Narrow" w:hAnsi="Arial Narrow" w:cs="Times New Roman"/>
                <w:bCs/>
                <w:snapToGrid/>
                <w:sz w:val="20"/>
              </w:rPr>
              <w:t>Incremental cost/extra patient responding</w:t>
            </w:r>
          </w:p>
        </w:tc>
        <w:tc>
          <w:tcPr>
            <w:tcW w:w="1349" w:type="pct"/>
          </w:tcPr>
          <w:p w:rsidR="00520D2B" w:rsidRPr="000E01C3" w:rsidRDefault="00520D2B" w:rsidP="00A04A6A">
            <w:pPr>
              <w:keepNext/>
              <w:widowControl/>
              <w:jc w:val="center"/>
              <w:rPr>
                <w:rFonts w:ascii="Arial Narrow" w:hAnsi="Arial Narrow" w:cs="Times New Roman"/>
                <w:bCs/>
                <w:sz w:val="20"/>
              </w:rPr>
            </w:pPr>
            <w:r w:rsidRPr="000E01C3">
              <w:rPr>
                <w:rFonts w:ascii="Arial Narrow" w:hAnsi="Arial Narrow" w:cs="Times New Roman"/>
                <w:bCs/>
                <w:sz w:val="20"/>
              </w:rPr>
              <w:t>$</w:t>
            </w:r>
            <w:r w:rsidR="004519D0">
              <w:rPr>
                <w:rFonts w:ascii="Arial Narrow" w:hAnsi="Arial Narrow" w:cs="Times New Roman"/>
                <w:bCs/>
                <w:noProof/>
                <w:color w:val="000000"/>
                <w:sz w:val="20"/>
                <w:highlight w:val="black"/>
              </w:rPr>
              <w:t>'''''''''''''''''</w:t>
            </w:r>
            <w:r w:rsidRPr="000E01C3">
              <w:rPr>
                <w:rFonts w:ascii="Arial Narrow" w:hAnsi="Arial Narrow" w:cs="Times New Roman"/>
                <w:bCs/>
                <w:sz w:val="20"/>
              </w:rPr>
              <w:t xml:space="preserve"> / responder</w:t>
            </w:r>
          </w:p>
        </w:tc>
      </w:tr>
      <w:tr w:rsidR="00520D2B" w:rsidRPr="000E01C3" w:rsidTr="00D10BC7">
        <w:trPr>
          <w:cantSplit/>
        </w:trPr>
        <w:tc>
          <w:tcPr>
            <w:tcW w:w="5000" w:type="pct"/>
            <w:gridSpan w:val="4"/>
            <w:vAlign w:val="center"/>
          </w:tcPr>
          <w:p w:rsidR="00520D2B" w:rsidRPr="000E01C3" w:rsidRDefault="00520D2B" w:rsidP="00A04A6A">
            <w:pPr>
              <w:keepNext/>
              <w:widowControl/>
              <w:jc w:val="left"/>
              <w:rPr>
                <w:rFonts w:ascii="Arial Narrow" w:hAnsi="Arial Narrow" w:cs="Times New Roman"/>
                <w:bCs/>
                <w:snapToGrid/>
                <w:sz w:val="20"/>
              </w:rPr>
            </w:pPr>
            <w:r w:rsidRPr="000E01C3">
              <w:rPr>
                <w:rFonts w:ascii="Arial Narrow" w:hAnsi="Arial Narrow" w:cs="Times New Roman"/>
                <w:bCs/>
                <w:snapToGrid/>
                <w:sz w:val="20"/>
              </w:rPr>
              <w:t xml:space="preserve">Step 1b: </w:t>
            </w:r>
          </w:p>
          <w:p w:rsidR="00520D2B" w:rsidRPr="000E01C3" w:rsidRDefault="00520D2B" w:rsidP="00A04A6A">
            <w:pPr>
              <w:pStyle w:val="ListParagraph"/>
              <w:keepNext/>
              <w:widowControl/>
              <w:numPr>
                <w:ilvl w:val="0"/>
                <w:numId w:val="23"/>
              </w:numPr>
              <w:ind w:left="251" w:hanging="186"/>
              <w:jc w:val="left"/>
              <w:rPr>
                <w:rFonts w:ascii="Arial Narrow" w:hAnsi="Arial Narrow" w:cs="Times New Roman"/>
                <w:sz w:val="20"/>
              </w:rPr>
            </w:pPr>
            <w:r w:rsidRPr="000E01C3">
              <w:rPr>
                <w:rFonts w:ascii="Arial Narrow" w:hAnsi="Arial Narrow" w:cs="Times New Roman"/>
                <w:sz w:val="20"/>
              </w:rPr>
              <w:t>Step 1a + adjustment made to control arm to account for low dose mannitol</w:t>
            </w:r>
          </w:p>
        </w:tc>
      </w:tr>
      <w:tr w:rsidR="00520D2B" w:rsidRPr="000E01C3" w:rsidTr="00E55C12">
        <w:trPr>
          <w:cantSplit/>
        </w:trPr>
        <w:tc>
          <w:tcPr>
            <w:tcW w:w="1192" w:type="pct"/>
            <w:vAlign w:val="center"/>
          </w:tcPr>
          <w:p w:rsidR="00520D2B" w:rsidRPr="000E01C3" w:rsidRDefault="00520D2B" w:rsidP="00A04A6A">
            <w:pPr>
              <w:keepNext/>
              <w:widowControl/>
              <w:jc w:val="left"/>
              <w:rPr>
                <w:rFonts w:ascii="Arial Narrow" w:hAnsi="Arial Narrow" w:cs="Times New Roman"/>
                <w:b/>
                <w:snapToGrid/>
                <w:sz w:val="20"/>
              </w:rPr>
            </w:pPr>
            <w:r w:rsidRPr="000E01C3">
              <w:rPr>
                <w:rFonts w:ascii="Arial Narrow" w:hAnsi="Arial Narrow" w:cs="Times New Roman"/>
                <w:sz w:val="20"/>
              </w:rPr>
              <w:t>Costs</w:t>
            </w:r>
          </w:p>
        </w:tc>
        <w:tc>
          <w:tcPr>
            <w:tcW w:w="1190" w:type="pct"/>
          </w:tcPr>
          <w:p w:rsidR="00520D2B" w:rsidRPr="000E01C3" w:rsidRDefault="00520D2B" w:rsidP="00A04A6A">
            <w:pPr>
              <w:keepNext/>
              <w:widowControl/>
              <w:jc w:val="center"/>
              <w:rPr>
                <w:rFonts w:ascii="Arial Narrow" w:hAnsi="Arial Narrow" w:cs="Times New Roman"/>
                <w:b/>
                <w:snapToGrid/>
                <w:sz w:val="20"/>
              </w:rPr>
            </w:pPr>
            <w:r w:rsidRPr="000E01C3">
              <w:rPr>
                <w:rFonts w:ascii="Arial Narrow" w:hAnsi="Arial Narrow" w:cs="Times New Roman"/>
                <w:sz w:val="20"/>
              </w:rPr>
              <w:t>$</w:t>
            </w:r>
            <w:r w:rsidR="004519D0">
              <w:rPr>
                <w:rFonts w:ascii="Arial Narrow" w:hAnsi="Arial Narrow" w:cs="Times New Roman"/>
                <w:noProof/>
                <w:color w:val="000000"/>
                <w:sz w:val="20"/>
                <w:highlight w:val="black"/>
              </w:rPr>
              <w:t>''''''''''''''</w:t>
            </w:r>
            <w:r w:rsidR="00B7693B">
              <w:rPr>
                <w:rFonts w:ascii="Arial Narrow" w:hAnsi="Arial Narrow" w:cs="Times New Roman"/>
                <w:sz w:val="20"/>
              </w:rPr>
              <w:t xml:space="preserve"> </w:t>
            </w:r>
            <w:r w:rsidRPr="000E01C3">
              <w:rPr>
                <w:rFonts w:ascii="Arial Narrow" w:hAnsi="Arial Narrow" w:cs="Times New Roman"/>
                <w:sz w:val="20"/>
                <w:vertAlign w:val="superscript"/>
              </w:rPr>
              <w:t>a</w:t>
            </w:r>
          </w:p>
        </w:tc>
        <w:tc>
          <w:tcPr>
            <w:tcW w:w="1270" w:type="pct"/>
            <w:vAlign w:val="center"/>
          </w:tcPr>
          <w:p w:rsidR="00520D2B" w:rsidRPr="000E01C3" w:rsidRDefault="00520D2B" w:rsidP="00A04A6A">
            <w:pPr>
              <w:keepNext/>
              <w:widowControl/>
              <w:jc w:val="center"/>
              <w:rPr>
                <w:rFonts w:ascii="Arial Narrow" w:hAnsi="Arial Narrow" w:cs="Times New Roman"/>
                <w:b/>
                <w:snapToGrid/>
                <w:sz w:val="20"/>
              </w:rPr>
            </w:pPr>
            <w:r w:rsidRPr="000E01C3">
              <w:rPr>
                <w:rFonts w:ascii="Arial Narrow" w:hAnsi="Arial Narrow" w:cs="Times New Roman"/>
                <w:sz w:val="20"/>
              </w:rPr>
              <w:t>$0</w:t>
            </w:r>
          </w:p>
        </w:tc>
        <w:tc>
          <w:tcPr>
            <w:tcW w:w="1349" w:type="pct"/>
          </w:tcPr>
          <w:p w:rsidR="00520D2B" w:rsidRPr="000E01C3" w:rsidRDefault="00520D2B" w:rsidP="00A04A6A">
            <w:pPr>
              <w:keepNext/>
              <w:widowControl/>
              <w:jc w:val="center"/>
              <w:rPr>
                <w:rFonts w:ascii="Arial Narrow" w:hAnsi="Arial Narrow" w:cs="Times New Roman"/>
                <w:b/>
                <w:sz w:val="20"/>
              </w:rPr>
            </w:pPr>
            <w:r w:rsidRPr="000E01C3">
              <w:rPr>
                <w:rFonts w:ascii="Arial Narrow" w:hAnsi="Arial Narrow" w:cs="Times New Roman"/>
                <w:sz w:val="20"/>
              </w:rPr>
              <w:t>$</w:t>
            </w:r>
            <w:r w:rsidR="004519D0">
              <w:rPr>
                <w:rFonts w:ascii="Arial Narrow" w:hAnsi="Arial Narrow" w:cs="Times New Roman"/>
                <w:noProof/>
                <w:color w:val="000000"/>
                <w:sz w:val="20"/>
                <w:highlight w:val="black"/>
              </w:rPr>
              <w:t>'''''''''''''</w:t>
            </w:r>
          </w:p>
        </w:tc>
      </w:tr>
      <w:tr w:rsidR="00520D2B" w:rsidRPr="000E01C3" w:rsidTr="00E55C12">
        <w:trPr>
          <w:cantSplit/>
          <w:trHeight w:val="70"/>
        </w:trPr>
        <w:tc>
          <w:tcPr>
            <w:tcW w:w="1192" w:type="pct"/>
            <w:vAlign w:val="center"/>
          </w:tcPr>
          <w:p w:rsidR="00520D2B" w:rsidRPr="000E01C3" w:rsidRDefault="00520D2B" w:rsidP="00A04A6A">
            <w:pPr>
              <w:keepNext/>
              <w:widowControl/>
              <w:jc w:val="left"/>
              <w:rPr>
                <w:rFonts w:ascii="Arial Narrow" w:hAnsi="Arial Narrow" w:cs="Times New Roman"/>
                <w:b/>
                <w:snapToGrid/>
                <w:sz w:val="20"/>
              </w:rPr>
            </w:pPr>
            <w:r w:rsidRPr="000E01C3">
              <w:rPr>
                <w:rFonts w:ascii="Arial Narrow" w:hAnsi="Arial Narrow" w:cs="Times New Roman"/>
                <w:sz w:val="20"/>
              </w:rPr>
              <w:t>‘Responders’ Wk 14</w:t>
            </w:r>
          </w:p>
        </w:tc>
        <w:tc>
          <w:tcPr>
            <w:tcW w:w="1190" w:type="pct"/>
          </w:tcPr>
          <w:p w:rsidR="00520D2B" w:rsidRPr="000E01C3" w:rsidRDefault="00520D2B" w:rsidP="00A04A6A">
            <w:pPr>
              <w:keepNext/>
              <w:widowControl/>
              <w:jc w:val="center"/>
              <w:rPr>
                <w:rFonts w:ascii="Arial Narrow" w:hAnsi="Arial Narrow" w:cs="Times New Roman"/>
                <w:b/>
                <w:snapToGrid/>
                <w:sz w:val="20"/>
              </w:rPr>
            </w:pPr>
            <w:r w:rsidRPr="000E01C3">
              <w:rPr>
                <w:rFonts w:ascii="Arial Narrow" w:hAnsi="Arial Narrow" w:cs="Times New Roman"/>
                <w:sz w:val="20"/>
              </w:rPr>
              <w:t>0.5097</w:t>
            </w:r>
          </w:p>
        </w:tc>
        <w:tc>
          <w:tcPr>
            <w:tcW w:w="1270" w:type="pct"/>
            <w:vAlign w:val="center"/>
          </w:tcPr>
          <w:p w:rsidR="00520D2B" w:rsidRPr="000E01C3" w:rsidRDefault="00520D2B" w:rsidP="00A04A6A">
            <w:pPr>
              <w:keepNext/>
              <w:widowControl/>
              <w:jc w:val="center"/>
              <w:rPr>
                <w:rFonts w:ascii="Arial Narrow" w:hAnsi="Arial Narrow" w:cs="Times New Roman"/>
                <w:b/>
                <w:snapToGrid/>
                <w:sz w:val="20"/>
              </w:rPr>
            </w:pPr>
            <w:r w:rsidRPr="000E01C3">
              <w:rPr>
                <w:rFonts w:ascii="Arial Narrow" w:hAnsi="Arial Narrow" w:cs="Times New Roman"/>
                <w:sz w:val="20"/>
              </w:rPr>
              <w:t>0.4644</w:t>
            </w:r>
          </w:p>
        </w:tc>
        <w:tc>
          <w:tcPr>
            <w:tcW w:w="1349" w:type="pct"/>
          </w:tcPr>
          <w:p w:rsidR="00520D2B" w:rsidRPr="000E01C3" w:rsidRDefault="00520D2B" w:rsidP="00A04A6A">
            <w:pPr>
              <w:keepNext/>
              <w:widowControl/>
              <w:jc w:val="center"/>
              <w:rPr>
                <w:rFonts w:ascii="Arial Narrow" w:hAnsi="Arial Narrow" w:cs="Times New Roman"/>
                <w:b/>
                <w:sz w:val="20"/>
              </w:rPr>
            </w:pPr>
            <w:r w:rsidRPr="000E01C3">
              <w:rPr>
                <w:rFonts w:ascii="Arial Narrow" w:hAnsi="Arial Narrow" w:cs="Times New Roman"/>
                <w:sz w:val="20"/>
              </w:rPr>
              <w:t>0.045</w:t>
            </w:r>
          </w:p>
        </w:tc>
      </w:tr>
      <w:tr w:rsidR="00520D2B" w:rsidRPr="000E01C3" w:rsidTr="00D10BC7">
        <w:trPr>
          <w:cantSplit/>
        </w:trPr>
        <w:tc>
          <w:tcPr>
            <w:tcW w:w="3651" w:type="pct"/>
            <w:gridSpan w:val="3"/>
            <w:vAlign w:val="center"/>
          </w:tcPr>
          <w:p w:rsidR="00520D2B" w:rsidRPr="000E01C3" w:rsidRDefault="00520D2B" w:rsidP="00A04A6A">
            <w:pPr>
              <w:keepNext/>
              <w:widowControl/>
              <w:jc w:val="right"/>
              <w:rPr>
                <w:rFonts w:ascii="Arial Narrow" w:hAnsi="Arial Narrow" w:cs="Times New Roman"/>
                <w:bCs/>
                <w:snapToGrid/>
                <w:sz w:val="20"/>
              </w:rPr>
            </w:pPr>
            <w:r w:rsidRPr="000E01C3">
              <w:rPr>
                <w:rFonts w:ascii="Arial Narrow" w:hAnsi="Arial Narrow" w:cs="Times New Roman"/>
                <w:bCs/>
                <w:snapToGrid/>
                <w:sz w:val="20"/>
              </w:rPr>
              <w:t>Incremental cost/extra patient responding</w:t>
            </w:r>
          </w:p>
        </w:tc>
        <w:tc>
          <w:tcPr>
            <w:tcW w:w="1349" w:type="pct"/>
          </w:tcPr>
          <w:p w:rsidR="00520D2B" w:rsidRPr="000E01C3" w:rsidRDefault="00520D2B" w:rsidP="00A04A6A">
            <w:pPr>
              <w:keepNext/>
              <w:widowControl/>
              <w:jc w:val="center"/>
              <w:rPr>
                <w:rFonts w:ascii="Arial Narrow" w:hAnsi="Arial Narrow" w:cs="Times New Roman"/>
                <w:bCs/>
                <w:sz w:val="20"/>
              </w:rPr>
            </w:pPr>
            <w:r w:rsidRPr="000E01C3">
              <w:rPr>
                <w:rFonts w:ascii="Arial Narrow" w:hAnsi="Arial Narrow" w:cs="Times New Roman"/>
                <w:bCs/>
                <w:sz w:val="20"/>
              </w:rPr>
              <w:t>$</w:t>
            </w:r>
            <w:r w:rsidR="004519D0">
              <w:rPr>
                <w:rFonts w:ascii="Arial Narrow" w:hAnsi="Arial Narrow" w:cs="Times New Roman"/>
                <w:bCs/>
                <w:noProof/>
                <w:color w:val="000000"/>
                <w:sz w:val="20"/>
                <w:highlight w:val="black"/>
              </w:rPr>
              <w:t>''''''''''''''''</w:t>
            </w:r>
            <w:r w:rsidRPr="000E01C3">
              <w:rPr>
                <w:rFonts w:ascii="Arial Narrow" w:hAnsi="Arial Narrow" w:cs="Times New Roman"/>
                <w:bCs/>
                <w:sz w:val="20"/>
              </w:rPr>
              <w:t xml:space="preserve"> / responder</w:t>
            </w:r>
          </w:p>
        </w:tc>
      </w:tr>
      <w:tr w:rsidR="00520D2B" w:rsidRPr="000E01C3" w:rsidTr="00D10BC7">
        <w:trPr>
          <w:cantSplit/>
        </w:trPr>
        <w:tc>
          <w:tcPr>
            <w:tcW w:w="5000" w:type="pct"/>
            <w:gridSpan w:val="4"/>
            <w:vAlign w:val="center"/>
          </w:tcPr>
          <w:p w:rsidR="00520D2B" w:rsidRPr="000E01C3" w:rsidRDefault="00520D2B" w:rsidP="00A04A6A">
            <w:pPr>
              <w:keepNext/>
              <w:widowControl/>
              <w:jc w:val="left"/>
              <w:rPr>
                <w:rFonts w:ascii="Arial Narrow" w:hAnsi="Arial Narrow" w:cs="Arial Narrow"/>
                <w:sz w:val="20"/>
              </w:rPr>
            </w:pPr>
            <w:r w:rsidRPr="000E01C3">
              <w:rPr>
                <w:rFonts w:ascii="Arial Narrow" w:hAnsi="Arial Narrow" w:cs="Arial Narrow"/>
                <w:sz w:val="20"/>
              </w:rPr>
              <w:t xml:space="preserve">Step 2a: </w:t>
            </w:r>
          </w:p>
          <w:p w:rsidR="00520D2B" w:rsidRPr="000E01C3" w:rsidRDefault="00520D2B" w:rsidP="00A04A6A">
            <w:pPr>
              <w:pStyle w:val="ListParagraph"/>
              <w:keepNext/>
              <w:widowControl/>
              <w:numPr>
                <w:ilvl w:val="0"/>
                <w:numId w:val="23"/>
              </w:numPr>
              <w:ind w:left="251" w:hanging="186"/>
              <w:jc w:val="left"/>
              <w:rPr>
                <w:rFonts w:ascii="Arial Narrow" w:hAnsi="Arial Narrow" w:cs="Arial Narrow"/>
                <w:b/>
                <w:bCs/>
                <w:sz w:val="20"/>
              </w:rPr>
            </w:pPr>
            <w:r w:rsidRPr="000E01C3">
              <w:rPr>
                <w:rFonts w:ascii="Arial Narrow" w:hAnsi="Arial Narrow" w:cs="Times New Roman"/>
                <w:sz w:val="20"/>
              </w:rPr>
              <w:t>Absolute change in pp</w:t>
            </w:r>
            <w:r w:rsidR="00710FD5" w:rsidRPr="000E01C3">
              <w:rPr>
                <w:rFonts w:ascii="Arial Narrow" w:hAnsi="Arial Narrow" w:cs="Times New Roman"/>
                <w:sz w:val="20"/>
              </w:rPr>
              <w:t>FEV</w:t>
            </w:r>
            <w:r w:rsidR="00710FD5" w:rsidRPr="000E01C3">
              <w:rPr>
                <w:rFonts w:ascii="Arial Narrow" w:hAnsi="Arial Narrow" w:cs="Times New Roman"/>
                <w:sz w:val="20"/>
                <w:vertAlign w:val="subscript"/>
              </w:rPr>
              <w:t>1</w:t>
            </w:r>
            <w:r w:rsidRPr="000E01C3">
              <w:rPr>
                <w:rFonts w:ascii="Arial Narrow" w:hAnsi="Arial Narrow" w:cs="Times New Roman"/>
                <w:sz w:val="20"/>
              </w:rPr>
              <w:t xml:space="preserve"> from baseline at Wk 26 in Trials CF-301/CF-302</w:t>
            </w:r>
          </w:p>
          <w:p w:rsidR="00520D2B" w:rsidRPr="000E01C3" w:rsidRDefault="00520D2B" w:rsidP="00A04A6A">
            <w:pPr>
              <w:pStyle w:val="ListParagraph"/>
              <w:keepNext/>
              <w:widowControl/>
              <w:numPr>
                <w:ilvl w:val="0"/>
                <w:numId w:val="23"/>
              </w:numPr>
              <w:ind w:left="251" w:hanging="186"/>
              <w:jc w:val="left"/>
              <w:rPr>
                <w:rFonts w:ascii="Arial Narrow" w:hAnsi="Arial Narrow" w:cs="Arial Narrow"/>
                <w:b/>
                <w:bCs/>
                <w:sz w:val="20"/>
              </w:rPr>
            </w:pPr>
            <w:r w:rsidRPr="000E01C3">
              <w:rPr>
                <w:rFonts w:ascii="Arial Narrow" w:hAnsi="Arial Narrow" w:cs="Times New Roman"/>
                <w:sz w:val="20"/>
              </w:rPr>
              <w:t>Mannitol drug cost; assuming average treatment duration in Trials CF-301/CF-302</w:t>
            </w:r>
            <w:r w:rsidR="001629C2" w:rsidRPr="000E01C3">
              <w:rPr>
                <w:rFonts w:ascii="Arial Narrow" w:hAnsi="Arial Narrow" w:cs="Times New Roman"/>
                <w:sz w:val="20"/>
              </w:rPr>
              <w:t xml:space="preserve"> </w:t>
            </w:r>
            <w:r w:rsidRPr="000E01C3">
              <w:rPr>
                <w:rFonts w:ascii="Arial Narrow" w:hAnsi="Arial Narrow" w:cs="Times New Roman"/>
                <w:sz w:val="20"/>
              </w:rPr>
              <w:t>(21 weeks)</w:t>
            </w:r>
          </w:p>
        </w:tc>
      </w:tr>
      <w:tr w:rsidR="00520D2B" w:rsidRPr="000E01C3" w:rsidTr="00E55C12">
        <w:trPr>
          <w:cantSplit/>
        </w:trPr>
        <w:tc>
          <w:tcPr>
            <w:tcW w:w="1192" w:type="pct"/>
            <w:vAlign w:val="center"/>
          </w:tcPr>
          <w:p w:rsidR="00520D2B" w:rsidRPr="000E01C3" w:rsidRDefault="00520D2B" w:rsidP="00A04A6A">
            <w:pPr>
              <w:keepNext/>
              <w:widowControl/>
              <w:jc w:val="left"/>
              <w:rPr>
                <w:rFonts w:ascii="Arial Narrow" w:hAnsi="Arial Narrow" w:cs="Times New Roman"/>
                <w:sz w:val="20"/>
              </w:rPr>
            </w:pPr>
            <w:r w:rsidRPr="000E01C3">
              <w:rPr>
                <w:rFonts w:ascii="Arial Narrow" w:hAnsi="Arial Narrow" w:cs="Times New Roman"/>
                <w:sz w:val="20"/>
              </w:rPr>
              <w:t>Costs</w:t>
            </w:r>
          </w:p>
        </w:tc>
        <w:tc>
          <w:tcPr>
            <w:tcW w:w="1190" w:type="pct"/>
          </w:tcPr>
          <w:p w:rsidR="00520D2B" w:rsidRPr="000E01C3" w:rsidRDefault="00520D2B" w:rsidP="00A04A6A">
            <w:pPr>
              <w:keepNext/>
              <w:widowControl/>
              <w:jc w:val="center"/>
              <w:rPr>
                <w:rFonts w:ascii="Arial Narrow" w:hAnsi="Arial Narrow" w:cs="Times New Roman"/>
                <w:sz w:val="20"/>
              </w:rPr>
            </w:pPr>
            <w:r w:rsidRPr="000E01C3">
              <w:rPr>
                <w:rFonts w:ascii="Arial Narrow" w:hAnsi="Arial Narrow" w:cs="Times New Roman"/>
                <w:sz w:val="20"/>
              </w:rPr>
              <w:t>$</w:t>
            </w:r>
            <w:r w:rsidR="004519D0">
              <w:rPr>
                <w:rFonts w:ascii="Arial Narrow" w:hAnsi="Arial Narrow" w:cs="Times New Roman"/>
                <w:noProof/>
                <w:color w:val="000000"/>
                <w:sz w:val="20"/>
                <w:highlight w:val="black"/>
              </w:rPr>
              <w:t>''''''''''''''</w:t>
            </w:r>
          </w:p>
        </w:tc>
        <w:tc>
          <w:tcPr>
            <w:tcW w:w="1270" w:type="pct"/>
            <w:vAlign w:val="center"/>
          </w:tcPr>
          <w:p w:rsidR="00520D2B" w:rsidRPr="000E01C3" w:rsidRDefault="00520D2B" w:rsidP="00A04A6A">
            <w:pPr>
              <w:keepNext/>
              <w:widowControl/>
              <w:jc w:val="center"/>
              <w:rPr>
                <w:rFonts w:ascii="Arial Narrow" w:hAnsi="Arial Narrow" w:cs="Times New Roman"/>
                <w:sz w:val="20"/>
              </w:rPr>
            </w:pPr>
            <w:r w:rsidRPr="000E01C3">
              <w:rPr>
                <w:rFonts w:ascii="Arial Narrow" w:hAnsi="Arial Narrow" w:cs="Times New Roman"/>
                <w:sz w:val="20"/>
              </w:rPr>
              <w:t>$0</w:t>
            </w:r>
          </w:p>
        </w:tc>
        <w:tc>
          <w:tcPr>
            <w:tcW w:w="1349" w:type="pct"/>
          </w:tcPr>
          <w:p w:rsidR="00520D2B" w:rsidRPr="000E01C3" w:rsidRDefault="00520D2B" w:rsidP="00A04A6A">
            <w:pPr>
              <w:keepNext/>
              <w:widowControl/>
              <w:jc w:val="center"/>
              <w:rPr>
                <w:rFonts w:ascii="Arial Narrow" w:hAnsi="Arial Narrow" w:cs="Times New Roman"/>
                <w:sz w:val="20"/>
              </w:rPr>
            </w:pPr>
            <w:r w:rsidRPr="000E01C3">
              <w:rPr>
                <w:rFonts w:ascii="Arial Narrow" w:hAnsi="Arial Narrow" w:cs="Times New Roman"/>
                <w:sz w:val="20"/>
              </w:rPr>
              <w:t>$</w:t>
            </w:r>
            <w:r w:rsidR="004519D0">
              <w:rPr>
                <w:rFonts w:ascii="Arial Narrow" w:hAnsi="Arial Narrow" w:cs="Times New Roman"/>
                <w:noProof/>
                <w:color w:val="000000"/>
                <w:sz w:val="20"/>
                <w:highlight w:val="black"/>
              </w:rPr>
              <w:t>'''''''''''''''</w:t>
            </w:r>
          </w:p>
        </w:tc>
      </w:tr>
      <w:tr w:rsidR="00520D2B" w:rsidRPr="000E01C3" w:rsidTr="00E55C12">
        <w:trPr>
          <w:cantSplit/>
        </w:trPr>
        <w:tc>
          <w:tcPr>
            <w:tcW w:w="1192" w:type="pct"/>
            <w:vAlign w:val="center"/>
          </w:tcPr>
          <w:p w:rsidR="00520D2B" w:rsidRPr="000E01C3" w:rsidRDefault="00520D2B" w:rsidP="00A04A6A">
            <w:pPr>
              <w:keepNext/>
              <w:widowControl/>
              <w:jc w:val="left"/>
              <w:rPr>
                <w:rFonts w:ascii="Arial Narrow" w:hAnsi="Arial Narrow" w:cs="Times New Roman"/>
                <w:sz w:val="20"/>
              </w:rPr>
            </w:pPr>
            <w:r w:rsidRPr="000E01C3">
              <w:rPr>
                <w:rFonts w:ascii="Arial Narrow" w:hAnsi="Arial Narrow" w:cs="Times New Roman"/>
                <w:sz w:val="20"/>
              </w:rPr>
              <w:t>Absolute Δpp</w:t>
            </w:r>
            <w:r w:rsidR="00710FD5" w:rsidRPr="000E01C3">
              <w:rPr>
                <w:rFonts w:ascii="Arial Narrow" w:hAnsi="Arial Narrow" w:cs="Times New Roman"/>
                <w:sz w:val="20"/>
              </w:rPr>
              <w:t>FEV</w:t>
            </w:r>
            <w:r w:rsidR="00710FD5" w:rsidRPr="000E01C3">
              <w:rPr>
                <w:rFonts w:ascii="Arial Narrow" w:hAnsi="Arial Narrow" w:cs="Times New Roman"/>
                <w:sz w:val="20"/>
                <w:vertAlign w:val="subscript"/>
              </w:rPr>
              <w:t>1</w:t>
            </w:r>
            <w:r w:rsidRPr="000E01C3">
              <w:rPr>
                <w:rFonts w:ascii="Arial Narrow" w:hAnsi="Arial Narrow" w:cs="Times New Roman"/>
                <w:sz w:val="20"/>
              </w:rPr>
              <w:t xml:space="preserve"> Wk 26</w:t>
            </w:r>
          </w:p>
        </w:tc>
        <w:tc>
          <w:tcPr>
            <w:tcW w:w="1190" w:type="pct"/>
            <w:tcBorders>
              <w:top w:val="nil"/>
              <w:left w:val="nil"/>
              <w:bottom w:val="single" w:sz="4" w:space="0" w:color="auto"/>
              <w:right w:val="single" w:sz="4" w:space="0" w:color="auto"/>
            </w:tcBorders>
            <w:shd w:val="clear" w:color="auto" w:fill="auto"/>
            <w:vAlign w:val="bottom"/>
          </w:tcPr>
          <w:p w:rsidR="00520D2B" w:rsidRPr="000E01C3" w:rsidRDefault="00520D2B" w:rsidP="00A04A6A">
            <w:pPr>
              <w:keepNext/>
              <w:widowControl/>
              <w:tabs>
                <w:tab w:val="center" w:pos="1153"/>
                <w:tab w:val="right" w:pos="2306"/>
              </w:tabs>
              <w:jc w:val="center"/>
              <w:rPr>
                <w:rFonts w:ascii="Arial Narrow" w:hAnsi="Arial Narrow" w:cs="Times New Roman"/>
                <w:sz w:val="20"/>
              </w:rPr>
            </w:pPr>
            <w:r w:rsidRPr="000E01C3">
              <w:rPr>
                <w:rFonts w:ascii="Arial Narrow" w:hAnsi="Arial Narrow"/>
                <w:sz w:val="20"/>
              </w:rPr>
              <w:t>2.58</w:t>
            </w:r>
          </w:p>
        </w:tc>
        <w:tc>
          <w:tcPr>
            <w:tcW w:w="1270" w:type="pct"/>
            <w:tcBorders>
              <w:top w:val="nil"/>
              <w:left w:val="nil"/>
              <w:bottom w:val="single" w:sz="4" w:space="0" w:color="auto"/>
              <w:right w:val="single" w:sz="4" w:space="0" w:color="auto"/>
            </w:tcBorders>
            <w:shd w:val="clear" w:color="auto" w:fill="auto"/>
            <w:vAlign w:val="bottom"/>
          </w:tcPr>
          <w:p w:rsidR="00520D2B" w:rsidRPr="000E01C3" w:rsidRDefault="00520D2B" w:rsidP="00A04A6A">
            <w:pPr>
              <w:keepNext/>
              <w:widowControl/>
              <w:jc w:val="center"/>
              <w:rPr>
                <w:rFonts w:ascii="Arial Narrow" w:hAnsi="Arial Narrow" w:cs="Times New Roman"/>
                <w:sz w:val="20"/>
              </w:rPr>
            </w:pPr>
            <w:r w:rsidRPr="000E01C3">
              <w:rPr>
                <w:rFonts w:ascii="Arial Narrow" w:hAnsi="Arial Narrow"/>
                <w:sz w:val="20"/>
              </w:rPr>
              <w:t>-0.13</w:t>
            </w:r>
          </w:p>
        </w:tc>
        <w:tc>
          <w:tcPr>
            <w:tcW w:w="1349" w:type="pct"/>
            <w:tcBorders>
              <w:top w:val="nil"/>
              <w:left w:val="nil"/>
              <w:bottom w:val="single" w:sz="4" w:space="0" w:color="auto"/>
              <w:right w:val="single" w:sz="4" w:space="0" w:color="auto"/>
            </w:tcBorders>
            <w:shd w:val="clear" w:color="auto" w:fill="auto"/>
            <w:vAlign w:val="bottom"/>
          </w:tcPr>
          <w:p w:rsidR="00520D2B" w:rsidRPr="000E01C3" w:rsidRDefault="00520D2B" w:rsidP="00A04A6A">
            <w:pPr>
              <w:keepNext/>
              <w:widowControl/>
              <w:jc w:val="center"/>
              <w:rPr>
                <w:rFonts w:ascii="Arial Narrow" w:hAnsi="Arial Narrow" w:cs="Times New Roman"/>
                <w:sz w:val="20"/>
              </w:rPr>
            </w:pPr>
            <w:r w:rsidRPr="000E01C3">
              <w:rPr>
                <w:rFonts w:ascii="Arial Narrow" w:hAnsi="Arial Narrow"/>
                <w:sz w:val="20"/>
              </w:rPr>
              <w:t>2.71</w:t>
            </w:r>
          </w:p>
        </w:tc>
      </w:tr>
      <w:tr w:rsidR="00520D2B" w:rsidRPr="000E01C3" w:rsidTr="00D10BC7">
        <w:trPr>
          <w:cantSplit/>
        </w:trPr>
        <w:tc>
          <w:tcPr>
            <w:tcW w:w="3651" w:type="pct"/>
            <w:gridSpan w:val="3"/>
            <w:vAlign w:val="center"/>
          </w:tcPr>
          <w:p w:rsidR="00520D2B" w:rsidRPr="000E01C3" w:rsidRDefault="003371A2" w:rsidP="00A04A6A">
            <w:pPr>
              <w:keepNext/>
              <w:widowControl/>
              <w:jc w:val="right"/>
              <w:rPr>
                <w:rFonts w:ascii="Arial Narrow" w:hAnsi="Arial Narrow"/>
                <w:bCs/>
                <w:sz w:val="20"/>
              </w:rPr>
            </w:pPr>
            <w:r w:rsidRPr="000E01C3">
              <w:rPr>
                <w:rFonts w:ascii="Arial Narrow" w:hAnsi="Arial Narrow" w:cs="Times New Roman"/>
                <w:bCs/>
                <w:snapToGrid/>
                <w:sz w:val="20"/>
              </w:rPr>
              <w:t>Incremental cost/additional improvement in ppFEV</w:t>
            </w:r>
            <w:r w:rsidRPr="000E01C3">
              <w:rPr>
                <w:rFonts w:ascii="Arial Narrow" w:hAnsi="Arial Narrow" w:cs="Times New Roman"/>
                <w:bCs/>
                <w:snapToGrid/>
                <w:sz w:val="20"/>
                <w:vertAlign w:val="subscript"/>
              </w:rPr>
              <w:t>1</w:t>
            </w:r>
          </w:p>
        </w:tc>
        <w:tc>
          <w:tcPr>
            <w:tcW w:w="1349" w:type="pct"/>
          </w:tcPr>
          <w:p w:rsidR="00520D2B" w:rsidRPr="000E01C3" w:rsidRDefault="00520D2B" w:rsidP="00A04A6A">
            <w:pPr>
              <w:keepNext/>
              <w:widowControl/>
              <w:jc w:val="center"/>
              <w:rPr>
                <w:rFonts w:ascii="Arial Narrow" w:hAnsi="Arial Narrow"/>
                <w:bCs/>
                <w:sz w:val="20"/>
              </w:rPr>
            </w:pPr>
            <w:r w:rsidRPr="000E01C3">
              <w:rPr>
                <w:rFonts w:ascii="Arial Narrow" w:hAnsi="Arial Narrow" w:cs="Times New Roman"/>
                <w:bCs/>
                <w:sz w:val="20"/>
              </w:rPr>
              <w:t>$</w:t>
            </w:r>
            <w:r w:rsidR="004519D0">
              <w:rPr>
                <w:rFonts w:ascii="Arial Narrow" w:hAnsi="Arial Narrow" w:cs="Times New Roman"/>
                <w:bCs/>
                <w:noProof/>
                <w:color w:val="000000"/>
                <w:sz w:val="20"/>
                <w:highlight w:val="black"/>
              </w:rPr>
              <w:t>''''''''''''''</w:t>
            </w:r>
            <w:r w:rsidRPr="000E01C3">
              <w:rPr>
                <w:rFonts w:ascii="Arial Narrow" w:hAnsi="Arial Narrow" w:cs="Times New Roman"/>
                <w:bCs/>
                <w:sz w:val="20"/>
              </w:rPr>
              <w:t xml:space="preserve"> / pp</w:t>
            </w:r>
            <w:r w:rsidR="00710FD5" w:rsidRPr="000E01C3">
              <w:rPr>
                <w:rFonts w:ascii="Arial Narrow" w:hAnsi="Arial Narrow" w:cs="Times New Roman"/>
                <w:bCs/>
                <w:sz w:val="20"/>
              </w:rPr>
              <w:t>FEV</w:t>
            </w:r>
            <w:r w:rsidR="00710FD5" w:rsidRPr="000E01C3">
              <w:rPr>
                <w:rFonts w:ascii="Arial Narrow" w:hAnsi="Arial Narrow" w:cs="Times New Roman"/>
                <w:bCs/>
                <w:sz w:val="20"/>
                <w:vertAlign w:val="subscript"/>
              </w:rPr>
              <w:t>1</w:t>
            </w:r>
          </w:p>
        </w:tc>
      </w:tr>
      <w:tr w:rsidR="00520D2B" w:rsidRPr="000E01C3" w:rsidTr="00D10BC7">
        <w:trPr>
          <w:cantSplit/>
        </w:trPr>
        <w:tc>
          <w:tcPr>
            <w:tcW w:w="5000" w:type="pct"/>
            <w:gridSpan w:val="4"/>
            <w:tcBorders>
              <w:right w:val="single" w:sz="4" w:space="0" w:color="auto"/>
            </w:tcBorders>
            <w:vAlign w:val="center"/>
          </w:tcPr>
          <w:p w:rsidR="00520D2B" w:rsidRPr="000E01C3" w:rsidRDefault="00520D2B" w:rsidP="00A04A6A">
            <w:pPr>
              <w:keepNext/>
              <w:widowControl/>
              <w:jc w:val="left"/>
              <w:rPr>
                <w:rFonts w:ascii="Arial Narrow" w:hAnsi="Arial Narrow" w:cs="Times New Roman"/>
                <w:bCs/>
                <w:snapToGrid/>
                <w:sz w:val="20"/>
              </w:rPr>
            </w:pPr>
            <w:r w:rsidRPr="000E01C3">
              <w:rPr>
                <w:rFonts w:ascii="Arial Narrow" w:hAnsi="Arial Narrow" w:cs="Times New Roman"/>
                <w:bCs/>
                <w:snapToGrid/>
                <w:sz w:val="20"/>
              </w:rPr>
              <w:t xml:space="preserve">Step 2b: </w:t>
            </w:r>
          </w:p>
          <w:p w:rsidR="00520D2B" w:rsidRPr="000E01C3" w:rsidRDefault="00520D2B" w:rsidP="00A04A6A">
            <w:pPr>
              <w:pStyle w:val="ListParagraph"/>
              <w:keepNext/>
              <w:widowControl/>
              <w:numPr>
                <w:ilvl w:val="0"/>
                <w:numId w:val="23"/>
              </w:numPr>
              <w:ind w:left="251" w:hanging="186"/>
              <w:jc w:val="left"/>
              <w:rPr>
                <w:rFonts w:ascii="Arial Narrow" w:hAnsi="Arial Narrow"/>
                <w:sz w:val="20"/>
              </w:rPr>
            </w:pPr>
            <w:r w:rsidRPr="000E01C3">
              <w:rPr>
                <w:rFonts w:ascii="Arial Narrow" w:hAnsi="Arial Narrow" w:cs="Times New Roman"/>
                <w:sz w:val="20"/>
              </w:rPr>
              <w:t>Step 2a + adjustment made to control arm to account for low dose mannitol</w:t>
            </w:r>
          </w:p>
        </w:tc>
      </w:tr>
      <w:tr w:rsidR="00520D2B" w:rsidRPr="000E01C3" w:rsidTr="00E55C12">
        <w:trPr>
          <w:cantSplit/>
        </w:trPr>
        <w:tc>
          <w:tcPr>
            <w:tcW w:w="1192" w:type="pct"/>
            <w:vAlign w:val="center"/>
          </w:tcPr>
          <w:p w:rsidR="00520D2B" w:rsidRPr="000E01C3" w:rsidRDefault="00520D2B" w:rsidP="00A04A6A">
            <w:pPr>
              <w:keepNext/>
              <w:widowControl/>
              <w:jc w:val="left"/>
              <w:rPr>
                <w:rFonts w:ascii="Arial Narrow" w:hAnsi="Arial Narrow" w:cs="Times New Roman"/>
                <w:sz w:val="20"/>
              </w:rPr>
            </w:pPr>
            <w:r w:rsidRPr="000E01C3">
              <w:rPr>
                <w:rFonts w:ascii="Arial Narrow" w:hAnsi="Arial Narrow" w:cs="Times New Roman"/>
                <w:sz w:val="20"/>
              </w:rPr>
              <w:t>Costs</w:t>
            </w:r>
          </w:p>
        </w:tc>
        <w:tc>
          <w:tcPr>
            <w:tcW w:w="1190" w:type="pct"/>
          </w:tcPr>
          <w:p w:rsidR="00520D2B" w:rsidRPr="000E01C3" w:rsidRDefault="00520D2B" w:rsidP="00A04A6A">
            <w:pPr>
              <w:keepNext/>
              <w:widowControl/>
              <w:tabs>
                <w:tab w:val="center" w:pos="1153"/>
                <w:tab w:val="right" w:pos="2306"/>
              </w:tabs>
              <w:jc w:val="center"/>
              <w:rPr>
                <w:rFonts w:ascii="Arial Narrow" w:hAnsi="Arial Narrow"/>
                <w:sz w:val="20"/>
              </w:rPr>
            </w:pPr>
            <w:r w:rsidRPr="000E01C3">
              <w:rPr>
                <w:rFonts w:ascii="Arial Narrow" w:hAnsi="Arial Narrow" w:cs="Times New Roman"/>
                <w:sz w:val="20"/>
              </w:rPr>
              <w:t>$</w:t>
            </w:r>
            <w:r w:rsidR="004519D0">
              <w:rPr>
                <w:rFonts w:ascii="Arial Narrow" w:hAnsi="Arial Narrow" w:cs="Times New Roman"/>
                <w:noProof/>
                <w:color w:val="000000"/>
                <w:sz w:val="20"/>
                <w:highlight w:val="black"/>
              </w:rPr>
              <w:t>'''''''''''''''</w:t>
            </w:r>
          </w:p>
        </w:tc>
        <w:tc>
          <w:tcPr>
            <w:tcW w:w="1270" w:type="pct"/>
            <w:vAlign w:val="center"/>
          </w:tcPr>
          <w:p w:rsidR="00520D2B" w:rsidRPr="000E01C3" w:rsidRDefault="00520D2B" w:rsidP="00A04A6A">
            <w:pPr>
              <w:keepNext/>
              <w:widowControl/>
              <w:jc w:val="center"/>
              <w:rPr>
                <w:rFonts w:ascii="Arial Narrow" w:hAnsi="Arial Narrow"/>
                <w:sz w:val="20"/>
              </w:rPr>
            </w:pPr>
            <w:r w:rsidRPr="000E01C3">
              <w:rPr>
                <w:rFonts w:ascii="Arial Narrow" w:hAnsi="Arial Narrow" w:cs="Times New Roman"/>
                <w:sz w:val="20"/>
              </w:rPr>
              <w:t>$0</w:t>
            </w:r>
          </w:p>
        </w:tc>
        <w:tc>
          <w:tcPr>
            <w:tcW w:w="1349" w:type="pct"/>
          </w:tcPr>
          <w:p w:rsidR="00520D2B" w:rsidRPr="000E01C3" w:rsidRDefault="00520D2B" w:rsidP="00A04A6A">
            <w:pPr>
              <w:keepNext/>
              <w:widowControl/>
              <w:jc w:val="center"/>
              <w:rPr>
                <w:rFonts w:ascii="Arial Narrow" w:hAnsi="Arial Narrow"/>
                <w:sz w:val="20"/>
              </w:rPr>
            </w:pPr>
            <w:r w:rsidRPr="000E01C3">
              <w:rPr>
                <w:rFonts w:ascii="Arial Narrow" w:hAnsi="Arial Narrow" w:cs="Times New Roman"/>
                <w:sz w:val="20"/>
              </w:rPr>
              <w:t>$</w:t>
            </w:r>
            <w:r w:rsidR="004519D0">
              <w:rPr>
                <w:rFonts w:ascii="Arial Narrow" w:hAnsi="Arial Narrow" w:cs="Times New Roman"/>
                <w:noProof/>
                <w:color w:val="000000"/>
                <w:sz w:val="20"/>
                <w:highlight w:val="black"/>
              </w:rPr>
              <w:t>''''''''''''</w:t>
            </w:r>
          </w:p>
        </w:tc>
      </w:tr>
      <w:tr w:rsidR="00520D2B" w:rsidRPr="000E01C3" w:rsidTr="00E55C12">
        <w:trPr>
          <w:cantSplit/>
        </w:trPr>
        <w:tc>
          <w:tcPr>
            <w:tcW w:w="1192" w:type="pct"/>
            <w:vAlign w:val="center"/>
          </w:tcPr>
          <w:p w:rsidR="00520D2B" w:rsidRPr="000E01C3" w:rsidRDefault="00520D2B" w:rsidP="00A04A6A">
            <w:pPr>
              <w:keepNext/>
              <w:widowControl/>
              <w:jc w:val="left"/>
              <w:rPr>
                <w:rFonts w:ascii="Arial Narrow" w:hAnsi="Arial Narrow" w:cs="Times New Roman"/>
                <w:sz w:val="20"/>
              </w:rPr>
            </w:pPr>
            <w:r w:rsidRPr="000E01C3">
              <w:rPr>
                <w:rFonts w:ascii="Arial Narrow" w:hAnsi="Arial Narrow" w:cs="Times New Roman"/>
                <w:sz w:val="20"/>
              </w:rPr>
              <w:t>Absolute Δpp</w:t>
            </w:r>
            <w:r w:rsidR="00710FD5" w:rsidRPr="000E01C3">
              <w:rPr>
                <w:rFonts w:ascii="Arial Narrow" w:hAnsi="Arial Narrow" w:cs="Times New Roman"/>
                <w:sz w:val="20"/>
              </w:rPr>
              <w:t>FEV</w:t>
            </w:r>
            <w:r w:rsidR="00710FD5" w:rsidRPr="000E01C3">
              <w:rPr>
                <w:rFonts w:ascii="Arial Narrow" w:hAnsi="Arial Narrow" w:cs="Times New Roman"/>
                <w:sz w:val="20"/>
                <w:vertAlign w:val="subscript"/>
              </w:rPr>
              <w:t>1</w:t>
            </w:r>
            <w:r w:rsidRPr="000E01C3">
              <w:rPr>
                <w:rFonts w:ascii="Arial Narrow" w:hAnsi="Arial Narrow" w:cs="Times New Roman"/>
                <w:sz w:val="20"/>
              </w:rPr>
              <w:t xml:space="preserve"> Wk 26</w:t>
            </w:r>
          </w:p>
        </w:tc>
        <w:tc>
          <w:tcPr>
            <w:tcW w:w="1190" w:type="pct"/>
            <w:tcBorders>
              <w:top w:val="nil"/>
              <w:left w:val="nil"/>
              <w:bottom w:val="single" w:sz="4" w:space="0" w:color="auto"/>
              <w:right w:val="single" w:sz="4" w:space="0" w:color="auto"/>
            </w:tcBorders>
            <w:shd w:val="clear" w:color="auto" w:fill="auto"/>
            <w:vAlign w:val="bottom"/>
          </w:tcPr>
          <w:p w:rsidR="00520D2B" w:rsidRPr="000E01C3" w:rsidRDefault="00520D2B" w:rsidP="00A04A6A">
            <w:pPr>
              <w:keepNext/>
              <w:widowControl/>
              <w:tabs>
                <w:tab w:val="center" w:pos="1153"/>
                <w:tab w:val="right" w:pos="2306"/>
              </w:tabs>
              <w:jc w:val="center"/>
              <w:rPr>
                <w:rFonts w:ascii="Arial Narrow" w:hAnsi="Arial Narrow"/>
                <w:sz w:val="20"/>
              </w:rPr>
            </w:pPr>
            <w:r w:rsidRPr="000E01C3">
              <w:rPr>
                <w:rFonts w:ascii="Arial Narrow" w:hAnsi="Arial Narrow"/>
                <w:sz w:val="20"/>
              </w:rPr>
              <w:t>2.58</w:t>
            </w:r>
          </w:p>
        </w:tc>
        <w:tc>
          <w:tcPr>
            <w:tcW w:w="1270" w:type="pct"/>
            <w:tcBorders>
              <w:top w:val="nil"/>
              <w:left w:val="nil"/>
              <w:bottom w:val="single" w:sz="4" w:space="0" w:color="auto"/>
              <w:right w:val="single" w:sz="4" w:space="0" w:color="auto"/>
            </w:tcBorders>
            <w:shd w:val="clear" w:color="auto" w:fill="auto"/>
            <w:vAlign w:val="bottom"/>
          </w:tcPr>
          <w:p w:rsidR="00520D2B" w:rsidRPr="000E01C3" w:rsidRDefault="00520D2B" w:rsidP="00A04A6A">
            <w:pPr>
              <w:keepNext/>
              <w:widowControl/>
              <w:jc w:val="center"/>
              <w:rPr>
                <w:rFonts w:ascii="Arial Narrow" w:hAnsi="Arial Narrow"/>
                <w:sz w:val="20"/>
              </w:rPr>
            </w:pPr>
            <w:r w:rsidRPr="000E01C3">
              <w:rPr>
                <w:rFonts w:ascii="Arial Narrow" w:hAnsi="Arial Narrow"/>
                <w:sz w:val="20"/>
              </w:rPr>
              <w:t>-0.8</w:t>
            </w:r>
          </w:p>
        </w:tc>
        <w:tc>
          <w:tcPr>
            <w:tcW w:w="1349" w:type="pct"/>
            <w:tcBorders>
              <w:top w:val="nil"/>
              <w:left w:val="nil"/>
              <w:bottom w:val="single" w:sz="4" w:space="0" w:color="auto"/>
              <w:right w:val="single" w:sz="4" w:space="0" w:color="auto"/>
            </w:tcBorders>
            <w:shd w:val="clear" w:color="auto" w:fill="auto"/>
            <w:vAlign w:val="bottom"/>
          </w:tcPr>
          <w:p w:rsidR="00520D2B" w:rsidRPr="000E01C3" w:rsidRDefault="00520D2B" w:rsidP="00A04A6A">
            <w:pPr>
              <w:keepNext/>
              <w:widowControl/>
              <w:jc w:val="center"/>
              <w:rPr>
                <w:rFonts w:ascii="Arial Narrow" w:hAnsi="Arial Narrow"/>
                <w:sz w:val="20"/>
              </w:rPr>
            </w:pPr>
            <w:r w:rsidRPr="000E01C3">
              <w:rPr>
                <w:rFonts w:ascii="Arial Narrow" w:hAnsi="Arial Narrow"/>
                <w:sz w:val="20"/>
              </w:rPr>
              <w:t>3.38</w:t>
            </w:r>
          </w:p>
        </w:tc>
      </w:tr>
      <w:tr w:rsidR="00520D2B" w:rsidRPr="000E01C3" w:rsidTr="00D10BC7">
        <w:trPr>
          <w:cantSplit/>
        </w:trPr>
        <w:tc>
          <w:tcPr>
            <w:tcW w:w="3651" w:type="pct"/>
            <w:gridSpan w:val="3"/>
            <w:tcBorders>
              <w:right w:val="single" w:sz="4" w:space="0" w:color="auto"/>
            </w:tcBorders>
            <w:vAlign w:val="center"/>
          </w:tcPr>
          <w:p w:rsidR="00520D2B" w:rsidRPr="000E01C3" w:rsidRDefault="00520D2B" w:rsidP="00A04A6A">
            <w:pPr>
              <w:keepNext/>
              <w:widowControl/>
              <w:jc w:val="right"/>
              <w:rPr>
                <w:rFonts w:ascii="Arial Narrow" w:hAnsi="Arial Narrow"/>
                <w:bCs/>
                <w:sz w:val="20"/>
              </w:rPr>
            </w:pPr>
            <w:r w:rsidRPr="000E01C3">
              <w:rPr>
                <w:rFonts w:ascii="Arial Narrow" w:hAnsi="Arial Narrow" w:cs="Times New Roman"/>
                <w:bCs/>
                <w:snapToGrid/>
                <w:sz w:val="20"/>
              </w:rPr>
              <w:t>Incremental cost/additional improvement in pp</w:t>
            </w:r>
            <w:r w:rsidR="00710FD5" w:rsidRPr="000E01C3">
              <w:rPr>
                <w:rFonts w:ascii="Arial Narrow" w:hAnsi="Arial Narrow" w:cs="Times New Roman"/>
                <w:bCs/>
                <w:snapToGrid/>
                <w:sz w:val="20"/>
              </w:rPr>
              <w:t>FEV</w:t>
            </w:r>
            <w:r w:rsidR="00710FD5" w:rsidRPr="000E01C3">
              <w:rPr>
                <w:rFonts w:ascii="Arial Narrow" w:hAnsi="Arial Narrow" w:cs="Times New Roman"/>
                <w:bCs/>
                <w:snapToGrid/>
                <w:sz w:val="20"/>
                <w:vertAlign w:val="subscript"/>
              </w:rPr>
              <w:t>1</w:t>
            </w:r>
            <w:r w:rsidRPr="000E01C3">
              <w:rPr>
                <w:rFonts w:ascii="Arial Narrow" w:hAnsi="Arial Narrow" w:cs="Times New Roman"/>
                <w:bCs/>
                <w:snapToGrid/>
                <w:sz w:val="20"/>
                <w:vertAlign w:val="subscript"/>
              </w:rPr>
              <w:t xml:space="preserve"> </w:t>
            </w:r>
          </w:p>
        </w:tc>
        <w:tc>
          <w:tcPr>
            <w:tcW w:w="1349" w:type="pct"/>
            <w:tcBorders>
              <w:top w:val="nil"/>
              <w:left w:val="nil"/>
              <w:bottom w:val="single" w:sz="4" w:space="0" w:color="auto"/>
              <w:right w:val="single" w:sz="4" w:space="0" w:color="auto"/>
            </w:tcBorders>
            <w:shd w:val="clear" w:color="auto" w:fill="auto"/>
            <w:vAlign w:val="bottom"/>
          </w:tcPr>
          <w:p w:rsidR="00520D2B" w:rsidRPr="000E01C3" w:rsidRDefault="00520D2B" w:rsidP="00A04A6A">
            <w:pPr>
              <w:keepNext/>
              <w:widowControl/>
              <w:jc w:val="center"/>
              <w:rPr>
                <w:rFonts w:ascii="Arial Narrow" w:hAnsi="Arial Narrow"/>
                <w:sz w:val="20"/>
              </w:rPr>
            </w:pPr>
            <w:r w:rsidRPr="000E01C3">
              <w:rPr>
                <w:rFonts w:ascii="Arial Narrow" w:hAnsi="Arial Narrow"/>
                <w:sz w:val="20"/>
              </w:rPr>
              <w:t>$</w:t>
            </w:r>
            <w:r w:rsidR="004519D0">
              <w:rPr>
                <w:rFonts w:ascii="Arial Narrow" w:hAnsi="Arial Narrow"/>
                <w:noProof/>
                <w:color w:val="000000"/>
                <w:sz w:val="20"/>
                <w:highlight w:val="black"/>
              </w:rPr>
              <w:t>''''''''''''''</w:t>
            </w:r>
            <w:r w:rsidRPr="000E01C3">
              <w:rPr>
                <w:rFonts w:ascii="Arial Narrow" w:hAnsi="Arial Narrow"/>
                <w:sz w:val="20"/>
              </w:rPr>
              <w:t xml:space="preserve"> / </w:t>
            </w:r>
            <w:r w:rsidRPr="000E01C3">
              <w:rPr>
                <w:rFonts w:ascii="Arial Narrow" w:hAnsi="Arial Narrow" w:cs="Times New Roman"/>
                <w:sz w:val="20"/>
              </w:rPr>
              <w:t>pp</w:t>
            </w:r>
            <w:r w:rsidR="00710FD5" w:rsidRPr="000E01C3">
              <w:rPr>
                <w:rFonts w:ascii="Arial Narrow" w:hAnsi="Arial Narrow" w:cs="Times New Roman"/>
                <w:sz w:val="20"/>
              </w:rPr>
              <w:t>FEV</w:t>
            </w:r>
            <w:r w:rsidR="00710FD5" w:rsidRPr="000E01C3">
              <w:rPr>
                <w:rFonts w:ascii="Arial Narrow" w:hAnsi="Arial Narrow" w:cs="Times New Roman"/>
                <w:sz w:val="20"/>
                <w:vertAlign w:val="subscript"/>
              </w:rPr>
              <w:t>1</w:t>
            </w:r>
          </w:p>
        </w:tc>
      </w:tr>
      <w:tr w:rsidR="00520D2B" w:rsidRPr="000E01C3" w:rsidTr="00D10BC7">
        <w:trPr>
          <w:cantSplit/>
        </w:trPr>
        <w:tc>
          <w:tcPr>
            <w:tcW w:w="5000" w:type="pct"/>
            <w:gridSpan w:val="4"/>
            <w:tcBorders>
              <w:right w:val="single" w:sz="4" w:space="0" w:color="auto"/>
            </w:tcBorders>
            <w:vAlign w:val="center"/>
          </w:tcPr>
          <w:p w:rsidR="00520D2B" w:rsidRPr="000E01C3" w:rsidRDefault="00520D2B" w:rsidP="00A04A6A">
            <w:pPr>
              <w:keepNext/>
              <w:widowControl/>
              <w:jc w:val="left"/>
              <w:rPr>
                <w:rFonts w:ascii="Arial Narrow" w:hAnsi="Arial Narrow" w:cs="Times New Roman"/>
                <w:sz w:val="20"/>
              </w:rPr>
            </w:pPr>
            <w:r w:rsidRPr="000E01C3">
              <w:rPr>
                <w:rFonts w:ascii="Arial Narrow" w:hAnsi="Arial Narrow" w:cs="Times New Roman"/>
                <w:sz w:val="20"/>
              </w:rPr>
              <w:t xml:space="preserve">Step 3a: </w:t>
            </w:r>
          </w:p>
          <w:p w:rsidR="00520D2B" w:rsidRPr="000E01C3" w:rsidRDefault="00520D2B" w:rsidP="00A04A6A">
            <w:pPr>
              <w:pStyle w:val="ListParagraph"/>
              <w:keepNext/>
              <w:widowControl/>
              <w:numPr>
                <w:ilvl w:val="0"/>
                <w:numId w:val="23"/>
              </w:numPr>
              <w:ind w:left="251" w:hanging="186"/>
              <w:jc w:val="left"/>
              <w:rPr>
                <w:rFonts w:ascii="Arial Narrow" w:hAnsi="Arial Narrow" w:cs="Arial Narrow"/>
                <w:sz w:val="20"/>
              </w:rPr>
            </w:pPr>
            <w:r w:rsidRPr="000E01C3">
              <w:rPr>
                <w:rFonts w:ascii="Arial Narrow" w:hAnsi="Arial Narrow" w:cs="Times New Roman"/>
                <w:sz w:val="20"/>
              </w:rPr>
              <w:t>Absolute change in pp</w:t>
            </w:r>
            <w:r w:rsidR="00710FD5" w:rsidRPr="000E01C3">
              <w:rPr>
                <w:rFonts w:ascii="Arial Narrow" w:hAnsi="Arial Narrow" w:cs="Times New Roman"/>
                <w:sz w:val="20"/>
              </w:rPr>
              <w:t>FEV</w:t>
            </w:r>
            <w:r w:rsidR="00710FD5" w:rsidRPr="000E01C3">
              <w:rPr>
                <w:rFonts w:ascii="Arial Narrow" w:hAnsi="Arial Narrow" w:cs="Times New Roman"/>
                <w:sz w:val="20"/>
                <w:vertAlign w:val="subscript"/>
              </w:rPr>
              <w:t>1</w:t>
            </w:r>
            <w:r w:rsidRPr="000E01C3">
              <w:rPr>
                <w:rFonts w:ascii="Arial Narrow" w:hAnsi="Arial Narrow" w:cs="Times New Roman"/>
                <w:sz w:val="20"/>
              </w:rPr>
              <w:t xml:space="preserve"> from baseline at Wk 26 in Trials CF-301/CF-302, excluding ‘non-responders’ at wk14</w:t>
            </w:r>
          </w:p>
          <w:p w:rsidR="00520D2B" w:rsidRPr="000E01C3" w:rsidRDefault="00520D2B" w:rsidP="00A04A6A">
            <w:pPr>
              <w:pStyle w:val="ListParagraph"/>
              <w:keepNext/>
              <w:widowControl/>
              <w:numPr>
                <w:ilvl w:val="0"/>
                <w:numId w:val="23"/>
              </w:numPr>
              <w:ind w:left="251" w:hanging="186"/>
              <w:jc w:val="left"/>
              <w:rPr>
                <w:rFonts w:ascii="Arial Narrow" w:hAnsi="Arial Narrow" w:cs="Arial Narrow"/>
                <w:sz w:val="20"/>
              </w:rPr>
            </w:pPr>
            <w:r w:rsidRPr="000E01C3">
              <w:rPr>
                <w:rFonts w:ascii="Arial Narrow" w:hAnsi="Arial Narrow" w:cs="Times New Roman"/>
                <w:sz w:val="20"/>
              </w:rPr>
              <w:t>Mannitol drug cost; assuming average treatment duration in Trials CF-301/CF-302</w:t>
            </w:r>
            <w:r w:rsidR="001629C2" w:rsidRPr="000E01C3">
              <w:rPr>
                <w:rFonts w:ascii="Arial Narrow" w:hAnsi="Arial Narrow" w:cs="Times New Roman"/>
                <w:sz w:val="20"/>
              </w:rPr>
              <w:t xml:space="preserve"> </w:t>
            </w:r>
            <w:r w:rsidRPr="000E01C3">
              <w:rPr>
                <w:rFonts w:ascii="Arial Narrow" w:hAnsi="Arial Narrow" w:cs="Times New Roman"/>
                <w:sz w:val="20"/>
              </w:rPr>
              <w:t>(21 weeks)</w:t>
            </w:r>
          </w:p>
        </w:tc>
      </w:tr>
      <w:tr w:rsidR="00520D2B" w:rsidRPr="000E01C3" w:rsidTr="00E55C12">
        <w:trPr>
          <w:cantSplit/>
        </w:trPr>
        <w:tc>
          <w:tcPr>
            <w:tcW w:w="1192" w:type="pct"/>
            <w:vAlign w:val="center"/>
          </w:tcPr>
          <w:p w:rsidR="00520D2B" w:rsidRPr="000E01C3" w:rsidRDefault="00520D2B" w:rsidP="00A04A6A">
            <w:pPr>
              <w:keepNext/>
              <w:widowControl/>
              <w:jc w:val="left"/>
              <w:rPr>
                <w:rFonts w:ascii="Arial Narrow" w:hAnsi="Arial Narrow" w:cs="Times New Roman"/>
                <w:sz w:val="20"/>
              </w:rPr>
            </w:pPr>
            <w:r w:rsidRPr="000E01C3">
              <w:rPr>
                <w:rFonts w:ascii="Arial Narrow" w:hAnsi="Arial Narrow" w:cs="Times New Roman"/>
                <w:sz w:val="20"/>
              </w:rPr>
              <w:t>Costs</w:t>
            </w:r>
          </w:p>
        </w:tc>
        <w:tc>
          <w:tcPr>
            <w:tcW w:w="1190" w:type="pct"/>
          </w:tcPr>
          <w:p w:rsidR="00520D2B" w:rsidRPr="000E01C3" w:rsidRDefault="00520D2B" w:rsidP="00A04A6A">
            <w:pPr>
              <w:keepNext/>
              <w:widowControl/>
              <w:tabs>
                <w:tab w:val="center" w:pos="1153"/>
                <w:tab w:val="right" w:pos="2306"/>
              </w:tabs>
              <w:jc w:val="center"/>
              <w:rPr>
                <w:rFonts w:ascii="Arial Narrow" w:hAnsi="Arial Narrow"/>
                <w:sz w:val="20"/>
              </w:rPr>
            </w:pPr>
            <w:r w:rsidRPr="000E01C3">
              <w:rPr>
                <w:rFonts w:ascii="Arial Narrow" w:hAnsi="Arial Narrow" w:cs="Times New Roman"/>
                <w:sz w:val="20"/>
              </w:rPr>
              <w:t>$</w:t>
            </w:r>
            <w:r w:rsidR="004519D0">
              <w:rPr>
                <w:rFonts w:ascii="Arial Narrow" w:hAnsi="Arial Narrow" w:cs="Times New Roman"/>
                <w:noProof/>
                <w:color w:val="000000"/>
                <w:sz w:val="20"/>
                <w:highlight w:val="black"/>
              </w:rPr>
              <w:t>'''''''''''''</w:t>
            </w:r>
          </w:p>
        </w:tc>
        <w:tc>
          <w:tcPr>
            <w:tcW w:w="1270" w:type="pct"/>
            <w:vAlign w:val="center"/>
          </w:tcPr>
          <w:p w:rsidR="00520D2B" w:rsidRPr="000E01C3" w:rsidRDefault="00520D2B" w:rsidP="00A04A6A">
            <w:pPr>
              <w:keepNext/>
              <w:widowControl/>
              <w:jc w:val="center"/>
              <w:rPr>
                <w:rFonts w:ascii="Arial Narrow" w:hAnsi="Arial Narrow"/>
                <w:sz w:val="20"/>
              </w:rPr>
            </w:pPr>
            <w:r w:rsidRPr="000E01C3">
              <w:rPr>
                <w:rFonts w:ascii="Arial Narrow" w:hAnsi="Arial Narrow" w:cs="Times New Roman"/>
                <w:sz w:val="20"/>
              </w:rPr>
              <w:t>$0</w:t>
            </w:r>
          </w:p>
        </w:tc>
        <w:tc>
          <w:tcPr>
            <w:tcW w:w="1349" w:type="pct"/>
          </w:tcPr>
          <w:p w:rsidR="00520D2B" w:rsidRPr="000E01C3" w:rsidRDefault="00520D2B" w:rsidP="00A04A6A">
            <w:pPr>
              <w:keepNext/>
              <w:widowControl/>
              <w:jc w:val="center"/>
              <w:rPr>
                <w:rFonts w:ascii="Arial Narrow" w:hAnsi="Arial Narrow"/>
                <w:sz w:val="20"/>
              </w:rPr>
            </w:pPr>
            <w:r w:rsidRPr="000E01C3">
              <w:rPr>
                <w:rFonts w:ascii="Arial Narrow" w:hAnsi="Arial Narrow" w:cs="Times New Roman"/>
                <w:sz w:val="20"/>
              </w:rPr>
              <w:t>$</w:t>
            </w:r>
            <w:r w:rsidR="004519D0">
              <w:rPr>
                <w:rFonts w:ascii="Arial Narrow" w:hAnsi="Arial Narrow" w:cs="Times New Roman"/>
                <w:noProof/>
                <w:color w:val="000000"/>
                <w:sz w:val="20"/>
                <w:highlight w:val="black"/>
              </w:rPr>
              <w:t>''''''''''''</w:t>
            </w:r>
          </w:p>
        </w:tc>
      </w:tr>
      <w:tr w:rsidR="00520D2B" w:rsidRPr="000E01C3" w:rsidTr="00E55C12">
        <w:trPr>
          <w:cantSplit/>
        </w:trPr>
        <w:tc>
          <w:tcPr>
            <w:tcW w:w="1192" w:type="pct"/>
            <w:vAlign w:val="center"/>
          </w:tcPr>
          <w:p w:rsidR="00520D2B" w:rsidRPr="000E01C3" w:rsidRDefault="00520D2B" w:rsidP="00A04A6A">
            <w:pPr>
              <w:keepNext/>
              <w:widowControl/>
              <w:jc w:val="left"/>
              <w:rPr>
                <w:rFonts w:ascii="Arial Narrow" w:hAnsi="Arial Narrow" w:cs="Times New Roman"/>
                <w:sz w:val="20"/>
              </w:rPr>
            </w:pPr>
            <w:r w:rsidRPr="000E01C3">
              <w:rPr>
                <w:rFonts w:ascii="Arial Narrow" w:hAnsi="Arial Narrow" w:cs="Times New Roman"/>
                <w:sz w:val="20"/>
              </w:rPr>
              <w:t>Absolute Δpp</w:t>
            </w:r>
            <w:r w:rsidR="00710FD5" w:rsidRPr="000E01C3">
              <w:rPr>
                <w:rFonts w:ascii="Arial Narrow" w:hAnsi="Arial Narrow" w:cs="Times New Roman"/>
                <w:sz w:val="20"/>
              </w:rPr>
              <w:t>FEV</w:t>
            </w:r>
            <w:r w:rsidR="00710FD5" w:rsidRPr="000E01C3">
              <w:rPr>
                <w:rFonts w:ascii="Arial Narrow" w:hAnsi="Arial Narrow" w:cs="Times New Roman"/>
                <w:sz w:val="20"/>
                <w:vertAlign w:val="subscript"/>
              </w:rPr>
              <w:t>1</w:t>
            </w:r>
            <w:r w:rsidRPr="000E01C3">
              <w:rPr>
                <w:rFonts w:ascii="Arial Narrow" w:hAnsi="Arial Narrow" w:cs="Times New Roman"/>
                <w:sz w:val="20"/>
              </w:rPr>
              <w:t xml:space="preserve"> Wk 26</w:t>
            </w:r>
          </w:p>
        </w:tc>
        <w:tc>
          <w:tcPr>
            <w:tcW w:w="1190" w:type="pct"/>
            <w:tcBorders>
              <w:top w:val="single" w:sz="4" w:space="0" w:color="auto"/>
              <w:left w:val="single" w:sz="4" w:space="0" w:color="auto"/>
              <w:bottom w:val="single" w:sz="4" w:space="0" w:color="auto"/>
              <w:right w:val="single" w:sz="4" w:space="0" w:color="auto"/>
            </w:tcBorders>
            <w:shd w:val="clear" w:color="auto" w:fill="auto"/>
            <w:vAlign w:val="bottom"/>
          </w:tcPr>
          <w:p w:rsidR="00520D2B" w:rsidRPr="000E01C3" w:rsidRDefault="00520D2B" w:rsidP="00A04A6A">
            <w:pPr>
              <w:keepNext/>
              <w:widowControl/>
              <w:tabs>
                <w:tab w:val="center" w:pos="1153"/>
                <w:tab w:val="right" w:pos="2306"/>
              </w:tabs>
              <w:jc w:val="center"/>
              <w:rPr>
                <w:rFonts w:ascii="Arial Narrow" w:hAnsi="Arial Narrow"/>
                <w:sz w:val="20"/>
              </w:rPr>
            </w:pPr>
            <w:r w:rsidRPr="000E01C3">
              <w:rPr>
                <w:rFonts w:ascii="Arial Narrow" w:hAnsi="Arial Narrow"/>
                <w:sz w:val="20"/>
              </w:rPr>
              <w:t>5.76</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bottom"/>
          </w:tcPr>
          <w:p w:rsidR="00520D2B" w:rsidRPr="000E01C3" w:rsidRDefault="00520D2B" w:rsidP="00A04A6A">
            <w:pPr>
              <w:keepNext/>
              <w:widowControl/>
              <w:jc w:val="center"/>
              <w:rPr>
                <w:rFonts w:ascii="Arial Narrow" w:hAnsi="Arial Narrow"/>
                <w:sz w:val="20"/>
              </w:rPr>
            </w:pPr>
            <w:r w:rsidRPr="000E01C3">
              <w:rPr>
                <w:rFonts w:ascii="Arial Narrow" w:hAnsi="Arial Narrow"/>
                <w:sz w:val="20"/>
              </w:rPr>
              <w:t>0.01</w:t>
            </w:r>
          </w:p>
        </w:tc>
        <w:tc>
          <w:tcPr>
            <w:tcW w:w="1349" w:type="pct"/>
            <w:tcBorders>
              <w:top w:val="single" w:sz="4" w:space="0" w:color="auto"/>
              <w:left w:val="single" w:sz="4" w:space="0" w:color="auto"/>
              <w:bottom w:val="single" w:sz="4" w:space="0" w:color="auto"/>
              <w:right w:val="single" w:sz="4" w:space="0" w:color="auto"/>
            </w:tcBorders>
            <w:shd w:val="clear" w:color="auto" w:fill="auto"/>
            <w:vAlign w:val="bottom"/>
          </w:tcPr>
          <w:p w:rsidR="00520D2B" w:rsidRPr="000E01C3" w:rsidRDefault="00520D2B" w:rsidP="00A04A6A">
            <w:pPr>
              <w:keepNext/>
              <w:widowControl/>
              <w:jc w:val="center"/>
              <w:rPr>
                <w:rFonts w:ascii="Arial Narrow" w:hAnsi="Arial Narrow"/>
                <w:sz w:val="20"/>
              </w:rPr>
            </w:pPr>
            <w:r w:rsidRPr="000E01C3">
              <w:rPr>
                <w:rFonts w:ascii="Arial Narrow" w:hAnsi="Arial Narrow"/>
                <w:sz w:val="20"/>
              </w:rPr>
              <w:t>5.75</w:t>
            </w:r>
          </w:p>
        </w:tc>
      </w:tr>
      <w:tr w:rsidR="00520D2B" w:rsidRPr="000E01C3" w:rsidTr="00D10BC7">
        <w:trPr>
          <w:cantSplit/>
        </w:trPr>
        <w:tc>
          <w:tcPr>
            <w:tcW w:w="3651" w:type="pct"/>
            <w:gridSpan w:val="3"/>
            <w:tcBorders>
              <w:right w:val="single" w:sz="4" w:space="0" w:color="auto"/>
            </w:tcBorders>
            <w:vAlign w:val="center"/>
          </w:tcPr>
          <w:p w:rsidR="00520D2B" w:rsidRPr="000E01C3" w:rsidRDefault="00520D2B" w:rsidP="00A04A6A">
            <w:pPr>
              <w:keepNext/>
              <w:widowControl/>
              <w:jc w:val="right"/>
              <w:rPr>
                <w:rFonts w:ascii="Arial Narrow" w:hAnsi="Arial Narrow"/>
                <w:bCs/>
                <w:sz w:val="20"/>
              </w:rPr>
            </w:pPr>
            <w:r w:rsidRPr="000E01C3">
              <w:rPr>
                <w:rFonts w:ascii="Arial Narrow" w:hAnsi="Arial Narrow" w:cs="Times New Roman"/>
                <w:bCs/>
                <w:snapToGrid/>
                <w:sz w:val="20"/>
              </w:rPr>
              <w:t>Incremental cost/additional improvement in pp</w:t>
            </w:r>
            <w:r w:rsidR="00710FD5" w:rsidRPr="000E01C3">
              <w:rPr>
                <w:rFonts w:ascii="Arial Narrow" w:hAnsi="Arial Narrow" w:cs="Times New Roman"/>
                <w:bCs/>
                <w:snapToGrid/>
                <w:sz w:val="20"/>
              </w:rPr>
              <w:t>FEV</w:t>
            </w:r>
            <w:r w:rsidR="00710FD5" w:rsidRPr="000E01C3">
              <w:rPr>
                <w:rFonts w:ascii="Arial Narrow" w:hAnsi="Arial Narrow" w:cs="Times New Roman"/>
                <w:bCs/>
                <w:snapToGrid/>
                <w:sz w:val="20"/>
                <w:vertAlign w:val="subscript"/>
              </w:rPr>
              <w:t>1</w:t>
            </w:r>
            <w:r w:rsidRPr="000E01C3">
              <w:rPr>
                <w:rFonts w:ascii="Arial Narrow" w:hAnsi="Arial Narrow" w:cs="Times New Roman"/>
                <w:bCs/>
                <w:snapToGrid/>
                <w:sz w:val="20"/>
                <w:vertAlign w:val="subscript"/>
              </w:rPr>
              <w:t xml:space="preserve"> </w:t>
            </w:r>
          </w:p>
        </w:tc>
        <w:tc>
          <w:tcPr>
            <w:tcW w:w="1349" w:type="pct"/>
            <w:tcBorders>
              <w:top w:val="nil"/>
              <w:left w:val="nil"/>
              <w:bottom w:val="single" w:sz="4" w:space="0" w:color="auto"/>
              <w:right w:val="single" w:sz="4" w:space="0" w:color="auto"/>
            </w:tcBorders>
            <w:shd w:val="clear" w:color="auto" w:fill="auto"/>
            <w:vAlign w:val="bottom"/>
          </w:tcPr>
          <w:p w:rsidR="00520D2B" w:rsidRPr="000E01C3" w:rsidRDefault="00520D2B" w:rsidP="00A04A6A">
            <w:pPr>
              <w:keepNext/>
              <w:widowControl/>
              <w:jc w:val="center"/>
              <w:rPr>
                <w:rFonts w:ascii="Arial Narrow" w:hAnsi="Arial Narrow"/>
                <w:sz w:val="20"/>
              </w:rPr>
            </w:pPr>
            <w:r w:rsidRPr="000E01C3">
              <w:rPr>
                <w:rFonts w:ascii="Arial Narrow" w:hAnsi="Arial Narrow"/>
                <w:sz w:val="20"/>
              </w:rPr>
              <w:t>$</w:t>
            </w:r>
            <w:r w:rsidR="004519D0">
              <w:rPr>
                <w:rFonts w:ascii="Arial Narrow" w:hAnsi="Arial Narrow"/>
                <w:noProof/>
                <w:color w:val="000000"/>
                <w:sz w:val="20"/>
                <w:highlight w:val="black"/>
              </w:rPr>
              <w:t>''''''''''</w:t>
            </w:r>
            <w:r w:rsidRPr="000E01C3">
              <w:rPr>
                <w:rFonts w:ascii="Arial Narrow" w:hAnsi="Arial Narrow"/>
                <w:sz w:val="20"/>
              </w:rPr>
              <w:t xml:space="preserve"> / </w:t>
            </w:r>
            <w:r w:rsidRPr="000E01C3">
              <w:rPr>
                <w:rFonts w:ascii="Arial Narrow" w:hAnsi="Arial Narrow" w:cs="Times New Roman"/>
                <w:sz w:val="20"/>
              </w:rPr>
              <w:t>pp</w:t>
            </w:r>
            <w:r w:rsidR="00710FD5" w:rsidRPr="000E01C3">
              <w:rPr>
                <w:rFonts w:ascii="Arial Narrow" w:hAnsi="Arial Narrow" w:cs="Times New Roman"/>
                <w:sz w:val="20"/>
              </w:rPr>
              <w:t>FEV</w:t>
            </w:r>
            <w:r w:rsidR="00710FD5" w:rsidRPr="000E01C3">
              <w:rPr>
                <w:rFonts w:ascii="Arial Narrow" w:hAnsi="Arial Narrow" w:cs="Times New Roman"/>
                <w:sz w:val="20"/>
                <w:vertAlign w:val="subscript"/>
              </w:rPr>
              <w:t>1</w:t>
            </w:r>
          </w:p>
        </w:tc>
      </w:tr>
      <w:tr w:rsidR="00520D2B" w:rsidRPr="000E01C3" w:rsidTr="00D10BC7">
        <w:trPr>
          <w:cantSplit/>
        </w:trPr>
        <w:tc>
          <w:tcPr>
            <w:tcW w:w="5000" w:type="pct"/>
            <w:gridSpan w:val="4"/>
            <w:tcBorders>
              <w:right w:val="single" w:sz="4" w:space="0" w:color="auto"/>
            </w:tcBorders>
            <w:vAlign w:val="center"/>
          </w:tcPr>
          <w:p w:rsidR="00520D2B" w:rsidRPr="000E01C3" w:rsidRDefault="00520D2B" w:rsidP="00A04A6A">
            <w:pPr>
              <w:keepNext/>
              <w:widowControl/>
              <w:jc w:val="left"/>
              <w:rPr>
                <w:rFonts w:ascii="Arial Narrow" w:hAnsi="Arial Narrow" w:cs="Times New Roman"/>
                <w:snapToGrid/>
                <w:sz w:val="20"/>
              </w:rPr>
            </w:pPr>
            <w:r w:rsidRPr="000E01C3">
              <w:rPr>
                <w:rFonts w:ascii="Arial Narrow" w:hAnsi="Arial Narrow" w:cs="Times New Roman"/>
                <w:snapToGrid/>
                <w:sz w:val="20"/>
              </w:rPr>
              <w:t xml:space="preserve">Step 3b: </w:t>
            </w:r>
          </w:p>
          <w:p w:rsidR="00520D2B" w:rsidRPr="000E01C3" w:rsidRDefault="00520D2B" w:rsidP="00A04A6A">
            <w:pPr>
              <w:pStyle w:val="ListParagraph"/>
              <w:keepNext/>
              <w:widowControl/>
              <w:numPr>
                <w:ilvl w:val="0"/>
                <w:numId w:val="23"/>
              </w:numPr>
              <w:ind w:left="251" w:hanging="186"/>
              <w:jc w:val="left"/>
              <w:rPr>
                <w:rFonts w:ascii="Arial Narrow" w:hAnsi="Arial Narrow"/>
                <w:sz w:val="20"/>
              </w:rPr>
            </w:pPr>
            <w:r w:rsidRPr="000E01C3">
              <w:rPr>
                <w:rFonts w:ascii="Arial Narrow" w:hAnsi="Arial Narrow" w:cs="Times New Roman"/>
                <w:sz w:val="20"/>
              </w:rPr>
              <w:t>Step 3a + adjustment made to control arm to account for low dose mannitol</w:t>
            </w:r>
          </w:p>
        </w:tc>
      </w:tr>
      <w:tr w:rsidR="00520D2B" w:rsidRPr="000E01C3" w:rsidTr="00E55C12">
        <w:trPr>
          <w:cantSplit/>
        </w:trPr>
        <w:tc>
          <w:tcPr>
            <w:tcW w:w="1192" w:type="pct"/>
            <w:vAlign w:val="center"/>
          </w:tcPr>
          <w:p w:rsidR="00520D2B" w:rsidRPr="000E01C3" w:rsidRDefault="00520D2B" w:rsidP="00A04A6A">
            <w:pPr>
              <w:keepNext/>
              <w:widowControl/>
              <w:jc w:val="left"/>
              <w:rPr>
                <w:rFonts w:ascii="Arial Narrow" w:hAnsi="Arial Narrow" w:cs="Times New Roman"/>
                <w:sz w:val="20"/>
              </w:rPr>
            </w:pPr>
            <w:r w:rsidRPr="000E01C3">
              <w:rPr>
                <w:rFonts w:ascii="Arial Narrow" w:hAnsi="Arial Narrow" w:cs="Times New Roman"/>
                <w:sz w:val="20"/>
              </w:rPr>
              <w:t>Costs</w:t>
            </w:r>
          </w:p>
        </w:tc>
        <w:tc>
          <w:tcPr>
            <w:tcW w:w="1190" w:type="pct"/>
          </w:tcPr>
          <w:p w:rsidR="00520D2B" w:rsidRPr="000E01C3" w:rsidRDefault="00520D2B" w:rsidP="00A04A6A">
            <w:pPr>
              <w:keepNext/>
              <w:widowControl/>
              <w:tabs>
                <w:tab w:val="center" w:pos="1153"/>
                <w:tab w:val="right" w:pos="2306"/>
              </w:tabs>
              <w:jc w:val="center"/>
              <w:rPr>
                <w:rFonts w:ascii="Arial Narrow" w:hAnsi="Arial Narrow"/>
                <w:sz w:val="20"/>
              </w:rPr>
            </w:pPr>
            <w:r w:rsidRPr="000E01C3">
              <w:rPr>
                <w:rFonts w:ascii="Arial Narrow" w:hAnsi="Arial Narrow" w:cs="Times New Roman"/>
                <w:sz w:val="20"/>
              </w:rPr>
              <w:t>$</w:t>
            </w:r>
            <w:r w:rsidR="004519D0">
              <w:rPr>
                <w:rFonts w:ascii="Arial Narrow" w:hAnsi="Arial Narrow" w:cs="Times New Roman"/>
                <w:noProof/>
                <w:color w:val="000000"/>
                <w:sz w:val="20"/>
                <w:highlight w:val="black"/>
              </w:rPr>
              <w:t>''''''''''''''</w:t>
            </w:r>
          </w:p>
        </w:tc>
        <w:tc>
          <w:tcPr>
            <w:tcW w:w="1270" w:type="pct"/>
            <w:vAlign w:val="center"/>
          </w:tcPr>
          <w:p w:rsidR="00520D2B" w:rsidRPr="000E01C3" w:rsidRDefault="00520D2B" w:rsidP="00A04A6A">
            <w:pPr>
              <w:keepNext/>
              <w:widowControl/>
              <w:jc w:val="center"/>
              <w:rPr>
                <w:rFonts w:ascii="Arial Narrow" w:hAnsi="Arial Narrow"/>
                <w:sz w:val="20"/>
              </w:rPr>
            </w:pPr>
            <w:r w:rsidRPr="000E01C3">
              <w:rPr>
                <w:rFonts w:ascii="Arial Narrow" w:hAnsi="Arial Narrow" w:cs="Times New Roman"/>
                <w:sz w:val="20"/>
              </w:rPr>
              <w:t>$0</w:t>
            </w:r>
          </w:p>
        </w:tc>
        <w:tc>
          <w:tcPr>
            <w:tcW w:w="1349" w:type="pct"/>
          </w:tcPr>
          <w:p w:rsidR="00520D2B" w:rsidRPr="000E01C3" w:rsidRDefault="00520D2B" w:rsidP="00A04A6A">
            <w:pPr>
              <w:keepNext/>
              <w:widowControl/>
              <w:jc w:val="center"/>
              <w:rPr>
                <w:rFonts w:ascii="Arial Narrow" w:hAnsi="Arial Narrow"/>
                <w:sz w:val="20"/>
              </w:rPr>
            </w:pPr>
            <w:r w:rsidRPr="000E01C3">
              <w:rPr>
                <w:rFonts w:ascii="Arial Narrow" w:hAnsi="Arial Narrow" w:cs="Times New Roman"/>
                <w:sz w:val="20"/>
              </w:rPr>
              <w:t>$</w:t>
            </w:r>
            <w:r w:rsidR="004519D0">
              <w:rPr>
                <w:rFonts w:ascii="Arial Narrow" w:hAnsi="Arial Narrow" w:cs="Times New Roman"/>
                <w:noProof/>
                <w:color w:val="000000"/>
                <w:sz w:val="20"/>
                <w:highlight w:val="black"/>
              </w:rPr>
              <w:t>'''''''''''''</w:t>
            </w:r>
          </w:p>
        </w:tc>
      </w:tr>
      <w:tr w:rsidR="00520D2B" w:rsidRPr="000E01C3" w:rsidTr="00E55C12">
        <w:trPr>
          <w:cantSplit/>
        </w:trPr>
        <w:tc>
          <w:tcPr>
            <w:tcW w:w="1192" w:type="pct"/>
            <w:vAlign w:val="center"/>
          </w:tcPr>
          <w:p w:rsidR="00520D2B" w:rsidRPr="000E01C3" w:rsidRDefault="00520D2B" w:rsidP="00A04A6A">
            <w:pPr>
              <w:keepNext/>
              <w:widowControl/>
              <w:jc w:val="left"/>
              <w:rPr>
                <w:rFonts w:ascii="Arial Narrow" w:hAnsi="Arial Narrow" w:cs="Times New Roman"/>
                <w:sz w:val="20"/>
              </w:rPr>
            </w:pPr>
            <w:r w:rsidRPr="000E01C3">
              <w:rPr>
                <w:rFonts w:ascii="Arial Narrow" w:hAnsi="Arial Narrow" w:cs="Times New Roman"/>
                <w:sz w:val="20"/>
              </w:rPr>
              <w:t>Absolute Δpp</w:t>
            </w:r>
            <w:r w:rsidR="00710FD5" w:rsidRPr="000E01C3">
              <w:rPr>
                <w:rFonts w:ascii="Arial Narrow" w:hAnsi="Arial Narrow" w:cs="Times New Roman"/>
                <w:sz w:val="20"/>
              </w:rPr>
              <w:t>FEV</w:t>
            </w:r>
            <w:r w:rsidR="00710FD5" w:rsidRPr="000E01C3">
              <w:rPr>
                <w:rFonts w:ascii="Arial Narrow" w:hAnsi="Arial Narrow" w:cs="Times New Roman"/>
                <w:sz w:val="20"/>
                <w:vertAlign w:val="subscript"/>
              </w:rPr>
              <w:t>1</w:t>
            </w:r>
            <w:r w:rsidRPr="000E01C3">
              <w:rPr>
                <w:rFonts w:ascii="Arial Narrow" w:hAnsi="Arial Narrow" w:cs="Times New Roman"/>
                <w:sz w:val="20"/>
              </w:rPr>
              <w:t xml:space="preserve"> Wk 26</w:t>
            </w:r>
          </w:p>
        </w:tc>
        <w:tc>
          <w:tcPr>
            <w:tcW w:w="1190" w:type="pct"/>
            <w:tcBorders>
              <w:top w:val="single" w:sz="4" w:space="0" w:color="auto"/>
              <w:left w:val="single" w:sz="4" w:space="0" w:color="auto"/>
              <w:bottom w:val="single" w:sz="4" w:space="0" w:color="auto"/>
              <w:right w:val="single" w:sz="4" w:space="0" w:color="auto"/>
            </w:tcBorders>
            <w:shd w:val="clear" w:color="auto" w:fill="auto"/>
            <w:vAlign w:val="bottom"/>
          </w:tcPr>
          <w:p w:rsidR="00520D2B" w:rsidRPr="000E01C3" w:rsidRDefault="00520D2B" w:rsidP="00A04A6A">
            <w:pPr>
              <w:keepNext/>
              <w:widowControl/>
              <w:tabs>
                <w:tab w:val="center" w:pos="1153"/>
                <w:tab w:val="right" w:pos="2306"/>
              </w:tabs>
              <w:jc w:val="center"/>
              <w:rPr>
                <w:rFonts w:ascii="Arial Narrow" w:hAnsi="Arial Narrow"/>
                <w:sz w:val="20"/>
              </w:rPr>
            </w:pPr>
            <w:r w:rsidRPr="000E01C3">
              <w:rPr>
                <w:rFonts w:ascii="Arial Narrow" w:hAnsi="Arial Narrow"/>
                <w:sz w:val="20"/>
              </w:rPr>
              <w:t>5.74</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bottom"/>
          </w:tcPr>
          <w:p w:rsidR="00520D2B" w:rsidRPr="000E01C3" w:rsidRDefault="00520D2B" w:rsidP="00A04A6A">
            <w:pPr>
              <w:keepNext/>
              <w:widowControl/>
              <w:jc w:val="center"/>
              <w:rPr>
                <w:rFonts w:ascii="Arial Narrow" w:hAnsi="Arial Narrow"/>
                <w:sz w:val="20"/>
              </w:rPr>
            </w:pPr>
            <w:r w:rsidRPr="000E01C3">
              <w:rPr>
                <w:rFonts w:ascii="Arial Narrow" w:hAnsi="Arial Narrow"/>
                <w:sz w:val="20"/>
              </w:rPr>
              <w:t>-0.66</w:t>
            </w:r>
          </w:p>
        </w:tc>
        <w:tc>
          <w:tcPr>
            <w:tcW w:w="1349" w:type="pct"/>
            <w:tcBorders>
              <w:top w:val="single" w:sz="4" w:space="0" w:color="auto"/>
              <w:left w:val="single" w:sz="4" w:space="0" w:color="auto"/>
              <w:bottom w:val="single" w:sz="4" w:space="0" w:color="auto"/>
              <w:right w:val="single" w:sz="4" w:space="0" w:color="auto"/>
            </w:tcBorders>
            <w:shd w:val="clear" w:color="auto" w:fill="auto"/>
            <w:vAlign w:val="bottom"/>
          </w:tcPr>
          <w:p w:rsidR="00520D2B" w:rsidRPr="000E01C3" w:rsidRDefault="00520D2B" w:rsidP="00A04A6A">
            <w:pPr>
              <w:keepNext/>
              <w:widowControl/>
              <w:jc w:val="center"/>
              <w:rPr>
                <w:rFonts w:ascii="Arial Narrow" w:hAnsi="Arial Narrow"/>
                <w:sz w:val="20"/>
              </w:rPr>
            </w:pPr>
            <w:r w:rsidRPr="000E01C3">
              <w:rPr>
                <w:rFonts w:ascii="Arial Narrow" w:hAnsi="Arial Narrow"/>
                <w:sz w:val="20"/>
              </w:rPr>
              <w:t>6.4</w:t>
            </w:r>
          </w:p>
        </w:tc>
      </w:tr>
      <w:tr w:rsidR="00520D2B" w:rsidRPr="000E01C3" w:rsidTr="00D10BC7">
        <w:trPr>
          <w:cantSplit/>
          <w:trHeight w:val="70"/>
        </w:trPr>
        <w:tc>
          <w:tcPr>
            <w:tcW w:w="3651" w:type="pct"/>
            <w:gridSpan w:val="3"/>
            <w:vAlign w:val="center"/>
          </w:tcPr>
          <w:p w:rsidR="00520D2B" w:rsidRPr="000E01C3" w:rsidRDefault="00520D2B" w:rsidP="00A04A6A">
            <w:pPr>
              <w:keepNext/>
              <w:widowControl/>
              <w:jc w:val="right"/>
              <w:rPr>
                <w:rFonts w:ascii="Arial Narrow" w:hAnsi="Arial Narrow" w:cs="Times New Roman"/>
                <w:bCs/>
                <w:sz w:val="20"/>
              </w:rPr>
            </w:pPr>
            <w:r w:rsidRPr="000E01C3">
              <w:rPr>
                <w:rFonts w:ascii="Arial Narrow" w:hAnsi="Arial Narrow" w:cs="Times New Roman"/>
                <w:bCs/>
                <w:snapToGrid/>
                <w:sz w:val="20"/>
              </w:rPr>
              <w:t>Incremental cost/additional improvement in pp</w:t>
            </w:r>
            <w:r w:rsidR="00710FD5" w:rsidRPr="000E01C3">
              <w:rPr>
                <w:rFonts w:ascii="Arial Narrow" w:hAnsi="Arial Narrow" w:cs="Times New Roman"/>
                <w:bCs/>
                <w:snapToGrid/>
                <w:sz w:val="20"/>
              </w:rPr>
              <w:t>FEV</w:t>
            </w:r>
            <w:r w:rsidR="00710FD5" w:rsidRPr="000E01C3">
              <w:rPr>
                <w:rFonts w:ascii="Arial Narrow" w:hAnsi="Arial Narrow" w:cs="Times New Roman"/>
                <w:bCs/>
                <w:snapToGrid/>
                <w:sz w:val="20"/>
                <w:vertAlign w:val="subscript"/>
              </w:rPr>
              <w:t>1</w:t>
            </w:r>
            <w:r w:rsidRPr="000E01C3">
              <w:rPr>
                <w:rFonts w:ascii="Arial Narrow" w:hAnsi="Arial Narrow" w:cs="Times New Roman"/>
                <w:bCs/>
                <w:snapToGrid/>
                <w:sz w:val="20"/>
                <w:vertAlign w:val="subscript"/>
              </w:rPr>
              <w:t xml:space="preserve"> </w:t>
            </w:r>
          </w:p>
        </w:tc>
        <w:tc>
          <w:tcPr>
            <w:tcW w:w="1349" w:type="pct"/>
          </w:tcPr>
          <w:p w:rsidR="00520D2B" w:rsidRPr="000E01C3" w:rsidRDefault="00520D2B" w:rsidP="00A04A6A">
            <w:pPr>
              <w:keepNext/>
              <w:widowControl/>
              <w:jc w:val="center"/>
              <w:rPr>
                <w:rFonts w:ascii="Arial Narrow" w:hAnsi="Arial Narrow" w:cs="Times New Roman"/>
                <w:sz w:val="20"/>
              </w:rPr>
            </w:pPr>
            <w:r w:rsidRPr="000E01C3">
              <w:rPr>
                <w:rFonts w:ascii="Arial Narrow" w:hAnsi="Arial Narrow" w:cs="Times New Roman"/>
                <w:sz w:val="20"/>
              </w:rPr>
              <w:t>$</w:t>
            </w:r>
            <w:r w:rsidR="004519D0">
              <w:rPr>
                <w:rFonts w:ascii="Arial Narrow" w:hAnsi="Arial Narrow" w:cs="Times New Roman"/>
                <w:noProof/>
                <w:color w:val="000000"/>
                <w:sz w:val="20"/>
                <w:highlight w:val="black"/>
              </w:rPr>
              <w:t>''''''''</w:t>
            </w:r>
            <w:r w:rsidRPr="000E01C3">
              <w:rPr>
                <w:rFonts w:ascii="Arial Narrow" w:hAnsi="Arial Narrow" w:cs="Times New Roman"/>
                <w:sz w:val="20"/>
              </w:rPr>
              <w:t xml:space="preserve"> / pp</w:t>
            </w:r>
            <w:r w:rsidR="00710FD5" w:rsidRPr="000E01C3">
              <w:rPr>
                <w:rFonts w:ascii="Arial Narrow" w:hAnsi="Arial Narrow" w:cs="Times New Roman"/>
                <w:sz w:val="20"/>
              </w:rPr>
              <w:t>FEV</w:t>
            </w:r>
            <w:r w:rsidR="00710FD5" w:rsidRPr="000E01C3">
              <w:rPr>
                <w:rFonts w:ascii="Arial Narrow" w:hAnsi="Arial Narrow" w:cs="Times New Roman"/>
                <w:sz w:val="20"/>
                <w:vertAlign w:val="subscript"/>
              </w:rPr>
              <w:t>1</w:t>
            </w:r>
          </w:p>
        </w:tc>
      </w:tr>
      <w:tr w:rsidR="00520D2B" w:rsidRPr="000E01C3" w:rsidTr="00D10BC7">
        <w:trPr>
          <w:cantSplit/>
        </w:trPr>
        <w:tc>
          <w:tcPr>
            <w:tcW w:w="5000" w:type="pct"/>
            <w:gridSpan w:val="4"/>
            <w:shd w:val="clear" w:color="auto" w:fill="auto"/>
            <w:vAlign w:val="center"/>
          </w:tcPr>
          <w:p w:rsidR="00520D2B" w:rsidRPr="000E01C3" w:rsidRDefault="00520D2B" w:rsidP="00A04A6A">
            <w:pPr>
              <w:keepNext/>
              <w:widowControl/>
              <w:jc w:val="left"/>
              <w:rPr>
                <w:rFonts w:ascii="Arial Narrow" w:hAnsi="Arial Narrow" w:cs="Arial Narrow"/>
                <w:bCs/>
                <w:sz w:val="20"/>
              </w:rPr>
            </w:pPr>
            <w:r w:rsidRPr="000E01C3">
              <w:rPr>
                <w:rFonts w:ascii="Arial Narrow" w:hAnsi="Arial Narrow" w:cs="Arial Narrow"/>
                <w:bCs/>
                <w:sz w:val="20"/>
              </w:rPr>
              <w:t xml:space="preserve">Step 4: </w:t>
            </w:r>
          </w:p>
          <w:p w:rsidR="00520D2B" w:rsidRPr="000E01C3" w:rsidRDefault="00520D2B" w:rsidP="00A04A6A">
            <w:pPr>
              <w:pStyle w:val="ListParagraph"/>
              <w:keepNext/>
              <w:widowControl/>
              <w:numPr>
                <w:ilvl w:val="0"/>
                <w:numId w:val="23"/>
              </w:numPr>
              <w:ind w:left="251" w:hanging="186"/>
              <w:jc w:val="left"/>
              <w:rPr>
                <w:rFonts w:ascii="Arial Narrow" w:hAnsi="Arial Narrow" w:cs="Arial Narrow"/>
                <w:bCs/>
                <w:sz w:val="20"/>
              </w:rPr>
            </w:pPr>
            <w:r w:rsidRPr="000E01C3">
              <w:rPr>
                <w:rFonts w:ascii="Arial Narrow" w:hAnsi="Arial Narrow" w:cs="Arial Narrow"/>
                <w:bCs/>
                <w:sz w:val="20"/>
              </w:rPr>
              <w:t xml:space="preserve">LYs in the modelled </w:t>
            </w:r>
            <w:r w:rsidRPr="000E01C3">
              <w:rPr>
                <w:rFonts w:ascii="Arial Narrow" w:hAnsi="Arial Narrow" w:cs="Times New Roman"/>
                <w:bCs/>
                <w:sz w:val="20"/>
              </w:rPr>
              <w:t>evaluation over 1</w:t>
            </w:r>
            <w:r w:rsidR="00A04A6A" w:rsidRPr="000E01C3">
              <w:rPr>
                <w:rFonts w:ascii="Arial Narrow" w:hAnsi="Arial Narrow" w:cs="Times New Roman"/>
                <w:bCs/>
                <w:sz w:val="20"/>
              </w:rPr>
              <w:t>00 year (lifetime) time horizon</w:t>
            </w:r>
          </w:p>
          <w:p w:rsidR="00520D2B" w:rsidRPr="000E01C3" w:rsidRDefault="00520D2B" w:rsidP="00A04A6A">
            <w:pPr>
              <w:pStyle w:val="ListParagraph"/>
              <w:keepNext/>
              <w:widowControl/>
              <w:numPr>
                <w:ilvl w:val="0"/>
                <w:numId w:val="23"/>
              </w:numPr>
              <w:ind w:left="251" w:hanging="186"/>
              <w:jc w:val="left"/>
              <w:rPr>
                <w:rFonts w:ascii="Arial Narrow" w:hAnsi="Arial Narrow" w:cs="Arial Narrow"/>
                <w:b/>
                <w:bCs/>
                <w:sz w:val="20"/>
              </w:rPr>
            </w:pPr>
            <w:r w:rsidRPr="000E01C3">
              <w:rPr>
                <w:rFonts w:ascii="Arial Narrow" w:hAnsi="Arial Narrow" w:cs="Arial Narrow"/>
                <w:bCs/>
                <w:sz w:val="20"/>
              </w:rPr>
              <w:t>All modelled costs</w:t>
            </w:r>
          </w:p>
        </w:tc>
      </w:tr>
      <w:tr w:rsidR="00520D2B" w:rsidRPr="000E01C3" w:rsidTr="00E55C12">
        <w:trPr>
          <w:cantSplit/>
        </w:trPr>
        <w:tc>
          <w:tcPr>
            <w:tcW w:w="1192" w:type="pct"/>
            <w:shd w:val="clear" w:color="auto" w:fill="auto"/>
            <w:vAlign w:val="center"/>
          </w:tcPr>
          <w:p w:rsidR="00520D2B" w:rsidRPr="000E01C3" w:rsidRDefault="00520D2B" w:rsidP="00A04A6A">
            <w:pPr>
              <w:keepNext/>
              <w:widowControl/>
              <w:jc w:val="left"/>
              <w:rPr>
                <w:rFonts w:ascii="Arial Narrow" w:hAnsi="Arial Narrow" w:cs="Times New Roman"/>
                <w:sz w:val="20"/>
              </w:rPr>
            </w:pPr>
            <w:r w:rsidRPr="000E01C3">
              <w:rPr>
                <w:rFonts w:ascii="Arial Narrow" w:hAnsi="Arial Narrow" w:cs="Times New Roman"/>
                <w:sz w:val="20"/>
              </w:rPr>
              <w:t>Costs (discounted)</w:t>
            </w:r>
          </w:p>
        </w:tc>
        <w:tc>
          <w:tcPr>
            <w:tcW w:w="1190" w:type="pct"/>
            <w:shd w:val="clear" w:color="auto" w:fill="auto"/>
          </w:tcPr>
          <w:p w:rsidR="00520D2B" w:rsidRPr="000E01C3" w:rsidRDefault="00520D2B" w:rsidP="00A04A6A">
            <w:pPr>
              <w:keepNext/>
              <w:widowControl/>
              <w:jc w:val="center"/>
              <w:rPr>
                <w:rFonts w:ascii="Arial Narrow" w:hAnsi="Arial Narrow" w:cs="Times New Roman"/>
                <w:sz w:val="20"/>
              </w:rPr>
            </w:pPr>
            <w:r w:rsidRPr="000E01C3">
              <w:rPr>
                <w:rFonts w:ascii="Arial Narrow" w:hAnsi="Arial Narrow" w:cs="Times New Roman"/>
                <w:sz w:val="20"/>
              </w:rPr>
              <w:t>$</w:t>
            </w:r>
            <w:r w:rsidR="004519D0">
              <w:rPr>
                <w:rFonts w:ascii="Arial Narrow" w:hAnsi="Arial Narrow" w:cs="Times New Roman"/>
                <w:noProof/>
                <w:color w:val="000000"/>
                <w:sz w:val="20"/>
                <w:highlight w:val="black"/>
              </w:rPr>
              <w:t>'''''''''''''''''''''</w:t>
            </w:r>
          </w:p>
        </w:tc>
        <w:tc>
          <w:tcPr>
            <w:tcW w:w="1270" w:type="pct"/>
            <w:shd w:val="clear" w:color="auto" w:fill="auto"/>
            <w:vAlign w:val="center"/>
          </w:tcPr>
          <w:p w:rsidR="00520D2B" w:rsidRPr="000E01C3" w:rsidRDefault="00520D2B" w:rsidP="00A04A6A">
            <w:pPr>
              <w:keepNext/>
              <w:widowControl/>
              <w:jc w:val="center"/>
              <w:rPr>
                <w:rFonts w:ascii="Arial Narrow" w:hAnsi="Arial Narrow" w:cs="Times New Roman"/>
                <w:sz w:val="20"/>
              </w:rPr>
            </w:pPr>
            <w:r w:rsidRPr="000E01C3">
              <w:rPr>
                <w:rFonts w:ascii="Arial Narrow" w:hAnsi="Arial Narrow" w:cs="Times New Roman"/>
                <w:sz w:val="20"/>
              </w:rPr>
              <w:t>$</w:t>
            </w:r>
            <w:r w:rsidR="004519D0">
              <w:rPr>
                <w:rFonts w:ascii="Arial Narrow" w:hAnsi="Arial Narrow" w:cs="Times New Roman"/>
                <w:noProof/>
                <w:color w:val="000000"/>
                <w:sz w:val="20"/>
                <w:highlight w:val="black"/>
              </w:rPr>
              <w:t>'''''''''''''''''''</w:t>
            </w:r>
          </w:p>
        </w:tc>
        <w:tc>
          <w:tcPr>
            <w:tcW w:w="1349" w:type="pct"/>
            <w:shd w:val="clear" w:color="auto" w:fill="auto"/>
          </w:tcPr>
          <w:p w:rsidR="00520D2B" w:rsidRPr="000E01C3" w:rsidRDefault="00520D2B" w:rsidP="00A04A6A">
            <w:pPr>
              <w:keepNext/>
              <w:widowControl/>
              <w:jc w:val="center"/>
              <w:rPr>
                <w:rFonts w:ascii="Arial Narrow" w:hAnsi="Arial Narrow" w:cs="Times New Roman"/>
                <w:sz w:val="20"/>
              </w:rPr>
            </w:pPr>
            <w:r w:rsidRPr="000E01C3">
              <w:rPr>
                <w:rFonts w:ascii="Arial Narrow" w:hAnsi="Arial Narrow" w:cs="Times New Roman"/>
                <w:sz w:val="20"/>
              </w:rPr>
              <w:t>$</w:t>
            </w:r>
            <w:r w:rsidR="004519D0">
              <w:rPr>
                <w:rFonts w:ascii="Arial Narrow" w:hAnsi="Arial Narrow" w:cs="Times New Roman"/>
                <w:noProof/>
                <w:color w:val="000000"/>
                <w:sz w:val="20"/>
                <w:highlight w:val="black"/>
              </w:rPr>
              <w:t>''''''''''''''''</w:t>
            </w:r>
          </w:p>
        </w:tc>
      </w:tr>
      <w:tr w:rsidR="00520D2B" w:rsidRPr="000E01C3" w:rsidTr="00E55C12">
        <w:trPr>
          <w:cantSplit/>
        </w:trPr>
        <w:tc>
          <w:tcPr>
            <w:tcW w:w="1192" w:type="pct"/>
            <w:shd w:val="clear" w:color="auto" w:fill="auto"/>
            <w:vAlign w:val="center"/>
          </w:tcPr>
          <w:p w:rsidR="00520D2B" w:rsidRPr="000E01C3" w:rsidRDefault="00520D2B" w:rsidP="00A04A6A">
            <w:pPr>
              <w:keepNext/>
              <w:widowControl/>
              <w:jc w:val="left"/>
              <w:rPr>
                <w:rFonts w:ascii="Arial Narrow" w:hAnsi="Arial Narrow" w:cs="Times New Roman"/>
                <w:sz w:val="20"/>
              </w:rPr>
            </w:pPr>
            <w:r w:rsidRPr="000E01C3">
              <w:rPr>
                <w:rFonts w:ascii="Arial Narrow" w:hAnsi="Arial Narrow" w:cs="Times New Roman"/>
                <w:sz w:val="20"/>
              </w:rPr>
              <w:t>LYs (discounted)</w:t>
            </w:r>
          </w:p>
        </w:tc>
        <w:tc>
          <w:tcPr>
            <w:tcW w:w="1190" w:type="pct"/>
            <w:shd w:val="clear" w:color="auto" w:fill="auto"/>
          </w:tcPr>
          <w:p w:rsidR="00520D2B" w:rsidRPr="000E01C3" w:rsidRDefault="00520D2B" w:rsidP="00A04A6A">
            <w:pPr>
              <w:keepNext/>
              <w:widowControl/>
              <w:jc w:val="center"/>
              <w:rPr>
                <w:rFonts w:ascii="Arial Narrow" w:hAnsi="Arial Narrow" w:cs="Times New Roman"/>
                <w:sz w:val="20"/>
              </w:rPr>
            </w:pPr>
            <w:r w:rsidRPr="000E01C3">
              <w:rPr>
                <w:rFonts w:ascii="Arial Narrow" w:hAnsi="Arial Narrow" w:cs="Times New Roman"/>
                <w:sz w:val="20"/>
              </w:rPr>
              <w:t>14.58</w:t>
            </w:r>
          </w:p>
        </w:tc>
        <w:tc>
          <w:tcPr>
            <w:tcW w:w="1270" w:type="pct"/>
            <w:shd w:val="clear" w:color="auto" w:fill="auto"/>
            <w:vAlign w:val="center"/>
          </w:tcPr>
          <w:p w:rsidR="00520D2B" w:rsidRPr="000E01C3" w:rsidRDefault="00520D2B" w:rsidP="00A04A6A">
            <w:pPr>
              <w:keepNext/>
              <w:widowControl/>
              <w:jc w:val="center"/>
              <w:rPr>
                <w:rFonts w:ascii="Arial Narrow" w:hAnsi="Arial Narrow" w:cs="Times New Roman"/>
                <w:sz w:val="20"/>
              </w:rPr>
            </w:pPr>
            <w:r w:rsidRPr="000E01C3">
              <w:rPr>
                <w:rFonts w:ascii="Arial Narrow" w:hAnsi="Arial Narrow" w:cs="Times New Roman"/>
                <w:sz w:val="20"/>
              </w:rPr>
              <w:t>13.90</w:t>
            </w:r>
          </w:p>
        </w:tc>
        <w:tc>
          <w:tcPr>
            <w:tcW w:w="1349" w:type="pct"/>
            <w:shd w:val="clear" w:color="auto" w:fill="auto"/>
          </w:tcPr>
          <w:p w:rsidR="00520D2B" w:rsidRPr="000E01C3" w:rsidRDefault="00520D2B" w:rsidP="00A04A6A">
            <w:pPr>
              <w:keepNext/>
              <w:widowControl/>
              <w:jc w:val="center"/>
              <w:rPr>
                <w:rFonts w:ascii="Arial Narrow" w:hAnsi="Arial Narrow" w:cs="Times New Roman"/>
                <w:sz w:val="20"/>
              </w:rPr>
            </w:pPr>
            <w:r w:rsidRPr="000E01C3">
              <w:rPr>
                <w:rFonts w:ascii="Arial Narrow" w:hAnsi="Arial Narrow" w:cs="Times New Roman"/>
                <w:sz w:val="20"/>
              </w:rPr>
              <w:t>0.68</w:t>
            </w:r>
          </w:p>
        </w:tc>
      </w:tr>
      <w:tr w:rsidR="00520D2B" w:rsidRPr="000E01C3" w:rsidTr="00D10BC7">
        <w:trPr>
          <w:cantSplit/>
        </w:trPr>
        <w:tc>
          <w:tcPr>
            <w:tcW w:w="3651" w:type="pct"/>
            <w:gridSpan w:val="3"/>
            <w:shd w:val="clear" w:color="auto" w:fill="auto"/>
            <w:vAlign w:val="center"/>
          </w:tcPr>
          <w:p w:rsidR="00520D2B" w:rsidRPr="000E01C3" w:rsidRDefault="00520D2B" w:rsidP="00A04A6A">
            <w:pPr>
              <w:keepNext/>
              <w:widowControl/>
              <w:jc w:val="right"/>
              <w:rPr>
                <w:rFonts w:ascii="Arial Narrow" w:hAnsi="Arial Narrow" w:cs="Times New Roman"/>
                <w:sz w:val="20"/>
              </w:rPr>
            </w:pPr>
            <w:r w:rsidRPr="000E01C3">
              <w:rPr>
                <w:rFonts w:ascii="Arial Narrow" w:hAnsi="Arial Narrow" w:cs="Times New Roman"/>
                <w:sz w:val="20"/>
              </w:rPr>
              <w:t>Incremental cost/LY gained</w:t>
            </w:r>
          </w:p>
        </w:tc>
        <w:tc>
          <w:tcPr>
            <w:tcW w:w="1349" w:type="pct"/>
            <w:shd w:val="clear" w:color="auto" w:fill="auto"/>
          </w:tcPr>
          <w:p w:rsidR="00520D2B" w:rsidRPr="000E01C3" w:rsidRDefault="00520D2B" w:rsidP="00A04A6A">
            <w:pPr>
              <w:keepNext/>
              <w:widowControl/>
              <w:jc w:val="center"/>
              <w:rPr>
                <w:rFonts w:ascii="Arial Narrow" w:hAnsi="Arial Narrow" w:cs="Times New Roman"/>
                <w:sz w:val="20"/>
              </w:rPr>
            </w:pPr>
            <w:r w:rsidRPr="000E01C3">
              <w:rPr>
                <w:rFonts w:ascii="Arial Narrow" w:hAnsi="Arial Narrow" w:cs="Times New Roman"/>
                <w:sz w:val="20"/>
              </w:rPr>
              <w:t>$</w:t>
            </w:r>
            <w:r w:rsidR="004519D0">
              <w:rPr>
                <w:rFonts w:ascii="Arial Narrow" w:hAnsi="Arial Narrow" w:cs="Times New Roman"/>
                <w:noProof/>
                <w:color w:val="000000"/>
                <w:sz w:val="20"/>
                <w:highlight w:val="black"/>
              </w:rPr>
              <w:t>''''''''''''''''''</w:t>
            </w:r>
            <w:r w:rsidRPr="000E01C3">
              <w:rPr>
                <w:rFonts w:ascii="Arial Narrow" w:hAnsi="Arial Narrow" w:cs="Times New Roman"/>
                <w:sz w:val="20"/>
              </w:rPr>
              <w:t xml:space="preserve"> / LYG</w:t>
            </w:r>
          </w:p>
        </w:tc>
      </w:tr>
      <w:tr w:rsidR="00520D2B" w:rsidRPr="000E01C3" w:rsidTr="00D10BC7">
        <w:trPr>
          <w:cantSplit/>
        </w:trPr>
        <w:tc>
          <w:tcPr>
            <w:tcW w:w="5000" w:type="pct"/>
            <w:gridSpan w:val="4"/>
            <w:shd w:val="clear" w:color="auto" w:fill="auto"/>
            <w:vAlign w:val="center"/>
          </w:tcPr>
          <w:p w:rsidR="00520D2B" w:rsidRPr="000E01C3" w:rsidRDefault="00520D2B" w:rsidP="00A04A6A">
            <w:pPr>
              <w:keepNext/>
              <w:widowControl/>
              <w:jc w:val="left"/>
              <w:rPr>
                <w:rFonts w:ascii="Arial Narrow" w:hAnsi="Arial Narrow" w:cs="Arial Narrow"/>
                <w:b/>
                <w:bCs/>
                <w:sz w:val="20"/>
              </w:rPr>
            </w:pPr>
            <w:r w:rsidRPr="000E01C3">
              <w:rPr>
                <w:rFonts w:ascii="Arial Narrow" w:hAnsi="Arial Narrow" w:cs="Arial Narrow"/>
                <w:b/>
                <w:bCs/>
                <w:sz w:val="20"/>
              </w:rPr>
              <w:t xml:space="preserve">Step 5: </w:t>
            </w:r>
          </w:p>
          <w:p w:rsidR="00520D2B" w:rsidRPr="000E01C3" w:rsidRDefault="00520D2B" w:rsidP="00A04A6A">
            <w:pPr>
              <w:pStyle w:val="ListParagraph"/>
              <w:keepNext/>
              <w:widowControl/>
              <w:numPr>
                <w:ilvl w:val="0"/>
                <w:numId w:val="23"/>
              </w:numPr>
              <w:ind w:left="251" w:hanging="186"/>
              <w:jc w:val="left"/>
              <w:rPr>
                <w:rFonts w:ascii="Arial Narrow" w:hAnsi="Arial Narrow" w:cs="Arial Narrow"/>
                <w:b/>
                <w:bCs/>
                <w:sz w:val="20"/>
              </w:rPr>
            </w:pPr>
            <w:r w:rsidRPr="000E01C3">
              <w:rPr>
                <w:rFonts w:ascii="Arial Narrow" w:hAnsi="Arial Narrow" w:cs="Arial Narrow"/>
                <w:b/>
                <w:bCs/>
                <w:sz w:val="20"/>
              </w:rPr>
              <w:t xml:space="preserve">QALYs in the modelled </w:t>
            </w:r>
            <w:r w:rsidRPr="000E01C3">
              <w:rPr>
                <w:rFonts w:ascii="Arial Narrow" w:hAnsi="Arial Narrow" w:cs="Times New Roman"/>
                <w:b/>
                <w:bCs/>
                <w:sz w:val="20"/>
              </w:rPr>
              <w:t>evaluation over 100 year (lifetime) time horizon</w:t>
            </w:r>
          </w:p>
          <w:p w:rsidR="00520D2B" w:rsidRPr="000E01C3" w:rsidRDefault="00520D2B" w:rsidP="00A04A6A">
            <w:pPr>
              <w:pStyle w:val="ListParagraph"/>
              <w:keepNext/>
              <w:widowControl/>
              <w:numPr>
                <w:ilvl w:val="0"/>
                <w:numId w:val="23"/>
              </w:numPr>
              <w:ind w:left="251" w:hanging="186"/>
              <w:jc w:val="left"/>
              <w:rPr>
                <w:rFonts w:ascii="Arial Narrow" w:hAnsi="Arial Narrow" w:cs="Arial Narrow"/>
                <w:b/>
                <w:bCs/>
                <w:sz w:val="20"/>
              </w:rPr>
            </w:pPr>
            <w:r w:rsidRPr="000E01C3">
              <w:rPr>
                <w:rFonts w:ascii="Arial Narrow" w:hAnsi="Arial Narrow" w:cs="Arial Narrow"/>
                <w:b/>
                <w:bCs/>
                <w:sz w:val="20"/>
              </w:rPr>
              <w:t>All modelled costs</w:t>
            </w:r>
          </w:p>
        </w:tc>
      </w:tr>
      <w:tr w:rsidR="00520D2B" w:rsidRPr="000E01C3" w:rsidTr="00E55C12">
        <w:trPr>
          <w:cantSplit/>
        </w:trPr>
        <w:tc>
          <w:tcPr>
            <w:tcW w:w="1192" w:type="pct"/>
            <w:shd w:val="clear" w:color="auto" w:fill="auto"/>
            <w:vAlign w:val="center"/>
          </w:tcPr>
          <w:p w:rsidR="00520D2B" w:rsidRPr="000E01C3" w:rsidRDefault="00520D2B" w:rsidP="00A04A6A">
            <w:pPr>
              <w:keepNext/>
              <w:widowControl/>
              <w:jc w:val="left"/>
              <w:rPr>
                <w:rFonts w:ascii="Arial Narrow" w:hAnsi="Arial Narrow" w:cs="Times New Roman"/>
                <w:sz w:val="20"/>
              </w:rPr>
            </w:pPr>
            <w:r w:rsidRPr="000E01C3">
              <w:rPr>
                <w:rFonts w:ascii="Arial Narrow" w:hAnsi="Arial Narrow" w:cs="Times New Roman"/>
                <w:sz w:val="20"/>
              </w:rPr>
              <w:t>Costs (discounted)</w:t>
            </w:r>
          </w:p>
        </w:tc>
        <w:tc>
          <w:tcPr>
            <w:tcW w:w="1190" w:type="pct"/>
            <w:shd w:val="clear" w:color="auto" w:fill="auto"/>
          </w:tcPr>
          <w:p w:rsidR="00520D2B" w:rsidRPr="000E01C3" w:rsidRDefault="00520D2B" w:rsidP="00A04A6A">
            <w:pPr>
              <w:keepNext/>
              <w:widowControl/>
              <w:jc w:val="center"/>
              <w:rPr>
                <w:rFonts w:ascii="Arial Narrow" w:hAnsi="Arial Narrow" w:cs="Times New Roman"/>
                <w:sz w:val="20"/>
              </w:rPr>
            </w:pPr>
            <w:r w:rsidRPr="000E01C3">
              <w:rPr>
                <w:rFonts w:ascii="Arial Narrow" w:hAnsi="Arial Narrow" w:cs="Times New Roman"/>
                <w:sz w:val="20"/>
              </w:rPr>
              <w:t>$</w:t>
            </w:r>
            <w:r w:rsidR="004519D0">
              <w:rPr>
                <w:rFonts w:ascii="Arial Narrow" w:hAnsi="Arial Narrow" w:cs="Times New Roman"/>
                <w:noProof/>
                <w:color w:val="000000"/>
                <w:sz w:val="20"/>
                <w:highlight w:val="black"/>
              </w:rPr>
              <w:t>'''''''''''''''''''''</w:t>
            </w:r>
          </w:p>
        </w:tc>
        <w:tc>
          <w:tcPr>
            <w:tcW w:w="1270" w:type="pct"/>
            <w:shd w:val="clear" w:color="auto" w:fill="auto"/>
            <w:vAlign w:val="center"/>
          </w:tcPr>
          <w:p w:rsidR="00520D2B" w:rsidRPr="000E01C3" w:rsidRDefault="00520D2B" w:rsidP="00A04A6A">
            <w:pPr>
              <w:keepNext/>
              <w:widowControl/>
              <w:jc w:val="center"/>
              <w:rPr>
                <w:rFonts w:ascii="Arial Narrow" w:hAnsi="Arial Narrow" w:cs="Times New Roman"/>
                <w:sz w:val="20"/>
              </w:rPr>
            </w:pPr>
            <w:r w:rsidRPr="000E01C3">
              <w:rPr>
                <w:rFonts w:ascii="Arial Narrow" w:hAnsi="Arial Narrow" w:cs="Times New Roman"/>
                <w:sz w:val="20"/>
              </w:rPr>
              <w:t>$</w:t>
            </w:r>
            <w:r w:rsidR="004519D0">
              <w:rPr>
                <w:rFonts w:ascii="Arial Narrow" w:hAnsi="Arial Narrow" w:cs="Times New Roman"/>
                <w:noProof/>
                <w:color w:val="000000"/>
                <w:sz w:val="20"/>
                <w:highlight w:val="black"/>
              </w:rPr>
              <w:t>''''''''''''''''''''</w:t>
            </w:r>
          </w:p>
        </w:tc>
        <w:tc>
          <w:tcPr>
            <w:tcW w:w="1349" w:type="pct"/>
            <w:shd w:val="clear" w:color="auto" w:fill="auto"/>
          </w:tcPr>
          <w:p w:rsidR="00520D2B" w:rsidRPr="000E01C3" w:rsidRDefault="00520D2B" w:rsidP="00A04A6A">
            <w:pPr>
              <w:keepNext/>
              <w:widowControl/>
              <w:jc w:val="center"/>
              <w:rPr>
                <w:rFonts w:ascii="Arial Narrow" w:hAnsi="Arial Narrow" w:cs="Times New Roman"/>
                <w:sz w:val="20"/>
              </w:rPr>
            </w:pPr>
            <w:r w:rsidRPr="000E01C3">
              <w:rPr>
                <w:rFonts w:ascii="Arial Narrow" w:hAnsi="Arial Narrow" w:cs="Times New Roman"/>
                <w:sz w:val="20"/>
              </w:rPr>
              <w:t>$</w:t>
            </w:r>
            <w:r w:rsidR="004519D0">
              <w:rPr>
                <w:rFonts w:ascii="Arial Narrow" w:hAnsi="Arial Narrow" w:cs="Times New Roman"/>
                <w:noProof/>
                <w:color w:val="000000"/>
                <w:sz w:val="20"/>
                <w:highlight w:val="black"/>
              </w:rPr>
              <w:t>'''''''''''''''</w:t>
            </w:r>
          </w:p>
        </w:tc>
      </w:tr>
      <w:tr w:rsidR="00520D2B" w:rsidRPr="000E01C3" w:rsidTr="00E55C12">
        <w:trPr>
          <w:cantSplit/>
        </w:trPr>
        <w:tc>
          <w:tcPr>
            <w:tcW w:w="1192" w:type="pct"/>
            <w:shd w:val="clear" w:color="auto" w:fill="auto"/>
            <w:vAlign w:val="center"/>
          </w:tcPr>
          <w:p w:rsidR="00520D2B" w:rsidRPr="000E01C3" w:rsidRDefault="00520D2B" w:rsidP="00A04A6A">
            <w:pPr>
              <w:keepNext/>
              <w:widowControl/>
              <w:jc w:val="left"/>
              <w:rPr>
                <w:rFonts w:ascii="Arial Narrow" w:hAnsi="Arial Narrow" w:cs="Times New Roman"/>
                <w:sz w:val="20"/>
              </w:rPr>
            </w:pPr>
            <w:r w:rsidRPr="000E01C3">
              <w:rPr>
                <w:rFonts w:ascii="Arial Narrow" w:hAnsi="Arial Narrow" w:cs="Times New Roman"/>
                <w:sz w:val="20"/>
              </w:rPr>
              <w:t>QALYs (discounted)</w:t>
            </w:r>
          </w:p>
        </w:tc>
        <w:tc>
          <w:tcPr>
            <w:tcW w:w="1190" w:type="pct"/>
            <w:shd w:val="clear" w:color="auto" w:fill="auto"/>
          </w:tcPr>
          <w:p w:rsidR="00520D2B" w:rsidRPr="000E01C3" w:rsidRDefault="00520D2B" w:rsidP="00A04A6A">
            <w:pPr>
              <w:keepNext/>
              <w:widowControl/>
              <w:jc w:val="center"/>
              <w:rPr>
                <w:rFonts w:ascii="Arial Narrow" w:hAnsi="Arial Narrow" w:cs="Times New Roman"/>
                <w:sz w:val="20"/>
              </w:rPr>
            </w:pPr>
            <w:r w:rsidRPr="000E01C3">
              <w:rPr>
                <w:rFonts w:ascii="Arial Narrow" w:hAnsi="Arial Narrow" w:cs="Times New Roman"/>
                <w:sz w:val="20"/>
              </w:rPr>
              <w:t>13.12</w:t>
            </w:r>
          </w:p>
        </w:tc>
        <w:tc>
          <w:tcPr>
            <w:tcW w:w="1270" w:type="pct"/>
            <w:shd w:val="clear" w:color="auto" w:fill="auto"/>
            <w:vAlign w:val="center"/>
          </w:tcPr>
          <w:p w:rsidR="00520D2B" w:rsidRPr="000E01C3" w:rsidRDefault="00520D2B" w:rsidP="00A04A6A">
            <w:pPr>
              <w:keepNext/>
              <w:widowControl/>
              <w:jc w:val="center"/>
              <w:rPr>
                <w:rFonts w:ascii="Arial Narrow" w:hAnsi="Arial Narrow" w:cs="Times New Roman"/>
                <w:sz w:val="20"/>
              </w:rPr>
            </w:pPr>
            <w:r w:rsidRPr="000E01C3">
              <w:rPr>
                <w:rFonts w:ascii="Arial Narrow" w:hAnsi="Arial Narrow" w:cs="Times New Roman"/>
                <w:sz w:val="20"/>
              </w:rPr>
              <w:t>12.42</w:t>
            </w:r>
          </w:p>
        </w:tc>
        <w:tc>
          <w:tcPr>
            <w:tcW w:w="1349" w:type="pct"/>
            <w:shd w:val="clear" w:color="auto" w:fill="auto"/>
          </w:tcPr>
          <w:p w:rsidR="00520D2B" w:rsidRPr="000E01C3" w:rsidRDefault="00520D2B" w:rsidP="00A04A6A">
            <w:pPr>
              <w:keepNext/>
              <w:widowControl/>
              <w:jc w:val="center"/>
              <w:rPr>
                <w:rFonts w:ascii="Arial Narrow" w:hAnsi="Arial Narrow" w:cs="Times New Roman"/>
                <w:sz w:val="20"/>
              </w:rPr>
            </w:pPr>
            <w:r w:rsidRPr="000E01C3">
              <w:rPr>
                <w:rFonts w:ascii="Arial Narrow" w:hAnsi="Arial Narrow" w:cs="Times New Roman"/>
                <w:sz w:val="20"/>
              </w:rPr>
              <w:t>0.70</w:t>
            </w:r>
          </w:p>
        </w:tc>
      </w:tr>
      <w:tr w:rsidR="00520D2B" w:rsidRPr="000E01C3" w:rsidTr="00D10BC7">
        <w:trPr>
          <w:cantSplit/>
        </w:trPr>
        <w:tc>
          <w:tcPr>
            <w:tcW w:w="3651" w:type="pct"/>
            <w:gridSpan w:val="3"/>
            <w:shd w:val="clear" w:color="auto" w:fill="auto"/>
            <w:vAlign w:val="center"/>
          </w:tcPr>
          <w:p w:rsidR="00520D2B" w:rsidRPr="000E01C3" w:rsidRDefault="00520D2B" w:rsidP="00A04A6A">
            <w:pPr>
              <w:keepNext/>
              <w:widowControl/>
              <w:jc w:val="right"/>
              <w:rPr>
                <w:rFonts w:ascii="Arial Narrow" w:hAnsi="Arial Narrow" w:cs="Times New Roman"/>
                <w:b/>
                <w:sz w:val="20"/>
              </w:rPr>
            </w:pPr>
            <w:r w:rsidRPr="000E01C3">
              <w:rPr>
                <w:rFonts w:ascii="Arial Narrow" w:hAnsi="Arial Narrow" w:cs="Times New Roman"/>
                <w:b/>
                <w:sz w:val="20"/>
              </w:rPr>
              <w:t>Incremental cost/QALY</w:t>
            </w:r>
          </w:p>
        </w:tc>
        <w:tc>
          <w:tcPr>
            <w:tcW w:w="1349" w:type="pct"/>
            <w:shd w:val="clear" w:color="auto" w:fill="auto"/>
          </w:tcPr>
          <w:p w:rsidR="00520D2B" w:rsidRPr="000E01C3" w:rsidRDefault="00520D2B" w:rsidP="00A04A6A">
            <w:pPr>
              <w:keepNext/>
              <w:widowControl/>
              <w:jc w:val="center"/>
              <w:rPr>
                <w:rFonts w:ascii="Arial Narrow" w:hAnsi="Arial Narrow" w:cs="Times New Roman"/>
                <w:b/>
                <w:sz w:val="20"/>
              </w:rPr>
            </w:pPr>
            <w:r w:rsidRPr="000E01C3">
              <w:rPr>
                <w:rFonts w:ascii="Arial Narrow" w:hAnsi="Arial Narrow" w:cs="Times New Roman"/>
                <w:b/>
                <w:sz w:val="20"/>
              </w:rPr>
              <w:t>$</w:t>
            </w:r>
            <w:r w:rsidR="004519D0">
              <w:rPr>
                <w:rFonts w:ascii="Arial Narrow" w:hAnsi="Arial Narrow" w:cs="Times New Roman"/>
                <w:b/>
                <w:noProof/>
                <w:color w:val="000000"/>
                <w:sz w:val="20"/>
                <w:highlight w:val="black"/>
              </w:rPr>
              <w:t>''''''''''''</w:t>
            </w:r>
            <w:r w:rsidRPr="000E01C3">
              <w:rPr>
                <w:rFonts w:ascii="Arial Narrow" w:hAnsi="Arial Narrow" w:cs="Times New Roman"/>
                <w:b/>
                <w:iCs/>
                <w:sz w:val="20"/>
              </w:rPr>
              <w:t>^</w:t>
            </w:r>
            <w:r w:rsidRPr="000E01C3">
              <w:rPr>
                <w:rFonts w:ascii="Arial Narrow" w:hAnsi="Arial Narrow" w:cs="Times New Roman"/>
                <w:b/>
                <w:sz w:val="20"/>
              </w:rPr>
              <w:t xml:space="preserve"> / QALY</w:t>
            </w:r>
          </w:p>
        </w:tc>
      </w:tr>
    </w:tbl>
    <w:p w:rsidR="00520D2B" w:rsidRPr="000E01C3" w:rsidRDefault="00520D2B" w:rsidP="00A04A6A">
      <w:pPr>
        <w:pStyle w:val="TableFooter"/>
        <w:keepNext/>
        <w:widowControl/>
      </w:pPr>
      <w:r w:rsidRPr="000E01C3">
        <w:t>^</w:t>
      </w:r>
      <w:r w:rsidRPr="000E01C3">
        <w:tab/>
        <w:t xml:space="preserve">there was a slight discrepancy </w:t>
      </w:r>
      <w:r w:rsidR="00AD1602" w:rsidRPr="000E01C3">
        <w:t>(</w:t>
      </w:r>
      <w:r w:rsidRPr="000E01C3">
        <w:t>likely due to rounding</w:t>
      </w:r>
      <w:r w:rsidR="00AD1602" w:rsidRPr="000E01C3">
        <w:t>)</w:t>
      </w:r>
      <w:r w:rsidRPr="000E01C3">
        <w:t xml:space="preserve"> versus the resubmission’s result of $</w:t>
      </w:r>
      <w:r w:rsidR="004519D0">
        <w:rPr>
          <w:noProof/>
          <w:color w:val="000000"/>
          <w:highlight w:val="black"/>
        </w:rPr>
        <w:t>'''''''''''''''</w:t>
      </w:r>
    </w:p>
    <w:p w:rsidR="00520D2B" w:rsidRPr="000E01C3" w:rsidRDefault="00520D2B" w:rsidP="00B50602">
      <w:pPr>
        <w:pStyle w:val="TableFooter"/>
        <w:widowControl/>
        <w:spacing w:after="120"/>
      </w:pPr>
      <w:r w:rsidRPr="000E01C3">
        <w:t>Source: Table D.5.8, p231 of the resubmission.</w:t>
      </w:r>
    </w:p>
    <w:p w:rsidR="001E2C65" w:rsidRPr="005A6C94" w:rsidRDefault="001E2C65" w:rsidP="005A6C94">
      <w:pPr>
        <w:pStyle w:val="ListParagraph"/>
        <w:widowControl/>
        <w:numPr>
          <w:ilvl w:val="1"/>
          <w:numId w:val="5"/>
        </w:numPr>
        <w:spacing w:after="120"/>
        <w:contextualSpacing w:val="0"/>
        <w:rPr>
          <w:rFonts w:asciiTheme="minorHAnsi" w:hAnsiTheme="minorHAnsi"/>
          <w:sz w:val="24"/>
          <w:szCs w:val="24"/>
        </w:rPr>
      </w:pPr>
      <w:r w:rsidRPr="005A6C94">
        <w:rPr>
          <w:rFonts w:asciiTheme="minorHAnsi" w:hAnsiTheme="minorHAnsi"/>
          <w:sz w:val="24"/>
          <w:szCs w:val="24"/>
        </w:rPr>
        <w:t>The redacted table shows an ICER in the range of $15,000 - $45,000/QALY.</w:t>
      </w:r>
    </w:p>
    <w:p w:rsidR="005A21C5" w:rsidRPr="000E01C3" w:rsidRDefault="005A21C5" w:rsidP="007720FA">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The ESC</w:t>
      </w:r>
      <w:r w:rsidR="007720FA" w:rsidRPr="000E01C3">
        <w:rPr>
          <w:rFonts w:asciiTheme="minorHAnsi" w:hAnsiTheme="minorHAnsi" w:cstheme="minorHAnsi"/>
          <w:sz w:val="24"/>
          <w:szCs w:val="24"/>
        </w:rPr>
        <w:t xml:space="preserve"> noted that </w:t>
      </w:r>
      <w:r w:rsidR="00FB43CF" w:rsidRPr="000E01C3">
        <w:rPr>
          <w:rFonts w:asciiTheme="minorHAnsi" w:hAnsiTheme="minorHAnsi" w:cstheme="minorHAnsi"/>
          <w:sz w:val="24"/>
          <w:szCs w:val="24"/>
        </w:rPr>
        <w:t xml:space="preserve">the </w:t>
      </w:r>
      <w:r w:rsidR="00822852" w:rsidRPr="000E01C3">
        <w:rPr>
          <w:rFonts w:asciiTheme="minorHAnsi" w:hAnsiTheme="minorHAnsi" w:cstheme="minorHAnsi"/>
          <w:sz w:val="24"/>
          <w:szCs w:val="24"/>
        </w:rPr>
        <w:t>re</w:t>
      </w:r>
      <w:r w:rsidR="00FB43CF" w:rsidRPr="000E01C3">
        <w:rPr>
          <w:rFonts w:asciiTheme="minorHAnsi" w:hAnsiTheme="minorHAnsi" w:cstheme="minorHAnsi"/>
          <w:sz w:val="24"/>
          <w:szCs w:val="24"/>
        </w:rPr>
        <w:t>submission adjust</w:t>
      </w:r>
      <w:r w:rsidR="007720FA" w:rsidRPr="000E01C3">
        <w:rPr>
          <w:rFonts w:asciiTheme="minorHAnsi" w:hAnsiTheme="minorHAnsi" w:cstheme="minorHAnsi"/>
          <w:sz w:val="24"/>
          <w:szCs w:val="24"/>
        </w:rPr>
        <w:t>ed</w:t>
      </w:r>
      <w:r w:rsidR="00FB43CF" w:rsidRPr="000E01C3">
        <w:rPr>
          <w:rFonts w:asciiTheme="minorHAnsi" w:hAnsiTheme="minorHAnsi" w:cstheme="minorHAnsi"/>
          <w:sz w:val="24"/>
          <w:szCs w:val="24"/>
        </w:rPr>
        <w:t xml:space="preserve"> the response rates in </w:t>
      </w:r>
      <w:r w:rsidR="007720FA" w:rsidRPr="000E01C3">
        <w:rPr>
          <w:rFonts w:asciiTheme="minorHAnsi" w:hAnsiTheme="minorHAnsi" w:cstheme="minorHAnsi"/>
          <w:sz w:val="24"/>
          <w:szCs w:val="24"/>
        </w:rPr>
        <w:t>T</w:t>
      </w:r>
      <w:r w:rsidR="00FB43CF" w:rsidRPr="000E01C3">
        <w:rPr>
          <w:rFonts w:asciiTheme="minorHAnsi" w:hAnsiTheme="minorHAnsi" w:cstheme="minorHAnsi"/>
          <w:sz w:val="24"/>
          <w:szCs w:val="24"/>
        </w:rPr>
        <w:t>rials CF-301 and CF-302 to attempt to remove the effect of the low dose of mannitol</w:t>
      </w:r>
      <w:r w:rsidR="007720FA" w:rsidRPr="000E01C3">
        <w:rPr>
          <w:rFonts w:asciiTheme="minorHAnsi" w:hAnsiTheme="minorHAnsi" w:cstheme="minorHAnsi"/>
          <w:sz w:val="24"/>
          <w:szCs w:val="24"/>
        </w:rPr>
        <w:t xml:space="preserve"> (of 50 mg</w:t>
      </w:r>
      <w:r w:rsidR="00CE2D4D" w:rsidRPr="000E01C3">
        <w:rPr>
          <w:rFonts w:asciiTheme="minorHAnsi" w:hAnsiTheme="minorHAnsi" w:cstheme="minorHAnsi"/>
          <w:sz w:val="24"/>
          <w:szCs w:val="24"/>
        </w:rPr>
        <w:t xml:space="preserve"> twice daily</w:t>
      </w:r>
      <w:r w:rsidR="007720FA" w:rsidRPr="000E01C3">
        <w:rPr>
          <w:rFonts w:asciiTheme="minorHAnsi" w:hAnsiTheme="minorHAnsi" w:cstheme="minorHAnsi"/>
          <w:sz w:val="24"/>
          <w:szCs w:val="24"/>
        </w:rPr>
        <w:t>) in the control group,</w:t>
      </w:r>
      <w:r w:rsidR="00FB43CF" w:rsidRPr="000E01C3">
        <w:rPr>
          <w:rFonts w:asciiTheme="minorHAnsi" w:hAnsiTheme="minorHAnsi" w:cstheme="minorHAnsi"/>
          <w:sz w:val="24"/>
          <w:szCs w:val="24"/>
        </w:rPr>
        <w:t xml:space="preserve"> </w:t>
      </w:r>
      <w:r w:rsidR="007720FA" w:rsidRPr="000E01C3">
        <w:rPr>
          <w:rFonts w:asciiTheme="minorHAnsi" w:hAnsiTheme="minorHAnsi" w:cstheme="minorHAnsi"/>
          <w:sz w:val="24"/>
          <w:szCs w:val="24"/>
        </w:rPr>
        <w:t xml:space="preserve">by applying -1.5% </w:t>
      </w:r>
      <w:r w:rsidR="007639D3" w:rsidRPr="000E01C3">
        <w:rPr>
          <w:rFonts w:asciiTheme="minorHAnsi" w:hAnsiTheme="minorHAnsi" w:cstheme="minorHAnsi"/>
          <w:sz w:val="24"/>
          <w:szCs w:val="24"/>
        </w:rPr>
        <w:t>to</w:t>
      </w:r>
      <w:r w:rsidR="007720FA" w:rsidRPr="000E01C3">
        <w:rPr>
          <w:rFonts w:asciiTheme="minorHAnsi" w:hAnsiTheme="minorHAnsi" w:cstheme="minorHAnsi"/>
          <w:sz w:val="24"/>
          <w:szCs w:val="24"/>
        </w:rPr>
        <w:t xml:space="preserve"> changes in ppFEV</w:t>
      </w:r>
      <w:r w:rsidR="007720FA" w:rsidRPr="000E01C3">
        <w:rPr>
          <w:rFonts w:asciiTheme="minorHAnsi" w:hAnsiTheme="minorHAnsi" w:cstheme="minorHAnsi"/>
          <w:sz w:val="24"/>
          <w:szCs w:val="24"/>
          <w:vertAlign w:val="subscript"/>
        </w:rPr>
        <w:t>1</w:t>
      </w:r>
      <w:r w:rsidR="007720FA" w:rsidRPr="000E01C3">
        <w:rPr>
          <w:rFonts w:asciiTheme="minorHAnsi" w:hAnsiTheme="minorHAnsi" w:cstheme="minorHAnsi"/>
          <w:sz w:val="24"/>
          <w:szCs w:val="24"/>
        </w:rPr>
        <w:t xml:space="preserve"> </w:t>
      </w:r>
      <w:r w:rsidR="007639D3" w:rsidRPr="000E01C3">
        <w:rPr>
          <w:rFonts w:asciiTheme="minorHAnsi" w:hAnsiTheme="minorHAnsi" w:cstheme="minorHAnsi"/>
          <w:sz w:val="24"/>
          <w:szCs w:val="24"/>
        </w:rPr>
        <w:t>for &lt;</w:t>
      </w:r>
      <w:r w:rsidR="007720FA" w:rsidRPr="000E01C3">
        <w:rPr>
          <w:rFonts w:asciiTheme="minorHAnsi" w:hAnsiTheme="minorHAnsi" w:cstheme="minorHAnsi"/>
          <w:sz w:val="24"/>
          <w:szCs w:val="24"/>
        </w:rPr>
        <w:t>18 year olds in the model</w:t>
      </w:r>
      <w:r w:rsidR="007639D3" w:rsidRPr="000E01C3">
        <w:rPr>
          <w:rFonts w:asciiTheme="minorHAnsi" w:hAnsiTheme="minorHAnsi" w:cstheme="minorHAnsi"/>
          <w:sz w:val="24"/>
          <w:szCs w:val="24"/>
        </w:rPr>
        <w:t>,</w:t>
      </w:r>
      <w:r w:rsidR="007720FA" w:rsidRPr="000E01C3">
        <w:rPr>
          <w:rFonts w:asciiTheme="minorHAnsi" w:hAnsiTheme="minorHAnsi" w:cstheme="minorHAnsi"/>
          <w:sz w:val="24"/>
          <w:szCs w:val="24"/>
        </w:rPr>
        <w:t xml:space="preserve"> based on data from Trial CF-204</w:t>
      </w:r>
      <w:r w:rsidR="00FB43CF" w:rsidRPr="000E01C3">
        <w:rPr>
          <w:rFonts w:asciiTheme="minorHAnsi" w:hAnsiTheme="minorHAnsi" w:cstheme="minorHAnsi"/>
          <w:sz w:val="24"/>
          <w:szCs w:val="24"/>
        </w:rPr>
        <w:t xml:space="preserve">. </w:t>
      </w:r>
      <w:r w:rsidR="007720FA" w:rsidRPr="000E01C3">
        <w:rPr>
          <w:rFonts w:asciiTheme="minorHAnsi" w:hAnsiTheme="minorHAnsi" w:cstheme="minorHAnsi"/>
          <w:sz w:val="24"/>
          <w:szCs w:val="24"/>
        </w:rPr>
        <w:t>The ESC noted that a mannitol dose finding study, Trial CF-202</w:t>
      </w:r>
      <w:r w:rsidR="007720FA" w:rsidRPr="000E01C3">
        <w:rPr>
          <w:rStyle w:val="FootnoteReference"/>
          <w:rFonts w:asciiTheme="minorHAnsi" w:hAnsiTheme="minorHAnsi" w:cstheme="minorHAnsi"/>
          <w:sz w:val="24"/>
          <w:szCs w:val="24"/>
        </w:rPr>
        <w:footnoteReference w:id="2"/>
      </w:r>
      <w:r w:rsidR="007720FA" w:rsidRPr="000E01C3">
        <w:rPr>
          <w:rFonts w:asciiTheme="minorHAnsi" w:hAnsiTheme="minorHAnsi" w:cstheme="minorHAnsi"/>
          <w:sz w:val="24"/>
          <w:szCs w:val="24"/>
        </w:rPr>
        <w:t>, found that a dose of 40 mg</w:t>
      </w:r>
      <w:r w:rsidR="00CE2D4D" w:rsidRPr="000E01C3">
        <w:rPr>
          <w:rFonts w:asciiTheme="minorHAnsi" w:hAnsiTheme="minorHAnsi" w:cstheme="minorHAnsi"/>
          <w:sz w:val="24"/>
          <w:szCs w:val="24"/>
        </w:rPr>
        <w:t xml:space="preserve"> </w:t>
      </w:r>
      <w:r w:rsidR="007720FA" w:rsidRPr="000E01C3">
        <w:rPr>
          <w:rFonts w:asciiTheme="minorHAnsi" w:hAnsiTheme="minorHAnsi" w:cstheme="minorHAnsi"/>
          <w:sz w:val="24"/>
          <w:szCs w:val="24"/>
        </w:rPr>
        <w:t>of mannitol</w:t>
      </w:r>
      <w:r w:rsidR="00CE2D4D" w:rsidRPr="000E01C3">
        <w:rPr>
          <w:rFonts w:asciiTheme="minorHAnsi" w:hAnsiTheme="minorHAnsi" w:cstheme="minorHAnsi"/>
          <w:sz w:val="24"/>
          <w:szCs w:val="24"/>
        </w:rPr>
        <w:t xml:space="preserve"> twice daily</w:t>
      </w:r>
      <w:r w:rsidR="007720FA" w:rsidRPr="000E01C3">
        <w:rPr>
          <w:rFonts w:asciiTheme="minorHAnsi" w:hAnsiTheme="minorHAnsi" w:cstheme="minorHAnsi"/>
          <w:sz w:val="24"/>
          <w:szCs w:val="24"/>
        </w:rPr>
        <w:t xml:space="preserve"> did not improve ppFEV</w:t>
      </w:r>
      <w:r w:rsidR="007720FA" w:rsidRPr="000E01C3">
        <w:rPr>
          <w:rFonts w:asciiTheme="minorHAnsi" w:hAnsiTheme="minorHAnsi" w:cstheme="minorHAnsi"/>
          <w:sz w:val="24"/>
          <w:szCs w:val="24"/>
          <w:vertAlign w:val="subscript"/>
        </w:rPr>
        <w:t>1</w:t>
      </w:r>
      <w:r w:rsidR="007720FA" w:rsidRPr="000E01C3">
        <w:rPr>
          <w:rFonts w:asciiTheme="minorHAnsi" w:hAnsiTheme="minorHAnsi" w:cstheme="minorHAnsi"/>
          <w:sz w:val="24"/>
          <w:szCs w:val="24"/>
        </w:rPr>
        <w:t>. Accordingly, the ESC considered the adjustment for low dose mannitol may not have been appropriate</w:t>
      </w:r>
      <w:r w:rsidR="00CE2D4D" w:rsidRPr="000E01C3">
        <w:rPr>
          <w:rFonts w:asciiTheme="minorHAnsi" w:hAnsiTheme="minorHAnsi" w:cstheme="minorHAnsi"/>
          <w:sz w:val="24"/>
          <w:szCs w:val="24"/>
        </w:rPr>
        <w:t xml:space="preserve"> and biased the results in favour of mannitol</w:t>
      </w:r>
      <w:r w:rsidR="007720FA" w:rsidRPr="000E01C3">
        <w:rPr>
          <w:rFonts w:asciiTheme="minorHAnsi" w:hAnsiTheme="minorHAnsi" w:cstheme="minorHAnsi"/>
          <w:sz w:val="24"/>
          <w:szCs w:val="24"/>
        </w:rPr>
        <w:t>.</w:t>
      </w:r>
    </w:p>
    <w:p w:rsidR="002B20F0" w:rsidRPr="00E55C12" w:rsidRDefault="002B20F0" w:rsidP="00E55C12">
      <w:pPr>
        <w:pStyle w:val="ListParagraph"/>
        <w:widowControl/>
        <w:numPr>
          <w:ilvl w:val="1"/>
          <w:numId w:val="5"/>
        </w:numPr>
        <w:spacing w:after="120"/>
        <w:contextualSpacing w:val="0"/>
        <w:rPr>
          <w:rStyle w:val="CommentReference"/>
          <w:rFonts w:asciiTheme="minorHAnsi" w:hAnsiTheme="minorHAnsi" w:cstheme="minorHAnsi"/>
          <w:b w:val="0"/>
          <w:sz w:val="24"/>
          <w:szCs w:val="24"/>
        </w:rPr>
      </w:pPr>
      <w:r w:rsidRPr="000E01C3">
        <w:rPr>
          <w:rFonts w:asciiTheme="minorHAnsi" w:hAnsiTheme="minorHAnsi" w:cstheme="minorHAnsi"/>
          <w:sz w:val="24"/>
          <w:szCs w:val="24"/>
        </w:rPr>
        <w:t xml:space="preserve">Table </w:t>
      </w:r>
      <w:r w:rsidR="00D10BC7" w:rsidRPr="000E01C3">
        <w:rPr>
          <w:rFonts w:asciiTheme="minorHAnsi" w:hAnsiTheme="minorHAnsi" w:cstheme="minorHAnsi"/>
          <w:sz w:val="24"/>
          <w:szCs w:val="24"/>
        </w:rPr>
        <w:t>1</w:t>
      </w:r>
      <w:r w:rsidR="00B83459" w:rsidRPr="000E01C3">
        <w:rPr>
          <w:rFonts w:asciiTheme="minorHAnsi" w:hAnsiTheme="minorHAnsi" w:cstheme="minorHAnsi"/>
          <w:sz w:val="24"/>
          <w:szCs w:val="24"/>
        </w:rPr>
        <w:t>2</w:t>
      </w:r>
      <w:r w:rsidR="00520D2B" w:rsidRPr="000E01C3">
        <w:rPr>
          <w:rFonts w:asciiTheme="minorHAnsi" w:hAnsiTheme="minorHAnsi" w:cstheme="minorHAnsi"/>
          <w:sz w:val="24"/>
          <w:szCs w:val="24"/>
        </w:rPr>
        <w:t xml:space="preserve"> provides the results of the sensitivity analyses conducted during the evaluation.</w:t>
      </w:r>
      <w:r w:rsidR="001629C2" w:rsidRPr="000E01C3">
        <w:rPr>
          <w:rFonts w:asciiTheme="minorHAnsi" w:hAnsiTheme="minorHAnsi" w:cstheme="minorHAnsi"/>
          <w:sz w:val="24"/>
          <w:szCs w:val="24"/>
        </w:rPr>
        <w:t xml:space="preserve"> </w:t>
      </w:r>
      <w:r w:rsidR="00FE0CC5" w:rsidRPr="000E01C3">
        <w:rPr>
          <w:rFonts w:asciiTheme="minorHAnsi" w:hAnsiTheme="minorHAnsi" w:cstheme="minorHAnsi"/>
          <w:sz w:val="24"/>
          <w:szCs w:val="24"/>
        </w:rPr>
        <w:t>While the resubmission presented an ICER for the</w:t>
      </w:r>
      <w:r w:rsidR="002E3363" w:rsidRPr="000E01C3">
        <w:rPr>
          <w:rFonts w:asciiTheme="minorHAnsi" w:hAnsiTheme="minorHAnsi" w:cstheme="minorHAnsi"/>
          <w:sz w:val="24"/>
          <w:szCs w:val="24"/>
        </w:rPr>
        <w:t xml:space="preserve"> DNase user subgroup of </w:t>
      </w:r>
      <w:r w:rsidR="008F09EB">
        <w:rPr>
          <w:rFonts w:asciiTheme="minorHAnsi" w:hAnsiTheme="minorHAnsi" w:cstheme="minorHAnsi"/>
          <w:sz w:val="24"/>
          <w:szCs w:val="24"/>
        </w:rPr>
        <w:t xml:space="preserve">$45,000 – $75,000 </w:t>
      </w:r>
      <w:r w:rsidR="002E3363" w:rsidRPr="000E01C3">
        <w:rPr>
          <w:rFonts w:asciiTheme="minorHAnsi" w:hAnsiTheme="minorHAnsi" w:cstheme="minorHAnsi"/>
          <w:sz w:val="24"/>
          <w:szCs w:val="24"/>
        </w:rPr>
        <w:t xml:space="preserve">per </w:t>
      </w:r>
      <w:r w:rsidR="00FE0CC5" w:rsidRPr="000E01C3">
        <w:rPr>
          <w:rFonts w:asciiTheme="minorHAnsi" w:hAnsiTheme="minorHAnsi" w:cstheme="minorHAnsi"/>
          <w:sz w:val="24"/>
          <w:szCs w:val="24"/>
        </w:rPr>
        <w:t>QALY</w:t>
      </w:r>
      <w:r w:rsidR="002E3363" w:rsidRPr="000E01C3">
        <w:rPr>
          <w:rFonts w:asciiTheme="minorHAnsi" w:hAnsiTheme="minorHAnsi" w:cstheme="minorHAnsi"/>
          <w:sz w:val="24"/>
          <w:szCs w:val="24"/>
        </w:rPr>
        <w:t xml:space="preserve"> gained</w:t>
      </w:r>
      <w:r w:rsidR="00FE0CC5" w:rsidRPr="000E01C3">
        <w:rPr>
          <w:rFonts w:asciiTheme="minorHAnsi" w:hAnsiTheme="minorHAnsi" w:cstheme="minorHAnsi"/>
          <w:sz w:val="24"/>
          <w:szCs w:val="24"/>
        </w:rPr>
        <w:t>, the estimate assumed responders on mannitol have an increased risk of exacerbations, as opposed to a reduced risk in the base case.</w:t>
      </w:r>
      <w:r w:rsidR="001629C2" w:rsidRPr="000E01C3">
        <w:rPr>
          <w:rFonts w:asciiTheme="minorHAnsi" w:hAnsiTheme="minorHAnsi" w:cstheme="minorHAnsi"/>
          <w:sz w:val="24"/>
          <w:szCs w:val="24"/>
        </w:rPr>
        <w:t xml:space="preserve"> </w:t>
      </w:r>
      <w:r w:rsidR="00FE0CC5" w:rsidRPr="000E01C3">
        <w:rPr>
          <w:rFonts w:asciiTheme="minorHAnsi" w:hAnsiTheme="minorHAnsi" w:cstheme="minorHAnsi"/>
          <w:sz w:val="24"/>
          <w:szCs w:val="24"/>
        </w:rPr>
        <w:t>Correction of this er</w:t>
      </w:r>
      <w:r w:rsidR="002E3363" w:rsidRPr="000E01C3">
        <w:rPr>
          <w:rFonts w:asciiTheme="minorHAnsi" w:hAnsiTheme="minorHAnsi" w:cstheme="minorHAnsi"/>
          <w:sz w:val="24"/>
          <w:szCs w:val="24"/>
        </w:rPr>
        <w:t xml:space="preserve">ror returned an ICER of </w:t>
      </w:r>
      <w:r w:rsidR="008F09EB">
        <w:rPr>
          <w:rFonts w:asciiTheme="minorHAnsi" w:hAnsiTheme="minorHAnsi" w:cstheme="minorHAnsi"/>
          <w:sz w:val="24"/>
          <w:szCs w:val="24"/>
        </w:rPr>
        <w:t xml:space="preserve">$15,000 </w:t>
      </w:r>
      <w:r w:rsidR="008F09EB" w:rsidRPr="008F09EB">
        <w:rPr>
          <w:rFonts w:asciiTheme="minorHAnsi" w:hAnsiTheme="minorHAnsi" w:cstheme="minorHAnsi"/>
          <w:sz w:val="24"/>
          <w:szCs w:val="24"/>
        </w:rPr>
        <w:t>- $45,000</w:t>
      </w:r>
      <w:r w:rsidR="008F09EB">
        <w:rPr>
          <w:rFonts w:asciiTheme="minorHAnsi" w:hAnsiTheme="minorHAnsi" w:cstheme="minorHAnsi"/>
          <w:sz w:val="24"/>
          <w:szCs w:val="24"/>
        </w:rPr>
        <w:t xml:space="preserve"> </w:t>
      </w:r>
      <w:r w:rsidR="002E3363" w:rsidRPr="000E01C3">
        <w:rPr>
          <w:rFonts w:asciiTheme="minorHAnsi" w:hAnsiTheme="minorHAnsi" w:cstheme="minorHAnsi"/>
          <w:sz w:val="24"/>
          <w:szCs w:val="24"/>
        </w:rPr>
        <w:t xml:space="preserve">per </w:t>
      </w:r>
      <w:r w:rsidR="00FE0CC5" w:rsidRPr="000E01C3">
        <w:rPr>
          <w:rFonts w:asciiTheme="minorHAnsi" w:hAnsiTheme="minorHAnsi" w:cstheme="minorHAnsi"/>
          <w:sz w:val="24"/>
          <w:szCs w:val="24"/>
        </w:rPr>
        <w:t>QALY</w:t>
      </w:r>
      <w:r w:rsidR="002E3363" w:rsidRPr="000E01C3">
        <w:rPr>
          <w:rFonts w:asciiTheme="minorHAnsi" w:hAnsiTheme="minorHAnsi" w:cstheme="minorHAnsi"/>
          <w:sz w:val="24"/>
          <w:szCs w:val="24"/>
        </w:rPr>
        <w:t xml:space="preserve"> gained</w:t>
      </w:r>
      <w:r w:rsidR="00E50CE9" w:rsidRPr="000E01C3">
        <w:rPr>
          <w:rFonts w:asciiTheme="minorHAnsi" w:hAnsiTheme="minorHAnsi" w:cstheme="minorHAnsi"/>
          <w:sz w:val="24"/>
          <w:szCs w:val="24"/>
        </w:rPr>
        <w:t>.</w:t>
      </w:r>
      <w:r w:rsidR="00FE6AF7" w:rsidRPr="000E01C3">
        <w:rPr>
          <w:rFonts w:asciiTheme="minorHAnsi" w:hAnsiTheme="minorHAnsi" w:cstheme="minorHAnsi"/>
          <w:sz w:val="24"/>
          <w:szCs w:val="24"/>
        </w:rPr>
        <w:t xml:space="preserve"> The ESC considered that the comparison of this ICER with the base case for the broader population (of </w:t>
      </w:r>
      <w:r w:rsidR="008F09EB" w:rsidRPr="008F09EB">
        <w:rPr>
          <w:rFonts w:asciiTheme="minorHAnsi" w:hAnsiTheme="minorHAnsi" w:cstheme="minorHAnsi"/>
          <w:sz w:val="24"/>
          <w:szCs w:val="24"/>
        </w:rPr>
        <w:t xml:space="preserve">$15,000 - $45,000 </w:t>
      </w:r>
      <w:r w:rsidR="00FE6AF7" w:rsidRPr="000E01C3">
        <w:rPr>
          <w:rFonts w:asciiTheme="minorHAnsi" w:hAnsiTheme="minorHAnsi" w:cstheme="minorHAnsi"/>
          <w:sz w:val="24"/>
          <w:szCs w:val="24"/>
        </w:rPr>
        <w:t>per QALY gained) contradicted the clinical data which generally showed a smaller benefit in this subgroup and illustrated the lack of external validity of the modelled economic evaluation.</w:t>
      </w:r>
    </w:p>
    <w:p w:rsidR="00E55C12" w:rsidRDefault="00E55C12" w:rsidP="00E55C12">
      <w:pPr>
        <w:pStyle w:val="Caption"/>
        <w:keepNext/>
      </w:pPr>
      <w:r>
        <w:t xml:space="preserve">Table </w:t>
      </w:r>
      <w:r>
        <w:rPr>
          <w:noProof/>
        </w:rPr>
        <w:t>12</w:t>
      </w:r>
      <w:r w:rsidRPr="00014936">
        <w:t>: Sensitivity analyses conducted during the evaluation</w:t>
      </w:r>
    </w:p>
    <w:tbl>
      <w:tblPr>
        <w:tblStyle w:val="TableGrid"/>
        <w:tblW w:w="8931" w:type="dxa"/>
        <w:tblInd w:w="-5" w:type="dxa"/>
        <w:tblCellMar>
          <w:left w:w="28" w:type="dxa"/>
          <w:right w:w="28" w:type="dxa"/>
        </w:tblCellMar>
        <w:tblLook w:val="04A0" w:firstRow="1" w:lastRow="0" w:firstColumn="1" w:lastColumn="0" w:noHBand="0" w:noVBand="1"/>
        <w:tblCaption w:val="Sensitivity analyses conducted during the evaluation"/>
      </w:tblPr>
      <w:tblGrid>
        <w:gridCol w:w="5528"/>
        <w:gridCol w:w="1134"/>
        <w:gridCol w:w="1134"/>
        <w:gridCol w:w="1135"/>
      </w:tblGrid>
      <w:tr w:rsidR="002B20F0" w:rsidRPr="000E01C3" w:rsidTr="00BE33FF">
        <w:trPr>
          <w:tblHeader/>
        </w:trPr>
        <w:tc>
          <w:tcPr>
            <w:tcW w:w="5528" w:type="dxa"/>
            <w:vAlign w:val="center"/>
          </w:tcPr>
          <w:p w:rsidR="002B20F0" w:rsidRPr="000E01C3" w:rsidRDefault="00FE0CC5" w:rsidP="00A04A6A">
            <w:pPr>
              <w:keepNext/>
              <w:widowControl/>
              <w:rPr>
                <w:rFonts w:ascii="Arial Narrow" w:hAnsi="Arial Narrow"/>
                <w:sz w:val="20"/>
              </w:rPr>
            </w:pPr>
            <w:r w:rsidRPr="000E01C3">
              <w:rPr>
                <w:rFonts w:ascii="Arial Narrow" w:hAnsi="Arial Narrow"/>
                <w:b/>
                <w:sz w:val="20"/>
              </w:rPr>
              <w:t xml:space="preserve">Sensitivity </w:t>
            </w:r>
            <w:r w:rsidR="002B20F0" w:rsidRPr="000E01C3">
              <w:rPr>
                <w:rFonts w:ascii="Arial Narrow" w:hAnsi="Arial Narrow"/>
                <w:b/>
                <w:sz w:val="20"/>
              </w:rPr>
              <w:t>analyses</w:t>
            </w:r>
          </w:p>
        </w:tc>
        <w:tc>
          <w:tcPr>
            <w:tcW w:w="1134" w:type="dxa"/>
            <w:vAlign w:val="center"/>
          </w:tcPr>
          <w:p w:rsidR="002B20F0" w:rsidRPr="000E01C3" w:rsidRDefault="002B20F0" w:rsidP="00A04A6A">
            <w:pPr>
              <w:keepNext/>
              <w:widowControl/>
              <w:jc w:val="center"/>
              <w:rPr>
                <w:rFonts w:ascii="Arial Narrow" w:hAnsi="Arial Narrow"/>
                <w:sz w:val="20"/>
              </w:rPr>
            </w:pPr>
            <w:r w:rsidRPr="000E01C3">
              <w:rPr>
                <w:rFonts w:ascii="Arial Narrow" w:hAnsi="Arial Narrow"/>
                <w:b/>
                <w:sz w:val="20"/>
              </w:rPr>
              <w:t>Incremental costs</w:t>
            </w:r>
          </w:p>
        </w:tc>
        <w:tc>
          <w:tcPr>
            <w:tcW w:w="1134" w:type="dxa"/>
            <w:vAlign w:val="center"/>
          </w:tcPr>
          <w:p w:rsidR="002B20F0" w:rsidRPr="000E01C3" w:rsidRDefault="002B20F0" w:rsidP="00A04A6A">
            <w:pPr>
              <w:keepNext/>
              <w:widowControl/>
              <w:jc w:val="center"/>
              <w:rPr>
                <w:rFonts w:ascii="Arial Narrow" w:hAnsi="Arial Narrow"/>
                <w:sz w:val="20"/>
              </w:rPr>
            </w:pPr>
            <w:r w:rsidRPr="000E01C3">
              <w:rPr>
                <w:rFonts w:ascii="Arial Narrow" w:hAnsi="Arial Narrow"/>
                <w:b/>
                <w:sz w:val="20"/>
              </w:rPr>
              <w:t>Incremental QALYs</w:t>
            </w:r>
          </w:p>
        </w:tc>
        <w:tc>
          <w:tcPr>
            <w:tcW w:w="1135" w:type="dxa"/>
            <w:vAlign w:val="center"/>
          </w:tcPr>
          <w:p w:rsidR="002B20F0" w:rsidRPr="000E01C3" w:rsidRDefault="002B20F0" w:rsidP="00FE6AF7">
            <w:pPr>
              <w:keepNext/>
              <w:widowControl/>
              <w:jc w:val="center"/>
              <w:rPr>
                <w:rFonts w:ascii="Arial Narrow" w:hAnsi="Arial Narrow"/>
                <w:sz w:val="20"/>
              </w:rPr>
            </w:pPr>
            <w:r w:rsidRPr="000E01C3">
              <w:rPr>
                <w:rFonts w:ascii="Arial Narrow" w:hAnsi="Arial Narrow"/>
                <w:b/>
                <w:sz w:val="20"/>
              </w:rPr>
              <w:t>ICER</w:t>
            </w:r>
            <w:r w:rsidR="00FE6AF7" w:rsidRPr="000E01C3">
              <w:rPr>
                <w:rFonts w:ascii="Arial Narrow" w:hAnsi="Arial Narrow"/>
                <w:b/>
                <w:sz w:val="20"/>
              </w:rPr>
              <w:t xml:space="preserve"> ($/QALY)</w:t>
            </w:r>
          </w:p>
        </w:tc>
      </w:tr>
      <w:tr w:rsidR="002B20F0" w:rsidRPr="000E01C3" w:rsidTr="00D10BC7">
        <w:tc>
          <w:tcPr>
            <w:tcW w:w="5528" w:type="dxa"/>
            <w:vAlign w:val="center"/>
          </w:tcPr>
          <w:p w:rsidR="002B20F0" w:rsidRPr="000E01C3" w:rsidRDefault="002B20F0" w:rsidP="00A04A6A">
            <w:pPr>
              <w:keepNext/>
              <w:widowControl/>
              <w:rPr>
                <w:rFonts w:ascii="Arial Narrow" w:hAnsi="Arial Narrow"/>
                <w:sz w:val="20"/>
              </w:rPr>
            </w:pPr>
            <w:r w:rsidRPr="000E01C3">
              <w:rPr>
                <w:rFonts w:ascii="Arial Narrow" w:hAnsi="Arial Narrow"/>
                <w:sz w:val="20"/>
              </w:rPr>
              <w:t>Base case</w:t>
            </w:r>
          </w:p>
        </w:tc>
        <w:tc>
          <w:tcPr>
            <w:tcW w:w="1134" w:type="dxa"/>
            <w:vAlign w:val="center"/>
          </w:tcPr>
          <w:p w:rsidR="002B20F0" w:rsidRPr="000E01C3" w:rsidRDefault="002B20F0" w:rsidP="00A04A6A">
            <w:pPr>
              <w:keepNext/>
              <w:widowControl/>
              <w:jc w:val="center"/>
              <w:rPr>
                <w:rFonts w:ascii="Arial Narrow" w:hAnsi="Arial Narrow"/>
                <w:sz w:val="20"/>
              </w:rPr>
            </w:pPr>
            <w:r w:rsidRPr="000E01C3">
              <w:rPr>
                <w:rFonts w:ascii="Arial Narrow" w:hAnsi="Arial Narrow"/>
                <w:sz w:val="20"/>
              </w:rPr>
              <w:t>$</w:t>
            </w:r>
            <w:r w:rsidR="004519D0">
              <w:rPr>
                <w:rFonts w:ascii="Arial Narrow" w:hAnsi="Arial Narrow"/>
                <w:noProof/>
                <w:color w:val="000000"/>
                <w:sz w:val="20"/>
                <w:highlight w:val="black"/>
              </w:rPr>
              <w:t>'''''''''''''''''</w:t>
            </w:r>
          </w:p>
        </w:tc>
        <w:tc>
          <w:tcPr>
            <w:tcW w:w="1134" w:type="dxa"/>
            <w:vAlign w:val="center"/>
          </w:tcPr>
          <w:p w:rsidR="002B20F0" w:rsidRPr="000E01C3" w:rsidRDefault="002B20F0" w:rsidP="00A04A6A">
            <w:pPr>
              <w:keepNext/>
              <w:widowControl/>
              <w:jc w:val="center"/>
              <w:rPr>
                <w:rFonts w:ascii="Arial Narrow" w:hAnsi="Arial Narrow"/>
                <w:sz w:val="20"/>
              </w:rPr>
            </w:pPr>
            <w:r w:rsidRPr="000E01C3">
              <w:rPr>
                <w:rFonts w:ascii="Arial Narrow" w:hAnsi="Arial Narrow"/>
                <w:sz w:val="20"/>
              </w:rPr>
              <w:t>0.6985</w:t>
            </w:r>
          </w:p>
        </w:tc>
        <w:tc>
          <w:tcPr>
            <w:tcW w:w="1135" w:type="dxa"/>
            <w:vAlign w:val="center"/>
          </w:tcPr>
          <w:p w:rsidR="002B20F0" w:rsidRPr="000E01C3" w:rsidRDefault="002B20F0" w:rsidP="00A04A6A">
            <w:pPr>
              <w:keepNext/>
              <w:widowControl/>
              <w:jc w:val="center"/>
              <w:rPr>
                <w:rFonts w:ascii="Arial Narrow" w:hAnsi="Arial Narrow"/>
                <w:sz w:val="20"/>
              </w:rPr>
            </w:pPr>
            <w:r w:rsidRPr="000E01C3">
              <w:rPr>
                <w:rFonts w:ascii="Arial Narrow" w:hAnsi="Arial Narrow"/>
                <w:sz w:val="20"/>
              </w:rPr>
              <w:t>$</w:t>
            </w:r>
            <w:r w:rsidR="004519D0">
              <w:rPr>
                <w:rFonts w:ascii="Arial Narrow" w:hAnsi="Arial Narrow"/>
                <w:noProof/>
                <w:color w:val="000000"/>
                <w:sz w:val="20"/>
                <w:highlight w:val="black"/>
              </w:rPr>
              <w:t>''''''''''''''''</w:t>
            </w:r>
          </w:p>
        </w:tc>
      </w:tr>
      <w:tr w:rsidR="002B20F0" w:rsidRPr="000E01C3" w:rsidTr="00D10BC7">
        <w:tc>
          <w:tcPr>
            <w:tcW w:w="5528" w:type="dxa"/>
            <w:vAlign w:val="center"/>
          </w:tcPr>
          <w:p w:rsidR="002B20F0" w:rsidRPr="000E01C3" w:rsidRDefault="002B20F0" w:rsidP="00A04A6A">
            <w:pPr>
              <w:keepNext/>
              <w:widowControl/>
              <w:rPr>
                <w:rFonts w:ascii="Arial Narrow" w:hAnsi="Arial Narrow"/>
                <w:iCs/>
                <w:sz w:val="20"/>
                <w:highlight w:val="green"/>
              </w:rPr>
            </w:pPr>
            <w:r w:rsidRPr="000E01C3">
              <w:rPr>
                <w:rFonts w:ascii="Arial Narrow" w:hAnsi="Arial Narrow"/>
                <w:iCs/>
                <w:sz w:val="20"/>
              </w:rPr>
              <w:t>Base case (50,000 trials)</w:t>
            </w:r>
          </w:p>
        </w:tc>
        <w:tc>
          <w:tcPr>
            <w:tcW w:w="1134" w:type="dxa"/>
            <w:vAlign w:val="center"/>
          </w:tcPr>
          <w:p w:rsidR="002B20F0" w:rsidRPr="000E01C3" w:rsidRDefault="002B20F0" w:rsidP="00A04A6A">
            <w:pPr>
              <w:keepNext/>
              <w:widowControl/>
              <w:jc w:val="center"/>
              <w:rPr>
                <w:rFonts w:ascii="Arial Narrow" w:hAnsi="Arial Narrow"/>
                <w:sz w:val="20"/>
              </w:rPr>
            </w:pPr>
            <w:r w:rsidRPr="000E01C3">
              <w:rPr>
                <w:rFonts w:ascii="Arial Narrow" w:hAnsi="Arial Narrow"/>
                <w:sz w:val="20"/>
              </w:rPr>
              <w:t>$</w:t>
            </w:r>
            <w:r w:rsidR="004519D0">
              <w:rPr>
                <w:rFonts w:ascii="Arial Narrow" w:hAnsi="Arial Narrow"/>
                <w:noProof/>
                <w:color w:val="000000"/>
                <w:sz w:val="20"/>
                <w:highlight w:val="black"/>
              </w:rPr>
              <w:t>''''''''''''''''</w:t>
            </w:r>
          </w:p>
        </w:tc>
        <w:tc>
          <w:tcPr>
            <w:tcW w:w="1134" w:type="dxa"/>
            <w:vAlign w:val="center"/>
          </w:tcPr>
          <w:p w:rsidR="002B20F0" w:rsidRPr="000E01C3" w:rsidRDefault="002B20F0" w:rsidP="00A04A6A">
            <w:pPr>
              <w:keepNext/>
              <w:widowControl/>
              <w:jc w:val="center"/>
              <w:rPr>
                <w:rFonts w:ascii="Arial Narrow" w:hAnsi="Arial Narrow"/>
                <w:sz w:val="20"/>
              </w:rPr>
            </w:pPr>
            <w:r w:rsidRPr="000E01C3">
              <w:rPr>
                <w:rFonts w:ascii="Arial Narrow" w:hAnsi="Arial Narrow"/>
                <w:sz w:val="20"/>
              </w:rPr>
              <w:t>0.6109</w:t>
            </w:r>
            <w:r w:rsidRPr="000E01C3">
              <w:rPr>
                <w:rFonts w:ascii="Arial Narrow" w:hAnsi="Arial Narrow"/>
                <w:sz w:val="20"/>
              </w:rPr>
              <w:tab/>
            </w:r>
          </w:p>
        </w:tc>
        <w:tc>
          <w:tcPr>
            <w:tcW w:w="1135" w:type="dxa"/>
            <w:vAlign w:val="center"/>
          </w:tcPr>
          <w:p w:rsidR="002B20F0" w:rsidRPr="000E01C3" w:rsidRDefault="002B20F0" w:rsidP="00A04A6A">
            <w:pPr>
              <w:keepNext/>
              <w:widowControl/>
              <w:jc w:val="center"/>
              <w:rPr>
                <w:rFonts w:ascii="Arial Narrow" w:hAnsi="Arial Narrow"/>
                <w:sz w:val="20"/>
              </w:rPr>
            </w:pPr>
            <w:r w:rsidRPr="000E01C3">
              <w:rPr>
                <w:rFonts w:ascii="Arial Narrow" w:hAnsi="Arial Narrow"/>
                <w:sz w:val="20"/>
              </w:rPr>
              <w:t>$</w:t>
            </w:r>
            <w:r w:rsidR="004519D0">
              <w:rPr>
                <w:rFonts w:ascii="Arial Narrow" w:hAnsi="Arial Narrow"/>
                <w:noProof/>
                <w:color w:val="000000"/>
                <w:sz w:val="20"/>
                <w:highlight w:val="black"/>
              </w:rPr>
              <w:t>'''''''''''''''</w:t>
            </w:r>
          </w:p>
        </w:tc>
      </w:tr>
      <w:tr w:rsidR="00FE0CC5" w:rsidRPr="000E01C3" w:rsidTr="00D10BC7">
        <w:tc>
          <w:tcPr>
            <w:tcW w:w="5528" w:type="dxa"/>
          </w:tcPr>
          <w:p w:rsidR="002B20F0" w:rsidRPr="000E01C3" w:rsidRDefault="002B20F0" w:rsidP="00A04A6A">
            <w:pPr>
              <w:keepNext/>
              <w:widowControl/>
              <w:rPr>
                <w:rFonts w:ascii="Arial Narrow" w:hAnsi="Arial Narrow"/>
                <w:sz w:val="20"/>
              </w:rPr>
            </w:pPr>
            <w:r w:rsidRPr="000E01C3">
              <w:rPr>
                <w:rFonts w:ascii="Arial Narrow" w:hAnsi="Arial Narrow"/>
                <w:iCs/>
                <w:sz w:val="20"/>
              </w:rPr>
              <w:t>DNase users only (100% DNase costed)</w:t>
            </w:r>
          </w:p>
        </w:tc>
        <w:tc>
          <w:tcPr>
            <w:tcW w:w="1134" w:type="dxa"/>
            <w:vAlign w:val="center"/>
          </w:tcPr>
          <w:p w:rsidR="002B20F0" w:rsidRPr="000E01C3" w:rsidRDefault="002B20F0" w:rsidP="00A04A6A">
            <w:pPr>
              <w:keepNext/>
              <w:widowControl/>
              <w:jc w:val="center"/>
              <w:rPr>
                <w:rFonts w:ascii="Arial Narrow" w:hAnsi="Arial Narrow"/>
                <w:iCs/>
                <w:sz w:val="20"/>
              </w:rPr>
            </w:pPr>
            <w:r w:rsidRPr="000E01C3">
              <w:rPr>
                <w:rFonts w:ascii="Arial Narrow" w:hAnsi="Arial Narrow"/>
                <w:iCs/>
                <w:sz w:val="20"/>
              </w:rPr>
              <w:t>$</w:t>
            </w:r>
            <w:r w:rsidR="004519D0">
              <w:rPr>
                <w:rFonts w:ascii="Arial Narrow" w:hAnsi="Arial Narrow"/>
                <w:iCs/>
                <w:noProof/>
                <w:color w:val="000000"/>
                <w:sz w:val="20"/>
                <w:highlight w:val="black"/>
              </w:rPr>
              <w:t>'''''''''''''''''</w:t>
            </w:r>
          </w:p>
        </w:tc>
        <w:tc>
          <w:tcPr>
            <w:tcW w:w="1134" w:type="dxa"/>
            <w:vAlign w:val="center"/>
          </w:tcPr>
          <w:p w:rsidR="002B20F0" w:rsidRPr="000E01C3" w:rsidRDefault="002B20F0" w:rsidP="00A04A6A">
            <w:pPr>
              <w:keepNext/>
              <w:widowControl/>
              <w:jc w:val="center"/>
              <w:rPr>
                <w:rFonts w:ascii="Arial Narrow" w:hAnsi="Arial Narrow"/>
                <w:iCs/>
                <w:sz w:val="20"/>
              </w:rPr>
            </w:pPr>
            <w:r w:rsidRPr="000E01C3">
              <w:rPr>
                <w:rFonts w:ascii="Arial Narrow" w:hAnsi="Arial Narrow"/>
                <w:iCs/>
                <w:sz w:val="20"/>
              </w:rPr>
              <w:t>0.6966</w:t>
            </w:r>
          </w:p>
        </w:tc>
        <w:tc>
          <w:tcPr>
            <w:tcW w:w="1135" w:type="dxa"/>
            <w:vAlign w:val="center"/>
          </w:tcPr>
          <w:p w:rsidR="002B20F0" w:rsidRPr="000E01C3" w:rsidRDefault="002B20F0" w:rsidP="00A04A6A">
            <w:pPr>
              <w:keepNext/>
              <w:widowControl/>
              <w:jc w:val="center"/>
              <w:rPr>
                <w:rFonts w:ascii="Arial Narrow" w:hAnsi="Arial Narrow"/>
                <w:iCs/>
                <w:sz w:val="20"/>
              </w:rPr>
            </w:pPr>
            <w:r w:rsidRPr="000E01C3">
              <w:rPr>
                <w:rFonts w:ascii="Arial Narrow" w:hAnsi="Arial Narrow"/>
                <w:iCs/>
                <w:sz w:val="20"/>
              </w:rPr>
              <w:t>$</w:t>
            </w:r>
            <w:r w:rsidR="004519D0">
              <w:rPr>
                <w:rFonts w:ascii="Arial Narrow" w:hAnsi="Arial Narrow"/>
                <w:iCs/>
                <w:noProof/>
                <w:color w:val="000000"/>
                <w:sz w:val="20"/>
                <w:highlight w:val="black"/>
              </w:rPr>
              <w:t>'''''''''''''''''</w:t>
            </w:r>
          </w:p>
        </w:tc>
      </w:tr>
      <w:tr w:rsidR="002B20F0" w:rsidRPr="000E01C3" w:rsidTr="00D10BC7">
        <w:tc>
          <w:tcPr>
            <w:tcW w:w="5528" w:type="dxa"/>
            <w:vAlign w:val="center"/>
          </w:tcPr>
          <w:p w:rsidR="002B20F0" w:rsidRPr="000E01C3" w:rsidRDefault="002B20F0" w:rsidP="00A04A6A">
            <w:pPr>
              <w:keepNext/>
              <w:widowControl/>
              <w:rPr>
                <w:rFonts w:ascii="Arial Narrow" w:hAnsi="Arial Narrow"/>
                <w:iCs/>
                <w:sz w:val="20"/>
              </w:rPr>
            </w:pPr>
            <w:r w:rsidRPr="000E01C3">
              <w:rPr>
                <w:rFonts w:ascii="Arial Narrow" w:hAnsi="Arial Narrow"/>
                <w:iCs/>
                <w:sz w:val="20"/>
              </w:rPr>
              <w:t>All patients cease mannitol after cycle 3 (Week 26)</w:t>
            </w:r>
          </w:p>
        </w:tc>
        <w:tc>
          <w:tcPr>
            <w:tcW w:w="1134" w:type="dxa"/>
            <w:vAlign w:val="center"/>
          </w:tcPr>
          <w:p w:rsidR="002B20F0" w:rsidRPr="000E01C3" w:rsidRDefault="002B20F0" w:rsidP="00A04A6A">
            <w:pPr>
              <w:keepNext/>
              <w:widowControl/>
              <w:jc w:val="center"/>
              <w:rPr>
                <w:rFonts w:ascii="Arial Narrow" w:hAnsi="Arial Narrow"/>
                <w:sz w:val="20"/>
              </w:rPr>
            </w:pPr>
            <w:r w:rsidRPr="000E01C3">
              <w:rPr>
                <w:rFonts w:ascii="Arial Narrow" w:hAnsi="Arial Narrow"/>
                <w:bCs/>
                <w:iCs/>
                <w:sz w:val="20"/>
              </w:rPr>
              <w:t>$</w:t>
            </w:r>
            <w:r w:rsidR="004519D0">
              <w:rPr>
                <w:rFonts w:ascii="Arial Narrow" w:hAnsi="Arial Narrow"/>
                <w:bCs/>
                <w:iCs/>
                <w:noProof/>
                <w:color w:val="000000"/>
                <w:sz w:val="20"/>
                <w:highlight w:val="black"/>
              </w:rPr>
              <w:t>'''''''''''''''''</w:t>
            </w:r>
          </w:p>
        </w:tc>
        <w:tc>
          <w:tcPr>
            <w:tcW w:w="1134" w:type="dxa"/>
            <w:vAlign w:val="center"/>
          </w:tcPr>
          <w:p w:rsidR="002B20F0" w:rsidRPr="000E01C3" w:rsidRDefault="002B20F0" w:rsidP="00A04A6A">
            <w:pPr>
              <w:keepNext/>
              <w:widowControl/>
              <w:jc w:val="center"/>
              <w:rPr>
                <w:rFonts w:ascii="Arial Narrow" w:hAnsi="Arial Narrow"/>
                <w:sz w:val="20"/>
              </w:rPr>
            </w:pPr>
            <w:r w:rsidRPr="000E01C3">
              <w:rPr>
                <w:rFonts w:ascii="Arial Narrow" w:hAnsi="Arial Narrow"/>
                <w:bCs/>
                <w:iCs/>
                <w:sz w:val="20"/>
              </w:rPr>
              <w:t>0.6146</w:t>
            </w:r>
          </w:p>
        </w:tc>
        <w:tc>
          <w:tcPr>
            <w:tcW w:w="1135" w:type="dxa"/>
            <w:vAlign w:val="center"/>
          </w:tcPr>
          <w:p w:rsidR="002B20F0" w:rsidRPr="000E01C3" w:rsidRDefault="002B20F0" w:rsidP="00A04A6A">
            <w:pPr>
              <w:keepNext/>
              <w:widowControl/>
              <w:jc w:val="center"/>
              <w:rPr>
                <w:rFonts w:ascii="Arial Narrow" w:hAnsi="Arial Narrow"/>
                <w:sz w:val="20"/>
              </w:rPr>
            </w:pPr>
            <w:r w:rsidRPr="000E01C3">
              <w:rPr>
                <w:rFonts w:ascii="Arial Narrow" w:hAnsi="Arial Narrow"/>
                <w:bCs/>
                <w:iCs/>
                <w:sz w:val="20"/>
              </w:rPr>
              <w:t>$</w:t>
            </w:r>
            <w:r w:rsidR="004519D0">
              <w:rPr>
                <w:rFonts w:ascii="Arial Narrow" w:hAnsi="Arial Narrow"/>
                <w:bCs/>
                <w:iCs/>
                <w:noProof/>
                <w:color w:val="000000"/>
                <w:sz w:val="20"/>
                <w:highlight w:val="black"/>
              </w:rPr>
              <w:t>''''''''''''''''</w:t>
            </w:r>
          </w:p>
        </w:tc>
      </w:tr>
      <w:tr w:rsidR="002B20F0" w:rsidRPr="000E01C3" w:rsidTr="00D10BC7">
        <w:tc>
          <w:tcPr>
            <w:tcW w:w="5528" w:type="dxa"/>
            <w:vAlign w:val="center"/>
          </w:tcPr>
          <w:p w:rsidR="002B20F0" w:rsidRPr="000E01C3" w:rsidRDefault="002B20F0" w:rsidP="00A04A6A">
            <w:pPr>
              <w:keepNext/>
              <w:widowControl/>
              <w:rPr>
                <w:rFonts w:ascii="Arial Narrow" w:hAnsi="Arial Narrow"/>
                <w:iCs/>
                <w:sz w:val="20"/>
              </w:rPr>
            </w:pPr>
            <w:r w:rsidRPr="000E01C3">
              <w:rPr>
                <w:rFonts w:ascii="Arial Narrow" w:hAnsi="Arial Narrow"/>
                <w:iCs/>
                <w:sz w:val="20"/>
              </w:rPr>
              <w:t>All patients cease mannitol after cycle 7 (Week 74)</w:t>
            </w:r>
          </w:p>
        </w:tc>
        <w:tc>
          <w:tcPr>
            <w:tcW w:w="1134" w:type="dxa"/>
            <w:vAlign w:val="center"/>
          </w:tcPr>
          <w:p w:rsidR="002B20F0" w:rsidRPr="000E01C3" w:rsidRDefault="002B20F0" w:rsidP="00A04A6A">
            <w:pPr>
              <w:keepNext/>
              <w:widowControl/>
              <w:jc w:val="center"/>
              <w:rPr>
                <w:rFonts w:ascii="Arial Narrow" w:hAnsi="Arial Narrow"/>
                <w:bCs/>
                <w:iCs/>
                <w:sz w:val="20"/>
              </w:rPr>
            </w:pPr>
            <w:r w:rsidRPr="000E01C3">
              <w:rPr>
                <w:rFonts w:ascii="Arial Narrow" w:hAnsi="Arial Narrow"/>
                <w:bCs/>
                <w:iCs/>
                <w:sz w:val="20"/>
              </w:rPr>
              <w:t>$</w:t>
            </w:r>
            <w:r w:rsidR="004519D0">
              <w:rPr>
                <w:rFonts w:ascii="Arial Narrow" w:hAnsi="Arial Narrow"/>
                <w:bCs/>
                <w:iCs/>
                <w:noProof/>
                <w:color w:val="000000"/>
                <w:sz w:val="20"/>
                <w:highlight w:val="black"/>
              </w:rPr>
              <w:t>'''''''''''''''</w:t>
            </w:r>
          </w:p>
        </w:tc>
        <w:tc>
          <w:tcPr>
            <w:tcW w:w="1134" w:type="dxa"/>
            <w:vAlign w:val="center"/>
          </w:tcPr>
          <w:p w:rsidR="002B20F0" w:rsidRPr="000E01C3" w:rsidRDefault="002B20F0" w:rsidP="00A04A6A">
            <w:pPr>
              <w:keepNext/>
              <w:widowControl/>
              <w:jc w:val="center"/>
              <w:rPr>
                <w:rFonts w:ascii="Arial Narrow" w:hAnsi="Arial Narrow"/>
                <w:bCs/>
                <w:iCs/>
                <w:sz w:val="20"/>
              </w:rPr>
            </w:pPr>
            <w:r w:rsidRPr="000E01C3">
              <w:rPr>
                <w:rFonts w:ascii="Arial Narrow" w:hAnsi="Arial Narrow"/>
                <w:bCs/>
                <w:iCs/>
                <w:sz w:val="20"/>
              </w:rPr>
              <w:t>0.6906</w:t>
            </w:r>
          </w:p>
        </w:tc>
        <w:tc>
          <w:tcPr>
            <w:tcW w:w="1135" w:type="dxa"/>
            <w:vAlign w:val="center"/>
          </w:tcPr>
          <w:p w:rsidR="002B20F0" w:rsidRPr="000E01C3" w:rsidRDefault="002B20F0" w:rsidP="00A04A6A">
            <w:pPr>
              <w:keepNext/>
              <w:widowControl/>
              <w:jc w:val="center"/>
              <w:rPr>
                <w:rFonts w:ascii="Arial Narrow" w:hAnsi="Arial Narrow"/>
                <w:bCs/>
                <w:iCs/>
                <w:sz w:val="20"/>
              </w:rPr>
            </w:pPr>
            <w:r w:rsidRPr="000E01C3">
              <w:rPr>
                <w:rFonts w:ascii="Arial Narrow" w:hAnsi="Arial Narrow"/>
                <w:bCs/>
                <w:iCs/>
                <w:sz w:val="20"/>
              </w:rPr>
              <w:t>$</w:t>
            </w:r>
            <w:r w:rsidR="004519D0">
              <w:rPr>
                <w:rFonts w:ascii="Arial Narrow" w:hAnsi="Arial Narrow"/>
                <w:bCs/>
                <w:iCs/>
                <w:noProof/>
                <w:color w:val="000000"/>
                <w:sz w:val="20"/>
                <w:highlight w:val="black"/>
              </w:rPr>
              <w:t>'''''''''''''''''</w:t>
            </w:r>
          </w:p>
        </w:tc>
      </w:tr>
      <w:tr w:rsidR="002E3363" w:rsidRPr="000E01C3" w:rsidTr="00D10BC7">
        <w:tc>
          <w:tcPr>
            <w:tcW w:w="5528" w:type="dxa"/>
          </w:tcPr>
          <w:p w:rsidR="002E3363" w:rsidRPr="000E01C3" w:rsidRDefault="002E3363" w:rsidP="00A04A6A">
            <w:pPr>
              <w:keepNext/>
              <w:widowControl/>
              <w:rPr>
                <w:rFonts w:ascii="Arial Narrow" w:hAnsi="Arial Narrow"/>
                <w:iCs/>
                <w:sz w:val="20"/>
              </w:rPr>
            </w:pPr>
            <w:r w:rsidRPr="000E01C3">
              <w:rPr>
                <w:rFonts w:ascii="Arial Narrow" w:hAnsi="Arial Narrow"/>
                <w:iCs/>
                <w:sz w:val="20"/>
              </w:rPr>
              <w:t>No ΔppFEV</w:t>
            </w:r>
            <w:r w:rsidRPr="000E01C3">
              <w:rPr>
                <w:rFonts w:ascii="Arial Narrow" w:hAnsi="Arial Narrow"/>
                <w:iCs/>
                <w:sz w:val="20"/>
                <w:vertAlign w:val="subscript"/>
              </w:rPr>
              <w:t>1</w:t>
            </w:r>
            <w:r w:rsidRPr="000E01C3">
              <w:rPr>
                <w:rFonts w:ascii="Arial Narrow" w:hAnsi="Arial Narrow"/>
                <w:iCs/>
                <w:sz w:val="20"/>
              </w:rPr>
              <w:t xml:space="preserve"> due to age ≥30</w:t>
            </w:r>
          </w:p>
        </w:tc>
        <w:tc>
          <w:tcPr>
            <w:tcW w:w="1134" w:type="dxa"/>
            <w:vAlign w:val="center"/>
          </w:tcPr>
          <w:p w:rsidR="002E3363" w:rsidRPr="000E01C3" w:rsidRDefault="002E3363" w:rsidP="00A04A6A">
            <w:pPr>
              <w:keepNext/>
              <w:widowControl/>
              <w:jc w:val="center"/>
              <w:rPr>
                <w:rFonts w:ascii="Arial Narrow" w:hAnsi="Arial Narrow"/>
                <w:iCs/>
                <w:sz w:val="20"/>
              </w:rPr>
            </w:pPr>
            <w:r w:rsidRPr="000E01C3">
              <w:rPr>
                <w:rFonts w:ascii="Arial Narrow" w:hAnsi="Arial Narrow"/>
                <w:iCs/>
                <w:sz w:val="20"/>
              </w:rPr>
              <w:t>$</w:t>
            </w:r>
            <w:r w:rsidR="004519D0">
              <w:rPr>
                <w:rFonts w:ascii="Arial Narrow" w:hAnsi="Arial Narrow"/>
                <w:iCs/>
                <w:noProof/>
                <w:color w:val="000000"/>
                <w:sz w:val="20"/>
                <w:highlight w:val="black"/>
              </w:rPr>
              <w:t>''''''''''''''''</w:t>
            </w:r>
          </w:p>
        </w:tc>
        <w:tc>
          <w:tcPr>
            <w:tcW w:w="1134" w:type="dxa"/>
            <w:vAlign w:val="center"/>
          </w:tcPr>
          <w:p w:rsidR="002E3363" w:rsidRPr="000E01C3" w:rsidRDefault="002E3363" w:rsidP="00A04A6A">
            <w:pPr>
              <w:keepNext/>
              <w:widowControl/>
              <w:jc w:val="center"/>
              <w:rPr>
                <w:rFonts w:ascii="Arial Narrow" w:hAnsi="Arial Narrow"/>
                <w:iCs/>
                <w:sz w:val="20"/>
              </w:rPr>
            </w:pPr>
            <w:r w:rsidRPr="000E01C3">
              <w:rPr>
                <w:rFonts w:ascii="Arial Narrow" w:hAnsi="Arial Narrow"/>
                <w:iCs/>
                <w:sz w:val="20"/>
              </w:rPr>
              <w:t>0.5842</w:t>
            </w:r>
          </w:p>
        </w:tc>
        <w:tc>
          <w:tcPr>
            <w:tcW w:w="1135" w:type="dxa"/>
            <w:vAlign w:val="center"/>
          </w:tcPr>
          <w:p w:rsidR="002E3363" w:rsidRPr="000E01C3" w:rsidRDefault="002E3363" w:rsidP="00A04A6A">
            <w:pPr>
              <w:keepNext/>
              <w:widowControl/>
              <w:jc w:val="center"/>
              <w:rPr>
                <w:rFonts w:ascii="Arial Narrow" w:hAnsi="Arial Narrow"/>
                <w:iCs/>
                <w:sz w:val="20"/>
              </w:rPr>
            </w:pPr>
            <w:r w:rsidRPr="000E01C3">
              <w:rPr>
                <w:rFonts w:ascii="Arial Narrow" w:hAnsi="Arial Narrow"/>
                <w:iCs/>
                <w:sz w:val="20"/>
              </w:rPr>
              <w:t>$</w:t>
            </w:r>
            <w:r w:rsidR="004519D0">
              <w:rPr>
                <w:rFonts w:ascii="Arial Narrow" w:hAnsi="Arial Narrow"/>
                <w:iCs/>
                <w:noProof/>
                <w:color w:val="000000"/>
                <w:sz w:val="20"/>
                <w:highlight w:val="black"/>
              </w:rPr>
              <w:t>'''''''''''''''</w:t>
            </w:r>
          </w:p>
        </w:tc>
      </w:tr>
      <w:tr w:rsidR="002B20F0" w:rsidRPr="000E01C3" w:rsidTr="00D10BC7">
        <w:tc>
          <w:tcPr>
            <w:tcW w:w="5528" w:type="dxa"/>
          </w:tcPr>
          <w:p w:rsidR="002B20F0" w:rsidRPr="000E01C3" w:rsidRDefault="002B20F0" w:rsidP="00A04A6A">
            <w:pPr>
              <w:keepNext/>
              <w:widowControl/>
              <w:rPr>
                <w:rFonts w:ascii="Arial Narrow" w:hAnsi="Arial Narrow"/>
                <w:iCs/>
                <w:sz w:val="20"/>
              </w:rPr>
            </w:pPr>
            <w:r w:rsidRPr="000E01C3">
              <w:rPr>
                <w:rFonts w:ascii="Arial Narrow" w:hAnsi="Arial Narrow"/>
                <w:iCs/>
                <w:sz w:val="20"/>
              </w:rPr>
              <w:t>No Δpp</w:t>
            </w:r>
            <w:r w:rsidR="00710FD5" w:rsidRPr="000E01C3">
              <w:rPr>
                <w:rFonts w:ascii="Arial Narrow" w:hAnsi="Arial Narrow"/>
                <w:iCs/>
                <w:sz w:val="20"/>
              </w:rPr>
              <w:t>FEV</w:t>
            </w:r>
            <w:r w:rsidR="00710FD5" w:rsidRPr="000E01C3">
              <w:rPr>
                <w:rFonts w:ascii="Arial Narrow" w:hAnsi="Arial Narrow"/>
                <w:iCs/>
                <w:sz w:val="20"/>
                <w:vertAlign w:val="subscript"/>
              </w:rPr>
              <w:t>1</w:t>
            </w:r>
            <w:r w:rsidRPr="000E01C3">
              <w:rPr>
                <w:rFonts w:ascii="Arial Narrow" w:hAnsi="Arial Narrow"/>
                <w:iCs/>
                <w:sz w:val="20"/>
              </w:rPr>
              <w:t xml:space="preserve"> due to age ≥30 or exacerbations</w:t>
            </w:r>
          </w:p>
        </w:tc>
        <w:tc>
          <w:tcPr>
            <w:tcW w:w="1134" w:type="dxa"/>
            <w:vAlign w:val="center"/>
          </w:tcPr>
          <w:p w:rsidR="002B20F0" w:rsidRPr="000E01C3" w:rsidRDefault="002B20F0" w:rsidP="00A04A6A">
            <w:pPr>
              <w:keepNext/>
              <w:widowControl/>
              <w:jc w:val="center"/>
              <w:rPr>
                <w:rFonts w:ascii="Arial Narrow" w:hAnsi="Arial Narrow"/>
                <w:iCs/>
                <w:sz w:val="20"/>
              </w:rPr>
            </w:pPr>
            <w:r w:rsidRPr="000E01C3">
              <w:rPr>
                <w:rFonts w:ascii="Arial Narrow" w:hAnsi="Arial Narrow"/>
                <w:iCs/>
                <w:sz w:val="20"/>
              </w:rPr>
              <w:t>$</w:t>
            </w:r>
            <w:r w:rsidR="004519D0">
              <w:rPr>
                <w:rFonts w:ascii="Arial Narrow" w:hAnsi="Arial Narrow"/>
                <w:iCs/>
                <w:noProof/>
                <w:color w:val="000000"/>
                <w:sz w:val="20"/>
                <w:highlight w:val="black"/>
              </w:rPr>
              <w:t>''''''''''''''''</w:t>
            </w:r>
          </w:p>
        </w:tc>
        <w:tc>
          <w:tcPr>
            <w:tcW w:w="1134" w:type="dxa"/>
            <w:vAlign w:val="center"/>
          </w:tcPr>
          <w:p w:rsidR="002B20F0" w:rsidRPr="000E01C3" w:rsidRDefault="002B20F0" w:rsidP="00A04A6A">
            <w:pPr>
              <w:keepNext/>
              <w:widowControl/>
              <w:jc w:val="center"/>
              <w:rPr>
                <w:rFonts w:ascii="Arial Narrow" w:hAnsi="Arial Narrow"/>
                <w:iCs/>
                <w:sz w:val="20"/>
              </w:rPr>
            </w:pPr>
            <w:r w:rsidRPr="000E01C3">
              <w:rPr>
                <w:rFonts w:ascii="Arial Narrow" w:hAnsi="Arial Narrow"/>
                <w:iCs/>
                <w:sz w:val="20"/>
              </w:rPr>
              <w:t>0.5575</w:t>
            </w:r>
          </w:p>
        </w:tc>
        <w:tc>
          <w:tcPr>
            <w:tcW w:w="1135" w:type="dxa"/>
            <w:vAlign w:val="center"/>
          </w:tcPr>
          <w:p w:rsidR="002B20F0" w:rsidRPr="000E01C3" w:rsidRDefault="002B20F0" w:rsidP="00A04A6A">
            <w:pPr>
              <w:keepNext/>
              <w:widowControl/>
              <w:jc w:val="center"/>
              <w:rPr>
                <w:rFonts w:ascii="Arial Narrow" w:hAnsi="Arial Narrow"/>
                <w:iCs/>
                <w:sz w:val="20"/>
              </w:rPr>
            </w:pPr>
            <w:r w:rsidRPr="000E01C3">
              <w:rPr>
                <w:rFonts w:ascii="Arial Narrow" w:hAnsi="Arial Narrow"/>
                <w:iCs/>
                <w:sz w:val="20"/>
              </w:rPr>
              <w:t>$</w:t>
            </w:r>
            <w:r w:rsidR="004519D0">
              <w:rPr>
                <w:rFonts w:ascii="Arial Narrow" w:hAnsi="Arial Narrow"/>
                <w:iCs/>
                <w:noProof/>
                <w:color w:val="000000"/>
                <w:sz w:val="20"/>
                <w:highlight w:val="black"/>
              </w:rPr>
              <w:t>'''''''''''''''</w:t>
            </w:r>
          </w:p>
        </w:tc>
      </w:tr>
      <w:tr w:rsidR="002B20F0" w:rsidRPr="000E01C3" w:rsidTr="00D10BC7">
        <w:tc>
          <w:tcPr>
            <w:tcW w:w="5528" w:type="dxa"/>
          </w:tcPr>
          <w:p w:rsidR="002B20F0" w:rsidRPr="000E01C3" w:rsidRDefault="002B20F0" w:rsidP="00A04A6A">
            <w:pPr>
              <w:keepNext/>
              <w:widowControl/>
              <w:rPr>
                <w:rFonts w:ascii="Arial Narrow" w:hAnsi="Arial Narrow"/>
                <w:iCs/>
                <w:sz w:val="20"/>
              </w:rPr>
            </w:pPr>
            <w:r w:rsidRPr="000E01C3">
              <w:rPr>
                <w:rFonts w:ascii="Arial Narrow" w:hAnsi="Arial Narrow"/>
                <w:iCs/>
                <w:sz w:val="20"/>
              </w:rPr>
              <w:t>No reduced risk of exacerbations on mannitol</w:t>
            </w:r>
          </w:p>
        </w:tc>
        <w:tc>
          <w:tcPr>
            <w:tcW w:w="1134" w:type="dxa"/>
            <w:vAlign w:val="center"/>
          </w:tcPr>
          <w:p w:rsidR="002B20F0" w:rsidRPr="000E01C3" w:rsidRDefault="002B20F0" w:rsidP="00A04A6A">
            <w:pPr>
              <w:keepNext/>
              <w:widowControl/>
              <w:jc w:val="center"/>
              <w:rPr>
                <w:rFonts w:ascii="Arial Narrow" w:hAnsi="Arial Narrow"/>
                <w:sz w:val="20"/>
              </w:rPr>
            </w:pPr>
            <w:r w:rsidRPr="000E01C3">
              <w:rPr>
                <w:rFonts w:ascii="Arial Narrow" w:hAnsi="Arial Narrow"/>
                <w:iCs/>
                <w:sz w:val="20"/>
              </w:rPr>
              <w:t>$</w:t>
            </w:r>
            <w:r w:rsidR="004519D0">
              <w:rPr>
                <w:rFonts w:ascii="Arial Narrow" w:hAnsi="Arial Narrow"/>
                <w:iCs/>
                <w:noProof/>
                <w:color w:val="000000"/>
                <w:sz w:val="20"/>
                <w:highlight w:val="black"/>
              </w:rPr>
              <w:t>'''''''''''''''''</w:t>
            </w:r>
          </w:p>
        </w:tc>
        <w:tc>
          <w:tcPr>
            <w:tcW w:w="1134" w:type="dxa"/>
            <w:vAlign w:val="center"/>
          </w:tcPr>
          <w:p w:rsidR="002B20F0" w:rsidRPr="000E01C3" w:rsidRDefault="002B20F0" w:rsidP="00A04A6A">
            <w:pPr>
              <w:keepNext/>
              <w:widowControl/>
              <w:jc w:val="center"/>
              <w:rPr>
                <w:rFonts w:ascii="Arial Narrow" w:hAnsi="Arial Narrow"/>
                <w:sz w:val="20"/>
              </w:rPr>
            </w:pPr>
            <w:r w:rsidRPr="000E01C3">
              <w:rPr>
                <w:rFonts w:ascii="Arial Narrow" w:hAnsi="Arial Narrow"/>
                <w:iCs/>
                <w:sz w:val="20"/>
              </w:rPr>
              <w:t>0.6674</w:t>
            </w:r>
          </w:p>
        </w:tc>
        <w:tc>
          <w:tcPr>
            <w:tcW w:w="1135" w:type="dxa"/>
            <w:vAlign w:val="center"/>
          </w:tcPr>
          <w:p w:rsidR="002B20F0" w:rsidRPr="000E01C3" w:rsidRDefault="002B20F0" w:rsidP="00A04A6A">
            <w:pPr>
              <w:keepNext/>
              <w:widowControl/>
              <w:jc w:val="center"/>
              <w:rPr>
                <w:rFonts w:ascii="Arial Narrow" w:hAnsi="Arial Narrow"/>
                <w:sz w:val="20"/>
              </w:rPr>
            </w:pPr>
            <w:r w:rsidRPr="000E01C3">
              <w:rPr>
                <w:rFonts w:ascii="Arial Narrow" w:hAnsi="Arial Narrow"/>
                <w:iCs/>
                <w:sz w:val="20"/>
              </w:rPr>
              <w:t>$</w:t>
            </w:r>
            <w:r w:rsidR="004519D0">
              <w:rPr>
                <w:rFonts w:ascii="Arial Narrow" w:hAnsi="Arial Narrow"/>
                <w:iCs/>
                <w:noProof/>
                <w:color w:val="000000"/>
                <w:sz w:val="20"/>
                <w:highlight w:val="black"/>
              </w:rPr>
              <w:t>''''''''''''''''</w:t>
            </w:r>
          </w:p>
        </w:tc>
      </w:tr>
      <w:tr w:rsidR="002B20F0" w:rsidRPr="000E01C3" w:rsidTr="00D10BC7">
        <w:tc>
          <w:tcPr>
            <w:tcW w:w="5528" w:type="dxa"/>
          </w:tcPr>
          <w:p w:rsidR="002B20F0" w:rsidRPr="000E01C3" w:rsidRDefault="002B20F0" w:rsidP="00A04A6A">
            <w:pPr>
              <w:keepNext/>
              <w:widowControl/>
              <w:rPr>
                <w:rFonts w:ascii="Arial Narrow" w:hAnsi="Arial Narrow"/>
                <w:sz w:val="20"/>
              </w:rPr>
            </w:pPr>
            <w:r w:rsidRPr="000E01C3">
              <w:rPr>
                <w:rFonts w:ascii="Arial Narrow" w:hAnsi="Arial Narrow"/>
                <w:sz w:val="20"/>
              </w:rPr>
              <w:t>Cost of treating exacerbations included</w:t>
            </w:r>
            <w:r w:rsidR="00E2780B" w:rsidRPr="000E01C3">
              <w:rPr>
                <w:rFonts w:ascii="Arial Narrow" w:hAnsi="Arial Narrow"/>
                <w:sz w:val="20"/>
                <w:vertAlign w:val="superscript"/>
              </w:rPr>
              <w:t>a</w:t>
            </w:r>
            <w:r w:rsidRPr="000E01C3">
              <w:rPr>
                <w:rFonts w:ascii="Arial Narrow" w:hAnsi="Arial Narrow"/>
                <w:sz w:val="20"/>
              </w:rPr>
              <w:t xml:space="preserve"> ($</w:t>
            </w:r>
            <w:r w:rsidR="004519D0">
              <w:rPr>
                <w:rFonts w:ascii="Arial Narrow" w:hAnsi="Arial Narrow"/>
                <w:noProof/>
                <w:color w:val="000000"/>
                <w:sz w:val="20"/>
                <w:highlight w:val="black"/>
              </w:rPr>
              <w:t>''''''''''''''''</w:t>
            </w:r>
            <w:r w:rsidRPr="000E01C3">
              <w:rPr>
                <w:rFonts w:ascii="Arial Narrow" w:hAnsi="Arial Narrow"/>
                <w:sz w:val="20"/>
              </w:rPr>
              <w:t>)</w:t>
            </w:r>
          </w:p>
        </w:tc>
        <w:tc>
          <w:tcPr>
            <w:tcW w:w="1134" w:type="dxa"/>
            <w:vAlign w:val="center"/>
          </w:tcPr>
          <w:p w:rsidR="002B20F0" w:rsidRPr="000E01C3" w:rsidRDefault="002B20F0" w:rsidP="00A04A6A">
            <w:pPr>
              <w:keepNext/>
              <w:widowControl/>
              <w:jc w:val="center"/>
              <w:rPr>
                <w:rFonts w:ascii="Arial Narrow" w:hAnsi="Arial Narrow"/>
                <w:sz w:val="20"/>
              </w:rPr>
            </w:pPr>
            <w:r w:rsidRPr="000E01C3">
              <w:rPr>
                <w:rFonts w:ascii="Arial Narrow" w:hAnsi="Arial Narrow"/>
                <w:sz w:val="20"/>
              </w:rPr>
              <w:t>$</w:t>
            </w:r>
            <w:r w:rsidR="004519D0">
              <w:rPr>
                <w:rFonts w:ascii="Arial Narrow" w:hAnsi="Arial Narrow"/>
                <w:noProof/>
                <w:color w:val="000000"/>
                <w:sz w:val="20"/>
                <w:highlight w:val="black"/>
              </w:rPr>
              <w:t>''''''''''''''''</w:t>
            </w:r>
          </w:p>
        </w:tc>
        <w:tc>
          <w:tcPr>
            <w:tcW w:w="1134" w:type="dxa"/>
            <w:vAlign w:val="center"/>
          </w:tcPr>
          <w:p w:rsidR="002B20F0" w:rsidRPr="000E01C3" w:rsidRDefault="002B20F0" w:rsidP="00A04A6A">
            <w:pPr>
              <w:keepNext/>
              <w:widowControl/>
              <w:jc w:val="center"/>
              <w:rPr>
                <w:rFonts w:ascii="Arial Narrow" w:hAnsi="Arial Narrow"/>
                <w:sz w:val="20"/>
              </w:rPr>
            </w:pPr>
            <w:r w:rsidRPr="000E01C3">
              <w:rPr>
                <w:rFonts w:ascii="Arial Narrow" w:hAnsi="Arial Narrow"/>
                <w:sz w:val="20"/>
              </w:rPr>
              <w:t>0.6985</w:t>
            </w:r>
          </w:p>
        </w:tc>
        <w:tc>
          <w:tcPr>
            <w:tcW w:w="1135" w:type="dxa"/>
            <w:vAlign w:val="center"/>
          </w:tcPr>
          <w:p w:rsidR="002B20F0" w:rsidRPr="000E01C3" w:rsidRDefault="002B20F0" w:rsidP="00A04A6A">
            <w:pPr>
              <w:keepNext/>
              <w:widowControl/>
              <w:jc w:val="center"/>
              <w:rPr>
                <w:rFonts w:ascii="Arial Narrow" w:hAnsi="Arial Narrow"/>
                <w:sz w:val="20"/>
              </w:rPr>
            </w:pPr>
            <w:r w:rsidRPr="000E01C3">
              <w:rPr>
                <w:rFonts w:ascii="Arial Narrow" w:hAnsi="Arial Narrow"/>
                <w:sz w:val="20"/>
              </w:rPr>
              <w:t>$</w:t>
            </w:r>
            <w:r w:rsidR="004519D0">
              <w:rPr>
                <w:rFonts w:ascii="Arial Narrow" w:hAnsi="Arial Narrow"/>
                <w:noProof/>
                <w:color w:val="000000"/>
                <w:sz w:val="20"/>
                <w:highlight w:val="black"/>
              </w:rPr>
              <w:t>''''''''''''''''</w:t>
            </w:r>
          </w:p>
        </w:tc>
      </w:tr>
      <w:tr w:rsidR="002B20F0" w:rsidRPr="000E01C3" w:rsidTr="00D10BC7">
        <w:tc>
          <w:tcPr>
            <w:tcW w:w="5528" w:type="dxa"/>
          </w:tcPr>
          <w:p w:rsidR="002B20F0" w:rsidRPr="000E01C3" w:rsidRDefault="002B20F0" w:rsidP="00A04A6A">
            <w:pPr>
              <w:keepNext/>
              <w:widowControl/>
              <w:rPr>
                <w:rFonts w:ascii="Arial Narrow" w:hAnsi="Arial Narrow"/>
                <w:sz w:val="20"/>
              </w:rPr>
            </w:pPr>
            <w:r w:rsidRPr="000E01C3">
              <w:rPr>
                <w:rFonts w:ascii="Arial Narrow" w:hAnsi="Arial Narrow"/>
                <w:iCs/>
                <w:sz w:val="20"/>
              </w:rPr>
              <w:t>No benefit after ceasing mannitol</w:t>
            </w:r>
          </w:p>
        </w:tc>
        <w:tc>
          <w:tcPr>
            <w:tcW w:w="1134" w:type="dxa"/>
            <w:vAlign w:val="center"/>
          </w:tcPr>
          <w:p w:rsidR="002B20F0" w:rsidRPr="000E01C3" w:rsidRDefault="002B20F0" w:rsidP="00A04A6A">
            <w:pPr>
              <w:keepNext/>
              <w:widowControl/>
              <w:jc w:val="center"/>
              <w:rPr>
                <w:rFonts w:ascii="Arial Narrow" w:hAnsi="Arial Narrow"/>
                <w:sz w:val="20"/>
              </w:rPr>
            </w:pPr>
            <w:r w:rsidRPr="000E01C3">
              <w:rPr>
                <w:rFonts w:ascii="Arial Narrow" w:hAnsi="Arial Narrow"/>
                <w:iCs/>
                <w:sz w:val="20"/>
              </w:rPr>
              <w:t>$</w:t>
            </w:r>
            <w:r w:rsidR="004519D0">
              <w:rPr>
                <w:rFonts w:ascii="Arial Narrow" w:hAnsi="Arial Narrow"/>
                <w:iCs/>
                <w:noProof/>
                <w:color w:val="000000"/>
                <w:sz w:val="20"/>
                <w:highlight w:val="black"/>
              </w:rPr>
              <w:t>'''''''''''''''''</w:t>
            </w:r>
          </w:p>
        </w:tc>
        <w:tc>
          <w:tcPr>
            <w:tcW w:w="1134" w:type="dxa"/>
            <w:vAlign w:val="center"/>
          </w:tcPr>
          <w:p w:rsidR="002B20F0" w:rsidRPr="000E01C3" w:rsidRDefault="002B20F0" w:rsidP="00A04A6A">
            <w:pPr>
              <w:keepNext/>
              <w:widowControl/>
              <w:jc w:val="center"/>
              <w:rPr>
                <w:rFonts w:ascii="Arial Narrow" w:hAnsi="Arial Narrow"/>
                <w:sz w:val="20"/>
              </w:rPr>
            </w:pPr>
            <w:r w:rsidRPr="000E01C3">
              <w:rPr>
                <w:rFonts w:ascii="Arial Narrow" w:hAnsi="Arial Narrow"/>
                <w:iCs/>
                <w:sz w:val="20"/>
              </w:rPr>
              <w:t>0.4196</w:t>
            </w:r>
          </w:p>
        </w:tc>
        <w:tc>
          <w:tcPr>
            <w:tcW w:w="1135" w:type="dxa"/>
            <w:vAlign w:val="center"/>
          </w:tcPr>
          <w:p w:rsidR="002B20F0" w:rsidRPr="000E01C3" w:rsidRDefault="002B20F0" w:rsidP="00A04A6A">
            <w:pPr>
              <w:keepNext/>
              <w:widowControl/>
              <w:jc w:val="center"/>
              <w:rPr>
                <w:rFonts w:ascii="Arial Narrow" w:hAnsi="Arial Narrow"/>
                <w:sz w:val="20"/>
              </w:rPr>
            </w:pPr>
            <w:r w:rsidRPr="000E01C3">
              <w:rPr>
                <w:rFonts w:ascii="Arial Narrow" w:hAnsi="Arial Narrow"/>
                <w:iCs/>
                <w:sz w:val="20"/>
              </w:rPr>
              <w:t>$</w:t>
            </w:r>
            <w:r w:rsidR="004519D0">
              <w:rPr>
                <w:rFonts w:ascii="Arial Narrow" w:hAnsi="Arial Narrow"/>
                <w:iCs/>
                <w:noProof/>
                <w:color w:val="000000"/>
                <w:sz w:val="20"/>
                <w:highlight w:val="black"/>
              </w:rPr>
              <w:t>'''''''''''''''''</w:t>
            </w:r>
          </w:p>
        </w:tc>
      </w:tr>
      <w:tr w:rsidR="002B20F0" w:rsidRPr="000E01C3" w:rsidTr="00D10BC7">
        <w:tc>
          <w:tcPr>
            <w:tcW w:w="5528" w:type="dxa"/>
          </w:tcPr>
          <w:p w:rsidR="002B20F0" w:rsidRPr="000E01C3" w:rsidRDefault="002B20F0" w:rsidP="00A04A6A">
            <w:pPr>
              <w:keepNext/>
              <w:widowControl/>
              <w:rPr>
                <w:rFonts w:ascii="Arial Narrow" w:hAnsi="Arial Narrow"/>
                <w:iCs/>
                <w:sz w:val="20"/>
              </w:rPr>
            </w:pPr>
            <w:r w:rsidRPr="000E01C3">
              <w:rPr>
                <w:rFonts w:ascii="Arial Narrow" w:hAnsi="Arial Narrow"/>
                <w:iCs/>
                <w:sz w:val="20"/>
              </w:rPr>
              <w:t>No benefit after ceasing mannitol + no reduced risk of exacerbations on mannitol</w:t>
            </w:r>
          </w:p>
        </w:tc>
        <w:tc>
          <w:tcPr>
            <w:tcW w:w="1134" w:type="dxa"/>
            <w:vAlign w:val="center"/>
          </w:tcPr>
          <w:p w:rsidR="002B20F0" w:rsidRPr="000E01C3" w:rsidRDefault="002B20F0" w:rsidP="00A04A6A">
            <w:pPr>
              <w:keepNext/>
              <w:widowControl/>
              <w:jc w:val="center"/>
              <w:rPr>
                <w:rFonts w:ascii="Arial Narrow" w:hAnsi="Arial Narrow"/>
                <w:iCs/>
                <w:sz w:val="20"/>
              </w:rPr>
            </w:pPr>
            <w:r w:rsidRPr="000E01C3">
              <w:rPr>
                <w:rFonts w:ascii="Arial Narrow" w:hAnsi="Arial Narrow"/>
                <w:iCs/>
                <w:sz w:val="20"/>
              </w:rPr>
              <w:t>$</w:t>
            </w:r>
            <w:r w:rsidR="004519D0">
              <w:rPr>
                <w:rFonts w:ascii="Arial Narrow" w:hAnsi="Arial Narrow"/>
                <w:iCs/>
                <w:noProof/>
                <w:color w:val="000000"/>
                <w:sz w:val="20"/>
                <w:highlight w:val="black"/>
              </w:rPr>
              <w:t>''''''''''''''''</w:t>
            </w:r>
          </w:p>
        </w:tc>
        <w:tc>
          <w:tcPr>
            <w:tcW w:w="1134" w:type="dxa"/>
            <w:vAlign w:val="center"/>
          </w:tcPr>
          <w:p w:rsidR="002B20F0" w:rsidRPr="000E01C3" w:rsidRDefault="002B20F0" w:rsidP="00A04A6A">
            <w:pPr>
              <w:keepNext/>
              <w:widowControl/>
              <w:jc w:val="center"/>
              <w:rPr>
                <w:rFonts w:ascii="Arial Narrow" w:hAnsi="Arial Narrow"/>
                <w:iCs/>
                <w:sz w:val="20"/>
              </w:rPr>
            </w:pPr>
            <w:r w:rsidRPr="000E01C3">
              <w:rPr>
                <w:rFonts w:ascii="Arial Narrow" w:hAnsi="Arial Narrow"/>
                <w:iCs/>
                <w:sz w:val="20"/>
              </w:rPr>
              <w:t>0.4058</w:t>
            </w:r>
          </w:p>
        </w:tc>
        <w:tc>
          <w:tcPr>
            <w:tcW w:w="1135" w:type="dxa"/>
            <w:vAlign w:val="center"/>
          </w:tcPr>
          <w:p w:rsidR="002B20F0" w:rsidRPr="000E01C3" w:rsidRDefault="002B20F0" w:rsidP="00A04A6A">
            <w:pPr>
              <w:keepNext/>
              <w:widowControl/>
              <w:jc w:val="center"/>
              <w:rPr>
                <w:rFonts w:ascii="Arial Narrow" w:hAnsi="Arial Narrow"/>
                <w:iCs/>
                <w:sz w:val="20"/>
              </w:rPr>
            </w:pPr>
            <w:r w:rsidRPr="000E01C3">
              <w:rPr>
                <w:rFonts w:ascii="Arial Narrow" w:hAnsi="Arial Narrow"/>
                <w:iCs/>
                <w:sz w:val="20"/>
              </w:rPr>
              <w:t>$</w:t>
            </w:r>
            <w:r w:rsidR="004519D0">
              <w:rPr>
                <w:rFonts w:ascii="Arial Narrow" w:hAnsi="Arial Narrow"/>
                <w:iCs/>
                <w:noProof/>
                <w:color w:val="000000"/>
                <w:sz w:val="20"/>
                <w:highlight w:val="black"/>
              </w:rPr>
              <w:t>''''''''''''''''</w:t>
            </w:r>
          </w:p>
        </w:tc>
      </w:tr>
      <w:tr w:rsidR="002B20F0" w:rsidRPr="000E01C3" w:rsidTr="00D10BC7">
        <w:tc>
          <w:tcPr>
            <w:tcW w:w="5528" w:type="dxa"/>
          </w:tcPr>
          <w:p w:rsidR="002B20F0" w:rsidRPr="000E01C3" w:rsidRDefault="002B20F0" w:rsidP="00A04A6A">
            <w:pPr>
              <w:keepNext/>
              <w:widowControl/>
              <w:rPr>
                <w:rFonts w:ascii="Arial Narrow" w:hAnsi="Arial Narrow"/>
                <w:sz w:val="20"/>
              </w:rPr>
            </w:pPr>
            <w:r w:rsidRPr="000E01C3">
              <w:rPr>
                <w:rFonts w:ascii="Arial Narrow" w:hAnsi="Arial Narrow"/>
                <w:iCs/>
                <w:sz w:val="20"/>
              </w:rPr>
              <w:t>No benefit after ceasing mannitol + no reduced risk of exacerbations on mannitol + No Δpp</w:t>
            </w:r>
            <w:r w:rsidR="00710FD5" w:rsidRPr="000E01C3">
              <w:rPr>
                <w:rFonts w:ascii="Arial Narrow" w:hAnsi="Arial Narrow"/>
                <w:iCs/>
                <w:sz w:val="20"/>
              </w:rPr>
              <w:t>FEV</w:t>
            </w:r>
            <w:r w:rsidR="00710FD5" w:rsidRPr="000E01C3">
              <w:rPr>
                <w:rFonts w:ascii="Arial Narrow" w:hAnsi="Arial Narrow"/>
                <w:iCs/>
                <w:sz w:val="20"/>
                <w:vertAlign w:val="subscript"/>
              </w:rPr>
              <w:t>1</w:t>
            </w:r>
            <w:r w:rsidRPr="000E01C3">
              <w:rPr>
                <w:rFonts w:ascii="Arial Narrow" w:hAnsi="Arial Narrow"/>
                <w:iCs/>
                <w:sz w:val="20"/>
              </w:rPr>
              <w:t xml:space="preserve"> due to age ≥30 or exacerbations</w:t>
            </w:r>
          </w:p>
        </w:tc>
        <w:tc>
          <w:tcPr>
            <w:tcW w:w="1134" w:type="dxa"/>
            <w:vAlign w:val="center"/>
          </w:tcPr>
          <w:p w:rsidR="002B20F0" w:rsidRPr="000E01C3" w:rsidRDefault="002B20F0" w:rsidP="00A04A6A">
            <w:pPr>
              <w:keepNext/>
              <w:widowControl/>
              <w:jc w:val="center"/>
              <w:rPr>
                <w:rFonts w:ascii="Arial Narrow" w:hAnsi="Arial Narrow"/>
                <w:iCs/>
                <w:sz w:val="20"/>
              </w:rPr>
            </w:pPr>
            <w:r w:rsidRPr="000E01C3">
              <w:rPr>
                <w:rFonts w:ascii="Arial Narrow" w:hAnsi="Arial Narrow"/>
                <w:iCs/>
                <w:sz w:val="20"/>
              </w:rPr>
              <w:t>$</w:t>
            </w:r>
            <w:r w:rsidR="004519D0">
              <w:rPr>
                <w:rFonts w:ascii="Arial Narrow" w:hAnsi="Arial Narrow"/>
                <w:iCs/>
                <w:noProof/>
                <w:color w:val="000000"/>
                <w:sz w:val="20"/>
                <w:highlight w:val="black"/>
              </w:rPr>
              <w:t>''''''''''''''''''</w:t>
            </w:r>
          </w:p>
        </w:tc>
        <w:tc>
          <w:tcPr>
            <w:tcW w:w="1134" w:type="dxa"/>
            <w:vAlign w:val="center"/>
          </w:tcPr>
          <w:p w:rsidR="002B20F0" w:rsidRPr="000E01C3" w:rsidRDefault="002B20F0" w:rsidP="00A04A6A">
            <w:pPr>
              <w:keepNext/>
              <w:widowControl/>
              <w:jc w:val="center"/>
              <w:rPr>
                <w:rFonts w:ascii="Arial Narrow" w:hAnsi="Arial Narrow"/>
                <w:iCs/>
                <w:sz w:val="20"/>
              </w:rPr>
            </w:pPr>
            <w:r w:rsidRPr="000E01C3">
              <w:rPr>
                <w:rFonts w:ascii="Arial Narrow" w:hAnsi="Arial Narrow"/>
                <w:iCs/>
                <w:sz w:val="20"/>
              </w:rPr>
              <w:t>0.2424</w:t>
            </w:r>
          </w:p>
        </w:tc>
        <w:tc>
          <w:tcPr>
            <w:tcW w:w="1135" w:type="dxa"/>
            <w:vAlign w:val="center"/>
          </w:tcPr>
          <w:p w:rsidR="002B20F0" w:rsidRPr="000E01C3" w:rsidRDefault="002B20F0" w:rsidP="00A04A6A">
            <w:pPr>
              <w:keepNext/>
              <w:widowControl/>
              <w:jc w:val="center"/>
              <w:rPr>
                <w:rFonts w:ascii="Arial Narrow" w:hAnsi="Arial Narrow"/>
                <w:iCs/>
                <w:sz w:val="20"/>
              </w:rPr>
            </w:pPr>
            <w:r w:rsidRPr="000E01C3">
              <w:rPr>
                <w:rFonts w:ascii="Arial Narrow" w:hAnsi="Arial Narrow"/>
                <w:iCs/>
                <w:sz w:val="20"/>
              </w:rPr>
              <w:t>$</w:t>
            </w:r>
            <w:r w:rsidR="004519D0">
              <w:rPr>
                <w:rFonts w:ascii="Arial Narrow" w:hAnsi="Arial Narrow"/>
                <w:iCs/>
                <w:noProof/>
                <w:color w:val="000000"/>
                <w:sz w:val="20"/>
                <w:highlight w:val="black"/>
              </w:rPr>
              <w:t>'''''''''''''''''</w:t>
            </w:r>
          </w:p>
        </w:tc>
      </w:tr>
      <w:tr w:rsidR="002B20F0" w:rsidRPr="000E01C3" w:rsidTr="00D10BC7">
        <w:tc>
          <w:tcPr>
            <w:tcW w:w="5528" w:type="dxa"/>
          </w:tcPr>
          <w:p w:rsidR="002B20F0" w:rsidRPr="000E01C3" w:rsidRDefault="002B20F0" w:rsidP="00A04A6A">
            <w:pPr>
              <w:keepNext/>
              <w:widowControl/>
              <w:rPr>
                <w:rFonts w:ascii="Arial Narrow" w:hAnsi="Arial Narrow"/>
                <w:sz w:val="20"/>
              </w:rPr>
            </w:pPr>
            <w:r w:rsidRPr="000E01C3">
              <w:rPr>
                <w:rFonts w:ascii="Arial Narrow" w:hAnsi="Arial Narrow"/>
                <w:iCs/>
                <w:sz w:val="20"/>
              </w:rPr>
              <w:t>No benefit after ceasing mannitol + no reduced risk of exacerbations on mannitol + No Δpp</w:t>
            </w:r>
            <w:r w:rsidR="00710FD5" w:rsidRPr="000E01C3">
              <w:rPr>
                <w:rFonts w:ascii="Arial Narrow" w:hAnsi="Arial Narrow"/>
                <w:iCs/>
                <w:sz w:val="20"/>
              </w:rPr>
              <w:t>FEV</w:t>
            </w:r>
            <w:r w:rsidR="00710FD5" w:rsidRPr="000E01C3">
              <w:rPr>
                <w:rFonts w:ascii="Arial Narrow" w:hAnsi="Arial Narrow"/>
                <w:iCs/>
                <w:sz w:val="20"/>
                <w:vertAlign w:val="subscript"/>
              </w:rPr>
              <w:t>1</w:t>
            </w:r>
            <w:r w:rsidRPr="000E01C3">
              <w:rPr>
                <w:rFonts w:ascii="Arial Narrow" w:hAnsi="Arial Narrow"/>
                <w:iCs/>
                <w:sz w:val="20"/>
              </w:rPr>
              <w:t xml:space="preserve"> due to age ≥30 or exacerbations + Cost of treating exacerbations included ($</w:t>
            </w:r>
            <w:r w:rsidR="004519D0">
              <w:rPr>
                <w:rFonts w:ascii="Arial Narrow" w:hAnsi="Arial Narrow"/>
                <w:iCs/>
                <w:noProof/>
                <w:color w:val="000000"/>
                <w:sz w:val="20"/>
                <w:highlight w:val="black"/>
              </w:rPr>
              <w:t>''''''''''''''''''</w:t>
            </w:r>
            <w:r w:rsidRPr="000E01C3">
              <w:rPr>
                <w:rFonts w:ascii="Arial Narrow" w:hAnsi="Arial Narrow"/>
                <w:iCs/>
                <w:sz w:val="20"/>
              </w:rPr>
              <w:t>)</w:t>
            </w:r>
          </w:p>
        </w:tc>
        <w:tc>
          <w:tcPr>
            <w:tcW w:w="1134" w:type="dxa"/>
            <w:vAlign w:val="center"/>
          </w:tcPr>
          <w:p w:rsidR="002B20F0" w:rsidRPr="000E01C3" w:rsidRDefault="002B20F0" w:rsidP="00A04A6A">
            <w:pPr>
              <w:keepNext/>
              <w:widowControl/>
              <w:jc w:val="center"/>
              <w:rPr>
                <w:rFonts w:ascii="Arial Narrow" w:hAnsi="Arial Narrow"/>
                <w:iCs/>
                <w:sz w:val="20"/>
              </w:rPr>
            </w:pPr>
            <w:r w:rsidRPr="000E01C3">
              <w:rPr>
                <w:rFonts w:ascii="Arial Narrow" w:hAnsi="Arial Narrow"/>
                <w:iCs/>
                <w:sz w:val="20"/>
              </w:rPr>
              <w:t>$</w:t>
            </w:r>
            <w:r w:rsidR="004519D0">
              <w:rPr>
                <w:rFonts w:ascii="Arial Narrow" w:hAnsi="Arial Narrow"/>
                <w:iCs/>
                <w:noProof/>
                <w:color w:val="000000"/>
                <w:sz w:val="20"/>
                <w:highlight w:val="black"/>
              </w:rPr>
              <w:t>''''''''''''''''</w:t>
            </w:r>
          </w:p>
        </w:tc>
        <w:tc>
          <w:tcPr>
            <w:tcW w:w="1134" w:type="dxa"/>
            <w:vAlign w:val="center"/>
          </w:tcPr>
          <w:p w:rsidR="002B20F0" w:rsidRPr="000E01C3" w:rsidRDefault="002B20F0" w:rsidP="00A04A6A">
            <w:pPr>
              <w:keepNext/>
              <w:widowControl/>
              <w:jc w:val="center"/>
              <w:rPr>
                <w:rFonts w:ascii="Arial Narrow" w:hAnsi="Arial Narrow"/>
                <w:iCs/>
                <w:sz w:val="20"/>
              </w:rPr>
            </w:pPr>
            <w:r w:rsidRPr="000E01C3">
              <w:rPr>
                <w:rFonts w:ascii="Arial Narrow" w:hAnsi="Arial Narrow"/>
                <w:iCs/>
                <w:sz w:val="20"/>
              </w:rPr>
              <w:t>0.2424</w:t>
            </w:r>
          </w:p>
        </w:tc>
        <w:tc>
          <w:tcPr>
            <w:tcW w:w="1135" w:type="dxa"/>
            <w:vAlign w:val="center"/>
          </w:tcPr>
          <w:p w:rsidR="002B20F0" w:rsidRPr="000E01C3" w:rsidRDefault="002B20F0" w:rsidP="00A04A6A">
            <w:pPr>
              <w:keepNext/>
              <w:widowControl/>
              <w:jc w:val="center"/>
              <w:rPr>
                <w:rFonts w:ascii="Arial Narrow" w:hAnsi="Arial Narrow"/>
                <w:iCs/>
                <w:sz w:val="20"/>
              </w:rPr>
            </w:pPr>
            <w:r w:rsidRPr="000E01C3">
              <w:rPr>
                <w:rFonts w:ascii="Arial Narrow" w:hAnsi="Arial Narrow"/>
                <w:iCs/>
                <w:sz w:val="20"/>
              </w:rPr>
              <w:t>$</w:t>
            </w:r>
            <w:r w:rsidR="004519D0">
              <w:rPr>
                <w:rFonts w:ascii="Arial Narrow" w:hAnsi="Arial Narrow"/>
                <w:iCs/>
                <w:noProof/>
                <w:color w:val="000000"/>
                <w:sz w:val="20"/>
                <w:highlight w:val="black"/>
              </w:rPr>
              <w:t>'''''''''''''''</w:t>
            </w:r>
          </w:p>
        </w:tc>
      </w:tr>
    </w:tbl>
    <w:p w:rsidR="00E2780B" w:rsidRPr="000E01C3" w:rsidRDefault="00E2780B" w:rsidP="00A04A6A">
      <w:pPr>
        <w:pStyle w:val="TableFooter"/>
        <w:widowControl/>
        <w:ind w:left="170" w:hanging="170"/>
        <w:rPr>
          <w:szCs w:val="18"/>
        </w:rPr>
      </w:pPr>
      <w:r w:rsidRPr="000E01C3">
        <w:rPr>
          <w:szCs w:val="18"/>
          <w:vertAlign w:val="superscript"/>
        </w:rPr>
        <w:t>a</w:t>
      </w:r>
      <w:r w:rsidRPr="000E01C3">
        <w:rPr>
          <w:szCs w:val="18"/>
        </w:rPr>
        <w:tab/>
      </w:r>
      <w:r w:rsidRPr="000E01C3">
        <w:rPr>
          <w:iCs/>
          <w:szCs w:val="18"/>
        </w:rPr>
        <w:t>The cost of treatment and hospitalisation for exacerbations was not explicitly incorporated into the base case of the economic model, as it was implicitly incorporated into the costs of managing CF.</w:t>
      </w:r>
    </w:p>
    <w:p w:rsidR="002B20F0" w:rsidRPr="000E01C3" w:rsidRDefault="002B20F0" w:rsidP="00B50602">
      <w:pPr>
        <w:pStyle w:val="TableFooter"/>
        <w:widowControl/>
        <w:spacing w:after="120"/>
        <w:rPr>
          <w:szCs w:val="18"/>
        </w:rPr>
      </w:pPr>
      <w:r w:rsidRPr="000E01C3">
        <w:rPr>
          <w:szCs w:val="18"/>
        </w:rPr>
        <w:t>Source: constructed during the evaluation</w:t>
      </w:r>
    </w:p>
    <w:p w:rsidR="004A0E3F" w:rsidRPr="000E01C3" w:rsidRDefault="00FE0CC5" w:rsidP="00B50602">
      <w:pPr>
        <w:pStyle w:val="ListParagraph"/>
        <w:widowControl/>
        <w:numPr>
          <w:ilvl w:val="1"/>
          <w:numId w:val="5"/>
        </w:numPr>
        <w:spacing w:after="120"/>
        <w:contextualSpacing w:val="0"/>
        <w:rPr>
          <w:rFonts w:asciiTheme="minorHAnsi" w:hAnsiTheme="minorHAnsi" w:cstheme="minorHAnsi"/>
          <w:iCs/>
          <w:sz w:val="24"/>
          <w:szCs w:val="24"/>
        </w:rPr>
      </w:pPr>
      <w:r w:rsidRPr="000E01C3">
        <w:rPr>
          <w:rFonts w:asciiTheme="minorHAnsi" w:hAnsiTheme="minorHAnsi" w:cstheme="minorHAnsi"/>
          <w:iCs/>
          <w:sz w:val="24"/>
          <w:szCs w:val="24"/>
        </w:rPr>
        <w:t xml:space="preserve">Overall, the </w:t>
      </w:r>
      <w:r w:rsidR="004942A2" w:rsidRPr="000E01C3">
        <w:rPr>
          <w:rFonts w:asciiTheme="minorHAnsi" w:hAnsiTheme="minorHAnsi" w:cstheme="minorHAnsi"/>
          <w:iCs/>
          <w:sz w:val="24"/>
          <w:szCs w:val="24"/>
        </w:rPr>
        <w:t xml:space="preserve">univariate </w:t>
      </w:r>
      <w:r w:rsidRPr="000E01C3">
        <w:rPr>
          <w:rFonts w:asciiTheme="minorHAnsi" w:hAnsiTheme="minorHAnsi" w:cstheme="minorHAnsi"/>
          <w:iCs/>
          <w:sz w:val="24"/>
          <w:szCs w:val="24"/>
        </w:rPr>
        <w:t>sensitivity analyses indicated that the model was largely insensitiv</w:t>
      </w:r>
      <w:r w:rsidR="00CC5FFF" w:rsidRPr="000E01C3">
        <w:rPr>
          <w:rFonts w:asciiTheme="minorHAnsi" w:hAnsiTheme="minorHAnsi" w:cstheme="minorHAnsi"/>
          <w:iCs/>
          <w:sz w:val="24"/>
          <w:szCs w:val="24"/>
        </w:rPr>
        <w:t>e</w:t>
      </w:r>
      <w:r w:rsidRPr="000E01C3">
        <w:rPr>
          <w:rFonts w:asciiTheme="minorHAnsi" w:hAnsiTheme="minorHAnsi" w:cstheme="minorHAnsi"/>
          <w:iCs/>
          <w:sz w:val="24"/>
          <w:szCs w:val="24"/>
        </w:rPr>
        <w:t xml:space="preserve"> to variables which do not radically alter the associated survival benefit attributed to mannitol in the model.</w:t>
      </w:r>
      <w:r w:rsidR="001629C2" w:rsidRPr="000E01C3">
        <w:rPr>
          <w:rFonts w:asciiTheme="minorHAnsi" w:hAnsiTheme="minorHAnsi" w:cstheme="minorHAnsi"/>
          <w:iCs/>
          <w:sz w:val="24"/>
          <w:szCs w:val="24"/>
        </w:rPr>
        <w:t xml:space="preserve"> </w:t>
      </w:r>
      <w:r w:rsidRPr="000E01C3">
        <w:rPr>
          <w:rFonts w:asciiTheme="minorHAnsi" w:hAnsiTheme="minorHAnsi" w:cstheme="minorHAnsi"/>
          <w:sz w:val="24"/>
          <w:szCs w:val="24"/>
        </w:rPr>
        <w:t>Nevertheless</w:t>
      </w:r>
      <w:r w:rsidRPr="000E01C3">
        <w:rPr>
          <w:rFonts w:asciiTheme="minorHAnsi" w:hAnsiTheme="minorHAnsi" w:cstheme="minorHAnsi"/>
          <w:iCs/>
          <w:sz w:val="24"/>
          <w:szCs w:val="24"/>
        </w:rPr>
        <w:t>, the Cox survival model which underpinned the relationship between pp</w:t>
      </w:r>
      <w:r w:rsidR="00710FD5" w:rsidRPr="000E01C3">
        <w:rPr>
          <w:rFonts w:asciiTheme="minorHAnsi" w:hAnsiTheme="minorHAnsi" w:cstheme="minorHAnsi"/>
          <w:iCs/>
          <w:sz w:val="24"/>
          <w:szCs w:val="24"/>
        </w:rPr>
        <w:t>FEV</w:t>
      </w:r>
      <w:r w:rsidR="00710FD5" w:rsidRPr="000E01C3">
        <w:rPr>
          <w:rFonts w:asciiTheme="minorHAnsi" w:hAnsiTheme="minorHAnsi" w:cstheme="minorHAnsi"/>
          <w:iCs/>
          <w:sz w:val="24"/>
          <w:szCs w:val="24"/>
          <w:vertAlign w:val="subscript"/>
        </w:rPr>
        <w:t>1</w:t>
      </w:r>
      <w:r w:rsidRPr="000E01C3">
        <w:rPr>
          <w:rFonts w:asciiTheme="minorHAnsi" w:hAnsiTheme="minorHAnsi" w:cstheme="minorHAnsi"/>
          <w:iCs/>
          <w:sz w:val="24"/>
          <w:szCs w:val="24"/>
        </w:rPr>
        <w:t xml:space="preserve"> and mortality could not be adequately tested during the evaluation.</w:t>
      </w:r>
    </w:p>
    <w:p w:rsidR="00AC0633" w:rsidRPr="000E01C3" w:rsidRDefault="004A0E3F" w:rsidP="0019092D">
      <w:pPr>
        <w:pStyle w:val="ListParagraph"/>
        <w:widowControl/>
        <w:numPr>
          <w:ilvl w:val="1"/>
          <w:numId w:val="5"/>
        </w:numPr>
        <w:spacing w:after="120"/>
        <w:contextualSpacing w:val="0"/>
        <w:rPr>
          <w:rFonts w:asciiTheme="minorHAnsi" w:hAnsiTheme="minorHAnsi" w:cstheme="minorHAnsi"/>
          <w:iCs/>
          <w:sz w:val="24"/>
          <w:szCs w:val="24"/>
        </w:rPr>
      </w:pPr>
      <w:r w:rsidRPr="000E01C3">
        <w:rPr>
          <w:rFonts w:asciiTheme="minorHAnsi" w:hAnsiTheme="minorHAnsi" w:cstheme="minorHAnsi"/>
          <w:iCs/>
          <w:sz w:val="24"/>
          <w:szCs w:val="24"/>
        </w:rPr>
        <w:t>The PSCR (p4) argued the sensitivity analysis in which ppFEV</w:t>
      </w:r>
      <w:r w:rsidRPr="000E01C3">
        <w:rPr>
          <w:rFonts w:asciiTheme="minorHAnsi" w:hAnsiTheme="minorHAnsi" w:cstheme="minorHAnsi"/>
          <w:iCs/>
          <w:sz w:val="24"/>
          <w:szCs w:val="24"/>
          <w:vertAlign w:val="subscript"/>
        </w:rPr>
        <w:t>1</w:t>
      </w:r>
      <w:r w:rsidRPr="000E01C3">
        <w:rPr>
          <w:rFonts w:asciiTheme="minorHAnsi" w:hAnsiTheme="minorHAnsi" w:cstheme="minorHAnsi"/>
          <w:iCs/>
          <w:sz w:val="24"/>
          <w:szCs w:val="24"/>
        </w:rPr>
        <w:t xml:space="preserve"> immediately returned to the baseline value when patients ceased mannitol (resulting in an ICER of </w:t>
      </w:r>
      <w:r w:rsidR="0019092D">
        <w:rPr>
          <w:rFonts w:asciiTheme="minorHAnsi" w:hAnsiTheme="minorHAnsi" w:cstheme="minorHAnsi"/>
          <w:iCs/>
          <w:sz w:val="24"/>
          <w:szCs w:val="24"/>
        </w:rPr>
        <w:t>$45,000</w:t>
      </w:r>
      <w:r w:rsidR="0019092D" w:rsidRPr="0019092D">
        <w:rPr>
          <w:rFonts w:asciiTheme="minorHAnsi" w:hAnsiTheme="minorHAnsi" w:cstheme="minorHAnsi"/>
          <w:iCs/>
          <w:sz w:val="24"/>
          <w:szCs w:val="24"/>
        </w:rPr>
        <w:t xml:space="preserve"> – $75,000</w:t>
      </w:r>
      <w:r w:rsidR="0019092D">
        <w:rPr>
          <w:rFonts w:asciiTheme="minorHAnsi" w:hAnsiTheme="minorHAnsi" w:cstheme="minorHAnsi"/>
          <w:iCs/>
          <w:sz w:val="24"/>
          <w:szCs w:val="24"/>
        </w:rPr>
        <w:t xml:space="preserve"> </w:t>
      </w:r>
      <w:r w:rsidR="00037403" w:rsidRPr="000E01C3">
        <w:rPr>
          <w:rFonts w:asciiTheme="minorHAnsi" w:hAnsiTheme="minorHAnsi" w:cstheme="minorHAnsi"/>
          <w:iCs/>
          <w:sz w:val="24"/>
          <w:szCs w:val="24"/>
        </w:rPr>
        <w:t>per QALY gained</w:t>
      </w:r>
      <w:r w:rsidRPr="000E01C3">
        <w:rPr>
          <w:rFonts w:asciiTheme="minorHAnsi" w:hAnsiTheme="minorHAnsi" w:cstheme="minorHAnsi"/>
          <w:iCs/>
          <w:sz w:val="24"/>
          <w:szCs w:val="24"/>
        </w:rPr>
        <w:t xml:space="preserve">) </w:t>
      </w:r>
      <w:r w:rsidR="00BA638B" w:rsidRPr="000E01C3">
        <w:rPr>
          <w:rFonts w:asciiTheme="minorHAnsi" w:hAnsiTheme="minorHAnsi" w:cstheme="minorHAnsi"/>
          <w:iCs/>
          <w:sz w:val="24"/>
          <w:szCs w:val="24"/>
        </w:rPr>
        <w:t>wa</w:t>
      </w:r>
      <w:r w:rsidRPr="000E01C3">
        <w:rPr>
          <w:rFonts w:asciiTheme="minorHAnsi" w:hAnsiTheme="minorHAnsi" w:cstheme="minorHAnsi"/>
          <w:iCs/>
          <w:sz w:val="24"/>
          <w:szCs w:val="24"/>
        </w:rPr>
        <w:t>s biased, as assume</w:t>
      </w:r>
      <w:r w:rsidR="00BA638B" w:rsidRPr="000E01C3">
        <w:rPr>
          <w:rFonts w:asciiTheme="minorHAnsi" w:hAnsiTheme="minorHAnsi" w:cstheme="minorHAnsi"/>
          <w:iCs/>
          <w:sz w:val="24"/>
          <w:szCs w:val="24"/>
        </w:rPr>
        <w:t>d</w:t>
      </w:r>
      <w:r w:rsidRPr="000E01C3">
        <w:rPr>
          <w:rFonts w:asciiTheme="minorHAnsi" w:hAnsiTheme="minorHAnsi" w:cstheme="minorHAnsi"/>
          <w:iCs/>
          <w:sz w:val="24"/>
          <w:szCs w:val="24"/>
        </w:rPr>
        <w:t xml:space="preserve"> that patients who previously received mannitol </w:t>
      </w:r>
      <w:r w:rsidR="00582CF0" w:rsidRPr="000E01C3">
        <w:rPr>
          <w:rFonts w:asciiTheme="minorHAnsi" w:hAnsiTheme="minorHAnsi" w:cstheme="minorHAnsi"/>
          <w:iCs/>
          <w:sz w:val="24"/>
          <w:szCs w:val="24"/>
        </w:rPr>
        <w:t>+</w:t>
      </w:r>
      <w:r w:rsidRPr="000E01C3">
        <w:rPr>
          <w:rFonts w:asciiTheme="minorHAnsi" w:hAnsiTheme="minorHAnsi" w:cstheme="minorHAnsi"/>
          <w:iCs/>
          <w:sz w:val="24"/>
          <w:szCs w:val="24"/>
        </w:rPr>
        <w:t xml:space="preserve"> BSC experience a faster rate of decline in ppFEV</w:t>
      </w:r>
      <w:r w:rsidRPr="000E01C3">
        <w:rPr>
          <w:rFonts w:asciiTheme="minorHAnsi" w:hAnsiTheme="minorHAnsi" w:cstheme="minorHAnsi"/>
          <w:iCs/>
          <w:sz w:val="24"/>
          <w:szCs w:val="24"/>
          <w:vertAlign w:val="subscript"/>
        </w:rPr>
        <w:t>1</w:t>
      </w:r>
      <w:r w:rsidRPr="000E01C3">
        <w:rPr>
          <w:rFonts w:asciiTheme="minorHAnsi" w:hAnsiTheme="minorHAnsi" w:cstheme="minorHAnsi"/>
          <w:iCs/>
          <w:sz w:val="24"/>
          <w:szCs w:val="24"/>
        </w:rPr>
        <w:t xml:space="preserve"> than patients previously treated with BSC alone. </w:t>
      </w:r>
      <w:r w:rsidR="005A326D" w:rsidRPr="000E01C3">
        <w:rPr>
          <w:rFonts w:asciiTheme="minorHAnsi" w:hAnsiTheme="minorHAnsi" w:cstheme="minorHAnsi"/>
          <w:iCs/>
          <w:sz w:val="24"/>
          <w:szCs w:val="24"/>
        </w:rPr>
        <w:t>However, the ESC considered this sensitivity analysis still favoured mannitol, as patients in real life are likely to have declining ppFEV</w:t>
      </w:r>
      <w:r w:rsidR="005A326D" w:rsidRPr="000E01C3">
        <w:rPr>
          <w:rFonts w:asciiTheme="minorHAnsi" w:hAnsiTheme="minorHAnsi" w:cstheme="minorHAnsi"/>
          <w:iCs/>
          <w:sz w:val="24"/>
          <w:szCs w:val="24"/>
          <w:vertAlign w:val="subscript"/>
        </w:rPr>
        <w:t>1</w:t>
      </w:r>
      <w:r w:rsidR="005A326D" w:rsidRPr="000E01C3">
        <w:rPr>
          <w:rFonts w:asciiTheme="minorHAnsi" w:hAnsiTheme="minorHAnsi" w:cstheme="minorHAnsi"/>
          <w:iCs/>
          <w:sz w:val="24"/>
          <w:szCs w:val="24"/>
        </w:rPr>
        <w:t xml:space="preserve"> prior to cessation of mannitol</w:t>
      </w:r>
      <w:r w:rsidR="004942A2" w:rsidRPr="000E01C3">
        <w:rPr>
          <w:rFonts w:asciiTheme="minorHAnsi" w:hAnsiTheme="minorHAnsi" w:cstheme="minorHAnsi"/>
          <w:iCs/>
          <w:sz w:val="24"/>
          <w:szCs w:val="24"/>
        </w:rPr>
        <w:t>,</w:t>
      </w:r>
      <w:r w:rsidR="005A326D" w:rsidRPr="000E01C3">
        <w:rPr>
          <w:rFonts w:asciiTheme="minorHAnsi" w:hAnsiTheme="minorHAnsi" w:cstheme="minorHAnsi"/>
          <w:iCs/>
          <w:sz w:val="24"/>
          <w:szCs w:val="24"/>
        </w:rPr>
        <w:t xml:space="preserve"> rather than experiencing an immediate drop</w:t>
      </w:r>
      <w:r w:rsidR="004942A2" w:rsidRPr="000E01C3">
        <w:rPr>
          <w:rFonts w:asciiTheme="minorHAnsi" w:hAnsiTheme="minorHAnsi" w:cstheme="minorHAnsi"/>
          <w:iCs/>
          <w:sz w:val="24"/>
          <w:szCs w:val="24"/>
        </w:rPr>
        <w:t>,</w:t>
      </w:r>
      <w:r w:rsidR="005A326D" w:rsidRPr="000E01C3">
        <w:rPr>
          <w:rFonts w:asciiTheme="minorHAnsi" w:hAnsiTheme="minorHAnsi" w:cstheme="minorHAnsi"/>
          <w:iCs/>
          <w:sz w:val="24"/>
          <w:szCs w:val="24"/>
        </w:rPr>
        <w:t xml:space="preserve"> and will have reduced survival gain as a consequence. The ESC </w:t>
      </w:r>
      <w:r w:rsidR="00D314B6" w:rsidRPr="000E01C3">
        <w:rPr>
          <w:rFonts w:asciiTheme="minorHAnsi" w:hAnsiTheme="minorHAnsi" w:cstheme="minorHAnsi"/>
          <w:iCs/>
          <w:sz w:val="24"/>
          <w:szCs w:val="24"/>
        </w:rPr>
        <w:t xml:space="preserve">considered </w:t>
      </w:r>
      <w:r w:rsidR="005A326D" w:rsidRPr="000E01C3">
        <w:rPr>
          <w:rFonts w:asciiTheme="minorHAnsi" w:hAnsiTheme="minorHAnsi" w:cstheme="minorHAnsi"/>
          <w:iCs/>
          <w:sz w:val="24"/>
          <w:szCs w:val="24"/>
        </w:rPr>
        <w:t xml:space="preserve">that the final sensitivity analysis presented in Table 12 (with an ICER of </w:t>
      </w:r>
      <w:r w:rsidR="0019092D">
        <w:rPr>
          <w:rFonts w:asciiTheme="minorHAnsi" w:hAnsiTheme="minorHAnsi" w:cstheme="minorHAnsi"/>
          <w:iCs/>
          <w:sz w:val="24"/>
          <w:szCs w:val="24"/>
        </w:rPr>
        <w:t xml:space="preserve">$75,000– $105,000 </w:t>
      </w:r>
      <w:r w:rsidR="005A326D" w:rsidRPr="000E01C3">
        <w:rPr>
          <w:rFonts w:asciiTheme="minorHAnsi" w:hAnsiTheme="minorHAnsi" w:cstheme="minorHAnsi"/>
          <w:iCs/>
          <w:sz w:val="24"/>
          <w:szCs w:val="24"/>
        </w:rPr>
        <w:t xml:space="preserve">per QALY gained) </w:t>
      </w:r>
      <w:r w:rsidR="00D314B6" w:rsidRPr="000E01C3">
        <w:rPr>
          <w:rFonts w:asciiTheme="minorHAnsi" w:hAnsiTheme="minorHAnsi" w:cstheme="minorHAnsi"/>
          <w:iCs/>
          <w:sz w:val="24"/>
          <w:szCs w:val="24"/>
        </w:rPr>
        <w:t xml:space="preserve">still favoured mannitol as well as it </w:t>
      </w:r>
      <w:r w:rsidR="005A326D" w:rsidRPr="000E01C3">
        <w:rPr>
          <w:rFonts w:asciiTheme="minorHAnsi" w:hAnsiTheme="minorHAnsi" w:cstheme="minorHAnsi"/>
          <w:iCs/>
          <w:sz w:val="24"/>
          <w:szCs w:val="24"/>
        </w:rPr>
        <w:t>estimated a median survival benefit of around 1.5 years and a median age of death of over 50 years in a population that included approximately 50% mannitol non</w:t>
      </w:r>
      <w:r w:rsidR="00132F1F" w:rsidRPr="000E01C3">
        <w:rPr>
          <w:rFonts w:asciiTheme="minorHAnsi" w:hAnsiTheme="minorHAnsi" w:cstheme="minorHAnsi"/>
          <w:iCs/>
          <w:sz w:val="24"/>
          <w:szCs w:val="24"/>
        </w:rPr>
        <w:noBreakHyphen/>
      </w:r>
      <w:r w:rsidR="005A326D" w:rsidRPr="000E01C3">
        <w:rPr>
          <w:rFonts w:asciiTheme="minorHAnsi" w:hAnsiTheme="minorHAnsi" w:cstheme="minorHAnsi"/>
          <w:iCs/>
          <w:sz w:val="24"/>
          <w:szCs w:val="24"/>
        </w:rPr>
        <w:t xml:space="preserve">responders with some patients only having had one dose of mannitol. </w:t>
      </w:r>
      <w:r w:rsidR="00EE3F20" w:rsidRPr="000E01C3">
        <w:rPr>
          <w:rFonts w:asciiTheme="minorHAnsi" w:hAnsiTheme="minorHAnsi" w:cstheme="minorHAnsi"/>
          <w:iCs/>
          <w:sz w:val="24"/>
          <w:szCs w:val="24"/>
        </w:rPr>
        <w:t>The pre</w:t>
      </w:r>
      <w:r w:rsidR="00132F1F" w:rsidRPr="000E01C3">
        <w:rPr>
          <w:rFonts w:asciiTheme="minorHAnsi" w:hAnsiTheme="minorHAnsi" w:cstheme="minorHAnsi"/>
          <w:iCs/>
          <w:sz w:val="24"/>
          <w:szCs w:val="24"/>
        </w:rPr>
        <w:noBreakHyphen/>
      </w:r>
      <w:r w:rsidR="00EE3F20" w:rsidRPr="000E01C3">
        <w:rPr>
          <w:rFonts w:asciiTheme="minorHAnsi" w:hAnsiTheme="minorHAnsi" w:cstheme="minorHAnsi"/>
          <w:iCs/>
          <w:sz w:val="24"/>
          <w:szCs w:val="24"/>
        </w:rPr>
        <w:t xml:space="preserve">PBAC response (p2-3) </w:t>
      </w:r>
      <w:r w:rsidR="00D314B6" w:rsidRPr="000E01C3">
        <w:rPr>
          <w:rFonts w:asciiTheme="minorHAnsi" w:hAnsiTheme="minorHAnsi" w:cstheme="minorHAnsi"/>
          <w:iCs/>
          <w:sz w:val="24"/>
          <w:szCs w:val="24"/>
        </w:rPr>
        <w:t>argued that this</w:t>
      </w:r>
      <w:r w:rsidR="00EE3F20" w:rsidRPr="000E01C3">
        <w:rPr>
          <w:rFonts w:asciiTheme="minorHAnsi" w:hAnsiTheme="minorHAnsi" w:cstheme="minorHAnsi"/>
          <w:iCs/>
          <w:sz w:val="24"/>
          <w:szCs w:val="24"/>
        </w:rPr>
        <w:t xml:space="preserve"> </w:t>
      </w:r>
      <w:r w:rsidR="00D314B6" w:rsidRPr="000E01C3">
        <w:rPr>
          <w:rFonts w:asciiTheme="minorHAnsi" w:hAnsiTheme="minorHAnsi" w:cstheme="minorHAnsi"/>
          <w:iCs/>
          <w:sz w:val="24"/>
          <w:szCs w:val="24"/>
        </w:rPr>
        <w:t xml:space="preserve">the assumptions chosen for this multivariate analysis generated a worst-case ICER. </w:t>
      </w:r>
    </w:p>
    <w:p w:rsidR="00D06935" w:rsidRPr="004519D0" w:rsidRDefault="00D06935" w:rsidP="00A04A6A">
      <w:pPr>
        <w:pStyle w:val="Heading2"/>
        <w:keepNext/>
        <w:keepLines/>
        <w:widowControl/>
        <w:spacing w:before="240" w:after="120"/>
        <w:jc w:val="left"/>
        <w:rPr>
          <w:rFonts w:asciiTheme="minorHAnsi" w:eastAsiaTheme="majorEastAsia" w:hAnsiTheme="minorHAnsi" w:cstheme="majorBidi"/>
          <w:i/>
          <w:snapToGrid/>
          <w:sz w:val="28"/>
          <w:szCs w:val="28"/>
        </w:rPr>
      </w:pPr>
      <w:bookmarkStart w:id="16" w:name="_Toc482779075"/>
      <w:r w:rsidRPr="000E01C3">
        <w:rPr>
          <w:rFonts w:asciiTheme="minorHAnsi" w:eastAsiaTheme="majorEastAsia" w:hAnsiTheme="minorHAnsi" w:cstheme="majorBidi"/>
          <w:i/>
          <w:snapToGrid/>
          <w:sz w:val="28"/>
          <w:szCs w:val="28"/>
        </w:rPr>
        <w:t>Dru</w:t>
      </w:r>
      <w:r w:rsidR="00EF367A" w:rsidRPr="000E01C3">
        <w:rPr>
          <w:rFonts w:asciiTheme="minorHAnsi" w:eastAsiaTheme="majorEastAsia" w:hAnsiTheme="minorHAnsi" w:cstheme="majorBidi"/>
          <w:i/>
          <w:snapToGrid/>
          <w:sz w:val="28"/>
          <w:szCs w:val="28"/>
        </w:rPr>
        <w:t>g cost/patient/year: $</w:t>
      </w:r>
      <w:bookmarkEnd w:id="16"/>
      <w:r w:rsidR="004519D0">
        <w:rPr>
          <w:rFonts w:asciiTheme="minorHAnsi" w:eastAsiaTheme="majorEastAsia" w:hAnsiTheme="minorHAnsi" w:cstheme="majorBidi"/>
          <w:i/>
          <w:noProof/>
          <w:snapToGrid/>
          <w:color w:val="000000"/>
          <w:sz w:val="28"/>
          <w:szCs w:val="28"/>
          <w:highlight w:val="black"/>
        </w:rPr>
        <w:t>''''''''''</w:t>
      </w:r>
    </w:p>
    <w:p w:rsidR="00EF367A" w:rsidRPr="000E01C3" w:rsidRDefault="00EF367A" w:rsidP="00B50602">
      <w:pPr>
        <w:pStyle w:val="ListParagraph"/>
        <w:widowControl/>
        <w:numPr>
          <w:ilvl w:val="1"/>
          <w:numId w:val="5"/>
        </w:numPr>
        <w:spacing w:after="120"/>
        <w:contextualSpacing w:val="0"/>
        <w:rPr>
          <w:rFonts w:asciiTheme="minorHAnsi" w:hAnsiTheme="minorHAnsi" w:cstheme="minorHAnsi"/>
          <w:iCs/>
          <w:sz w:val="24"/>
          <w:szCs w:val="24"/>
        </w:rPr>
      </w:pPr>
      <w:r w:rsidRPr="000E01C3">
        <w:rPr>
          <w:rFonts w:asciiTheme="minorHAnsi" w:hAnsiTheme="minorHAnsi" w:cstheme="minorHAnsi"/>
          <w:iCs/>
          <w:sz w:val="24"/>
          <w:szCs w:val="24"/>
        </w:rPr>
        <w:t>$</w:t>
      </w:r>
      <w:r w:rsidR="004519D0">
        <w:rPr>
          <w:rFonts w:asciiTheme="minorHAnsi" w:hAnsiTheme="minorHAnsi" w:cstheme="minorHAnsi"/>
          <w:iCs/>
          <w:noProof/>
          <w:color w:val="000000"/>
          <w:sz w:val="24"/>
          <w:szCs w:val="24"/>
          <w:highlight w:val="black"/>
        </w:rPr>
        <w:t>'''''''''''''</w:t>
      </w:r>
      <w:r w:rsidRPr="000E01C3">
        <w:rPr>
          <w:rFonts w:asciiTheme="minorHAnsi" w:hAnsiTheme="minorHAnsi" w:cstheme="minorHAnsi"/>
          <w:iCs/>
          <w:sz w:val="24"/>
          <w:szCs w:val="24"/>
        </w:rPr>
        <w:t xml:space="preserve"> per month and $</w:t>
      </w:r>
      <w:r w:rsidR="004519D0">
        <w:rPr>
          <w:rFonts w:asciiTheme="minorHAnsi" w:hAnsiTheme="minorHAnsi" w:cstheme="minorHAnsi"/>
          <w:iCs/>
          <w:noProof/>
          <w:color w:val="000000"/>
          <w:sz w:val="24"/>
          <w:szCs w:val="24"/>
          <w:highlight w:val="black"/>
        </w:rPr>
        <w:t>'''''''''''''''</w:t>
      </w:r>
      <w:r w:rsidR="009D6599" w:rsidRPr="000E01C3">
        <w:rPr>
          <w:rFonts w:asciiTheme="minorHAnsi" w:hAnsiTheme="minorHAnsi" w:cstheme="minorHAnsi"/>
          <w:iCs/>
          <w:sz w:val="24"/>
          <w:szCs w:val="24"/>
        </w:rPr>
        <w:t xml:space="preserve"> per </w:t>
      </w:r>
      <w:r w:rsidR="008A1975" w:rsidRPr="000E01C3">
        <w:rPr>
          <w:rFonts w:asciiTheme="minorHAnsi" w:hAnsiTheme="minorHAnsi" w:cstheme="minorHAnsi"/>
          <w:iCs/>
          <w:sz w:val="24"/>
          <w:szCs w:val="24"/>
        </w:rPr>
        <w:t xml:space="preserve">patient per </w:t>
      </w:r>
      <w:r w:rsidR="009D6599" w:rsidRPr="000E01C3">
        <w:rPr>
          <w:rFonts w:asciiTheme="minorHAnsi" w:hAnsiTheme="minorHAnsi" w:cstheme="minorHAnsi"/>
          <w:iCs/>
          <w:sz w:val="24"/>
          <w:szCs w:val="24"/>
        </w:rPr>
        <w:t>year</w:t>
      </w:r>
      <w:r w:rsidRPr="000E01C3">
        <w:rPr>
          <w:rFonts w:asciiTheme="minorHAnsi" w:hAnsiTheme="minorHAnsi" w:cstheme="minorHAnsi"/>
          <w:iCs/>
          <w:sz w:val="24"/>
          <w:szCs w:val="24"/>
        </w:rPr>
        <w:t xml:space="preserve"> assu</w:t>
      </w:r>
      <w:r w:rsidR="00FC10C3" w:rsidRPr="000E01C3">
        <w:rPr>
          <w:rFonts w:asciiTheme="minorHAnsi" w:hAnsiTheme="minorHAnsi" w:cstheme="minorHAnsi"/>
          <w:iCs/>
          <w:sz w:val="24"/>
          <w:szCs w:val="24"/>
        </w:rPr>
        <w:t xml:space="preserve">ming </w:t>
      </w:r>
      <w:r w:rsidRPr="000E01C3">
        <w:rPr>
          <w:rFonts w:asciiTheme="minorHAnsi" w:hAnsiTheme="minorHAnsi" w:cstheme="minorHAnsi"/>
          <w:iCs/>
          <w:sz w:val="24"/>
          <w:szCs w:val="24"/>
        </w:rPr>
        <w:t>the effective DPMQ of $</w:t>
      </w:r>
      <w:r w:rsidR="004519D0">
        <w:rPr>
          <w:rFonts w:asciiTheme="minorHAnsi" w:hAnsiTheme="minorHAnsi" w:cstheme="minorHAnsi"/>
          <w:iCs/>
          <w:noProof/>
          <w:color w:val="000000"/>
          <w:sz w:val="24"/>
          <w:szCs w:val="24"/>
          <w:highlight w:val="black"/>
        </w:rPr>
        <w:t>'''''''''''''''''</w:t>
      </w:r>
      <w:r w:rsidRPr="000E01C3">
        <w:rPr>
          <w:rFonts w:asciiTheme="minorHAnsi" w:hAnsiTheme="minorHAnsi" w:cstheme="minorHAnsi"/>
          <w:iCs/>
          <w:sz w:val="24"/>
          <w:szCs w:val="24"/>
        </w:rPr>
        <w:t xml:space="preserve"> with 5% price reduction from 1 April 2018 and </w:t>
      </w:r>
      <w:r w:rsidR="004519D0">
        <w:rPr>
          <w:rFonts w:asciiTheme="minorHAnsi" w:hAnsiTheme="minorHAnsi" w:cstheme="minorHAnsi"/>
          <w:iCs/>
          <w:noProof/>
          <w:color w:val="000000"/>
          <w:sz w:val="24"/>
          <w:szCs w:val="24"/>
          <w:highlight w:val="black"/>
        </w:rPr>
        <w:t>'''''''''''''''''' '''''''''''''''''''' ''''''''''''</w:t>
      </w:r>
      <w:r w:rsidRPr="000E01C3">
        <w:rPr>
          <w:rFonts w:asciiTheme="minorHAnsi" w:hAnsiTheme="minorHAnsi" w:cstheme="minorHAnsi"/>
          <w:iCs/>
          <w:sz w:val="24"/>
          <w:szCs w:val="24"/>
        </w:rPr>
        <w:t xml:space="preserve">, and a </w:t>
      </w:r>
      <w:r w:rsidR="00D40CFF" w:rsidRPr="000E01C3">
        <w:rPr>
          <w:rFonts w:asciiTheme="minorHAnsi" w:hAnsiTheme="minorHAnsi" w:cstheme="minorHAnsi"/>
          <w:iCs/>
          <w:sz w:val="24"/>
          <w:szCs w:val="24"/>
        </w:rPr>
        <w:t>maximum quantity pack lasting for 56 days.</w:t>
      </w:r>
    </w:p>
    <w:p w:rsidR="00D06935" w:rsidRPr="000E01C3" w:rsidRDefault="00D06935" w:rsidP="00A04A6A">
      <w:pPr>
        <w:pStyle w:val="Heading2"/>
        <w:keepNext/>
        <w:keepLines/>
        <w:widowControl/>
        <w:spacing w:before="240" w:after="120"/>
        <w:jc w:val="left"/>
        <w:rPr>
          <w:rFonts w:asciiTheme="minorHAnsi" w:eastAsiaTheme="majorEastAsia" w:hAnsiTheme="minorHAnsi" w:cstheme="majorBidi"/>
          <w:i/>
          <w:snapToGrid/>
          <w:sz w:val="28"/>
          <w:szCs w:val="28"/>
        </w:rPr>
      </w:pPr>
      <w:bookmarkStart w:id="17" w:name="_Toc482779076"/>
      <w:r w:rsidRPr="000E01C3">
        <w:rPr>
          <w:rFonts w:asciiTheme="minorHAnsi" w:eastAsiaTheme="majorEastAsia" w:hAnsiTheme="minorHAnsi" w:cstheme="majorBidi"/>
          <w:i/>
          <w:snapToGrid/>
          <w:sz w:val="28"/>
          <w:szCs w:val="28"/>
        </w:rPr>
        <w:t>Estimated PBS usage &amp; financial implications</w:t>
      </w:r>
      <w:bookmarkEnd w:id="17"/>
    </w:p>
    <w:p w:rsidR="00132F1F" w:rsidRPr="000E01C3" w:rsidRDefault="00B44541" w:rsidP="00132F1F">
      <w:pPr>
        <w:pStyle w:val="ListParagraph"/>
        <w:widowControl/>
        <w:numPr>
          <w:ilvl w:val="1"/>
          <w:numId w:val="5"/>
        </w:numPr>
        <w:spacing w:after="120"/>
        <w:contextualSpacing w:val="0"/>
        <w:rPr>
          <w:rFonts w:asciiTheme="minorHAnsi" w:hAnsiTheme="minorHAnsi" w:cstheme="minorHAnsi"/>
          <w:iCs/>
          <w:sz w:val="24"/>
          <w:szCs w:val="24"/>
        </w:rPr>
      </w:pPr>
      <w:r w:rsidRPr="000E01C3">
        <w:rPr>
          <w:rFonts w:asciiTheme="minorHAnsi" w:hAnsiTheme="minorHAnsi" w:cstheme="minorHAnsi"/>
          <w:iCs/>
          <w:sz w:val="24"/>
          <w:szCs w:val="24"/>
        </w:rPr>
        <w:t>This re</w:t>
      </w:r>
      <w:r w:rsidR="00E50CE9" w:rsidRPr="000E01C3">
        <w:rPr>
          <w:rFonts w:asciiTheme="minorHAnsi" w:hAnsiTheme="minorHAnsi" w:cstheme="minorHAnsi"/>
          <w:iCs/>
          <w:sz w:val="24"/>
          <w:szCs w:val="24"/>
        </w:rPr>
        <w:t xml:space="preserve">submission </w:t>
      </w:r>
      <w:r w:rsidR="00A04A6A" w:rsidRPr="000E01C3">
        <w:rPr>
          <w:rFonts w:asciiTheme="minorHAnsi" w:hAnsiTheme="minorHAnsi" w:cstheme="minorHAnsi"/>
          <w:iCs/>
          <w:sz w:val="24"/>
          <w:szCs w:val="24"/>
        </w:rPr>
        <w:t>was not</w:t>
      </w:r>
      <w:r w:rsidRPr="000E01C3">
        <w:rPr>
          <w:rFonts w:asciiTheme="minorHAnsi" w:hAnsiTheme="minorHAnsi" w:cstheme="minorHAnsi"/>
          <w:iCs/>
          <w:sz w:val="24"/>
          <w:szCs w:val="24"/>
        </w:rPr>
        <w:t xml:space="preserve"> considered by DUSC.</w:t>
      </w:r>
      <w:r w:rsidR="001629C2" w:rsidRPr="000E01C3">
        <w:rPr>
          <w:rFonts w:asciiTheme="minorHAnsi" w:hAnsiTheme="minorHAnsi" w:cstheme="minorHAnsi"/>
          <w:iCs/>
          <w:sz w:val="24"/>
          <w:szCs w:val="24"/>
        </w:rPr>
        <w:t xml:space="preserve"> </w:t>
      </w:r>
      <w:r w:rsidRPr="000E01C3">
        <w:rPr>
          <w:rFonts w:asciiTheme="minorHAnsi" w:hAnsiTheme="minorHAnsi" w:cstheme="minorHAnsi"/>
          <w:iCs/>
          <w:sz w:val="24"/>
          <w:szCs w:val="24"/>
        </w:rPr>
        <w:t xml:space="preserve">The resubmission mainly </w:t>
      </w:r>
      <w:r w:rsidR="00771413" w:rsidRPr="000E01C3">
        <w:rPr>
          <w:rFonts w:asciiTheme="minorHAnsi" w:hAnsiTheme="minorHAnsi" w:cstheme="minorHAnsi"/>
          <w:iCs/>
          <w:sz w:val="24"/>
          <w:szCs w:val="24"/>
        </w:rPr>
        <w:t xml:space="preserve">used </w:t>
      </w:r>
      <w:r w:rsidRPr="000E01C3">
        <w:rPr>
          <w:rFonts w:asciiTheme="minorHAnsi" w:hAnsiTheme="minorHAnsi" w:cstheme="minorHAnsi"/>
          <w:iCs/>
          <w:sz w:val="24"/>
          <w:szCs w:val="24"/>
        </w:rPr>
        <w:t xml:space="preserve">an epidemiological approach, based on data from the mannitol compassionate use program, to estimate the extent of mannitol combination use. </w:t>
      </w:r>
      <w:r w:rsidR="00132F1F" w:rsidRPr="000E01C3">
        <w:rPr>
          <w:rFonts w:asciiTheme="minorHAnsi" w:hAnsiTheme="minorHAnsi" w:cstheme="minorHAnsi"/>
          <w:iCs/>
          <w:sz w:val="24"/>
          <w:szCs w:val="24"/>
        </w:rPr>
        <w:t xml:space="preserve">At year 5, the estimated number of patients being treated with mannitol in combination with DNase was </w:t>
      </w:r>
      <w:r w:rsidR="001E2C65">
        <w:rPr>
          <w:rFonts w:asciiTheme="minorHAnsi" w:hAnsiTheme="minorHAnsi" w:cstheme="minorHAnsi"/>
          <w:iCs/>
          <w:sz w:val="24"/>
          <w:szCs w:val="24"/>
        </w:rPr>
        <w:t>less than 10,000</w:t>
      </w:r>
      <w:r w:rsidR="00132F1F" w:rsidRPr="000E01C3">
        <w:rPr>
          <w:rFonts w:asciiTheme="minorHAnsi" w:hAnsiTheme="minorHAnsi" w:cstheme="minorHAnsi"/>
          <w:iCs/>
          <w:sz w:val="24"/>
          <w:szCs w:val="24"/>
        </w:rPr>
        <w:t xml:space="preserve"> and the net cost to the PBS would be </w:t>
      </w:r>
      <w:r w:rsidR="001E2C65">
        <w:rPr>
          <w:rFonts w:asciiTheme="minorHAnsi" w:hAnsiTheme="minorHAnsi" w:cstheme="minorHAnsi"/>
          <w:iCs/>
          <w:sz w:val="24"/>
          <w:szCs w:val="24"/>
        </w:rPr>
        <w:t>less than $10 million</w:t>
      </w:r>
      <w:r w:rsidR="00132F1F" w:rsidRPr="000E01C3">
        <w:rPr>
          <w:rFonts w:asciiTheme="minorHAnsi" w:hAnsiTheme="minorHAnsi" w:cstheme="minorHAnsi"/>
          <w:iCs/>
          <w:sz w:val="24"/>
          <w:szCs w:val="24"/>
        </w:rPr>
        <w:t>.</w:t>
      </w:r>
    </w:p>
    <w:p w:rsidR="00E55C12" w:rsidRDefault="00E55C12" w:rsidP="00E55C12">
      <w:pPr>
        <w:pStyle w:val="Caption"/>
        <w:keepNext/>
      </w:pPr>
      <w:r>
        <w:t xml:space="preserve">Table </w:t>
      </w:r>
      <w:r>
        <w:rPr>
          <w:noProof/>
        </w:rPr>
        <w:t>13</w:t>
      </w:r>
      <w:r w:rsidRPr="00920FAC">
        <w:t>: Estimated use and financial implications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66"/>
        <w:gridCol w:w="1103"/>
        <w:gridCol w:w="1103"/>
        <w:gridCol w:w="1103"/>
        <w:gridCol w:w="1103"/>
        <w:gridCol w:w="1104"/>
      </w:tblGrid>
      <w:tr w:rsidR="00D06935" w:rsidRPr="000E01C3" w:rsidTr="00E55C12">
        <w:trPr>
          <w:tblHeader/>
        </w:trPr>
        <w:tc>
          <w:tcPr>
            <w:tcW w:w="1964" w:type="pct"/>
            <w:shd w:val="clear" w:color="auto" w:fill="auto"/>
            <w:vAlign w:val="center"/>
          </w:tcPr>
          <w:p w:rsidR="00D06935" w:rsidRPr="000E01C3" w:rsidRDefault="00D06935" w:rsidP="00A04A6A">
            <w:pPr>
              <w:keepNext/>
              <w:widowControl/>
              <w:tabs>
                <w:tab w:val="left" w:pos="142"/>
              </w:tabs>
              <w:ind w:right="93"/>
              <w:jc w:val="left"/>
              <w:rPr>
                <w:rFonts w:ascii="Arial Narrow" w:hAnsi="Arial Narrow"/>
                <w:b/>
                <w:sz w:val="20"/>
              </w:rPr>
            </w:pPr>
          </w:p>
        </w:tc>
        <w:tc>
          <w:tcPr>
            <w:tcW w:w="607" w:type="pct"/>
            <w:shd w:val="clear" w:color="auto" w:fill="auto"/>
            <w:vAlign w:val="center"/>
          </w:tcPr>
          <w:p w:rsidR="00D06935" w:rsidRPr="000E01C3" w:rsidRDefault="00D06935" w:rsidP="00A04A6A">
            <w:pPr>
              <w:keepNext/>
              <w:widowControl/>
              <w:ind w:right="93"/>
              <w:jc w:val="center"/>
              <w:rPr>
                <w:rFonts w:ascii="Arial Narrow" w:hAnsi="Arial Narrow"/>
                <w:b/>
                <w:iCs/>
                <w:sz w:val="20"/>
              </w:rPr>
            </w:pPr>
            <w:r w:rsidRPr="000E01C3">
              <w:rPr>
                <w:rFonts w:ascii="Arial Narrow" w:hAnsi="Arial Narrow"/>
                <w:b/>
                <w:iCs/>
                <w:sz w:val="20"/>
              </w:rPr>
              <w:t>Year 1</w:t>
            </w:r>
            <w:r w:rsidRPr="000E01C3">
              <w:rPr>
                <w:rFonts w:ascii="Arial Narrow" w:hAnsi="Arial Narrow"/>
                <w:b/>
                <w:iCs/>
                <w:sz w:val="20"/>
                <w:vertAlign w:val="superscript"/>
              </w:rPr>
              <w:t>a</w:t>
            </w:r>
          </w:p>
        </w:tc>
        <w:tc>
          <w:tcPr>
            <w:tcW w:w="607" w:type="pct"/>
            <w:shd w:val="clear" w:color="auto" w:fill="auto"/>
            <w:vAlign w:val="center"/>
          </w:tcPr>
          <w:p w:rsidR="00D06935" w:rsidRPr="000E01C3" w:rsidRDefault="00D06935" w:rsidP="00A04A6A">
            <w:pPr>
              <w:keepNext/>
              <w:widowControl/>
              <w:ind w:right="93"/>
              <w:jc w:val="center"/>
              <w:rPr>
                <w:rFonts w:ascii="Arial Narrow" w:hAnsi="Arial Narrow"/>
                <w:b/>
                <w:sz w:val="20"/>
              </w:rPr>
            </w:pPr>
            <w:r w:rsidRPr="000E01C3">
              <w:rPr>
                <w:rFonts w:ascii="Arial Narrow" w:hAnsi="Arial Narrow"/>
                <w:b/>
                <w:sz w:val="20"/>
              </w:rPr>
              <w:t>Year 2</w:t>
            </w:r>
          </w:p>
        </w:tc>
        <w:tc>
          <w:tcPr>
            <w:tcW w:w="607" w:type="pct"/>
            <w:shd w:val="clear" w:color="auto" w:fill="auto"/>
            <w:vAlign w:val="center"/>
          </w:tcPr>
          <w:p w:rsidR="00D06935" w:rsidRPr="000E01C3" w:rsidRDefault="00D06935" w:rsidP="00A04A6A">
            <w:pPr>
              <w:keepNext/>
              <w:widowControl/>
              <w:ind w:right="93"/>
              <w:jc w:val="center"/>
              <w:rPr>
                <w:rFonts w:ascii="Arial Narrow" w:hAnsi="Arial Narrow"/>
                <w:b/>
                <w:sz w:val="20"/>
              </w:rPr>
            </w:pPr>
            <w:r w:rsidRPr="000E01C3">
              <w:rPr>
                <w:rFonts w:ascii="Arial Narrow" w:hAnsi="Arial Narrow"/>
                <w:b/>
                <w:sz w:val="20"/>
              </w:rPr>
              <w:t>Year 3</w:t>
            </w:r>
          </w:p>
        </w:tc>
        <w:tc>
          <w:tcPr>
            <w:tcW w:w="607" w:type="pct"/>
            <w:shd w:val="clear" w:color="auto" w:fill="auto"/>
            <w:vAlign w:val="center"/>
          </w:tcPr>
          <w:p w:rsidR="00D06935" w:rsidRPr="000E01C3" w:rsidRDefault="00D06935" w:rsidP="00A04A6A">
            <w:pPr>
              <w:keepNext/>
              <w:widowControl/>
              <w:ind w:right="93"/>
              <w:jc w:val="center"/>
              <w:rPr>
                <w:rFonts w:ascii="Arial Narrow" w:hAnsi="Arial Narrow"/>
                <w:b/>
                <w:sz w:val="20"/>
              </w:rPr>
            </w:pPr>
            <w:r w:rsidRPr="000E01C3">
              <w:rPr>
                <w:rFonts w:ascii="Arial Narrow" w:hAnsi="Arial Narrow"/>
                <w:b/>
                <w:sz w:val="20"/>
              </w:rPr>
              <w:t>Year 4</w:t>
            </w:r>
          </w:p>
        </w:tc>
        <w:tc>
          <w:tcPr>
            <w:tcW w:w="607" w:type="pct"/>
            <w:shd w:val="clear" w:color="auto" w:fill="auto"/>
            <w:vAlign w:val="center"/>
          </w:tcPr>
          <w:p w:rsidR="00D06935" w:rsidRPr="000E01C3" w:rsidRDefault="00D06935" w:rsidP="00A04A6A">
            <w:pPr>
              <w:keepNext/>
              <w:widowControl/>
              <w:ind w:right="93"/>
              <w:jc w:val="center"/>
              <w:rPr>
                <w:rFonts w:ascii="Arial Narrow" w:hAnsi="Arial Narrow"/>
                <w:b/>
                <w:sz w:val="20"/>
              </w:rPr>
            </w:pPr>
            <w:r w:rsidRPr="000E01C3">
              <w:rPr>
                <w:rFonts w:ascii="Arial Narrow" w:hAnsi="Arial Narrow"/>
                <w:b/>
                <w:sz w:val="20"/>
              </w:rPr>
              <w:t>Year 5</w:t>
            </w:r>
          </w:p>
        </w:tc>
      </w:tr>
      <w:tr w:rsidR="00D06935" w:rsidRPr="000E01C3" w:rsidTr="00D10BC7">
        <w:tc>
          <w:tcPr>
            <w:tcW w:w="5000" w:type="pct"/>
            <w:gridSpan w:val="6"/>
            <w:shd w:val="clear" w:color="auto" w:fill="auto"/>
            <w:vAlign w:val="center"/>
          </w:tcPr>
          <w:p w:rsidR="00D06935" w:rsidRPr="000E01C3" w:rsidRDefault="00D06935" w:rsidP="00A04A6A">
            <w:pPr>
              <w:keepNext/>
              <w:widowControl/>
              <w:ind w:right="93"/>
              <w:jc w:val="left"/>
              <w:rPr>
                <w:rFonts w:ascii="Arial Narrow" w:hAnsi="Arial Narrow"/>
                <w:b/>
                <w:bCs/>
                <w:color w:val="000000"/>
                <w:sz w:val="20"/>
              </w:rPr>
            </w:pPr>
            <w:r w:rsidRPr="000E01C3">
              <w:rPr>
                <w:rFonts w:ascii="Arial Narrow" w:hAnsi="Arial Narrow"/>
                <w:b/>
                <w:bCs/>
                <w:color w:val="000000"/>
                <w:sz w:val="20"/>
              </w:rPr>
              <w:t>Estimated extent of use</w:t>
            </w:r>
          </w:p>
        </w:tc>
      </w:tr>
      <w:tr w:rsidR="00D06935" w:rsidRPr="000E01C3" w:rsidTr="00E55C12">
        <w:tc>
          <w:tcPr>
            <w:tcW w:w="1964" w:type="pct"/>
            <w:shd w:val="clear" w:color="auto" w:fill="auto"/>
            <w:vAlign w:val="center"/>
          </w:tcPr>
          <w:p w:rsidR="00D06935" w:rsidRPr="000E01C3" w:rsidRDefault="00D06935" w:rsidP="00A04A6A">
            <w:pPr>
              <w:keepNext/>
              <w:widowControl/>
              <w:tabs>
                <w:tab w:val="left" w:pos="142"/>
              </w:tabs>
              <w:ind w:right="93"/>
              <w:jc w:val="left"/>
              <w:rPr>
                <w:rFonts w:ascii="Arial Narrow" w:hAnsi="Arial Narrow"/>
                <w:sz w:val="20"/>
              </w:rPr>
            </w:pPr>
            <w:r w:rsidRPr="000E01C3">
              <w:rPr>
                <w:rFonts w:ascii="Arial Narrow" w:hAnsi="Arial Narrow"/>
                <w:sz w:val="20"/>
              </w:rPr>
              <w:t>Number treated (combination use on the</w:t>
            </w:r>
            <w:r w:rsidR="00E378C8" w:rsidRPr="000E01C3">
              <w:rPr>
                <w:rFonts w:ascii="Arial Narrow" w:hAnsi="Arial Narrow"/>
                <w:sz w:val="20"/>
              </w:rPr>
              <w:t xml:space="preserve"> </w:t>
            </w:r>
            <w:r w:rsidRPr="000E01C3">
              <w:rPr>
                <w:rFonts w:ascii="Arial Narrow" w:hAnsi="Arial Narrow"/>
                <w:sz w:val="20"/>
              </w:rPr>
              <w:t>PBS)</w:t>
            </w:r>
          </w:p>
        </w:tc>
        <w:tc>
          <w:tcPr>
            <w:tcW w:w="607" w:type="pct"/>
            <w:vAlign w:val="center"/>
          </w:tcPr>
          <w:p w:rsidR="00D06935" w:rsidRPr="004519D0" w:rsidRDefault="004519D0" w:rsidP="00A04A6A">
            <w:pPr>
              <w:keepNext/>
              <w:widowControl/>
              <w:ind w:right="93"/>
              <w:jc w:val="center"/>
              <w:rPr>
                <w:rFonts w:ascii="Arial Narrow" w:hAnsi="Arial Narrow"/>
                <w:b/>
                <w:bCs/>
                <w:color w:val="000000"/>
                <w:sz w:val="20"/>
                <w:highlight w:val="black"/>
              </w:rPr>
            </w:pPr>
            <w:r>
              <w:rPr>
                <w:rFonts w:ascii="Arial Narrow" w:hAnsi="Arial Narrow"/>
                <w:iCs/>
                <w:noProof/>
                <w:color w:val="000000"/>
                <w:sz w:val="20"/>
                <w:highlight w:val="black"/>
                <w:lang w:eastAsia="en-AU"/>
              </w:rPr>
              <w:t>''''''</w:t>
            </w:r>
          </w:p>
        </w:tc>
        <w:tc>
          <w:tcPr>
            <w:tcW w:w="607" w:type="pct"/>
            <w:vAlign w:val="center"/>
          </w:tcPr>
          <w:p w:rsidR="00D06935" w:rsidRPr="004519D0" w:rsidRDefault="004519D0" w:rsidP="00A04A6A">
            <w:pPr>
              <w:keepNext/>
              <w:widowControl/>
              <w:ind w:right="93"/>
              <w:jc w:val="center"/>
              <w:rPr>
                <w:rFonts w:ascii="Arial Narrow" w:hAnsi="Arial Narrow"/>
                <w:b/>
                <w:bCs/>
                <w:color w:val="000000"/>
                <w:sz w:val="20"/>
                <w:highlight w:val="black"/>
              </w:rPr>
            </w:pPr>
            <w:r>
              <w:rPr>
                <w:rFonts w:ascii="Arial Narrow" w:hAnsi="Arial Narrow"/>
                <w:iCs/>
                <w:noProof/>
                <w:color w:val="000000"/>
                <w:sz w:val="20"/>
                <w:highlight w:val="black"/>
                <w:lang w:eastAsia="en-AU"/>
              </w:rPr>
              <w:t>''''''</w:t>
            </w:r>
          </w:p>
        </w:tc>
        <w:tc>
          <w:tcPr>
            <w:tcW w:w="607" w:type="pct"/>
            <w:vAlign w:val="center"/>
          </w:tcPr>
          <w:p w:rsidR="00D06935" w:rsidRPr="004519D0" w:rsidRDefault="004519D0" w:rsidP="00A04A6A">
            <w:pPr>
              <w:keepNext/>
              <w:widowControl/>
              <w:ind w:right="93"/>
              <w:jc w:val="center"/>
              <w:rPr>
                <w:rFonts w:ascii="Arial Narrow" w:hAnsi="Arial Narrow"/>
                <w:b/>
                <w:bCs/>
                <w:color w:val="000000"/>
                <w:sz w:val="20"/>
                <w:highlight w:val="black"/>
              </w:rPr>
            </w:pPr>
            <w:r>
              <w:rPr>
                <w:rFonts w:ascii="Arial Narrow" w:hAnsi="Arial Narrow"/>
                <w:noProof/>
                <w:color w:val="000000"/>
                <w:sz w:val="20"/>
                <w:highlight w:val="black"/>
                <w:lang w:eastAsia="en-AU"/>
              </w:rPr>
              <w:t>'''''''''</w:t>
            </w:r>
          </w:p>
        </w:tc>
        <w:tc>
          <w:tcPr>
            <w:tcW w:w="607" w:type="pct"/>
            <w:vAlign w:val="center"/>
          </w:tcPr>
          <w:p w:rsidR="00D06935" w:rsidRPr="004519D0" w:rsidRDefault="004519D0" w:rsidP="00A04A6A">
            <w:pPr>
              <w:keepNext/>
              <w:widowControl/>
              <w:ind w:right="93"/>
              <w:jc w:val="center"/>
              <w:rPr>
                <w:rFonts w:ascii="Arial Narrow" w:hAnsi="Arial Narrow"/>
                <w:b/>
                <w:bCs/>
                <w:color w:val="000000"/>
                <w:sz w:val="20"/>
                <w:highlight w:val="black"/>
              </w:rPr>
            </w:pPr>
            <w:r>
              <w:rPr>
                <w:rFonts w:ascii="Arial Narrow" w:hAnsi="Arial Narrow"/>
                <w:noProof/>
                <w:color w:val="000000"/>
                <w:sz w:val="20"/>
                <w:highlight w:val="black"/>
                <w:lang w:eastAsia="en-AU"/>
              </w:rPr>
              <w:t>''''''''''</w:t>
            </w:r>
          </w:p>
        </w:tc>
        <w:tc>
          <w:tcPr>
            <w:tcW w:w="607" w:type="pct"/>
            <w:vAlign w:val="center"/>
          </w:tcPr>
          <w:p w:rsidR="00D06935" w:rsidRPr="004519D0" w:rsidRDefault="004519D0" w:rsidP="00A04A6A">
            <w:pPr>
              <w:keepNext/>
              <w:widowControl/>
              <w:ind w:right="93"/>
              <w:jc w:val="center"/>
              <w:rPr>
                <w:rFonts w:ascii="Arial Narrow" w:hAnsi="Arial Narrow"/>
                <w:b/>
                <w:bCs/>
                <w:color w:val="000000"/>
                <w:sz w:val="20"/>
                <w:highlight w:val="black"/>
              </w:rPr>
            </w:pPr>
            <w:r>
              <w:rPr>
                <w:rFonts w:ascii="Arial Narrow" w:hAnsi="Arial Narrow"/>
                <w:noProof/>
                <w:color w:val="000000"/>
                <w:sz w:val="20"/>
                <w:highlight w:val="black"/>
                <w:lang w:eastAsia="en-AU"/>
              </w:rPr>
              <w:t>'''''''''</w:t>
            </w:r>
          </w:p>
        </w:tc>
      </w:tr>
      <w:tr w:rsidR="00D06935" w:rsidRPr="000E01C3" w:rsidTr="00E55C12">
        <w:trPr>
          <w:trHeight w:val="327"/>
        </w:trPr>
        <w:tc>
          <w:tcPr>
            <w:tcW w:w="1964" w:type="pct"/>
            <w:vAlign w:val="center"/>
          </w:tcPr>
          <w:p w:rsidR="00D06935" w:rsidRPr="000E01C3" w:rsidRDefault="00D06935" w:rsidP="00A04A6A">
            <w:pPr>
              <w:keepNext/>
              <w:widowControl/>
              <w:tabs>
                <w:tab w:val="left" w:pos="142"/>
              </w:tabs>
              <w:ind w:right="93"/>
              <w:jc w:val="left"/>
              <w:rPr>
                <w:rFonts w:ascii="Arial Narrow" w:hAnsi="Arial Narrow"/>
                <w:sz w:val="20"/>
              </w:rPr>
            </w:pPr>
            <w:r w:rsidRPr="000E01C3">
              <w:rPr>
                <w:rFonts w:ascii="Arial Narrow" w:hAnsi="Arial Narrow"/>
                <w:sz w:val="20"/>
              </w:rPr>
              <w:t>Packs</w:t>
            </w:r>
            <w:r w:rsidRPr="000E01C3">
              <w:rPr>
                <w:rFonts w:ascii="Arial Narrow" w:hAnsi="Arial Narrow"/>
                <w:sz w:val="20"/>
                <w:vertAlign w:val="superscript"/>
              </w:rPr>
              <w:t>b</w:t>
            </w:r>
            <w:r w:rsidRPr="000E01C3">
              <w:rPr>
                <w:rFonts w:ascii="Arial Narrow" w:hAnsi="Arial Narrow"/>
                <w:sz w:val="20"/>
              </w:rPr>
              <w:t xml:space="preserve"> (combination use on the PBS)</w:t>
            </w:r>
          </w:p>
        </w:tc>
        <w:tc>
          <w:tcPr>
            <w:tcW w:w="607" w:type="pct"/>
            <w:vAlign w:val="center"/>
          </w:tcPr>
          <w:p w:rsidR="00D06935" w:rsidRPr="004519D0" w:rsidRDefault="004519D0" w:rsidP="00A04A6A">
            <w:pPr>
              <w:keepNext/>
              <w:widowControl/>
              <w:ind w:right="93"/>
              <w:jc w:val="center"/>
              <w:rPr>
                <w:rFonts w:ascii="Arial Narrow" w:hAnsi="Arial Narrow"/>
                <w:bCs/>
                <w:iCs/>
                <w:color w:val="000000"/>
                <w:sz w:val="20"/>
                <w:highlight w:val="black"/>
                <w:lang w:eastAsia="en-AU"/>
              </w:rPr>
            </w:pPr>
            <w:r>
              <w:rPr>
                <w:rFonts w:ascii="Arial Narrow" w:hAnsi="Arial Narrow"/>
                <w:bCs/>
                <w:iCs/>
                <w:noProof/>
                <w:color w:val="000000"/>
                <w:sz w:val="20"/>
                <w:highlight w:val="black"/>
                <w:lang w:eastAsia="en-AU"/>
              </w:rPr>
              <w:t>'''''''</w:t>
            </w:r>
          </w:p>
        </w:tc>
        <w:tc>
          <w:tcPr>
            <w:tcW w:w="607" w:type="pct"/>
            <w:vAlign w:val="center"/>
          </w:tcPr>
          <w:p w:rsidR="00D06935" w:rsidRPr="004519D0" w:rsidRDefault="004519D0" w:rsidP="00A04A6A">
            <w:pPr>
              <w:keepNext/>
              <w:widowControl/>
              <w:ind w:right="93"/>
              <w:jc w:val="center"/>
              <w:rPr>
                <w:rFonts w:ascii="Arial Narrow" w:hAnsi="Arial Narrow"/>
                <w:color w:val="000000"/>
                <w:sz w:val="20"/>
                <w:highlight w:val="black"/>
                <w:lang w:eastAsia="en-AU"/>
              </w:rPr>
            </w:pPr>
            <w:r>
              <w:rPr>
                <w:rFonts w:ascii="Arial Narrow" w:hAnsi="Arial Narrow"/>
                <w:noProof/>
                <w:color w:val="000000"/>
                <w:sz w:val="20"/>
                <w:highlight w:val="black"/>
                <w:lang w:eastAsia="en-AU"/>
              </w:rPr>
              <w:t>''''''''''</w:t>
            </w:r>
          </w:p>
        </w:tc>
        <w:tc>
          <w:tcPr>
            <w:tcW w:w="607" w:type="pct"/>
            <w:vAlign w:val="center"/>
          </w:tcPr>
          <w:p w:rsidR="00D06935" w:rsidRPr="004519D0" w:rsidRDefault="004519D0" w:rsidP="00A04A6A">
            <w:pPr>
              <w:keepNext/>
              <w:widowControl/>
              <w:ind w:right="93"/>
              <w:jc w:val="center"/>
              <w:rPr>
                <w:rFonts w:ascii="Arial Narrow" w:hAnsi="Arial Narrow"/>
                <w:color w:val="000000"/>
                <w:sz w:val="20"/>
                <w:highlight w:val="black"/>
                <w:lang w:eastAsia="en-AU"/>
              </w:rPr>
            </w:pPr>
            <w:r>
              <w:rPr>
                <w:rFonts w:ascii="Arial Narrow" w:hAnsi="Arial Narrow"/>
                <w:noProof/>
                <w:color w:val="000000"/>
                <w:sz w:val="20"/>
                <w:highlight w:val="black"/>
                <w:lang w:eastAsia="en-AU"/>
              </w:rPr>
              <w:t>'''''''''</w:t>
            </w:r>
          </w:p>
        </w:tc>
        <w:tc>
          <w:tcPr>
            <w:tcW w:w="607" w:type="pct"/>
            <w:vAlign w:val="center"/>
          </w:tcPr>
          <w:p w:rsidR="00D06935" w:rsidRPr="004519D0" w:rsidRDefault="004519D0" w:rsidP="00A04A6A">
            <w:pPr>
              <w:keepNext/>
              <w:widowControl/>
              <w:ind w:right="93"/>
              <w:jc w:val="center"/>
              <w:rPr>
                <w:rFonts w:ascii="Arial Narrow" w:hAnsi="Arial Narrow"/>
                <w:color w:val="000000"/>
                <w:sz w:val="20"/>
                <w:highlight w:val="black"/>
                <w:lang w:eastAsia="en-AU"/>
              </w:rPr>
            </w:pPr>
            <w:r>
              <w:rPr>
                <w:rFonts w:ascii="Arial Narrow" w:hAnsi="Arial Narrow"/>
                <w:noProof/>
                <w:color w:val="000000"/>
                <w:sz w:val="20"/>
                <w:highlight w:val="black"/>
                <w:lang w:eastAsia="en-AU"/>
              </w:rPr>
              <w:t>'''''''''</w:t>
            </w:r>
          </w:p>
        </w:tc>
        <w:tc>
          <w:tcPr>
            <w:tcW w:w="607" w:type="pct"/>
            <w:vAlign w:val="center"/>
          </w:tcPr>
          <w:p w:rsidR="00D06935" w:rsidRPr="004519D0" w:rsidRDefault="004519D0" w:rsidP="00A04A6A">
            <w:pPr>
              <w:keepNext/>
              <w:widowControl/>
              <w:ind w:right="93"/>
              <w:jc w:val="center"/>
              <w:rPr>
                <w:rFonts w:ascii="Arial Narrow" w:hAnsi="Arial Narrow"/>
                <w:color w:val="000000"/>
                <w:sz w:val="20"/>
                <w:highlight w:val="black"/>
                <w:lang w:eastAsia="en-AU"/>
              </w:rPr>
            </w:pPr>
            <w:r>
              <w:rPr>
                <w:rFonts w:ascii="Arial Narrow" w:hAnsi="Arial Narrow"/>
                <w:noProof/>
                <w:color w:val="000000"/>
                <w:sz w:val="20"/>
                <w:highlight w:val="black"/>
                <w:lang w:eastAsia="en-AU"/>
              </w:rPr>
              <w:t>''''''''</w:t>
            </w:r>
          </w:p>
        </w:tc>
      </w:tr>
      <w:tr w:rsidR="00D06935" w:rsidRPr="000E01C3" w:rsidTr="00D10BC7">
        <w:tc>
          <w:tcPr>
            <w:tcW w:w="5000" w:type="pct"/>
            <w:gridSpan w:val="6"/>
            <w:shd w:val="clear" w:color="auto" w:fill="auto"/>
            <w:vAlign w:val="center"/>
          </w:tcPr>
          <w:p w:rsidR="00D06935" w:rsidRPr="000E01C3" w:rsidRDefault="00D06935" w:rsidP="00A04A6A">
            <w:pPr>
              <w:keepNext/>
              <w:widowControl/>
              <w:ind w:right="93"/>
              <w:jc w:val="left"/>
              <w:rPr>
                <w:rFonts w:ascii="Arial Narrow" w:hAnsi="Arial Narrow"/>
                <w:b/>
                <w:bCs/>
                <w:color w:val="000000"/>
                <w:sz w:val="20"/>
              </w:rPr>
            </w:pPr>
            <w:r w:rsidRPr="000E01C3">
              <w:rPr>
                <w:rFonts w:ascii="Arial Narrow" w:hAnsi="Arial Narrow"/>
                <w:b/>
                <w:bCs/>
                <w:color w:val="000000"/>
                <w:sz w:val="20"/>
              </w:rPr>
              <w:t>Estimated net cost to PBS/MBS</w:t>
            </w:r>
          </w:p>
        </w:tc>
      </w:tr>
      <w:tr w:rsidR="00D06935" w:rsidRPr="000E01C3" w:rsidTr="00E55C12">
        <w:tc>
          <w:tcPr>
            <w:tcW w:w="1964" w:type="pct"/>
            <w:shd w:val="clear" w:color="auto" w:fill="auto"/>
            <w:vAlign w:val="center"/>
          </w:tcPr>
          <w:p w:rsidR="00D06935" w:rsidRPr="000E01C3" w:rsidRDefault="00D06935" w:rsidP="00A04A6A">
            <w:pPr>
              <w:keepNext/>
              <w:widowControl/>
              <w:tabs>
                <w:tab w:val="left" w:pos="142"/>
              </w:tabs>
              <w:ind w:right="93"/>
              <w:jc w:val="left"/>
              <w:rPr>
                <w:rFonts w:ascii="Arial Narrow" w:hAnsi="Arial Narrow"/>
                <w:sz w:val="20"/>
              </w:rPr>
            </w:pPr>
            <w:r w:rsidRPr="000E01C3">
              <w:rPr>
                <w:rFonts w:ascii="Arial Narrow" w:hAnsi="Arial Narrow"/>
                <w:sz w:val="20"/>
              </w:rPr>
              <w:t xml:space="preserve">Net cost to PBS </w:t>
            </w:r>
          </w:p>
        </w:tc>
        <w:tc>
          <w:tcPr>
            <w:tcW w:w="607" w:type="pct"/>
            <w:vAlign w:val="bottom"/>
          </w:tcPr>
          <w:p w:rsidR="00D06935" w:rsidRPr="000E01C3" w:rsidRDefault="00D06935" w:rsidP="00A04A6A">
            <w:pPr>
              <w:keepNext/>
              <w:widowControl/>
              <w:ind w:right="93"/>
              <w:jc w:val="center"/>
              <w:rPr>
                <w:rFonts w:ascii="Arial Narrow" w:hAnsi="Arial Narrow"/>
                <w:bCs/>
                <w:color w:val="000000"/>
                <w:sz w:val="20"/>
              </w:rPr>
            </w:pPr>
            <w:r w:rsidRPr="000E01C3">
              <w:rPr>
                <w:rFonts w:ascii="Arial Narrow" w:hAnsi="Arial Narrow"/>
                <w:bCs/>
                <w:iCs/>
                <w:color w:val="000000"/>
                <w:sz w:val="20"/>
              </w:rPr>
              <w:t>$</w:t>
            </w:r>
            <w:r w:rsidR="004519D0">
              <w:rPr>
                <w:rFonts w:ascii="Arial Narrow" w:hAnsi="Arial Narrow"/>
                <w:bCs/>
                <w:iCs/>
                <w:noProof/>
                <w:color w:val="000000"/>
                <w:sz w:val="20"/>
                <w:highlight w:val="black"/>
              </w:rPr>
              <w:t>''''''''''''''''''</w:t>
            </w:r>
          </w:p>
        </w:tc>
        <w:tc>
          <w:tcPr>
            <w:tcW w:w="607" w:type="pct"/>
            <w:vAlign w:val="center"/>
          </w:tcPr>
          <w:p w:rsidR="00D06935" w:rsidRPr="000E01C3" w:rsidRDefault="00D06935" w:rsidP="00A04A6A">
            <w:pPr>
              <w:keepNext/>
              <w:widowControl/>
              <w:ind w:right="93"/>
              <w:jc w:val="center"/>
              <w:rPr>
                <w:rFonts w:ascii="Arial Narrow" w:hAnsi="Arial Narrow"/>
                <w:bCs/>
                <w:color w:val="000000"/>
                <w:sz w:val="20"/>
              </w:rPr>
            </w:pPr>
            <w:r w:rsidRPr="000E01C3">
              <w:rPr>
                <w:rFonts w:ascii="Arial Narrow" w:hAnsi="Arial Narrow"/>
                <w:bCs/>
                <w:color w:val="000000"/>
                <w:sz w:val="20"/>
              </w:rPr>
              <w:t>$</w:t>
            </w:r>
            <w:r w:rsidR="004519D0">
              <w:rPr>
                <w:rFonts w:ascii="Arial Narrow" w:hAnsi="Arial Narrow"/>
                <w:bCs/>
                <w:noProof/>
                <w:color w:val="000000"/>
                <w:sz w:val="20"/>
                <w:highlight w:val="black"/>
              </w:rPr>
              <w:t>'''''''''''''''''''''</w:t>
            </w:r>
          </w:p>
        </w:tc>
        <w:tc>
          <w:tcPr>
            <w:tcW w:w="607" w:type="pct"/>
            <w:vAlign w:val="center"/>
          </w:tcPr>
          <w:p w:rsidR="00D06935" w:rsidRPr="000E01C3" w:rsidRDefault="00D06935" w:rsidP="00A04A6A">
            <w:pPr>
              <w:keepNext/>
              <w:widowControl/>
              <w:ind w:right="93"/>
              <w:jc w:val="center"/>
              <w:rPr>
                <w:rFonts w:ascii="Arial Narrow" w:hAnsi="Arial Narrow"/>
                <w:bCs/>
                <w:color w:val="000000"/>
                <w:sz w:val="20"/>
              </w:rPr>
            </w:pPr>
            <w:r w:rsidRPr="000E01C3">
              <w:rPr>
                <w:rFonts w:ascii="Arial Narrow" w:hAnsi="Arial Narrow"/>
                <w:bCs/>
                <w:color w:val="000000"/>
                <w:sz w:val="20"/>
              </w:rPr>
              <w:t>$</w:t>
            </w:r>
            <w:r w:rsidR="004519D0">
              <w:rPr>
                <w:rFonts w:ascii="Arial Narrow" w:hAnsi="Arial Narrow"/>
                <w:bCs/>
                <w:noProof/>
                <w:color w:val="000000"/>
                <w:sz w:val="20"/>
                <w:highlight w:val="black"/>
              </w:rPr>
              <w:t>''''''''''''''''''''</w:t>
            </w:r>
          </w:p>
        </w:tc>
        <w:tc>
          <w:tcPr>
            <w:tcW w:w="607" w:type="pct"/>
            <w:vAlign w:val="center"/>
          </w:tcPr>
          <w:p w:rsidR="00D06935" w:rsidRPr="000E01C3" w:rsidRDefault="00D06935" w:rsidP="00A04A6A">
            <w:pPr>
              <w:keepNext/>
              <w:widowControl/>
              <w:ind w:right="93"/>
              <w:jc w:val="center"/>
              <w:rPr>
                <w:rFonts w:ascii="Arial Narrow" w:hAnsi="Arial Narrow"/>
                <w:bCs/>
                <w:color w:val="000000"/>
                <w:sz w:val="20"/>
              </w:rPr>
            </w:pPr>
            <w:r w:rsidRPr="000E01C3">
              <w:rPr>
                <w:rFonts w:ascii="Arial Narrow" w:hAnsi="Arial Narrow"/>
                <w:bCs/>
                <w:color w:val="000000"/>
                <w:sz w:val="20"/>
              </w:rPr>
              <w:t>$</w:t>
            </w:r>
            <w:r w:rsidR="004519D0">
              <w:rPr>
                <w:rFonts w:ascii="Arial Narrow" w:hAnsi="Arial Narrow"/>
                <w:bCs/>
                <w:noProof/>
                <w:color w:val="000000"/>
                <w:sz w:val="20"/>
                <w:highlight w:val="black"/>
              </w:rPr>
              <w:t>''''''''''''''''''</w:t>
            </w:r>
          </w:p>
        </w:tc>
        <w:tc>
          <w:tcPr>
            <w:tcW w:w="607" w:type="pct"/>
            <w:vAlign w:val="center"/>
          </w:tcPr>
          <w:p w:rsidR="00D06935" w:rsidRPr="000E01C3" w:rsidRDefault="00D06935" w:rsidP="00A04A6A">
            <w:pPr>
              <w:keepNext/>
              <w:widowControl/>
              <w:ind w:right="93"/>
              <w:jc w:val="center"/>
              <w:rPr>
                <w:rFonts w:ascii="Arial Narrow" w:hAnsi="Arial Narrow"/>
                <w:bCs/>
                <w:color w:val="000000"/>
                <w:sz w:val="20"/>
              </w:rPr>
            </w:pPr>
            <w:r w:rsidRPr="000E01C3">
              <w:rPr>
                <w:rFonts w:ascii="Arial Narrow" w:hAnsi="Arial Narrow"/>
                <w:bCs/>
                <w:color w:val="000000"/>
                <w:sz w:val="20"/>
              </w:rPr>
              <w:t>$</w:t>
            </w:r>
            <w:r w:rsidR="004519D0">
              <w:rPr>
                <w:rFonts w:ascii="Arial Narrow" w:hAnsi="Arial Narrow"/>
                <w:bCs/>
                <w:noProof/>
                <w:color w:val="000000"/>
                <w:sz w:val="20"/>
                <w:highlight w:val="black"/>
              </w:rPr>
              <w:t>'''''''''''''''''''</w:t>
            </w:r>
          </w:p>
        </w:tc>
      </w:tr>
      <w:tr w:rsidR="00D06935" w:rsidRPr="000E01C3" w:rsidTr="00E55C12">
        <w:tc>
          <w:tcPr>
            <w:tcW w:w="1964" w:type="pct"/>
            <w:shd w:val="clear" w:color="auto" w:fill="auto"/>
            <w:vAlign w:val="center"/>
          </w:tcPr>
          <w:p w:rsidR="00D06935" w:rsidRPr="000E01C3" w:rsidRDefault="00D06935" w:rsidP="00A04A6A">
            <w:pPr>
              <w:keepNext/>
              <w:widowControl/>
              <w:tabs>
                <w:tab w:val="left" w:pos="142"/>
              </w:tabs>
              <w:ind w:right="93"/>
              <w:jc w:val="left"/>
              <w:rPr>
                <w:rFonts w:ascii="Arial Narrow" w:hAnsi="Arial Narrow"/>
                <w:sz w:val="20"/>
              </w:rPr>
            </w:pPr>
            <w:r w:rsidRPr="000E01C3">
              <w:rPr>
                <w:rFonts w:ascii="Arial Narrow" w:hAnsi="Arial Narrow"/>
                <w:sz w:val="20"/>
              </w:rPr>
              <w:t>Net cost to MBS</w:t>
            </w:r>
          </w:p>
        </w:tc>
        <w:tc>
          <w:tcPr>
            <w:tcW w:w="607" w:type="pct"/>
            <w:vAlign w:val="center"/>
          </w:tcPr>
          <w:p w:rsidR="00D06935" w:rsidRPr="000E01C3" w:rsidRDefault="00D06935" w:rsidP="00A04A6A">
            <w:pPr>
              <w:keepNext/>
              <w:widowControl/>
              <w:ind w:right="93"/>
              <w:jc w:val="center"/>
              <w:rPr>
                <w:rFonts w:ascii="Arial Narrow" w:hAnsi="Arial Narrow"/>
                <w:sz w:val="20"/>
              </w:rPr>
            </w:pPr>
            <w:r w:rsidRPr="000E01C3">
              <w:rPr>
                <w:rFonts w:ascii="Arial Narrow" w:hAnsi="Arial Narrow"/>
                <w:iCs/>
                <w:color w:val="000000"/>
                <w:sz w:val="20"/>
                <w:lang w:eastAsia="en-AU"/>
              </w:rPr>
              <w:t>$</w:t>
            </w:r>
            <w:r w:rsidR="004519D0">
              <w:rPr>
                <w:rFonts w:ascii="Arial Narrow" w:hAnsi="Arial Narrow"/>
                <w:iCs/>
                <w:noProof/>
                <w:color w:val="000000"/>
                <w:sz w:val="20"/>
                <w:highlight w:val="black"/>
                <w:lang w:eastAsia="en-AU"/>
              </w:rPr>
              <w:t>''''''''''''''</w:t>
            </w:r>
          </w:p>
        </w:tc>
        <w:tc>
          <w:tcPr>
            <w:tcW w:w="607" w:type="pct"/>
            <w:vAlign w:val="center"/>
          </w:tcPr>
          <w:p w:rsidR="00D06935" w:rsidRPr="000E01C3" w:rsidRDefault="00D06935" w:rsidP="00A04A6A">
            <w:pPr>
              <w:keepNext/>
              <w:widowControl/>
              <w:ind w:right="93"/>
              <w:jc w:val="center"/>
              <w:rPr>
                <w:rFonts w:ascii="Arial Narrow" w:hAnsi="Arial Narrow"/>
                <w:sz w:val="20"/>
              </w:rPr>
            </w:pPr>
            <w:r w:rsidRPr="000E01C3">
              <w:rPr>
                <w:rFonts w:ascii="Arial Narrow" w:hAnsi="Arial Narrow"/>
                <w:iCs/>
                <w:color w:val="000000"/>
                <w:sz w:val="20"/>
                <w:lang w:eastAsia="en-AU"/>
              </w:rPr>
              <w:t>$</w:t>
            </w:r>
            <w:r w:rsidR="004519D0">
              <w:rPr>
                <w:rFonts w:ascii="Arial Narrow" w:hAnsi="Arial Narrow"/>
                <w:iCs/>
                <w:noProof/>
                <w:color w:val="000000"/>
                <w:sz w:val="20"/>
                <w:highlight w:val="black"/>
                <w:lang w:eastAsia="en-AU"/>
              </w:rPr>
              <w:t>'''''''''''''''</w:t>
            </w:r>
          </w:p>
        </w:tc>
        <w:tc>
          <w:tcPr>
            <w:tcW w:w="607" w:type="pct"/>
            <w:vAlign w:val="center"/>
          </w:tcPr>
          <w:p w:rsidR="00D06935" w:rsidRPr="000E01C3" w:rsidRDefault="00D06935" w:rsidP="00A04A6A">
            <w:pPr>
              <w:keepNext/>
              <w:widowControl/>
              <w:ind w:right="93"/>
              <w:jc w:val="center"/>
              <w:rPr>
                <w:rFonts w:ascii="Arial Narrow" w:hAnsi="Arial Narrow"/>
                <w:sz w:val="20"/>
              </w:rPr>
            </w:pPr>
            <w:r w:rsidRPr="000E01C3">
              <w:rPr>
                <w:rFonts w:ascii="Arial Narrow" w:hAnsi="Arial Narrow"/>
                <w:color w:val="000000"/>
                <w:sz w:val="20"/>
                <w:lang w:eastAsia="en-AU"/>
              </w:rPr>
              <w:t>$</w:t>
            </w:r>
            <w:r w:rsidR="004519D0">
              <w:rPr>
                <w:rFonts w:ascii="Arial Narrow" w:hAnsi="Arial Narrow"/>
                <w:noProof/>
                <w:color w:val="000000"/>
                <w:sz w:val="20"/>
                <w:highlight w:val="black"/>
                <w:lang w:eastAsia="en-AU"/>
              </w:rPr>
              <w:t>'''''''''''''</w:t>
            </w:r>
          </w:p>
        </w:tc>
        <w:tc>
          <w:tcPr>
            <w:tcW w:w="607" w:type="pct"/>
            <w:vAlign w:val="center"/>
          </w:tcPr>
          <w:p w:rsidR="00D06935" w:rsidRPr="000E01C3" w:rsidRDefault="00D06935" w:rsidP="00A04A6A">
            <w:pPr>
              <w:keepNext/>
              <w:widowControl/>
              <w:ind w:right="93"/>
              <w:jc w:val="center"/>
              <w:rPr>
                <w:rFonts w:ascii="Arial Narrow" w:hAnsi="Arial Narrow"/>
                <w:sz w:val="20"/>
              </w:rPr>
            </w:pPr>
            <w:r w:rsidRPr="000E01C3">
              <w:rPr>
                <w:rFonts w:ascii="Arial Narrow" w:hAnsi="Arial Narrow"/>
                <w:color w:val="000000"/>
                <w:sz w:val="20"/>
                <w:lang w:eastAsia="en-AU"/>
              </w:rPr>
              <w:t>$</w:t>
            </w:r>
            <w:r w:rsidR="004519D0">
              <w:rPr>
                <w:rFonts w:ascii="Arial Narrow" w:hAnsi="Arial Narrow"/>
                <w:noProof/>
                <w:color w:val="000000"/>
                <w:sz w:val="20"/>
                <w:highlight w:val="black"/>
                <w:lang w:eastAsia="en-AU"/>
              </w:rPr>
              <w:t>'''''''''''''</w:t>
            </w:r>
          </w:p>
        </w:tc>
        <w:tc>
          <w:tcPr>
            <w:tcW w:w="607" w:type="pct"/>
            <w:vAlign w:val="center"/>
          </w:tcPr>
          <w:p w:rsidR="00D06935" w:rsidRPr="000E01C3" w:rsidRDefault="00D06935" w:rsidP="00A04A6A">
            <w:pPr>
              <w:keepNext/>
              <w:widowControl/>
              <w:ind w:right="93"/>
              <w:jc w:val="center"/>
              <w:rPr>
                <w:rFonts w:ascii="Arial Narrow" w:hAnsi="Arial Narrow"/>
                <w:sz w:val="20"/>
              </w:rPr>
            </w:pPr>
            <w:r w:rsidRPr="000E01C3">
              <w:rPr>
                <w:rFonts w:ascii="Arial Narrow" w:hAnsi="Arial Narrow"/>
                <w:color w:val="000000"/>
                <w:sz w:val="20"/>
                <w:lang w:eastAsia="en-AU"/>
              </w:rPr>
              <w:t>$</w:t>
            </w:r>
            <w:r w:rsidR="004519D0">
              <w:rPr>
                <w:rFonts w:ascii="Arial Narrow" w:hAnsi="Arial Narrow"/>
                <w:noProof/>
                <w:color w:val="000000"/>
                <w:sz w:val="20"/>
                <w:highlight w:val="black"/>
                <w:lang w:eastAsia="en-AU"/>
              </w:rPr>
              <w:t>'''''''''''''''</w:t>
            </w:r>
          </w:p>
        </w:tc>
      </w:tr>
      <w:tr w:rsidR="00D06935" w:rsidRPr="000E01C3" w:rsidTr="00D10BC7">
        <w:tc>
          <w:tcPr>
            <w:tcW w:w="5000" w:type="pct"/>
            <w:gridSpan w:val="6"/>
            <w:shd w:val="clear" w:color="auto" w:fill="auto"/>
            <w:vAlign w:val="center"/>
          </w:tcPr>
          <w:p w:rsidR="00D06935" w:rsidRPr="000E01C3" w:rsidRDefault="00D06935" w:rsidP="00A04A6A">
            <w:pPr>
              <w:keepNext/>
              <w:widowControl/>
              <w:ind w:right="93"/>
              <w:jc w:val="left"/>
              <w:rPr>
                <w:rFonts w:ascii="Arial Narrow" w:hAnsi="Arial Narrow"/>
                <w:b/>
                <w:color w:val="000000"/>
                <w:sz w:val="20"/>
              </w:rPr>
            </w:pPr>
            <w:r w:rsidRPr="000E01C3">
              <w:rPr>
                <w:rFonts w:ascii="Arial Narrow" w:hAnsi="Arial Narrow"/>
                <w:b/>
                <w:color w:val="000000"/>
                <w:sz w:val="20"/>
              </w:rPr>
              <w:t>Estimated total net cost</w:t>
            </w:r>
          </w:p>
        </w:tc>
      </w:tr>
      <w:tr w:rsidR="00D06935" w:rsidRPr="000E01C3" w:rsidTr="00E55C12">
        <w:tc>
          <w:tcPr>
            <w:tcW w:w="1964" w:type="pct"/>
            <w:shd w:val="clear" w:color="auto" w:fill="auto"/>
            <w:vAlign w:val="center"/>
          </w:tcPr>
          <w:p w:rsidR="00D06935" w:rsidRPr="000E01C3" w:rsidRDefault="00D06935" w:rsidP="00A04A6A">
            <w:pPr>
              <w:keepNext/>
              <w:widowControl/>
              <w:tabs>
                <w:tab w:val="left" w:pos="142"/>
              </w:tabs>
              <w:ind w:right="93"/>
              <w:jc w:val="left"/>
              <w:rPr>
                <w:rFonts w:ascii="Arial Narrow" w:hAnsi="Arial Narrow"/>
                <w:b/>
                <w:sz w:val="20"/>
              </w:rPr>
            </w:pPr>
            <w:r w:rsidRPr="000E01C3">
              <w:rPr>
                <w:rFonts w:ascii="Arial Narrow" w:hAnsi="Arial Narrow"/>
                <w:b/>
                <w:bCs/>
                <w:color w:val="000000"/>
                <w:sz w:val="20"/>
              </w:rPr>
              <w:t>Net cost PBS/MBS</w:t>
            </w:r>
          </w:p>
        </w:tc>
        <w:tc>
          <w:tcPr>
            <w:tcW w:w="607" w:type="pct"/>
            <w:vAlign w:val="center"/>
          </w:tcPr>
          <w:p w:rsidR="00D06935" w:rsidRPr="000E01C3" w:rsidRDefault="00D06935" w:rsidP="00A04A6A">
            <w:pPr>
              <w:keepNext/>
              <w:widowControl/>
              <w:ind w:right="93"/>
              <w:jc w:val="center"/>
              <w:rPr>
                <w:rFonts w:ascii="Arial Narrow" w:hAnsi="Arial Narrow"/>
                <w:b/>
                <w:bCs/>
                <w:sz w:val="20"/>
              </w:rPr>
            </w:pPr>
            <w:r w:rsidRPr="000E01C3">
              <w:rPr>
                <w:rFonts w:ascii="Arial Narrow" w:hAnsi="Arial Narrow"/>
                <w:b/>
                <w:bCs/>
                <w:color w:val="000000"/>
                <w:sz w:val="20"/>
                <w:lang w:eastAsia="en-AU"/>
              </w:rPr>
              <w:t>$</w:t>
            </w:r>
            <w:r w:rsidR="004519D0">
              <w:rPr>
                <w:rFonts w:ascii="Arial Narrow" w:hAnsi="Arial Narrow"/>
                <w:b/>
                <w:bCs/>
                <w:noProof/>
                <w:color w:val="000000"/>
                <w:sz w:val="20"/>
                <w:highlight w:val="black"/>
                <w:lang w:eastAsia="en-AU"/>
              </w:rPr>
              <w:t>'''''''''''''''''</w:t>
            </w:r>
          </w:p>
        </w:tc>
        <w:tc>
          <w:tcPr>
            <w:tcW w:w="607" w:type="pct"/>
            <w:vAlign w:val="center"/>
          </w:tcPr>
          <w:p w:rsidR="00D06935" w:rsidRPr="000E01C3" w:rsidRDefault="00D06935" w:rsidP="00A04A6A">
            <w:pPr>
              <w:keepNext/>
              <w:widowControl/>
              <w:ind w:right="93"/>
              <w:jc w:val="center"/>
              <w:rPr>
                <w:rFonts w:ascii="Arial Narrow" w:hAnsi="Arial Narrow"/>
                <w:b/>
                <w:bCs/>
                <w:sz w:val="20"/>
              </w:rPr>
            </w:pPr>
            <w:r w:rsidRPr="000E01C3">
              <w:rPr>
                <w:rFonts w:ascii="Arial Narrow" w:hAnsi="Arial Narrow"/>
                <w:b/>
                <w:bCs/>
                <w:iCs/>
                <w:color w:val="000000"/>
                <w:sz w:val="20"/>
                <w:lang w:eastAsia="en-AU"/>
              </w:rPr>
              <w:t>$</w:t>
            </w:r>
            <w:r w:rsidR="004519D0">
              <w:rPr>
                <w:rFonts w:ascii="Arial Narrow" w:hAnsi="Arial Narrow"/>
                <w:b/>
                <w:bCs/>
                <w:iCs/>
                <w:noProof/>
                <w:color w:val="000000"/>
                <w:sz w:val="20"/>
                <w:highlight w:val="black"/>
                <w:lang w:eastAsia="en-AU"/>
              </w:rPr>
              <w:t>''''''''''''''''''</w:t>
            </w:r>
          </w:p>
        </w:tc>
        <w:tc>
          <w:tcPr>
            <w:tcW w:w="607" w:type="pct"/>
            <w:vAlign w:val="center"/>
          </w:tcPr>
          <w:p w:rsidR="00D06935" w:rsidRPr="000E01C3" w:rsidRDefault="00D06935" w:rsidP="00A04A6A">
            <w:pPr>
              <w:keepNext/>
              <w:widowControl/>
              <w:ind w:right="93"/>
              <w:jc w:val="center"/>
              <w:rPr>
                <w:rFonts w:ascii="Arial Narrow" w:hAnsi="Arial Narrow"/>
                <w:b/>
                <w:bCs/>
                <w:sz w:val="20"/>
              </w:rPr>
            </w:pPr>
            <w:r w:rsidRPr="000E01C3">
              <w:rPr>
                <w:rFonts w:ascii="Arial Narrow" w:hAnsi="Arial Narrow"/>
                <w:b/>
                <w:bCs/>
                <w:color w:val="000000"/>
                <w:sz w:val="20"/>
                <w:lang w:eastAsia="en-AU"/>
              </w:rPr>
              <w:t>$</w:t>
            </w:r>
            <w:r w:rsidR="004519D0">
              <w:rPr>
                <w:rFonts w:ascii="Arial Narrow" w:hAnsi="Arial Narrow"/>
                <w:b/>
                <w:bCs/>
                <w:noProof/>
                <w:color w:val="000000"/>
                <w:sz w:val="20"/>
                <w:highlight w:val="black"/>
                <w:lang w:eastAsia="en-AU"/>
              </w:rPr>
              <w:t>'''''''''''''''</w:t>
            </w:r>
          </w:p>
        </w:tc>
        <w:tc>
          <w:tcPr>
            <w:tcW w:w="607" w:type="pct"/>
            <w:vAlign w:val="center"/>
          </w:tcPr>
          <w:p w:rsidR="00D06935" w:rsidRPr="000E01C3" w:rsidRDefault="00D06935" w:rsidP="00A04A6A">
            <w:pPr>
              <w:keepNext/>
              <w:widowControl/>
              <w:ind w:right="93"/>
              <w:jc w:val="center"/>
              <w:rPr>
                <w:rFonts w:ascii="Arial Narrow" w:hAnsi="Arial Narrow"/>
                <w:b/>
                <w:bCs/>
                <w:sz w:val="20"/>
              </w:rPr>
            </w:pPr>
            <w:r w:rsidRPr="000E01C3">
              <w:rPr>
                <w:rFonts w:ascii="Arial Narrow" w:hAnsi="Arial Narrow"/>
                <w:b/>
                <w:bCs/>
                <w:color w:val="000000"/>
                <w:sz w:val="20"/>
                <w:lang w:eastAsia="en-AU"/>
              </w:rPr>
              <w:t>$</w:t>
            </w:r>
            <w:r w:rsidR="004519D0">
              <w:rPr>
                <w:rFonts w:ascii="Arial Narrow" w:hAnsi="Arial Narrow"/>
                <w:b/>
                <w:bCs/>
                <w:noProof/>
                <w:color w:val="000000"/>
                <w:sz w:val="20"/>
                <w:highlight w:val="black"/>
                <w:lang w:eastAsia="en-AU"/>
              </w:rPr>
              <w:t>''''''''''''''''</w:t>
            </w:r>
          </w:p>
        </w:tc>
        <w:tc>
          <w:tcPr>
            <w:tcW w:w="607" w:type="pct"/>
            <w:vAlign w:val="center"/>
          </w:tcPr>
          <w:p w:rsidR="00D06935" w:rsidRPr="000E01C3" w:rsidRDefault="00D06935" w:rsidP="00A04A6A">
            <w:pPr>
              <w:keepNext/>
              <w:widowControl/>
              <w:ind w:right="93"/>
              <w:jc w:val="center"/>
              <w:rPr>
                <w:rFonts w:ascii="Arial Narrow" w:hAnsi="Arial Narrow"/>
                <w:b/>
                <w:bCs/>
                <w:sz w:val="20"/>
              </w:rPr>
            </w:pPr>
            <w:r w:rsidRPr="000E01C3">
              <w:rPr>
                <w:rFonts w:ascii="Arial Narrow" w:hAnsi="Arial Narrow"/>
                <w:b/>
                <w:bCs/>
                <w:color w:val="000000"/>
                <w:sz w:val="20"/>
                <w:lang w:eastAsia="en-AU"/>
              </w:rPr>
              <w:t>$</w:t>
            </w:r>
            <w:r w:rsidR="004519D0">
              <w:rPr>
                <w:rFonts w:ascii="Arial Narrow" w:hAnsi="Arial Narrow"/>
                <w:b/>
                <w:bCs/>
                <w:noProof/>
                <w:color w:val="000000"/>
                <w:sz w:val="20"/>
                <w:highlight w:val="black"/>
                <w:lang w:eastAsia="en-AU"/>
              </w:rPr>
              <w:t>'''''''''''''''</w:t>
            </w:r>
          </w:p>
        </w:tc>
      </w:tr>
    </w:tbl>
    <w:p w:rsidR="00D06935" w:rsidRPr="000E01C3" w:rsidRDefault="00D06935" w:rsidP="00A04A6A">
      <w:pPr>
        <w:pStyle w:val="TableFooter"/>
        <w:keepNext/>
        <w:widowControl/>
      </w:pPr>
      <w:r w:rsidRPr="000E01C3">
        <w:rPr>
          <w:vertAlign w:val="superscript"/>
        </w:rPr>
        <w:t>a</w:t>
      </w:r>
      <w:r w:rsidRPr="000E01C3">
        <w:t xml:space="preserve"> Year 1 refers to the financial year 2017/2018 in the resubmission’s analysis.</w:t>
      </w:r>
      <w:r w:rsidR="001629C2" w:rsidRPr="000E01C3">
        <w:t xml:space="preserve"> </w:t>
      </w:r>
      <w:r w:rsidRPr="000E01C3">
        <w:t>The resubmission acknowledged that the revised PBS listing will come into effect mid-way through 2017/2018.</w:t>
      </w:r>
    </w:p>
    <w:p w:rsidR="00D06935" w:rsidRPr="000E01C3" w:rsidRDefault="00D06935" w:rsidP="00A04A6A">
      <w:pPr>
        <w:pStyle w:val="TableFooter"/>
        <w:keepNext/>
        <w:widowControl/>
      </w:pPr>
      <w:r w:rsidRPr="000E01C3">
        <w:rPr>
          <w:vertAlign w:val="superscript"/>
        </w:rPr>
        <w:t>b</w:t>
      </w:r>
      <w:r w:rsidRPr="000E01C3">
        <w:t xml:space="preserve"> 2.5 mannitol maximum quantity packs per patient per year.</w:t>
      </w:r>
    </w:p>
    <w:p w:rsidR="00D06935" w:rsidRPr="000E01C3" w:rsidRDefault="00D06935" w:rsidP="00B50602">
      <w:pPr>
        <w:pStyle w:val="TableFooter"/>
        <w:widowControl/>
        <w:spacing w:after="120"/>
        <w:rPr>
          <w:szCs w:val="22"/>
        </w:rPr>
      </w:pPr>
      <w:r w:rsidRPr="000E01C3">
        <w:t>Source: Compiled during the evaluation</w:t>
      </w:r>
    </w:p>
    <w:p w:rsidR="00771413" w:rsidRPr="000E01C3" w:rsidRDefault="00771413" w:rsidP="00D3473D">
      <w:pPr>
        <w:pStyle w:val="ListParagraph"/>
        <w:widowControl/>
        <w:numPr>
          <w:ilvl w:val="1"/>
          <w:numId w:val="5"/>
        </w:numPr>
        <w:spacing w:after="120"/>
        <w:contextualSpacing w:val="0"/>
        <w:rPr>
          <w:rFonts w:asciiTheme="minorHAnsi" w:hAnsiTheme="minorHAnsi" w:cstheme="minorHAnsi"/>
          <w:iCs/>
          <w:sz w:val="24"/>
          <w:szCs w:val="24"/>
        </w:rPr>
      </w:pPr>
      <w:r w:rsidRPr="000E01C3">
        <w:rPr>
          <w:rFonts w:asciiTheme="minorHAnsi" w:hAnsiTheme="minorHAnsi" w:cstheme="minorHAnsi"/>
          <w:iCs/>
          <w:sz w:val="24"/>
          <w:szCs w:val="24"/>
        </w:rPr>
        <w:t xml:space="preserve">The ESC </w:t>
      </w:r>
      <w:r w:rsidR="00D3473D" w:rsidRPr="000E01C3">
        <w:rPr>
          <w:rFonts w:asciiTheme="minorHAnsi" w:hAnsiTheme="minorHAnsi" w:cstheme="minorHAnsi"/>
          <w:iCs/>
          <w:sz w:val="24"/>
          <w:szCs w:val="24"/>
        </w:rPr>
        <w:t>agreed with the evaluation</w:t>
      </w:r>
      <w:r w:rsidRPr="000E01C3">
        <w:rPr>
          <w:rFonts w:asciiTheme="minorHAnsi" w:hAnsiTheme="minorHAnsi" w:cstheme="minorHAnsi"/>
          <w:iCs/>
          <w:sz w:val="24"/>
          <w:szCs w:val="24"/>
        </w:rPr>
        <w:t xml:space="preserve"> that it was not reasonable to assume the number of patients per year likely to be treated with mannitol in combination with DNase on the PBS will equate to the number of compassionate use patients in Australia. The PSCR (p5) agreed</w:t>
      </w:r>
      <w:r w:rsidR="00D3473D" w:rsidRPr="000E01C3">
        <w:rPr>
          <w:rFonts w:asciiTheme="minorHAnsi" w:hAnsiTheme="minorHAnsi" w:cstheme="minorHAnsi"/>
          <w:iCs/>
          <w:sz w:val="24"/>
          <w:szCs w:val="24"/>
        </w:rPr>
        <w:t xml:space="preserve"> </w:t>
      </w:r>
      <w:r w:rsidRPr="000E01C3">
        <w:rPr>
          <w:rFonts w:asciiTheme="minorHAnsi" w:hAnsiTheme="minorHAnsi" w:cstheme="minorHAnsi"/>
          <w:iCs/>
          <w:sz w:val="24"/>
          <w:szCs w:val="24"/>
        </w:rPr>
        <w:t>that the number of patients accessing combination use with DNase on the PBS is likely to be higher than current compassionate use</w:t>
      </w:r>
      <w:r w:rsidR="00755BDC" w:rsidRPr="000E01C3">
        <w:rPr>
          <w:rFonts w:asciiTheme="minorHAnsi" w:hAnsiTheme="minorHAnsi" w:cstheme="minorHAnsi"/>
          <w:iCs/>
          <w:sz w:val="24"/>
          <w:szCs w:val="24"/>
        </w:rPr>
        <w:t xml:space="preserve"> </w:t>
      </w:r>
      <w:r w:rsidR="005568DE" w:rsidRPr="000E01C3">
        <w:rPr>
          <w:rFonts w:asciiTheme="minorHAnsi" w:hAnsiTheme="minorHAnsi" w:cstheme="minorHAnsi"/>
          <w:iCs/>
          <w:sz w:val="24"/>
          <w:szCs w:val="24"/>
        </w:rPr>
        <w:t>as only</w:t>
      </w:r>
      <w:r w:rsidRPr="000E01C3">
        <w:rPr>
          <w:rFonts w:asciiTheme="minorHAnsi" w:hAnsiTheme="minorHAnsi" w:cstheme="minorHAnsi"/>
          <w:iCs/>
          <w:sz w:val="24"/>
          <w:szCs w:val="24"/>
        </w:rPr>
        <w:t xml:space="preserve"> 9 of the 24 Australian CF centres currently participate in the compassionate use program. The </w:t>
      </w:r>
      <w:r w:rsidR="00132F1F" w:rsidRPr="000E01C3">
        <w:rPr>
          <w:rFonts w:asciiTheme="minorHAnsi" w:hAnsiTheme="minorHAnsi" w:cstheme="minorHAnsi"/>
          <w:iCs/>
          <w:sz w:val="24"/>
          <w:szCs w:val="24"/>
        </w:rPr>
        <w:t xml:space="preserve">submission </w:t>
      </w:r>
      <w:r w:rsidRPr="000E01C3">
        <w:rPr>
          <w:rFonts w:asciiTheme="minorHAnsi" w:hAnsiTheme="minorHAnsi" w:cstheme="minorHAnsi"/>
          <w:iCs/>
          <w:sz w:val="24"/>
          <w:szCs w:val="24"/>
        </w:rPr>
        <w:t xml:space="preserve">presented </w:t>
      </w:r>
      <w:r w:rsidR="00132F1F" w:rsidRPr="000E01C3">
        <w:rPr>
          <w:rFonts w:asciiTheme="minorHAnsi" w:hAnsiTheme="minorHAnsi" w:cstheme="minorHAnsi"/>
          <w:iCs/>
          <w:sz w:val="24"/>
          <w:szCs w:val="24"/>
        </w:rPr>
        <w:t xml:space="preserve">a sensitivity analysis for the </w:t>
      </w:r>
      <w:r w:rsidRPr="000E01C3">
        <w:rPr>
          <w:rFonts w:asciiTheme="minorHAnsi" w:hAnsiTheme="minorHAnsi" w:cstheme="minorHAnsi"/>
          <w:iCs/>
          <w:sz w:val="24"/>
          <w:szCs w:val="24"/>
        </w:rPr>
        <w:t xml:space="preserve">utilisation and financial estimates assuming that </w:t>
      </w:r>
      <w:r w:rsidR="004519D0">
        <w:rPr>
          <w:rFonts w:asciiTheme="minorHAnsi" w:hAnsiTheme="minorHAnsi" w:cstheme="minorHAnsi"/>
          <w:iCs/>
          <w:noProof/>
          <w:color w:val="000000"/>
          <w:sz w:val="24"/>
          <w:szCs w:val="24"/>
          <w:highlight w:val="black"/>
        </w:rPr>
        <w:t>'''</w:t>
      </w:r>
      <w:r w:rsidRPr="000E01C3">
        <w:rPr>
          <w:rFonts w:asciiTheme="minorHAnsi" w:hAnsiTheme="minorHAnsi" w:cstheme="minorHAnsi"/>
          <w:iCs/>
          <w:sz w:val="24"/>
          <w:szCs w:val="24"/>
        </w:rPr>
        <w:t xml:space="preserve"> patients from each of the 24 centres would seek treatment with PBS subsidised mannitol in combination with DNase</w:t>
      </w:r>
      <w:r w:rsidR="00730DCA" w:rsidRPr="000E01C3">
        <w:rPr>
          <w:rFonts w:asciiTheme="minorHAnsi" w:hAnsiTheme="minorHAnsi" w:cstheme="minorHAnsi"/>
          <w:iCs/>
          <w:sz w:val="24"/>
          <w:szCs w:val="24"/>
        </w:rPr>
        <w:t xml:space="preserve"> which</w:t>
      </w:r>
      <w:r w:rsidRPr="000E01C3">
        <w:rPr>
          <w:rFonts w:asciiTheme="minorHAnsi" w:hAnsiTheme="minorHAnsi" w:cstheme="minorHAnsi"/>
          <w:iCs/>
          <w:sz w:val="24"/>
          <w:szCs w:val="24"/>
        </w:rPr>
        <w:t xml:space="preserve"> increased the number treated </w:t>
      </w:r>
      <w:r w:rsidR="00D314B6" w:rsidRPr="000E01C3">
        <w:rPr>
          <w:rFonts w:asciiTheme="minorHAnsi" w:hAnsiTheme="minorHAnsi" w:cstheme="minorHAnsi"/>
          <w:iCs/>
          <w:sz w:val="24"/>
          <w:szCs w:val="24"/>
        </w:rPr>
        <w:t xml:space="preserve">from </w:t>
      </w:r>
      <w:r w:rsidR="004519D0">
        <w:rPr>
          <w:rFonts w:asciiTheme="minorHAnsi" w:hAnsiTheme="minorHAnsi" w:cstheme="minorHAnsi"/>
          <w:iCs/>
          <w:noProof/>
          <w:color w:val="000000"/>
          <w:sz w:val="24"/>
          <w:szCs w:val="24"/>
          <w:highlight w:val="black"/>
        </w:rPr>
        <w:t>'''''''</w:t>
      </w:r>
      <w:r w:rsidR="00D314B6" w:rsidRPr="000E01C3">
        <w:rPr>
          <w:rFonts w:asciiTheme="minorHAnsi" w:hAnsiTheme="minorHAnsi" w:cstheme="minorHAnsi"/>
          <w:iCs/>
          <w:sz w:val="24"/>
          <w:szCs w:val="24"/>
        </w:rPr>
        <w:t xml:space="preserve"> </w:t>
      </w:r>
      <w:r w:rsidRPr="000E01C3">
        <w:rPr>
          <w:rFonts w:asciiTheme="minorHAnsi" w:hAnsiTheme="minorHAnsi" w:cstheme="minorHAnsi"/>
          <w:iCs/>
          <w:sz w:val="24"/>
          <w:szCs w:val="24"/>
        </w:rPr>
        <w:t xml:space="preserve">to </w:t>
      </w:r>
      <w:r w:rsidR="004519D0">
        <w:rPr>
          <w:rFonts w:asciiTheme="minorHAnsi" w:hAnsiTheme="minorHAnsi" w:cstheme="minorHAnsi"/>
          <w:iCs/>
          <w:noProof/>
          <w:color w:val="000000"/>
          <w:sz w:val="24"/>
          <w:szCs w:val="24"/>
          <w:highlight w:val="black"/>
        </w:rPr>
        <w:t>'''''''</w:t>
      </w:r>
      <w:r w:rsidRPr="000E01C3">
        <w:rPr>
          <w:rFonts w:asciiTheme="minorHAnsi" w:hAnsiTheme="minorHAnsi" w:cstheme="minorHAnsi"/>
          <w:iCs/>
          <w:sz w:val="24"/>
          <w:szCs w:val="24"/>
        </w:rPr>
        <w:t xml:space="preserve"> in Year 5</w:t>
      </w:r>
      <w:r w:rsidR="00730DCA" w:rsidRPr="000E01C3">
        <w:rPr>
          <w:rFonts w:asciiTheme="minorHAnsi" w:hAnsiTheme="minorHAnsi" w:cstheme="minorHAnsi"/>
          <w:iCs/>
          <w:sz w:val="24"/>
          <w:szCs w:val="24"/>
        </w:rPr>
        <w:t>.</w:t>
      </w:r>
      <w:r w:rsidR="00D3473D" w:rsidRPr="000E01C3">
        <w:rPr>
          <w:rFonts w:asciiTheme="minorHAnsi" w:hAnsiTheme="minorHAnsi" w:cstheme="minorHAnsi"/>
          <w:iCs/>
          <w:sz w:val="24"/>
          <w:szCs w:val="24"/>
        </w:rPr>
        <w:t xml:space="preserve"> </w:t>
      </w:r>
      <w:r w:rsidR="00C61CF3" w:rsidRPr="000E01C3">
        <w:rPr>
          <w:rFonts w:asciiTheme="minorHAnsi" w:hAnsiTheme="minorHAnsi" w:cstheme="minorHAnsi"/>
          <w:iCs/>
          <w:sz w:val="24"/>
          <w:szCs w:val="24"/>
        </w:rPr>
        <w:t xml:space="preserve">The ESC considered that the estimates of patients using combination therapy </w:t>
      </w:r>
      <w:r w:rsidR="002E1547" w:rsidRPr="000E01C3">
        <w:rPr>
          <w:rFonts w:asciiTheme="minorHAnsi" w:hAnsiTheme="minorHAnsi" w:cstheme="minorHAnsi"/>
          <w:iCs/>
          <w:sz w:val="24"/>
          <w:szCs w:val="24"/>
        </w:rPr>
        <w:t xml:space="preserve">were </w:t>
      </w:r>
      <w:r w:rsidR="00C61CF3" w:rsidRPr="000E01C3">
        <w:rPr>
          <w:rFonts w:asciiTheme="minorHAnsi" w:hAnsiTheme="minorHAnsi" w:cstheme="minorHAnsi"/>
          <w:iCs/>
          <w:sz w:val="24"/>
          <w:szCs w:val="24"/>
        </w:rPr>
        <w:t xml:space="preserve">uncertain </w:t>
      </w:r>
      <w:r w:rsidR="00C61CF3" w:rsidRPr="000E01C3">
        <w:rPr>
          <w:rFonts w:asciiTheme="minorHAnsi" w:hAnsiTheme="minorHAnsi" w:cstheme="minorHAnsi"/>
          <w:sz w:val="24"/>
          <w:szCs w:val="24"/>
        </w:rPr>
        <w:t>and that the financial estimates were sensitive to this assumption</w:t>
      </w:r>
      <w:r w:rsidR="00C61CF3" w:rsidRPr="000E01C3">
        <w:rPr>
          <w:rFonts w:asciiTheme="minorHAnsi" w:hAnsiTheme="minorHAnsi" w:cstheme="minorHAnsi"/>
          <w:iCs/>
          <w:sz w:val="24"/>
          <w:szCs w:val="24"/>
        </w:rPr>
        <w:t>.</w:t>
      </w:r>
      <w:r w:rsidR="002E1547" w:rsidRPr="000E01C3">
        <w:rPr>
          <w:rFonts w:asciiTheme="minorHAnsi" w:hAnsiTheme="minorHAnsi" w:cstheme="minorHAnsi"/>
          <w:iCs/>
          <w:sz w:val="24"/>
          <w:szCs w:val="24"/>
        </w:rPr>
        <w:t xml:space="preserve"> </w:t>
      </w:r>
    </w:p>
    <w:p w:rsidR="00B868DD" w:rsidRPr="000E01C3" w:rsidRDefault="00771413" w:rsidP="009B1BB7">
      <w:pPr>
        <w:pStyle w:val="ListParagraph"/>
        <w:widowControl/>
        <w:numPr>
          <w:ilvl w:val="1"/>
          <w:numId w:val="5"/>
        </w:numPr>
        <w:spacing w:after="120"/>
        <w:contextualSpacing w:val="0"/>
        <w:rPr>
          <w:rFonts w:asciiTheme="minorHAnsi" w:hAnsiTheme="minorHAnsi" w:cstheme="minorHAnsi"/>
          <w:iCs/>
          <w:sz w:val="24"/>
          <w:szCs w:val="24"/>
        </w:rPr>
      </w:pPr>
      <w:r w:rsidRPr="000E01C3">
        <w:rPr>
          <w:rFonts w:asciiTheme="minorHAnsi" w:hAnsiTheme="minorHAnsi" w:cstheme="minorHAnsi"/>
          <w:iCs/>
          <w:sz w:val="24"/>
          <w:szCs w:val="24"/>
        </w:rPr>
        <w:t xml:space="preserve">The </w:t>
      </w:r>
      <w:r w:rsidR="00730DCA" w:rsidRPr="000E01C3">
        <w:rPr>
          <w:rFonts w:asciiTheme="minorHAnsi" w:hAnsiTheme="minorHAnsi" w:cstheme="minorHAnsi"/>
          <w:iCs/>
          <w:sz w:val="24"/>
          <w:szCs w:val="24"/>
        </w:rPr>
        <w:t xml:space="preserve">evaluation considered that the </w:t>
      </w:r>
      <w:r w:rsidRPr="000E01C3">
        <w:rPr>
          <w:rFonts w:asciiTheme="minorHAnsi" w:hAnsiTheme="minorHAnsi" w:cstheme="minorHAnsi"/>
          <w:iCs/>
          <w:sz w:val="24"/>
          <w:szCs w:val="24"/>
        </w:rPr>
        <w:t xml:space="preserve">number of packs of mannitol dispensed on the PBS could also be higher than predicted. At the recommended dosage of 400mg twice daily, if patients were to take mannitol regularly for the full year, then </w:t>
      </w:r>
      <w:r w:rsidR="004519D0">
        <w:rPr>
          <w:rFonts w:asciiTheme="minorHAnsi" w:hAnsiTheme="minorHAnsi" w:cstheme="minorHAnsi"/>
          <w:iCs/>
          <w:noProof/>
          <w:color w:val="000000"/>
          <w:sz w:val="24"/>
          <w:szCs w:val="24"/>
          <w:highlight w:val="black"/>
        </w:rPr>
        <w:t>'''''</w:t>
      </w:r>
      <w:r w:rsidRPr="000E01C3">
        <w:rPr>
          <w:rFonts w:asciiTheme="minorHAnsi" w:hAnsiTheme="minorHAnsi" w:cstheme="minorHAnsi"/>
          <w:iCs/>
          <w:sz w:val="24"/>
          <w:szCs w:val="24"/>
        </w:rPr>
        <w:t xml:space="preserve"> packs rather than the estimated </w:t>
      </w:r>
      <w:r w:rsidR="004519D0">
        <w:rPr>
          <w:rFonts w:asciiTheme="minorHAnsi" w:hAnsiTheme="minorHAnsi" w:cstheme="minorHAnsi"/>
          <w:iCs/>
          <w:noProof/>
          <w:color w:val="000000"/>
          <w:sz w:val="24"/>
          <w:szCs w:val="24"/>
          <w:highlight w:val="black"/>
        </w:rPr>
        <w:t>''''''</w:t>
      </w:r>
      <w:r w:rsidRPr="000E01C3">
        <w:rPr>
          <w:rFonts w:asciiTheme="minorHAnsi" w:hAnsiTheme="minorHAnsi" w:cstheme="minorHAnsi"/>
          <w:iCs/>
          <w:sz w:val="24"/>
          <w:szCs w:val="24"/>
        </w:rPr>
        <w:t xml:space="preserve"> packs of mannitol would be required each year.</w:t>
      </w:r>
      <w:r w:rsidR="006477AE" w:rsidRPr="000E01C3">
        <w:rPr>
          <w:rFonts w:asciiTheme="minorHAnsi" w:hAnsiTheme="minorHAnsi" w:cstheme="minorHAnsi"/>
          <w:sz w:val="24"/>
          <w:szCs w:val="24"/>
        </w:rPr>
        <w:t xml:space="preserve"> </w:t>
      </w:r>
      <w:r w:rsidR="00B868DD" w:rsidRPr="000E01C3">
        <w:rPr>
          <w:rFonts w:asciiTheme="minorHAnsi" w:hAnsiTheme="minorHAnsi" w:cstheme="minorHAnsi"/>
          <w:iCs/>
          <w:sz w:val="24"/>
          <w:szCs w:val="24"/>
        </w:rPr>
        <w:t xml:space="preserve">The PSCR (p6) argued, </w:t>
      </w:r>
      <w:r w:rsidR="00132F1F" w:rsidRPr="000E01C3">
        <w:rPr>
          <w:rFonts w:asciiTheme="minorHAnsi" w:hAnsiTheme="minorHAnsi" w:cstheme="minorHAnsi"/>
          <w:iCs/>
          <w:sz w:val="24"/>
          <w:szCs w:val="24"/>
        </w:rPr>
        <w:t>with</w:t>
      </w:r>
      <w:r w:rsidR="00B868DD" w:rsidRPr="000E01C3">
        <w:rPr>
          <w:rFonts w:asciiTheme="minorHAnsi" w:hAnsiTheme="minorHAnsi" w:cstheme="minorHAnsi"/>
          <w:iCs/>
          <w:sz w:val="24"/>
          <w:szCs w:val="24"/>
        </w:rPr>
        <w:t xml:space="preserve"> </w:t>
      </w:r>
      <w:r w:rsidR="00132F1F" w:rsidRPr="000E01C3">
        <w:rPr>
          <w:rFonts w:asciiTheme="minorHAnsi" w:hAnsiTheme="minorHAnsi" w:cstheme="minorHAnsi"/>
          <w:iCs/>
          <w:sz w:val="24"/>
          <w:szCs w:val="24"/>
        </w:rPr>
        <w:t xml:space="preserve">reference to the October 2014 DUSC review, </w:t>
      </w:r>
      <w:r w:rsidR="00B868DD" w:rsidRPr="000E01C3">
        <w:rPr>
          <w:rFonts w:asciiTheme="minorHAnsi" w:hAnsiTheme="minorHAnsi" w:cstheme="minorHAnsi"/>
          <w:iCs/>
          <w:sz w:val="24"/>
          <w:szCs w:val="24"/>
        </w:rPr>
        <w:t>PBS usage</w:t>
      </w:r>
      <w:r w:rsidR="00132F1F" w:rsidRPr="000E01C3">
        <w:rPr>
          <w:rFonts w:asciiTheme="minorHAnsi" w:hAnsiTheme="minorHAnsi" w:cstheme="minorHAnsi"/>
          <w:iCs/>
          <w:sz w:val="24"/>
          <w:szCs w:val="24"/>
        </w:rPr>
        <w:t xml:space="preserve"> of mannitol</w:t>
      </w:r>
      <w:r w:rsidR="00B868DD" w:rsidRPr="000E01C3">
        <w:rPr>
          <w:rFonts w:asciiTheme="minorHAnsi" w:hAnsiTheme="minorHAnsi" w:cstheme="minorHAnsi"/>
          <w:iCs/>
          <w:sz w:val="24"/>
          <w:szCs w:val="24"/>
        </w:rPr>
        <w:t xml:space="preserve"> has been lower than anticipated and it would be unreasonable to assume that patients treated with combination therapy would receive </w:t>
      </w:r>
      <w:r w:rsidR="004519D0">
        <w:rPr>
          <w:rFonts w:asciiTheme="minorHAnsi" w:hAnsiTheme="minorHAnsi" w:cstheme="minorHAnsi"/>
          <w:iCs/>
          <w:noProof/>
          <w:color w:val="000000"/>
          <w:sz w:val="24"/>
          <w:szCs w:val="24"/>
          <w:highlight w:val="black"/>
        </w:rPr>
        <w:t>'''''</w:t>
      </w:r>
      <w:r w:rsidR="00B868DD" w:rsidRPr="000E01C3">
        <w:rPr>
          <w:rFonts w:asciiTheme="minorHAnsi" w:hAnsiTheme="minorHAnsi" w:cstheme="minorHAnsi"/>
          <w:iCs/>
          <w:sz w:val="24"/>
          <w:szCs w:val="24"/>
        </w:rPr>
        <w:t xml:space="preserve"> packs per year.</w:t>
      </w:r>
      <w:r w:rsidR="009B1BB7" w:rsidRPr="000E01C3">
        <w:rPr>
          <w:rFonts w:asciiTheme="minorHAnsi" w:hAnsiTheme="minorHAnsi" w:cstheme="minorHAnsi"/>
          <w:iCs/>
          <w:sz w:val="24"/>
          <w:szCs w:val="24"/>
        </w:rPr>
        <w:t xml:space="preserve"> </w:t>
      </w:r>
      <w:r w:rsidR="009B1BB7" w:rsidRPr="000E01C3">
        <w:rPr>
          <w:rFonts w:asciiTheme="minorHAnsi" w:hAnsiTheme="minorHAnsi" w:cstheme="minorHAnsi"/>
          <w:sz w:val="24"/>
          <w:szCs w:val="24"/>
        </w:rPr>
        <w:t xml:space="preserve">The ESC noted the number of packs used per </w:t>
      </w:r>
      <w:r w:rsidR="00C61CF3" w:rsidRPr="000E01C3">
        <w:rPr>
          <w:rFonts w:asciiTheme="minorHAnsi" w:hAnsiTheme="minorHAnsi" w:cstheme="minorHAnsi"/>
          <w:sz w:val="24"/>
          <w:szCs w:val="24"/>
        </w:rPr>
        <w:t xml:space="preserve">patient per </w:t>
      </w:r>
      <w:r w:rsidR="009B1BB7" w:rsidRPr="000E01C3">
        <w:rPr>
          <w:rFonts w:asciiTheme="minorHAnsi" w:hAnsiTheme="minorHAnsi" w:cstheme="minorHAnsi"/>
          <w:sz w:val="24"/>
          <w:szCs w:val="24"/>
        </w:rPr>
        <w:t>year was uncertain and that the financial estimates were sensitive to th</w:t>
      </w:r>
      <w:r w:rsidR="00C61CF3" w:rsidRPr="000E01C3">
        <w:rPr>
          <w:rFonts w:asciiTheme="minorHAnsi" w:hAnsiTheme="minorHAnsi" w:cstheme="minorHAnsi"/>
          <w:sz w:val="24"/>
          <w:szCs w:val="24"/>
        </w:rPr>
        <w:t>is assumption</w:t>
      </w:r>
      <w:r w:rsidR="009B1BB7" w:rsidRPr="000E01C3">
        <w:rPr>
          <w:rFonts w:asciiTheme="minorHAnsi" w:hAnsiTheme="minorHAnsi" w:cstheme="minorHAnsi"/>
          <w:sz w:val="24"/>
          <w:szCs w:val="24"/>
        </w:rPr>
        <w:t>.</w:t>
      </w:r>
      <w:r w:rsidR="006E635F" w:rsidRPr="000E01C3">
        <w:rPr>
          <w:rFonts w:asciiTheme="minorHAnsi" w:hAnsiTheme="minorHAnsi" w:cstheme="minorHAnsi"/>
          <w:sz w:val="24"/>
          <w:szCs w:val="24"/>
        </w:rPr>
        <w:t xml:space="preserve"> </w:t>
      </w:r>
    </w:p>
    <w:p w:rsidR="00D06935" w:rsidRPr="000E01C3" w:rsidRDefault="00D06935" w:rsidP="00D02523">
      <w:pPr>
        <w:pStyle w:val="Heading2"/>
        <w:keepNext/>
        <w:keepLines/>
        <w:widowControl/>
        <w:spacing w:before="240" w:after="120"/>
        <w:jc w:val="left"/>
        <w:rPr>
          <w:rFonts w:asciiTheme="minorHAnsi" w:eastAsiaTheme="majorEastAsia" w:hAnsiTheme="minorHAnsi" w:cstheme="majorBidi"/>
          <w:i/>
          <w:snapToGrid/>
          <w:sz w:val="28"/>
          <w:szCs w:val="28"/>
        </w:rPr>
      </w:pPr>
      <w:bookmarkStart w:id="18" w:name="_Toc482779077"/>
      <w:r w:rsidRPr="000E01C3">
        <w:rPr>
          <w:rFonts w:asciiTheme="minorHAnsi" w:eastAsiaTheme="majorEastAsia" w:hAnsiTheme="minorHAnsi" w:cstheme="majorBidi"/>
          <w:i/>
          <w:snapToGrid/>
          <w:sz w:val="28"/>
          <w:szCs w:val="28"/>
        </w:rPr>
        <w:t>Quality Use of Medicines</w:t>
      </w:r>
      <w:bookmarkEnd w:id="18"/>
    </w:p>
    <w:p w:rsidR="00D06935" w:rsidRPr="000E01C3" w:rsidRDefault="00482D63" w:rsidP="009B1BB7">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The resubmission stated that the quality use of mannitol would be ensured through the provision of resources to patients and CF clinics</w:t>
      </w:r>
      <w:r w:rsidR="00745EB2" w:rsidRPr="000E01C3">
        <w:rPr>
          <w:rFonts w:asciiTheme="minorHAnsi" w:hAnsiTheme="minorHAnsi" w:cstheme="minorHAnsi"/>
          <w:sz w:val="24"/>
          <w:szCs w:val="24"/>
        </w:rPr>
        <w:t>.</w:t>
      </w:r>
    </w:p>
    <w:p w:rsidR="00D06935" w:rsidRPr="000E01C3" w:rsidRDefault="00D06935" w:rsidP="009B1BB7">
      <w:pPr>
        <w:pStyle w:val="Heading2"/>
        <w:keepNext/>
        <w:keepLines/>
        <w:widowControl/>
        <w:spacing w:before="240" w:after="120"/>
        <w:jc w:val="left"/>
        <w:rPr>
          <w:rFonts w:asciiTheme="minorHAnsi" w:eastAsiaTheme="majorEastAsia" w:hAnsiTheme="minorHAnsi" w:cstheme="majorBidi"/>
          <w:i/>
          <w:snapToGrid/>
          <w:sz w:val="28"/>
          <w:szCs w:val="28"/>
        </w:rPr>
      </w:pPr>
      <w:bookmarkStart w:id="19" w:name="_Toc482779078"/>
      <w:r w:rsidRPr="000E01C3">
        <w:rPr>
          <w:rFonts w:asciiTheme="minorHAnsi" w:eastAsiaTheme="majorEastAsia" w:hAnsiTheme="minorHAnsi" w:cstheme="majorBidi"/>
          <w:i/>
          <w:snapToGrid/>
          <w:sz w:val="28"/>
          <w:szCs w:val="28"/>
        </w:rPr>
        <w:t>Financial Management – Risk Sharing Arrangements</w:t>
      </w:r>
      <w:bookmarkEnd w:id="19"/>
    </w:p>
    <w:p w:rsidR="009B1BB7" w:rsidRPr="000E01C3" w:rsidRDefault="009B1BB7" w:rsidP="009B1BB7">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 xml:space="preserve">The current Deed of Agreement between the Commonwealth of Australia and the Sponsor in relation to sharing the costs of the Commonwealth subsidy for the supply of mannitol (2012) </w:t>
      </w:r>
      <w:r w:rsidR="00ED030E" w:rsidRPr="000E01C3">
        <w:rPr>
          <w:rFonts w:asciiTheme="minorHAnsi" w:hAnsiTheme="minorHAnsi" w:cstheme="minorHAnsi"/>
          <w:sz w:val="24"/>
          <w:szCs w:val="24"/>
        </w:rPr>
        <w:t>includes</w:t>
      </w:r>
      <w:r w:rsidRPr="000E01C3">
        <w:rPr>
          <w:rFonts w:asciiTheme="minorHAnsi" w:hAnsiTheme="minorHAnsi" w:cstheme="minorHAnsi"/>
          <w:sz w:val="24"/>
          <w:szCs w:val="24"/>
        </w:rPr>
        <w:t xml:space="preserve"> a rebate and subsidisation caps</w:t>
      </w:r>
      <w:r w:rsidR="007F02AD" w:rsidRPr="000E01C3">
        <w:rPr>
          <w:rFonts w:asciiTheme="minorHAnsi" w:hAnsiTheme="minorHAnsi" w:cstheme="minorHAnsi"/>
          <w:sz w:val="24"/>
          <w:szCs w:val="24"/>
        </w:rPr>
        <w:t>.</w:t>
      </w:r>
      <w:r w:rsidRPr="000E01C3">
        <w:rPr>
          <w:rFonts w:asciiTheme="minorHAnsi" w:hAnsiTheme="minorHAnsi" w:cstheme="minorHAnsi"/>
          <w:sz w:val="24"/>
          <w:szCs w:val="24"/>
        </w:rPr>
        <w:t xml:space="preserve"> The submission proposed no changes to this Deed under the</w:t>
      </w:r>
      <w:r w:rsidR="007F02AD" w:rsidRPr="000E01C3">
        <w:rPr>
          <w:rFonts w:asciiTheme="minorHAnsi" w:hAnsiTheme="minorHAnsi" w:cstheme="minorHAnsi"/>
          <w:sz w:val="24"/>
          <w:szCs w:val="24"/>
        </w:rPr>
        <w:t xml:space="preserve"> requested change</w:t>
      </w:r>
      <w:r w:rsidRPr="000E01C3">
        <w:rPr>
          <w:rFonts w:asciiTheme="minorHAnsi" w:hAnsiTheme="minorHAnsi" w:cstheme="minorHAnsi"/>
          <w:sz w:val="24"/>
          <w:szCs w:val="24"/>
        </w:rPr>
        <w:t xml:space="preserve"> </w:t>
      </w:r>
      <w:r w:rsidR="007F02AD" w:rsidRPr="000E01C3">
        <w:rPr>
          <w:rFonts w:asciiTheme="minorHAnsi" w:hAnsiTheme="minorHAnsi" w:cstheme="minorHAnsi"/>
          <w:sz w:val="24"/>
          <w:szCs w:val="24"/>
        </w:rPr>
        <w:t xml:space="preserve">to the current </w:t>
      </w:r>
      <w:r w:rsidRPr="000E01C3">
        <w:rPr>
          <w:rFonts w:asciiTheme="minorHAnsi" w:hAnsiTheme="minorHAnsi" w:cstheme="minorHAnsi"/>
          <w:sz w:val="24"/>
          <w:szCs w:val="24"/>
        </w:rPr>
        <w:t>listing.</w:t>
      </w:r>
    </w:p>
    <w:p w:rsidR="00820BD3" w:rsidRPr="000E01C3" w:rsidRDefault="003371A2" w:rsidP="00C509DB">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 xml:space="preserve">The current </w:t>
      </w:r>
      <w:r w:rsidR="004519D0">
        <w:rPr>
          <w:rFonts w:asciiTheme="minorHAnsi" w:hAnsiTheme="minorHAnsi" w:cstheme="minorHAnsi"/>
          <w:noProof/>
          <w:color w:val="000000"/>
          <w:sz w:val="24"/>
          <w:szCs w:val="24"/>
          <w:highlight w:val="black"/>
        </w:rPr>
        <w:t>'''''''''''''''' ''''''''''''''''''''' ''''''''''''</w:t>
      </w:r>
      <w:r w:rsidRPr="000E01C3">
        <w:rPr>
          <w:rFonts w:asciiTheme="minorHAnsi" w:hAnsiTheme="minorHAnsi" w:cstheme="minorHAnsi"/>
          <w:sz w:val="24"/>
          <w:szCs w:val="24"/>
        </w:rPr>
        <w:t xml:space="preserve">, and the additional </w:t>
      </w:r>
      <w:r w:rsidR="00641A13" w:rsidRPr="000E01C3">
        <w:rPr>
          <w:rFonts w:asciiTheme="minorHAnsi" w:hAnsiTheme="minorHAnsi" w:cstheme="minorHAnsi"/>
          <w:sz w:val="24"/>
          <w:szCs w:val="24"/>
        </w:rPr>
        <w:t xml:space="preserve">F1 </w:t>
      </w:r>
      <w:r w:rsidRPr="000E01C3">
        <w:rPr>
          <w:rFonts w:asciiTheme="minorHAnsi" w:hAnsiTheme="minorHAnsi" w:cstheme="minorHAnsi"/>
          <w:sz w:val="24"/>
          <w:szCs w:val="24"/>
        </w:rPr>
        <w:t xml:space="preserve">5% </w:t>
      </w:r>
      <w:r w:rsidR="00641A13" w:rsidRPr="000E01C3">
        <w:rPr>
          <w:rFonts w:asciiTheme="minorHAnsi" w:hAnsiTheme="minorHAnsi" w:cstheme="minorHAnsi"/>
          <w:sz w:val="24"/>
          <w:szCs w:val="24"/>
        </w:rPr>
        <w:t xml:space="preserve">statutory </w:t>
      </w:r>
      <w:r w:rsidRPr="000E01C3">
        <w:rPr>
          <w:rFonts w:asciiTheme="minorHAnsi" w:hAnsiTheme="minorHAnsi" w:cstheme="minorHAnsi"/>
          <w:sz w:val="24"/>
          <w:szCs w:val="24"/>
        </w:rPr>
        <w:t xml:space="preserve">price reduction that will be effective in April 2018 (following 5 years of PBS listing in monotherapy), were factored into the mannitol price in </w:t>
      </w:r>
      <w:r w:rsidR="00A04A6A" w:rsidRPr="000E01C3">
        <w:rPr>
          <w:rFonts w:asciiTheme="minorHAnsi" w:hAnsiTheme="minorHAnsi" w:cstheme="minorHAnsi"/>
          <w:sz w:val="24"/>
          <w:szCs w:val="24"/>
        </w:rPr>
        <w:t>the economic analysis and financial estimates</w:t>
      </w:r>
      <w:r w:rsidRPr="000E01C3">
        <w:rPr>
          <w:rFonts w:asciiTheme="minorHAnsi" w:hAnsiTheme="minorHAnsi" w:cstheme="minorHAnsi"/>
          <w:sz w:val="24"/>
          <w:szCs w:val="24"/>
        </w:rPr>
        <w:t>.</w:t>
      </w:r>
      <w:r w:rsidR="00C509DB" w:rsidRPr="000E01C3">
        <w:rPr>
          <w:rFonts w:asciiTheme="minorHAnsi" w:hAnsiTheme="minorHAnsi" w:cstheme="minorHAnsi"/>
          <w:sz w:val="24"/>
          <w:szCs w:val="24"/>
        </w:rPr>
        <w:t xml:space="preserve"> The ESC noted that including the F1 statutory 5% price cut that will apply to mannitol in April 2018 was contrary to the PBAC </w:t>
      </w:r>
      <w:r w:rsidR="000E01C3" w:rsidRPr="000E01C3">
        <w:rPr>
          <w:rFonts w:asciiTheme="minorHAnsi" w:hAnsiTheme="minorHAnsi" w:cstheme="minorHAnsi"/>
          <w:sz w:val="24"/>
          <w:szCs w:val="24"/>
        </w:rPr>
        <w:t>Guidelines that</w:t>
      </w:r>
      <w:r w:rsidR="00C509DB" w:rsidRPr="000E01C3">
        <w:rPr>
          <w:rFonts w:asciiTheme="minorHAnsi" w:hAnsiTheme="minorHAnsi" w:cstheme="minorHAnsi"/>
          <w:sz w:val="24"/>
          <w:szCs w:val="24"/>
        </w:rPr>
        <w:t xml:space="preserve"> state that submissions should value future costs at current prices (PBAC Guidelines, Version 5.0 p.82).</w:t>
      </w:r>
    </w:p>
    <w:p w:rsidR="007D73D4" w:rsidRPr="000E01C3" w:rsidRDefault="007D73D4" w:rsidP="007D73D4">
      <w:pPr>
        <w:ind w:firstLine="720"/>
        <w:rPr>
          <w:rFonts w:asciiTheme="minorHAnsi" w:hAnsiTheme="minorHAnsi"/>
          <w:bCs/>
          <w:i/>
          <w:sz w:val="24"/>
          <w:szCs w:val="24"/>
        </w:rPr>
      </w:pPr>
      <w:r w:rsidRPr="000E01C3">
        <w:rPr>
          <w:rFonts w:asciiTheme="minorHAnsi" w:hAnsiTheme="minorHAnsi"/>
          <w:bCs/>
          <w:i/>
          <w:sz w:val="24"/>
          <w:szCs w:val="24"/>
        </w:rPr>
        <w:t>For more detail on PBAC’s view, see section 7 “PBAC outcome”</w:t>
      </w:r>
    </w:p>
    <w:p w:rsidR="005D02D1" w:rsidRPr="000E01C3" w:rsidRDefault="005D02D1" w:rsidP="002E1547">
      <w:pPr>
        <w:pStyle w:val="Heading1"/>
      </w:pPr>
      <w:r w:rsidRPr="000E01C3">
        <w:t>PBAC Outcome</w:t>
      </w:r>
    </w:p>
    <w:p w:rsidR="00E536B2" w:rsidRPr="000E01C3" w:rsidRDefault="00E536B2" w:rsidP="004B6116">
      <w:pPr>
        <w:pStyle w:val="ListParagraph"/>
        <w:widowControl/>
        <w:numPr>
          <w:ilvl w:val="1"/>
          <w:numId w:val="5"/>
        </w:numPr>
        <w:spacing w:after="120"/>
        <w:contextualSpacing w:val="0"/>
        <w:rPr>
          <w:rFonts w:asciiTheme="minorHAnsi" w:hAnsiTheme="minorHAnsi"/>
          <w:bCs/>
          <w:sz w:val="24"/>
          <w:szCs w:val="24"/>
        </w:rPr>
      </w:pPr>
      <w:r w:rsidRPr="000E01C3">
        <w:rPr>
          <w:rFonts w:asciiTheme="minorHAnsi" w:hAnsiTheme="minorHAnsi"/>
          <w:bCs/>
          <w:sz w:val="24"/>
          <w:szCs w:val="24"/>
        </w:rPr>
        <w:t xml:space="preserve">The PBAC recommended </w:t>
      </w:r>
      <w:r w:rsidR="00075CEC" w:rsidRPr="000E01C3">
        <w:rPr>
          <w:rFonts w:asciiTheme="minorHAnsi" w:hAnsiTheme="minorHAnsi"/>
          <w:bCs/>
          <w:sz w:val="24"/>
          <w:szCs w:val="24"/>
        </w:rPr>
        <w:t>that the current Section 100 (Highly Specialised Drugs Program) listing of mannitol be amended to allow for PBS-subsidised us</w:t>
      </w:r>
      <w:r w:rsidR="00246B63" w:rsidRPr="000E01C3">
        <w:rPr>
          <w:rFonts w:asciiTheme="minorHAnsi" w:hAnsiTheme="minorHAnsi"/>
          <w:bCs/>
          <w:sz w:val="24"/>
          <w:szCs w:val="24"/>
        </w:rPr>
        <w:t>e</w:t>
      </w:r>
      <w:r w:rsidR="00075CEC" w:rsidRPr="000E01C3">
        <w:rPr>
          <w:rFonts w:asciiTheme="minorHAnsi" w:hAnsiTheme="minorHAnsi"/>
          <w:bCs/>
          <w:sz w:val="24"/>
          <w:szCs w:val="24"/>
        </w:rPr>
        <w:t xml:space="preserve"> in combination with </w:t>
      </w:r>
      <w:r w:rsidR="00FE112F" w:rsidRPr="000E01C3">
        <w:rPr>
          <w:rFonts w:asciiTheme="minorHAnsi" w:hAnsiTheme="minorHAnsi"/>
          <w:bCs/>
          <w:sz w:val="24"/>
          <w:szCs w:val="24"/>
        </w:rPr>
        <w:t>PBS-subsidised DNase</w:t>
      </w:r>
      <w:r w:rsidR="00075CEC" w:rsidRPr="000E01C3">
        <w:rPr>
          <w:rFonts w:asciiTheme="minorHAnsi" w:hAnsiTheme="minorHAnsi"/>
          <w:bCs/>
          <w:sz w:val="24"/>
          <w:szCs w:val="24"/>
        </w:rPr>
        <w:t xml:space="preserve"> in patients who are inadequately responsive to monotherapy with DNase</w:t>
      </w:r>
      <w:r w:rsidR="00FE112F" w:rsidRPr="000E01C3">
        <w:rPr>
          <w:rFonts w:asciiTheme="minorHAnsi" w:hAnsiTheme="minorHAnsi"/>
          <w:bCs/>
          <w:sz w:val="24"/>
          <w:szCs w:val="24"/>
        </w:rPr>
        <w:t>.</w:t>
      </w:r>
    </w:p>
    <w:p w:rsidR="0093164F" w:rsidRPr="000E01C3" w:rsidRDefault="0093164F" w:rsidP="0095054A">
      <w:pPr>
        <w:widowControl/>
        <w:numPr>
          <w:ilvl w:val="1"/>
          <w:numId w:val="5"/>
        </w:numPr>
        <w:spacing w:after="120"/>
        <w:rPr>
          <w:rFonts w:asciiTheme="minorHAnsi" w:hAnsiTheme="minorHAnsi"/>
          <w:bCs/>
          <w:sz w:val="24"/>
          <w:szCs w:val="24"/>
        </w:rPr>
      </w:pPr>
      <w:r w:rsidRPr="000E01C3">
        <w:rPr>
          <w:rFonts w:asciiTheme="minorHAnsi" w:hAnsiTheme="minorHAnsi"/>
          <w:bCs/>
          <w:sz w:val="24"/>
          <w:szCs w:val="24"/>
        </w:rPr>
        <w:t xml:space="preserve">The PBAC recommended that the NOTE in the current restriction for mannitol prohibiting use in combination with PBS-subsidised DNase be removed. Similarly, the PBAC recommended that a flow-on change be made to the restriction for DNase to remove the corresponding NOTE prohibiting use in combination with PBS-subsidised mannitol. However, the PBAC maintained that patients must be intolerant or inadequately responsive to DNase to be eligible for PBS-subsidised mannitol. The PBAC </w:t>
      </w:r>
      <w:r w:rsidR="00210A3F" w:rsidRPr="000E01C3">
        <w:rPr>
          <w:rFonts w:asciiTheme="minorHAnsi" w:hAnsiTheme="minorHAnsi"/>
          <w:bCs/>
          <w:sz w:val="24"/>
          <w:szCs w:val="24"/>
        </w:rPr>
        <w:t>considered</w:t>
      </w:r>
      <w:r w:rsidRPr="000E01C3">
        <w:rPr>
          <w:rFonts w:asciiTheme="minorHAnsi" w:hAnsiTheme="minorHAnsi"/>
          <w:bCs/>
          <w:sz w:val="24"/>
          <w:szCs w:val="24"/>
        </w:rPr>
        <w:t xml:space="preserve"> that patients should also have trialled hypertonic saline before combination therapy with mannitol and DNase and recommended that </w:t>
      </w:r>
      <w:r w:rsidR="0095054A">
        <w:rPr>
          <w:rFonts w:asciiTheme="minorHAnsi" w:hAnsiTheme="minorHAnsi"/>
          <w:bCs/>
          <w:sz w:val="24"/>
          <w:szCs w:val="24"/>
        </w:rPr>
        <w:t xml:space="preserve">this </w:t>
      </w:r>
      <w:r w:rsidR="006C45A4">
        <w:rPr>
          <w:rFonts w:asciiTheme="minorHAnsi" w:hAnsiTheme="minorHAnsi"/>
          <w:bCs/>
          <w:sz w:val="24"/>
          <w:szCs w:val="24"/>
        </w:rPr>
        <w:t>requirement be</w:t>
      </w:r>
      <w:r w:rsidRPr="000E01C3">
        <w:rPr>
          <w:rFonts w:asciiTheme="minorHAnsi" w:hAnsiTheme="minorHAnsi"/>
          <w:bCs/>
          <w:sz w:val="24"/>
          <w:szCs w:val="24"/>
        </w:rPr>
        <w:t xml:space="preserve"> added to the </w:t>
      </w:r>
      <w:r w:rsidR="0095054A">
        <w:rPr>
          <w:rFonts w:asciiTheme="minorHAnsi" w:hAnsiTheme="minorHAnsi"/>
          <w:bCs/>
          <w:sz w:val="24"/>
          <w:szCs w:val="24"/>
        </w:rPr>
        <w:t>clinical criteria</w:t>
      </w:r>
      <w:r w:rsidRPr="000E01C3">
        <w:rPr>
          <w:rFonts w:asciiTheme="minorHAnsi" w:hAnsiTheme="minorHAnsi"/>
          <w:bCs/>
          <w:sz w:val="24"/>
          <w:szCs w:val="24"/>
        </w:rPr>
        <w:t xml:space="preserve"> for mannitol</w:t>
      </w:r>
      <w:r w:rsidR="0095054A">
        <w:rPr>
          <w:rFonts w:asciiTheme="minorHAnsi" w:hAnsiTheme="minorHAnsi"/>
          <w:bCs/>
          <w:sz w:val="24"/>
          <w:szCs w:val="24"/>
        </w:rPr>
        <w:t xml:space="preserve"> (“</w:t>
      </w:r>
      <w:r w:rsidR="0095054A" w:rsidRPr="0095054A">
        <w:rPr>
          <w:rFonts w:asciiTheme="minorHAnsi" w:hAnsiTheme="minorHAnsi"/>
          <w:bCs/>
          <w:sz w:val="24"/>
          <w:szCs w:val="24"/>
        </w:rPr>
        <w:t>Patient must have trialled hypertonic saline before combination use of mannitol and dornase alfa.</w:t>
      </w:r>
      <w:r w:rsidR="0095054A">
        <w:rPr>
          <w:rFonts w:asciiTheme="minorHAnsi" w:hAnsiTheme="minorHAnsi"/>
          <w:bCs/>
          <w:sz w:val="24"/>
          <w:szCs w:val="24"/>
        </w:rPr>
        <w:t>”)</w:t>
      </w:r>
      <w:r w:rsidRPr="000E01C3">
        <w:rPr>
          <w:rFonts w:asciiTheme="minorHAnsi" w:hAnsiTheme="minorHAnsi"/>
          <w:bCs/>
          <w:sz w:val="24"/>
          <w:szCs w:val="24"/>
        </w:rPr>
        <w:t>.</w:t>
      </w:r>
    </w:p>
    <w:p w:rsidR="006B6FD8" w:rsidRPr="000E01C3" w:rsidRDefault="006B6FD8" w:rsidP="004B6116">
      <w:pPr>
        <w:widowControl/>
        <w:numPr>
          <w:ilvl w:val="1"/>
          <w:numId w:val="5"/>
        </w:numPr>
        <w:spacing w:after="120"/>
        <w:rPr>
          <w:rFonts w:asciiTheme="minorHAnsi" w:hAnsiTheme="minorHAnsi"/>
          <w:bCs/>
          <w:sz w:val="24"/>
          <w:szCs w:val="24"/>
        </w:rPr>
      </w:pPr>
      <w:r w:rsidRPr="000E01C3">
        <w:rPr>
          <w:rFonts w:asciiTheme="minorHAnsi" w:hAnsiTheme="minorHAnsi"/>
          <w:bCs/>
          <w:sz w:val="24"/>
          <w:szCs w:val="24"/>
        </w:rPr>
        <w:t>The PBAC acknowledged the consumer comments received, both from people living with the condition and on behalf of patients and their carers</w:t>
      </w:r>
      <w:r w:rsidR="00BE53A3" w:rsidRPr="000E01C3">
        <w:rPr>
          <w:rFonts w:asciiTheme="minorHAnsi" w:hAnsiTheme="minorHAnsi"/>
          <w:bCs/>
          <w:sz w:val="24"/>
          <w:szCs w:val="24"/>
        </w:rPr>
        <w:t>,</w:t>
      </w:r>
      <w:r w:rsidRPr="000E01C3">
        <w:rPr>
          <w:rFonts w:asciiTheme="minorHAnsi" w:hAnsiTheme="minorHAnsi"/>
          <w:bCs/>
          <w:sz w:val="24"/>
          <w:szCs w:val="24"/>
        </w:rPr>
        <w:t xml:space="preserve"> in support for subsidised access to mannitol in combination with DNase. In particular, the PBAC noted</w:t>
      </w:r>
      <w:r w:rsidR="00456B84" w:rsidRPr="000E01C3">
        <w:rPr>
          <w:rFonts w:asciiTheme="minorHAnsi" w:hAnsiTheme="minorHAnsi"/>
          <w:bCs/>
          <w:sz w:val="24"/>
          <w:szCs w:val="24"/>
        </w:rPr>
        <w:t xml:space="preserve"> equity</w:t>
      </w:r>
      <w:r w:rsidRPr="000E01C3">
        <w:rPr>
          <w:rFonts w:asciiTheme="minorHAnsi" w:hAnsiTheme="minorHAnsi"/>
          <w:bCs/>
          <w:sz w:val="24"/>
          <w:szCs w:val="24"/>
        </w:rPr>
        <w:t xml:space="preserve"> concerns regarding access</w:t>
      </w:r>
      <w:r w:rsidR="00456B84" w:rsidRPr="000E01C3">
        <w:rPr>
          <w:rFonts w:asciiTheme="minorHAnsi" w:hAnsiTheme="minorHAnsi"/>
          <w:bCs/>
          <w:sz w:val="24"/>
          <w:szCs w:val="24"/>
        </w:rPr>
        <w:t xml:space="preserve"> to combination treatment</w:t>
      </w:r>
      <w:r w:rsidRPr="000E01C3">
        <w:rPr>
          <w:rFonts w:asciiTheme="minorHAnsi" w:hAnsiTheme="minorHAnsi"/>
          <w:bCs/>
          <w:sz w:val="24"/>
          <w:szCs w:val="24"/>
        </w:rPr>
        <w:t>, given that mannitol is currently only available in combination with PBS-subsidised DNase through a compassionate use program</w:t>
      </w:r>
      <w:r w:rsidR="00456B84" w:rsidRPr="000E01C3">
        <w:rPr>
          <w:rFonts w:asciiTheme="minorHAnsi" w:hAnsiTheme="minorHAnsi"/>
          <w:bCs/>
          <w:sz w:val="24"/>
          <w:szCs w:val="24"/>
        </w:rPr>
        <w:t>,</w:t>
      </w:r>
      <w:r w:rsidRPr="000E01C3">
        <w:rPr>
          <w:rFonts w:asciiTheme="minorHAnsi" w:hAnsiTheme="minorHAnsi"/>
          <w:bCs/>
          <w:sz w:val="24"/>
          <w:szCs w:val="24"/>
        </w:rPr>
        <w:t xml:space="preserve"> which can make prescribing complex for clinicians and patients.</w:t>
      </w:r>
    </w:p>
    <w:p w:rsidR="00456B84" w:rsidRPr="000E01C3" w:rsidRDefault="00480A31" w:rsidP="004B6116">
      <w:pPr>
        <w:widowControl/>
        <w:numPr>
          <w:ilvl w:val="1"/>
          <w:numId w:val="5"/>
        </w:numPr>
        <w:spacing w:after="120"/>
        <w:rPr>
          <w:rFonts w:asciiTheme="minorHAnsi" w:hAnsiTheme="minorHAnsi"/>
          <w:bCs/>
          <w:sz w:val="24"/>
          <w:szCs w:val="24"/>
        </w:rPr>
      </w:pPr>
      <w:r w:rsidRPr="000E01C3">
        <w:rPr>
          <w:rFonts w:asciiTheme="minorHAnsi" w:hAnsiTheme="minorHAnsi"/>
          <w:bCs/>
          <w:sz w:val="24"/>
          <w:szCs w:val="24"/>
        </w:rPr>
        <w:t>The PBAC recall</w:t>
      </w:r>
      <w:r w:rsidR="00246B63" w:rsidRPr="000E01C3">
        <w:rPr>
          <w:rFonts w:asciiTheme="minorHAnsi" w:hAnsiTheme="minorHAnsi"/>
          <w:bCs/>
          <w:sz w:val="24"/>
          <w:szCs w:val="24"/>
        </w:rPr>
        <w:t>ed</w:t>
      </w:r>
      <w:r w:rsidRPr="000E01C3">
        <w:rPr>
          <w:rFonts w:asciiTheme="minorHAnsi" w:hAnsiTheme="minorHAnsi"/>
          <w:bCs/>
          <w:sz w:val="24"/>
          <w:szCs w:val="24"/>
        </w:rPr>
        <w:t xml:space="preserve"> </w:t>
      </w:r>
      <w:r w:rsidR="0030654E" w:rsidRPr="000E01C3">
        <w:rPr>
          <w:rFonts w:asciiTheme="minorHAnsi" w:hAnsiTheme="minorHAnsi"/>
          <w:bCs/>
          <w:sz w:val="24"/>
          <w:szCs w:val="24"/>
        </w:rPr>
        <w:t>that in March 2011</w:t>
      </w:r>
      <w:r w:rsidR="006A7A49" w:rsidRPr="000E01C3">
        <w:rPr>
          <w:rFonts w:asciiTheme="minorHAnsi" w:hAnsiTheme="minorHAnsi"/>
          <w:bCs/>
          <w:sz w:val="24"/>
          <w:szCs w:val="24"/>
        </w:rPr>
        <w:t xml:space="preserve"> it </w:t>
      </w:r>
      <w:r w:rsidR="0030654E" w:rsidRPr="000E01C3">
        <w:rPr>
          <w:rFonts w:asciiTheme="minorHAnsi" w:hAnsiTheme="minorHAnsi"/>
          <w:bCs/>
          <w:sz w:val="24"/>
          <w:szCs w:val="24"/>
        </w:rPr>
        <w:t>rejected</w:t>
      </w:r>
      <w:r w:rsidR="006A7A49" w:rsidRPr="000E01C3">
        <w:rPr>
          <w:rFonts w:asciiTheme="minorHAnsi" w:hAnsiTheme="minorHAnsi"/>
          <w:bCs/>
          <w:sz w:val="24"/>
          <w:szCs w:val="24"/>
        </w:rPr>
        <w:t xml:space="preserve"> </w:t>
      </w:r>
      <w:r w:rsidR="0030654E" w:rsidRPr="000E01C3">
        <w:rPr>
          <w:rFonts w:asciiTheme="minorHAnsi" w:hAnsiTheme="minorHAnsi"/>
          <w:bCs/>
          <w:sz w:val="24"/>
          <w:szCs w:val="24"/>
        </w:rPr>
        <w:t xml:space="preserve">a submission for </w:t>
      </w:r>
      <w:r w:rsidR="006A7A49" w:rsidRPr="000E01C3">
        <w:rPr>
          <w:rFonts w:asciiTheme="minorHAnsi" w:hAnsiTheme="minorHAnsi"/>
          <w:bCs/>
          <w:sz w:val="24"/>
          <w:szCs w:val="24"/>
        </w:rPr>
        <w:t xml:space="preserve">mannitol </w:t>
      </w:r>
      <w:r w:rsidR="0030654E" w:rsidRPr="000E01C3">
        <w:rPr>
          <w:rFonts w:asciiTheme="minorHAnsi" w:hAnsiTheme="minorHAnsi"/>
          <w:bCs/>
          <w:sz w:val="24"/>
          <w:szCs w:val="24"/>
        </w:rPr>
        <w:t>on the basis of uncertain effectiveness and resulting uncertain cost</w:t>
      </w:r>
      <w:r w:rsidR="00456B84" w:rsidRPr="000E01C3">
        <w:rPr>
          <w:rFonts w:asciiTheme="minorHAnsi" w:hAnsiTheme="minorHAnsi"/>
          <w:bCs/>
          <w:sz w:val="24"/>
          <w:szCs w:val="24"/>
        </w:rPr>
        <w:t>-</w:t>
      </w:r>
      <w:r w:rsidR="0030654E" w:rsidRPr="000E01C3">
        <w:rPr>
          <w:rFonts w:asciiTheme="minorHAnsi" w:hAnsiTheme="minorHAnsi"/>
          <w:bCs/>
          <w:sz w:val="24"/>
          <w:szCs w:val="24"/>
        </w:rPr>
        <w:t>effectiveness, when used in combination with DNase</w:t>
      </w:r>
      <w:r w:rsidR="006A7A49" w:rsidRPr="000E01C3">
        <w:rPr>
          <w:rFonts w:asciiTheme="minorHAnsi" w:hAnsiTheme="minorHAnsi"/>
          <w:bCs/>
          <w:sz w:val="24"/>
          <w:szCs w:val="24"/>
        </w:rPr>
        <w:t xml:space="preserve">. </w:t>
      </w:r>
      <w:r w:rsidR="0030654E" w:rsidRPr="000E01C3">
        <w:rPr>
          <w:rFonts w:asciiTheme="minorHAnsi" w:hAnsiTheme="minorHAnsi"/>
          <w:bCs/>
          <w:sz w:val="24"/>
          <w:szCs w:val="24"/>
        </w:rPr>
        <w:t xml:space="preserve">Mannitol was subsequently recommended for monotherapy in patients inadequately responsive </w:t>
      </w:r>
      <w:r w:rsidR="00BE53A3" w:rsidRPr="000E01C3">
        <w:rPr>
          <w:rFonts w:asciiTheme="minorHAnsi" w:hAnsiTheme="minorHAnsi"/>
          <w:bCs/>
          <w:sz w:val="24"/>
          <w:szCs w:val="24"/>
        </w:rPr>
        <w:t>or intolerant to DNase in March </w:t>
      </w:r>
      <w:r w:rsidR="0030654E" w:rsidRPr="000E01C3">
        <w:rPr>
          <w:rFonts w:asciiTheme="minorHAnsi" w:hAnsiTheme="minorHAnsi"/>
          <w:bCs/>
          <w:sz w:val="24"/>
          <w:szCs w:val="24"/>
        </w:rPr>
        <w:t>2012.</w:t>
      </w:r>
      <w:r w:rsidR="00A765EF" w:rsidRPr="000E01C3">
        <w:rPr>
          <w:rFonts w:asciiTheme="minorHAnsi" w:hAnsiTheme="minorHAnsi"/>
          <w:bCs/>
          <w:sz w:val="24"/>
          <w:szCs w:val="24"/>
        </w:rPr>
        <w:t xml:space="preserve"> The PBAC also recalled that in July 2015 it considered a minor submission for mannitol which requested removal of the NOTE prohibiting combination therapy with DNase on the basis of the difference between TGA approved indication (for both monotherapy and as an </w:t>
      </w:r>
      <w:r w:rsidR="00147D48" w:rsidRPr="000E01C3">
        <w:rPr>
          <w:rFonts w:asciiTheme="minorHAnsi" w:hAnsiTheme="minorHAnsi"/>
          <w:bCs/>
          <w:sz w:val="24"/>
          <w:szCs w:val="24"/>
        </w:rPr>
        <w:t>add</w:t>
      </w:r>
      <w:r w:rsidR="00147D48">
        <w:rPr>
          <w:rFonts w:asciiTheme="minorHAnsi" w:hAnsiTheme="minorHAnsi"/>
          <w:bCs/>
          <w:sz w:val="24"/>
          <w:szCs w:val="24"/>
        </w:rPr>
        <w:t>-</w:t>
      </w:r>
      <w:r w:rsidR="00A765EF" w:rsidRPr="000E01C3">
        <w:rPr>
          <w:rFonts w:asciiTheme="minorHAnsi" w:hAnsiTheme="minorHAnsi"/>
          <w:bCs/>
          <w:sz w:val="24"/>
          <w:szCs w:val="24"/>
        </w:rPr>
        <w:t xml:space="preserve">on to DNase) and the PBS restriction. The PBAC rejected the minor </w:t>
      </w:r>
      <w:r w:rsidR="00147D48" w:rsidRPr="000E01C3">
        <w:rPr>
          <w:rFonts w:asciiTheme="minorHAnsi" w:hAnsiTheme="minorHAnsi"/>
          <w:bCs/>
          <w:sz w:val="24"/>
          <w:szCs w:val="24"/>
        </w:rPr>
        <w:t>submission,</w:t>
      </w:r>
      <w:r w:rsidR="00A765EF" w:rsidRPr="000E01C3">
        <w:rPr>
          <w:rFonts w:asciiTheme="minorHAnsi" w:hAnsiTheme="minorHAnsi"/>
          <w:bCs/>
          <w:sz w:val="24"/>
          <w:szCs w:val="24"/>
        </w:rPr>
        <w:t xml:space="preserve"> as it did not address the issues raised by the PBAC in March 2011.</w:t>
      </w:r>
    </w:p>
    <w:p w:rsidR="00FF38C5" w:rsidRPr="000E01C3" w:rsidRDefault="00FF38C5" w:rsidP="00FF38C5">
      <w:pPr>
        <w:widowControl/>
        <w:numPr>
          <w:ilvl w:val="1"/>
          <w:numId w:val="5"/>
        </w:numPr>
        <w:spacing w:after="120"/>
        <w:rPr>
          <w:rFonts w:asciiTheme="minorHAnsi" w:hAnsiTheme="minorHAnsi"/>
          <w:bCs/>
          <w:sz w:val="24"/>
          <w:szCs w:val="24"/>
        </w:rPr>
      </w:pPr>
      <w:r w:rsidRPr="000E01C3">
        <w:rPr>
          <w:rFonts w:asciiTheme="minorHAnsi" w:hAnsiTheme="minorHAnsi"/>
          <w:bCs/>
          <w:sz w:val="24"/>
          <w:szCs w:val="24"/>
        </w:rPr>
        <w:t xml:space="preserve">The PBAC </w:t>
      </w:r>
      <w:r w:rsidR="001041C0" w:rsidRPr="000E01C3">
        <w:rPr>
          <w:rFonts w:asciiTheme="minorHAnsi" w:hAnsiTheme="minorHAnsi"/>
          <w:bCs/>
          <w:sz w:val="24"/>
          <w:szCs w:val="24"/>
        </w:rPr>
        <w:t>noted, given the current compassionate access program use, that</w:t>
      </w:r>
      <w:r w:rsidRPr="000E01C3">
        <w:rPr>
          <w:rFonts w:asciiTheme="minorHAnsi" w:hAnsiTheme="minorHAnsi"/>
          <w:bCs/>
          <w:sz w:val="24"/>
          <w:szCs w:val="24"/>
        </w:rPr>
        <w:t xml:space="preserve"> there is a clinical place for </w:t>
      </w:r>
      <w:r w:rsidR="00CC4DBD" w:rsidRPr="000E01C3">
        <w:rPr>
          <w:rFonts w:asciiTheme="minorHAnsi" w:hAnsiTheme="minorHAnsi"/>
          <w:bCs/>
          <w:sz w:val="24"/>
          <w:szCs w:val="24"/>
        </w:rPr>
        <w:t xml:space="preserve">combination </w:t>
      </w:r>
      <w:r w:rsidR="001041C0" w:rsidRPr="000E01C3">
        <w:rPr>
          <w:rFonts w:asciiTheme="minorHAnsi" w:hAnsiTheme="minorHAnsi"/>
          <w:bCs/>
          <w:sz w:val="24"/>
          <w:szCs w:val="24"/>
        </w:rPr>
        <w:t>treatment</w:t>
      </w:r>
      <w:r w:rsidR="00CC4DBD" w:rsidRPr="000E01C3">
        <w:rPr>
          <w:rFonts w:asciiTheme="minorHAnsi" w:hAnsiTheme="minorHAnsi"/>
          <w:bCs/>
          <w:sz w:val="24"/>
          <w:szCs w:val="24"/>
        </w:rPr>
        <w:t xml:space="preserve"> with mannitol and DNase for </w:t>
      </w:r>
      <w:r w:rsidRPr="000E01C3">
        <w:rPr>
          <w:rFonts w:asciiTheme="minorHAnsi" w:hAnsiTheme="minorHAnsi"/>
          <w:bCs/>
          <w:sz w:val="24"/>
          <w:szCs w:val="24"/>
        </w:rPr>
        <w:t>a small number of patients with CF</w:t>
      </w:r>
      <w:r w:rsidR="001041C0" w:rsidRPr="000E01C3">
        <w:rPr>
          <w:rFonts w:asciiTheme="minorHAnsi" w:hAnsiTheme="minorHAnsi"/>
          <w:bCs/>
          <w:sz w:val="24"/>
          <w:szCs w:val="24"/>
        </w:rPr>
        <w:t xml:space="preserve">. The PBAC considered </w:t>
      </w:r>
      <w:r w:rsidR="004B26BC" w:rsidRPr="000E01C3">
        <w:rPr>
          <w:rFonts w:asciiTheme="minorHAnsi" w:hAnsiTheme="minorHAnsi"/>
          <w:bCs/>
          <w:sz w:val="24"/>
          <w:szCs w:val="24"/>
        </w:rPr>
        <w:t>that clinicians will use their judgement in determining which patients would benefit from combination treatment</w:t>
      </w:r>
      <w:r w:rsidRPr="000E01C3">
        <w:rPr>
          <w:rFonts w:asciiTheme="minorHAnsi" w:hAnsiTheme="minorHAnsi"/>
          <w:bCs/>
          <w:sz w:val="24"/>
          <w:szCs w:val="24"/>
        </w:rPr>
        <w:t xml:space="preserve">. </w:t>
      </w:r>
      <w:r w:rsidR="004B26BC" w:rsidRPr="000E01C3">
        <w:rPr>
          <w:rFonts w:asciiTheme="minorHAnsi" w:hAnsiTheme="minorHAnsi"/>
          <w:bCs/>
          <w:sz w:val="24"/>
          <w:szCs w:val="24"/>
        </w:rPr>
        <w:t>The PBAC noted the sponsor’s argument</w:t>
      </w:r>
      <w:r w:rsidR="008D7E41" w:rsidRPr="000E01C3">
        <w:rPr>
          <w:rFonts w:asciiTheme="minorHAnsi" w:hAnsiTheme="minorHAnsi"/>
          <w:bCs/>
          <w:sz w:val="24"/>
          <w:szCs w:val="24"/>
        </w:rPr>
        <w:t xml:space="preserve"> in its pre-PBAC response (p1)</w:t>
      </w:r>
      <w:r w:rsidR="004B26BC" w:rsidRPr="000E01C3">
        <w:rPr>
          <w:rFonts w:asciiTheme="minorHAnsi" w:hAnsiTheme="minorHAnsi"/>
          <w:bCs/>
          <w:sz w:val="24"/>
          <w:szCs w:val="24"/>
        </w:rPr>
        <w:t xml:space="preserve"> that patients with CF receive a range of treatments and tend to cycle on and off therapies depending on their current health status.</w:t>
      </w:r>
    </w:p>
    <w:p w:rsidR="00935978" w:rsidRPr="000E01C3" w:rsidRDefault="00C73FAC" w:rsidP="00935978">
      <w:pPr>
        <w:widowControl/>
        <w:numPr>
          <w:ilvl w:val="1"/>
          <w:numId w:val="5"/>
        </w:numPr>
        <w:spacing w:after="120"/>
        <w:rPr>
          <w:rFonts w:asciiTheme="minorHAnsi" w:hAnsiTheme="minorHAnsi"/>
          <w:bCs/>
          <w:sz w:val="24"/>
          <w:szCs w:val="24"/>
        </w:rPr>
      </w:pPr>
      <w:r w:rsidRPr="000E01C3">
        <w:rPr>
          <w:rFonts w:asciiTheme="minorHAnsi" w:hAnsiTheme="minorHAnsi"/>
          <w:bCs/>
          <w:sz w:val="24"/>
          <w:szCs w:val="24"/>
        </w:rPr>
        <w:t xml:space="preserve">The PBAC </w:t>
      </w:r>
      <w:r w:rsidR="001D7CD4" w:rsidRPr="000E01C3">
        <w:rPr>
          <w:rFonts w:asciiTheme="minorHAnsi" w:hAnsiTheme="minorHAnsi"/>
          <w:bCs/>
          <w:sz w:val="24"/>
          <w:szCs w:val="24"/>
        </w:rPr>
        <w:t xml:space="preserve">considered </w:t>
      </w:r>
      <w:r w:rsidR="0093164F" w:rsidRPr="000E01C3">
        <w:rPr>
          <w:rFonts w:asciiTheme="minorHAnsi" w:hAnsiTheme="minorHAnsi"/>
          <w:bCs/>
          <w:sz w:val="24"/>
          <w:szCs w:val="24"/>
        </w:rPr>
        <w:t xml:space="preserve">that </w:t>
      </w:r>
      <w:r w:rsidR="001D7CD4" w:rsidRPr="000E01C3">
        <w:rPr>
          <w:rFonts w:asciiTheme="minorHAnsi" w:hAnsiTheme="minorHAnsi"/>
          <w:bCs/>
          <w:sz w:val="24"/>
          <w:szCs w:val="24"/>
        </w:rPr>
        <w:t xml:space="preserve">placebo/control </w:t>
      </w:r>
      <w:r w:rsidR="00092828">
        <w:rPr>
          <w:rFonts w:asciiTheme="minorHAnsi" w:hAnsiTheme="minorHAnsi"/>
          <w:bCs/>
          <w:sz w:val="24"/>
          <w:szCs w:val="24"/>
        </w:rPr>
        <w:t>+</w:t>
      </w:r>
      <w:r w:rsidR="001D7CD4" w:rsidRPr="000E01C3">
        <w:rPr>
          <w:rFonts w:asciiTheme="minorHAnsi" w:hAnsiTheme="minorHAnsi"/>
          <w:bCs/>
          <w:sz w:val="24"/>
          <w:szCs w:val="24"/>
        </w:rPr>
        <w:t xml:space="preserve"> BSC (which may or may not include DNase) was not the appropriate comparator for </w:t>
      </w:r>
      <w:r w:rsidR="008D7E41" w:rsidRPr="000E01C3">
        <w:rPr>
          <w:rFonts w:asciiTheme="minorHAnsi" w:hAnsiTheme="minorHAnsi"/>
          <w:bCs/>
          <w:sz w:val="24"/>
          <w:szCs w:val="24"/>
        </w:rPr>
        <w:t xml:space="preserve">the requested additional use of </w:t>
      </w:r>
      <w:r w:rsidR="001D7CD4" w:rsidRPr="000E01C3">
        <w:rPr>
          <w:rFonts w:asciiTheme="minorHAnsi" w:hAnsiTheme="minorHAnsi"/>
          <w:bCs/>
          <w:sz w:val="24"/>
          <w:szCs w:val="24"/>
        </w:rPr>
        <w:t xml:space="preserve">mannitol </w:t>
      </w:r>
      <w:r w:rsidR="008D7E41" w:rsidRPr="000E01C3">
        <w:rPr>
          <w:rFonts w:asciiTheme="minorHAnsi" w:hAnsiTheme="minorHAnsi"/>
          <w:bCs/>
          <w:sz w:val="24"/>
          <w:szCs w:val="24"/>
        </w:rPr>
        <w:t xml:space="preserve">on the PBS, as an add-on therapy to </w:t>
      </w:r>
      <w:r w:rsidR="001D7CD4" w:rsidRPr="000E01C3">
        <w:rPr>
          <w:rFonts w:asciiTheme="minorHAnsi" w:hAnsiTheme="minorHAnsi"/>
          <w:bCs/>
          <w:sz w:val="24"/>
          <w:szCs w:val="24"/>
        </w:rPr>
        <w:t xml:space="preserve">DNase. </w:t>
      </w:r>
      <w:r w:rsidR="0093164F" w:rsidRPr="000E01C3">
        <w:rPr>
          <w:rFonts w:asciiTheme="minorHAnsi" w:hAnsiTheme="minorHAnsi"/>
          <w:bCs/>
          <w:sz w:val="24"/>
          <w:szCs w:val="24"/>
        </w:rPr>
        <w:t>Rather, the</w:t>
      </w:r>
      <w:r w:rsidR="001D7CD4" w:rsidRPr="000E01C3">
        <w:rPr>
          <w:rFonts w:asciiTheme="minorHAnsi" w:hAnsiTheme="minorHAnsi"/>
          <w:bCs/>
          <w:sz w:val="24"/>
          <w:szCs w:val="24"/>
        </w:rPr>
        <w:t xml:space="preserve"> appropriate comparator </w:t>
      </w:r>
      <w:r w:rsidR="0093164F" w:rsidRPr="000E01C3">
        <w:rPr>
          <w:rFonts w:asciiTheme="minorHAnsi" w:hAnsiTheme="minorHAnsi"/>
          <w:bCs/>
          <w:sz w:val="24"/>
          <w:szCs w:val="24"/>
        </w:rPr>
        <w:t xml:space="preserve">was </w:t>
      </w:r>
      <w:r w:rsidR="001D7CD4" w:rsidRPr="000E01C3">
        <w:rPr>
          <w:rFonts w:asciiTheme="minorHAnsi" w:hAnsiTheme="minorHAnsi"/>
          <w:bCs/>
          <w:sz w:val="24"/>
          <w:szCs w:val="24"/>
        </w:rPr>
        <w:t xml:space="preserve">placebo </w:t>
      </w:r>
      <w:r w:rsidR="00092828">
        <w:rPr>
          <w:rFonts w:asciiTheme="minorHAnsi" w:hAnsiTheme="minorHAnsi"/>
          <w:bCs/>
          <w:sz w:val="24"/>
          <w:szCs w:val="24"/>
        </w:rPr>
        <w:t>+</w:t>
      </w:r>
      <w:r w:rsidR="001D7CD4" w:rsidRPr="000E01C3">
        <w:rPr>
          <w:rFonts w:asciiTheme="minorHAnsi" w:hAnsiTheme="minorHAnsi"/>
          <w:bCs/>
          <w:sz w:val="24"/>
          <w:szCs w:val="24"/>
        </w:rPr>
        <w:t xml:space="preserve"> optimised DNase. </w:t>
      </w:r>
    </w:p>
    <w:p w:rsidR="00800A18" w:rsidRPr="000E01C3" w:rsidRDefault="00A83EA6" w:rsidP="00935978">
      <w:pPr>
        <w:widowControl/>
        <w:numPr>
          <w:ilvl w:val="1"/>
          <w:numId w:val="5"/>
        </w:numPr>
        <w:spacing w:after="120"/>
        <w:rPr>
          <w:rFonts w:asciiTheme="minorHAnsi" w:hAnsiTheme="minorHAnsi"/>
          <w:bCs/>
          <w:sz w:val="24"/>
          <w:szCs w:val="24"/>
        </w:rPr>
      </w:pPr>
      <w:r w:rsidRPr="000E01C3">
        <w:rPr>
          <w:rFonts w:asciiTheme="minorHAnsi" w:hAnsiTheme="minorHAnsi"/>
          <w:bCs/>
          <w:sz w:val="24"/>
          <w:szCs w:val="24"/>
        </w:rPr>
        <w:t xml:space="preserve">The PBAC noted that the resubmission was </w:t>
      </w:r>
      <w:r w:rsidR="004B26BC" w:rsidRPr="000E01C3">
        <w:rPr>
          <w:rFonts w:asciiTheme="minorHAnsi" w:hAnsiTheme="minorHAnsi"/>
          <w:bCs/>
          <w:sz w:val="24"/>
          <w:szCs w:val="24"/>
        </w:rPr>
        <w:t xml:space="preserve">largely </w:t>
      </w:r>
      <w:r w:rsidRPr="000E01C3">
        <w:rPr>
          <w:rFonts w:asciiTheme="minorHAnsi" w:hAnsiTheme="minorHAnsi"/>
          <w:bCs/>
          <w:sz w:val="24"/>
          <w:szCs w:val="24"/>
        </w:rPr>
        <w:t>based on the ITT populations from Trials CF-301/CF-</w:t>
      </w:r>
      <w:r w:rsidR="00147D48" w:rsidRPr="000E01C3">
        <w:rPr>
          <w:rFonts w:asciiTheme="minorHAnsi" w:hAnsiTheme="minorHAnsi"/>
          <w:bCs/>
          <w:sz w:val="24"/>
          <w:szCs w:val="24"/>
        </w:rPr>
        <w:t>302 that</w:t>
      </w:r>
      <w:r w:rsidRPr="000E01C3">
        <w:rPr>
          <w:rFonts w:asciiTheme="minorHAnsi" w:hAnsiTheme="minorHAnsi"/>
          <w:bCs/>
          <w:sz w:val="24"/>
          <w:szCs w:val="24"/>
        </w:rPr>
        <w:t xml:space="preserve"> included patients not receiving concomitant treatment with DNase. </w:t>
      </w:r>
      <w:r w:rsidR="00935978" w:rsidRPr="000E01C3">
        <w:rPr>
          <w:rFonts w:asciiTheme="minorHAnsi" w:hAnsiTheme="minorHAnsi"/>
          <w:bCs/>
          <w:sz w:val="24"/>
          <w:szCs w:val="24"/>
        </w:rPr>
        <w:t>Accordingly, the PBAC noted that the evidence presented in the submission did not</w:t>
      </w:r>
      <w:r w:rsidR="00B375C1" w:rsidRPr="000E01C3">
        <w:rPr>
          <w:rFonts w:asciiTheme="minorHAnsi" w:hAnsiTheme="minorHAnsi"/>
          <w:bCs/>
          <w:sz w:val="24"/>
          <w:szCs w:val="24"/>
        </w:rPr>
        <w:t xml:space="preserve"> directly</w:t>
      </w:r>
      <w:r w:rsidR="00935978" w:rsidRPr="000E01C3">
        <w:rPr>
          <w:rFonts w:asciiTheme="minorHAnsi" w:hAnsiTheme="minorHAnsi"/>
          <w:bCs/>
          <w:sz w:val="24"/>
          <w:szCs w:val="24"/>
        </w:rPr>
        <w:t xml:space="preserve"> inform the requested additional population of patients who are inadequately responsive to </w:t>
      </w:r>
      <w:r w:rsidR="00A654FB">
        <w:rPr>
          <w:rFonts w:asciiTheme="minorHAnsi" w:hAnsiTheme="minorHAnsi"/>
          <w:bCs/>
          <w:sz w:val="24"/>
          <w:szCs w:val="24"/>
        </w:rPr>
        <w:t xml:space="preserve">optimised </w:t>
      </w:r>
      <w:r w:rsidR="00935978" w:rsidRPr="000E01C3">
        <w:rPr>
          <w:rFonts w:asciiTheme="minorHAnsi" w:hAnsiTheme="minorHAnsi"/>
          <w:bCs/>
          <w:sz w:val="24"/>
          <w:szCs w:val="24"/>
        </w:rPr>
        <w:t xml:space="preserve">DNase and seek to add mannitol to existing DNase therapy. </w:t>
      </w:r>
      <w:r w:rsidRPr="000E01C3">
        <w:rPr>
          <w:rFonts w:asciiTheme="minorHAnsi" w:hAnsiTheme="minorHAnsi"/>
          <w:bCs/>
          <w:sz w:val="24"/>
          <w:szCs w:val="24"/>
        </w:rPr>
        <w:t xml:space="preserve">The </w:t>
      </w:r>
      <w:r w:rsidR="004B26BC" w:rsidRPr="000E01C3">
        <w:rPr>
          <w:rFonts w:asciiTheme="minorHAnsi" w:hAnsiTheme="minorHAnsi"/>
          <w:bCs/>
          <w:sz w:val="24"/>
          <w:szCs w:val="24"/>
        </w:rPr>
        <w:t xml:space="preserve">PBAC considered that the </w:t>
      </w:r>
      <w:r w:rsidRPr="000E01C3">
        <w:rPr>
          <w:rFonts w:asciiTheme="minorHAnsi" w:hAnsiTheme="minorHAnsi"/>
          <w:bCs/>
          <w:sz w:val="24"/>
          <w:szCs w:val="24"/>
        </w:rPr>
        <w:t xml:space="preserve">resubmission inappropriately excluded Trial CF-203, a head-to-head </w:t>
      </w:r>
      <w:r w:rsidR="00147D48" w:rsidRPr="000E01C3">
        <w:rPr>
          <w:rFonts w:asciiTheme="minorHAnsi" w:hAnsiTheme="minorHAnsi"/>
          <w:bCs/>
          <w:sz w:val="24"/>
          <w:szCs w:val="24"/>
        </w:rPr>
        <w:t>crossover</w:t>
      </w:r>
      <w:r w:rsidRPr="000E01C3">
        <w:rPr>
          <w:rFonts w:asciiTheme="minorHAnsi" w:hAnsiTheme="minorHAnsi"/>
          <w:bCs/>
          <w:sz w:val="24"/>
          <w:szCs w:val="24"/>
        </w:rPr>
        <w:t xml:space="preserve"> trial of mannitol </w:t>
      </w:r>
      <w:r w:rsidR="00092828">
        <w:rPr>
          <w:rFonts w:asciiTheme="minorHAnsi" w:hAnsiTheme="minorHAnsi"/>
          <w:bCs/>
          <w:sz w:val="24"/>
          <w:szCs w:val="24"/>
        </w:rPr>
        <w:t>+</w:t>
      </w:r>
      <w:r w:rsidRPr="000E01C3">
        <w:rPr>
          <w:rFonts w:asciiTheme="minorHAnsi" w:hAnsiTheme="minorHAnsi"/>
          <w:bCs/>
          <w:sz w:val="24"/>
          <w:szCs w:val="24"/>
        </w:rPr>
        <w:t xml:space="preserve"> DNase versus the two agents administered as monotherapy.</w:t>
      </w:r>
      <w:r w:rsidR="00935978" w:rsidRPr="000E01C3">
        <w:rPr>
          <w:rFonts w:asciiTheme="minorHAnsi" w:hAnsiTheme="minorHAnsi"/>
          <w:bCs/>
          <w:sz w:val="24"/>
          <w:szCs w:val="24"/>
        </w:rPr>
        <w:t xml:space="preserve"> The PBAC noted that the combination of mannitol and DNase in this trial showed no change from baseline to endpoint in mean change in FEV</w:t>
      </w:r>
      <w:r w:rsidR="00935978" w:rsidRPr="000E01C3">
        <w:rPr>
          <w:rFonts w:asciiTheme="minorHAnsi" w:hAnsiTheme="minorHAnsi"/>
          <w:bCs/>
          <w:sz w:val="24"/>
          <w:szCs w:val="24"/>
          <w:vertAlign w:val="subscript"/>
        </w:rPr>
        <w:t>1</w:t>
      </w:r>
      <w:r w:rsidR="00935978" w:rsidRPr="000E01C3">
        <w:rPr>
          <w:rFonts w:asciiTheme="minorHAnsi" w:hAnsiTheme="minorHAnsi"/>
          <w:bCs/>
          <w:sz w:val="24"/>
          <w:szCs w:val="24"/>
        </w:rPr>
        <w:t xml:space="preserve"> and appeared to perform worse than either treatment administered separately (although these differences were not statistically significant). However, the PBAC acknowledged that patients</w:t>
      </w:r>
      <w:r w:rsidRPr="000E01C3">
        <w:rPr>
          <w:rFonts w:asciiTheme="minorHAnsi" w:hAnsiTheme="minorHAnsi"/>
          <w:bCs/>
          <w:sz w:val="24"/>
          <w:szCs w:val="24"/>
        </w:rPr>
        <w:t xml:space="preserve"> </w:t>
      </w:r>
      <w:r w:rsidR="00935978" w:rsidRPr="000E01C3">
        <w:rPr>
          <w:rFonts w:asciiTheme="minorHAnsi" w:hAnsiTheme="minorHAnsi"/>
          <w:bCs/>
          <w:sz w:val="24"/>
          <w:szCs w:val="24"/>
        </w:rPr>
        <w:t xml:space="preserve">in </w:t>
      </w:r>
      <w:r w:rsidR="0048417C" w:rsidRPr="000E01C3">
        <w:rPr>
          <w:rFonts w:asciiTheme="minorHAnsi" w:hAnsiTheme="minorHAnsi"/>
          <w:bCs/>
          <w:sz w:val="24"/>
          <w:szCs w:val="24"/>
        </w:rPr>
        <w:t xml:space="preserve">Trial </w:t>
      </w:r>
      <w:r w:rsidR="00935978" w:rsidRPr="000E01C3">
        <w:rPr>
          <w:rFonts w:asciiTheme="minorHAnsi" w:hAnsiTheme="minorHAnsi"/>
          <w:bCs/>
          <w:sz w:val="24"/>
          <w:szCs w:val="24"/>
        </w:rPr>
        <w:t xml:space="preserve">CF-203 were not on </w:t>
      </w:r>
      <w:r w:rsidRPr="000E01C3">
        <w:rPr>
          <w:rFonts w:asciiTheme="minorHAnsi" w:hAnsiTheme="minorHAnsi"/>
          <w:bCs/>
          <w:sz w:val="24"/>
          <w:szCs w:val="24"/>
        </w:rPr>
        <w:t>optimised DNase before the treatment period</w:t>
      </w:r>
      <w:r w:rsidR="0048417C" w:rsidRPr="000E01C3">
        <w:rPr>
          <w:rFonts w:asciiTheme="minorHAnsi" w:hAnsiTheme="minorHAnsi"/>
          <w:bCs/>
          <w:sz w:val="24"/>
          <w:szCs w:val="24"/>
        </w:rPr>
        <w:t>. T</w:t>
      </w:r>
      <w:r w:rsidRPr="000E01C3">
        <w:rPr>
          <w:rFonts w:asciiTheme="minorHAnsi" w:hAnsiTheme="minorHAnsi"/>
          <w:bCs/>
          <w:sz w:val="24"/>
          <w:szCs w:val="24"/>
        </w:rPr>
        <w:t xml:space="preserve">he PBAC </w:t>
      </w:r>
      <w:r w:rsidR="0048417C" w:rsidRPr="000E01C3">
        <w:rPr>
          <w:rFonts w:asciiTheme="minorHAnsi" w:hAnsiTheme="minorHAnsi"/>
          <w:bCs/>
          <w:sz w:val="24"/>
          <w:szCs w:val="24"/>
        </w:rPr>
        <w:t xml:space="preserve">considered that it would be </w:t>
      </w:r>
      <w:r w:rsidRPr="000E01C3">
        <w:rPr>
          <w:rFonts w:asciiTheme="minorHAnsi" w:hAnsiTheme="minorHAnsi"/>
          <w:bCs/>
          <w:sz w:val="24"/>
          <w:szCs w:val="24"/>
        </w:rPr>
        <w:t>difficult</w:t>
      </w:r>
      <w:r w:rsidR="0048417C" w:rsidRPr="000E01C3">
        <w:rPr>
          <w:rFonts w:asciiTheme="minorHAnsi" w:hAnsiTheme="minorHAnsi"/>
          <w:bCs/>
          <w:sz w:val="24"/>
          <w:szCs w:val="24"/>
        </w:rPr>
        <w:t xml:space="preserve"> to</w:t>
      </w:r>
      <w:r w:rsidRPr="000E01C3">
        <w:rPr>
          <w:rFonts w:asciiTheme="minorHAnsi" w:hAnsiTheme="minorHAnsi"/>
          <w:bCs/>
          <w:sz w:val="24"/>
          <w:szCs w:val="24"/>
        </w:rPr>
        <w:t xml:space="preserve"> </w:t>
      </w:r>
      <w:r w:rsidR="0048417C" w:rsidRPr="000E01C3">
        <w:rPr>
          <w:rFonts w:asciiTheme="minorHAnsi" w:hAnsiTheme="minorHAnsi"/>
          <w:bCs/>
          <w:sz w:val="24"/>
          <w:szCs w:val="24"/>
        </w:rPr>
        <w:t xml:space="preserve">adequately </w:t>
      </w:r>
      <w:r w:rsidRPr="000E01C3">
        <w:rPr>
          <w:rFonts w:asciiTheme="minorHAnsi" w:hAnsiTheme="minorHAnsi"/>
          <w:bCs/>
          <w:sz w:val="24"/>
          <w:szCs w:val="24"/>
        </w:rPr>
        <w:t xml:space="preserve">power </w:t>
      </w:r>
      <w:r w:rsidR="0048417C" w:rsidRPr="000E01C3">
        <w:rPr>
          <w:rFonts w:asciiTheme="minorHAnsi" w:hAnsiTheme="minorHAnsi"/>
          <w:bCs/>
          <w:sz w:val="24"/>
          <w:szCs w:val="24"/>
        </w:rPr>
        <w:t xml:space="preserve">a trial </w:t>
      </w:r>
      <w:r w:rsidRPr="000E01C3">
        <w:rPr>
          <w:rFonts w:asciiTheme="minorHAnsi" w:hAnsiTheme="minorHAnsi"/>
          <w:bCs/>
          <w:sz w:val="24"/>
          <w:szCs w:val="24"/>
        </w:rPr>
        <w:t>to show statistical</w:t>
      </w:r>
      <w:r w:rsidR="0048417C" w:rsidRPr="000E01C3">
        <w:rPr>
          <w:rFonts w:asciiTheme="minorHAnsi" w:hAnsiTheme="minorHAnsi"/>
          <w:bCs/>
          <w:sz w:val="24"/>
          <w:szCs w:val="24"/>
        </w:rPr>
        <w:t>ly</w:t>
      </w:r>
      <w:r w:rsidRPr="000E01C3">
        <w:rPr>
          <w:rFonts w:asciiTheme="minorHAnsi" w:hAnsiTheme="minorHAnsi"/>
          <w:bCs/>
          <w:sz w:val="24"/>
          <w:szCs w:val="24"/>
        </w:rPr>
        <w:t xml:space="preserve"> significan</w:t>
      </w:r>
      <w:r w:rsidR="0048417C" w:rsidRPr="000E01C3">
        <w:rPr>
          <w:rFonts w:asciiTheme="minorHAnsi" w:hAnsiTheme="minorHAnsi"/>
          <w:bCs/>
          <w:sz w:val="24"/>
          <w:szCs w:val="24"/>
        </w:rPr>
        <w:t>t differences</w:t>
      </w:r>
      <w:r w:rsidRPr="000E01C3">
        <w:rPr>
          <w:rFonts w:asciiTheme="minorHAnsi" w:hAnsiTheme="minorHAnsi"/>
          <w:bCs/>
          <w:sz w:val="24"/>
          <w:szCs w:val="24"/>
        </w:rPr>
        <w:t xml:space="preserve"> in this population</w:t>
      </w:r>
      <w:r w:rsidR="00800A18" w:rsidRPr="000E01C3">
        <w:rPr>
          <w:rFonts w:asciiTheme="minorHAnsi" w:hAnsiTheme="minorHAnsi"/>
          <w:bCs/>
          <w:sz w:val="24"/>
          <w:szCs w:val="24"/>
        </w:rPr>
        <w:t xml:space="preserve"> and it is unlikely that any new clinical evidence will become available</w:t>
      </w:r>
      <w:r w:rsidRPr="000E01C3">
        <w:rPr>
          <w:rFonts w:asciiTheme="minorHAnsi" w:hAnsiTheme="minorHAnsi"/>
          <w:bCs/>
          <w:sz w:val="24"/>
          <w:szCs w:val="24"/>
        </w:rPr>
        <w:t>.</w:t>
      </w:r>
      <w:r w:rsidR="0048417C" w:rsidRPr="000E01C3">
        <w:rPr>
          <w:rFonts w:asciiTheme="minorHAnsi" w:hAnsiTheme="minorHAnsi"/>
          <w:bCs/>
          <w:sz w:val="24"/>
          <w:szCs w:val="24"/>
        </w:rPr>
        <w:t xml:space="preserve"> </w:t>
      </w:r>
      <w:r w:rsidR="0048417C" w:rsidRPr="000E01C3">
        <w:rPr>
          <w:rFonts w:asciiTheme="minorHAnsi" w:hAnsiTheme="minorHAnsi" w:cstheme="minorHAnsi"/>
          <w:sz w:val="24"/>
          <w:szCs w:val="24"/>
        </w:rPr>
        <w:t>Overall, the PBAC</w:t>
      </w:r>
      <w:r w:rsidR="0048417C" w:rsidRPr="000E01C3">
        <w:rPr>
          <w:rFonts w:asciiTheme="minorHAnsi" w:hAnsiTheme="minorHAnsi"/>
          <w:bCs/>
          <w:sz w:val="24"/>
          <w:szCs w:val="24"/>
        </w:rPr>
        <w:t xml:space="preserve"> considered that there is likely to be a small group of patients </w:t>
      </w:r>
      <w:r w:rsidR="00AE21A9" w:rsidRPr="000E01C3">
        <w:rPr>
          <w:rFonts w:asciiTheme="minorHAnsi" w:hAnsiTheme="minorHAnsi"/>
          <w:bCs/>
          <w:sz w:val="24"/>
          <w:szCs w:val="24"/>
        </w:rPr>
        <w:t xml:space="preserve">inadequately responsive to DNase </w:t>
      </w:r>
      <w:r w:rsidR="0048417C" w:rsidRPr="000E01C3">
        <w:rPr>
          <w:rFonts w:asciiTheme="minorHAnsi" w:hAnsiTheme="minorHAnsi"/>
          <w:bCs/>
          <w:sz w:val="24"/>
          <w:szCs w:val="24"/>
        </w:rPr>
        <w:t xml:space="preserve">who would benefit from combination </w:t>
      </w:r>
      <w:r w:rsidR="00AE21A9" w:rsidRPr="000E01C3">
        <w:rPr>
          <w:rFonts w:asciiTheme="minorHAnsi" w:hAnsiTheme="minorHAnsi"/>
          <w:bCs/>
          <w:sz w:val="24"/>
          <w:szCs w:val="24"/>
        </w:rPr>
        <w:t>treatment</w:t>
      </w:r>
      <w:r w:rsidR="0048417C" w:rsidRPr="000E01C3">
        <w:rPr>
          <w:rFonts w:asciiTheme="minorHAnsi" w:hAnsiTheme="minorHAnsi"/>
          <w:bCs/>
          <w:sz w:val="24"/>
          <w:szCs w:val="24"/>
        </w:rPr>
        <w:t xml:space="preserve"> and that clinicians would be best placed to identify those patients likely to derive a benefit.</w:t>
      </w:r>
    </w:p>
    <w:p w:rsidR="005D02D1" w:rsidRPr="000E01C3" w:rsidRDefault="00152049" w:rsidP="00617435">
      <w:pPr>
        <w:pStyle w:val="ListParagraph"/>
        <w:numPr>
          <w:ilvl w:val="1"/>
          <w:numId w:val="5"/>
        </w:numPr>
        <w:tabs>
          <w:tab w:val="left" w:pos="2410"/>
        </w:tabs>
        <w:spacing w:after="120"/>
        <w:contextualSpacing w:val="0"/>
        <w:rPr>
          <w:rFonts w:asciiTheme="minorHAnsi" w:hAnsiTheme="minorHAnsi"/>
          <w:sz w:val="24"/>
          <w:szCs w:val="24"/>
        </w:rPr>
      </w:pPr>
      <w:r w:rsidRPr="000E01C3">
        <w:rPr>
          <w:rFonts w:asciiTheme="minorHAnsi" w:hAnsiTheme="minorHAnsi"/>
          <w:bCs/>
          <w:sz w:val="24"/>
          <w:szCs w:val="24"/>
        </w:rPr>
        <w:t xml:space="preserve">The PBAC </w:t>
      </w:r>
      <w:r w:rsidR="00617435" w:rsidRPr="000E01C3">
        <w:rPr>
          <w:rFonts w:asciiTheme="minorHAnsi" w:hAnsiTheme="minorHAnsi"/>
          <w:bCs/>
          <w:sz w:val="24"/>
          <w:szCs w:val="24"/>
        </w:rPr>
        <w:t>considered</w:t>
      </w:r>
      <w:r w:rsidRPr="000E01C3">
        <w:rPr>
          <w:rFonts w:asciiTheme="minorHAnsi" w:hAnsiTheme="minorHAnsi"/>
          <w:bCs/>
          <w:sz w:val="24"/>
          <w:szCs w:val="24"/>
        </w:rPr>
        <w:t xml:space="preserve"> that the model did not provide a reliable indication of the cost</w:t>
      </w:r>
      <w:r w:rsidR="00026318">
        <w:rPr>
          <w:rFonts w:asciiTheme="minorHAnsi" w:hAnsiTheme="minorHAnsi"/>
          <w:bCs/>
          <w:sz w:val="24"/>
          <w:szCs w:val="24"/>
        </w:rPr>
        <w:t>-</w:t>
      </w:r>
      <w:r w:rsidRPr="000E01C3">
        <w:rPr>
          <w:rFonts w:asciiTheme="minorHAnsi" w:hAnsiTheme="minorHAnsi"/>
          <w:bCs/>
          <w:sz w:val="24"/>
          <w:szCs w:val="24"/>
        </w:rPr>
        <w:t>effectiveness of the comparison relevant to the requested change to the c</w:t>
      </w:r>
      <w:r w:rsidR="00B07AD4" w:rsidRPr="000E01C3">
        <w:rPr>
          <w:rFonts w:asciiTheme="minorHAnsi" w:hAnsiTheme="minorHAnsi"/>
          <w:bCs/>
          <w:sz w:val="24"/>
          <w:szCs w:val="24"/>
        </w:rPr>
        <w:t xml:space="preserve">urrent listing; i.e. mannitol and </w:t>
      </w:r>
      <w:r w:rsidRPr="000E01C3">
        <w:rPr>
          <w:rFonts w:asciiTheme="minorHAnsi" w:hAnsiTheme="minorHAnsi"/>
          <w:bCs/>
          <w:sz w:val="24"/>
          <w:szCs w:val="24"/>
        </w:rPr>
        <w:t>DNase, compare</w:t>
      </w:r>
      <w:r w:rsidR="00B07AD4" w:rsidRPr="000E01C3">
        <w:rPr>
          <w:rFonts w:asciiTheme="minorHAnsi" w:hAnsiTheme="minorHAnsi"/>
          <w:bCs/>
          <w:sz w:val="24"/>
          <w:szCs w:val="24"/>
        </w:rPr>
        <w:t>d with optimised DNase and</w:t>
      </w:r>
      <w:r w:rsidRPr="000E01C3">
        <w:rPr>
          <w:rFonts w:asciiTheme="minorHAnsi" w:hAnsiTheme="minorHAnsi"/>
          <w:bCs/>
          <w:sz w:val="24"/>
          <w:szCs w:val="24"/>
        </w:rPr>
        <w:t xml:space="preserve"> placebo</w:t>
      </w:r>
      <w:r w:rsidR="00B07AD4" w:rsidRPr="000E01C3">
        <w:rPr>
          <w:rFonts w:asciiTheme="minorHAnsi" w:hAnsiTheme="minorHAnsi"/>
          <w:bCs/>
          <w:sz w:val="24"/>
          <w:szCs w:val="24"/>
        </w:rPr>
        <w:t xml:space="preserve">. However, the PBAC </w:t>
      </w:r>
      <w:r w:rsidR="00E60986" w:rsidRPr="000E01C3">
        <w:rPr>
          <w:rFonts w:asciiTheme="minorHAnsi" w:hAnsiTheme="minorHAnsi"/>
          <w:bCs/>
          <w:sz w:val="24"/>
          <w:szCs w:val="24"/>
        </w:rPr>
        <w:t xml:space="preserve">pragmatically </w:t>
      </w:r>
      <w:r w:rsidR="00B07AD4" w:rsidRPr="000E01C3">
        <w:rPr>
          <w:rFonts w:asciiTheme="minorHAnsi" w:hAnsiTheme="minorHAnsi"/>
          <w:bCs/>
          <w:sz w:val="24"/>
          <w:szCs w:val="24"/>
        </w:rPr>
        <w:t xml:space="preserve">considered </w:t>
      </w:r>
      <w:r w:rsidR="00E60986" w:rsidRPr="000E01C3">
        <w:rPr>
          <w:rFonts w:asciiTheme="minorHAnsi" w:hAnsiTheme="minorHAnsi"/>
          <w:bCs/>
          <w:sz w:val="24"/>
          <w:szCs w:val="24"/>
        </w:rPr>
        <w:t xml:space="preserve">that </w:t>
      </w:r>
      <w:r w:rsidR="005530FA" w:rsidRPr="000E01C3">
        <w:rPr>
          <w:rFonts w:asciiTheme="minorHAnsi" w:hAnsiTheme="minorHAnsi"/>
          <w:bCs/>
          <w:sz w:val="24"/>
          <w:szCs w:val="24"/>
        </w:rPr>
        <w:t xml:space="preserve">with a reduction in the requested price of mannitol for combination use, in recognition that combination treatment will not be as cost effective as monotherapy, </w:t>
      </w:r>
      <w:r w:rsidR="00E60986" w:rsidRPr="000E01C3">
        <w:rPr>
          <w:rFonts w:asciiTheme="minorHAnsi" w:hAnsiTheme="minorHAnsi"/>
          <w:bCs/>
          <w:sz w:val="24"/>
          <w:szCs w:val="24"/>
        </w:rPr>
        <w:t xml:space="preserve">the cost-effectiveness </w:t>
      </w:r>
      <w:r w:rsidR="00C93C8D">
        <w:rPr>
          <w:rFonts w:asciiTheme="minorHAnsi" w:hAnsiTheme="minorHAnsi"/>
          <w:bCs/>
          <w:sz w:val="24"/>
          <w:szCs w:val="24"/>
        </w:rPr>
        <w:t xml:space="preserve">of the combination </w:t>
      </w:r>
      <w:r w:rsidR="00E60986" w:rsidRPr="000E01C3">
        <w:rPr>
          <w:rFonts w:asciiTheme="minorHAnsi" w:hAnsiTheme="minorHAnsi"/>
          <w:bCs/>
          <w:sz w:val="24"/>
          <w:szCs w:val="24"/>
        </w:rPr>
        <w:t>would be acceptable.</w:t>
      </w:r>
      <w:r w:rsidR="005530FA" w:rsidRPr="000E01C3">
        <w:rPr>
          <w:rFonts w:asciiTheme="minorHAnsi" w:hAnsiTheme="minorHAnsi"/>
          <w:bCs/>
          <w:sz w:val="24"/>
          <w:szCs w:val="24"/>
        </w:rPr>
        <w:t xml:space="preserve"> This recommendation was made in the context of the small additional patient population with complex needs, equity of access concerns regarding the current compassionate use arrangements, an expectation that clinicians are best placed to determine which patients will benefit from combination therapy and no changes to the current risk sharing arrangements for mannitol. </w:t>
      </w:r>
      <w:r w:rsidR="00E60986" w:rsidRPr="000E01C3">
        <w:rPr>
          <w:rFonts w:asciiTheme="minorHAnsi" w:hAnsiTheme="minorHAnsi"/>
          <w:bCs/>
          <w:sz w:val="24"/>
          <w:szCs w:val="24"/>
        </w:rPr>
        <w:t xml:space="preserve">The PBAC advised </w:t>
      </w:r>
      <w:r w:rsidR="00600F32" w:rsidRPr="000E01C3">
        <w:rPr>
          <w:rFonts w:asciiTheme="minorHAnsi" w:hAnsiTheme="minorHAnsi"/>
          <w:bCs/>
          <w:sz w:val="24"/>
          <w:szCs w:val="24"/>
        </w:rPr>
        <w:t xml:space="preserve">the Department </w:t>
      </w:r>
      <w:r w:rsidR="00E60986" w:rsidRPr="000E01C3">
        <w:rPr>
          <w:rFonts w:asciiTheme="minorHAnsi" w:hAnsiTheme="minorHAnsi"/>
          <w:bCs/>
          <w:sz w:val="24"/>
          <w:szCs w:val="24"/>
        </w:rPr>
        <w:t>that a</w:t>
      </w:r>
      <w:r w:rsidR="00807527" w:rsidRPr="000E01C3">
        <w:rPr>
          <w:rFonts w:asciiTheme="minorHAnsi" w:hAnsiTheme="minorHAnsi"/>
          <w:bCs/>
          <w:sz w:val="24"/>
          <w:szCs w:val="24"/>
        </w:rPr>
        <w:t xml:space="preserve"> sizeable</w:t>
      </w:r>
      <w:r w:rsidR="00E60986" w:rsidRPr="000E01C3">
        <w:rPr>
          <w:rFonts w:asciiTheme="minorHAnsi" w:hAnsiTheme="minorHAnsi"/>
          <w:bCs/>
          <w:sz w:val="24"/>
          <w:szCs w:val="24"/>
        </w:rPr>
        <w:t xml:space="preserve"> reduction in the </w:t>
      </w:r>
      <w:r w:rsidR="00600F32" w:rsidRPr="000E01C3">
        <w:rPr>
          <w:rFonts w:asciiTheme="minorHAnsi" w:hAnsiTheme="minorHAnsi"/>
          <w:bCs/>
          <w:sz w:val="24"/>
          <w:szCs w:val="24"/>
        </w:rPr>
        <w:t xml:space="preserve">price </w:t>
      </w:r>
      <w:r w:rsidR="00E60986" w:rsidRPr="000E01C3">
        <w:rPr>
          <w:rFonts w:asciiTheme="minorHAnsi" w:hAnsiTheme="minorHAnsi"/>
          <w:bCs/>
          <w:sz w:val="24"/>
          <w:szCs w:val="24"/>
        </w:rPr>
        <w:t xml:space="preserve">of </w:t>
      </w:r>
      <w:r w:rsidR="005F674C" w:rsidRPr="000E01C3">
        <w:rPr>
          <w:rFonts w:asciiTheme="minorHAnsi" w:hAnsiTheme="minorHAnsi"/>
          <w:bCs/>
          <w:sz w:val="24"/>
          <w:szCs w:val="24"/>
        </w:rPr>
        <w:t>mannitol</w:t>
      </w:r>
      <w:r w:rsidR="00E60986" w:rsidRPr="000E01C3">
        <w:rPr>
          <w:rFonts w:asciiTheme="minorHAnsi" w:hAnsiTheme="minorHAnsi"/>
          <w:bCs/>
          <w:sz w:val="24"/>
          <w:szCs w:val="24"/>
        </w:rPr>
        <w:t xml:space="preserve"> </w:t>
      </w:r>
      <w:r w:rsidR="005F674C" w:rsidRPr="000E01C3">
        <w:rPr>
          <w:rFonts w:asciiTheme="minorHAnsi" w:hAnsiTheme="minorHAnsi"/>
          <w:bCs/>
          <w:sz w:val="24"/>
          <w:szCs w:val="24"/>
        </w:rPr>
        <w:t xml:space="preserve">for combination use </w:t>
      </w:r>
      <w:r w:rsidR="00E60986" w:rsidRPr="000E01C3">
        <w:rPr>
          <w:rFonts w:asciiTheme="minorHAnsi" w:hAnsiTheme="minorHAnsi"/>
          <w:bCs/>
          <w:sz w:val="24"/>
          <w:szCs w:val="24"/>
        </w:rPr>
        <w:t xml:space="preserve">would be </w:t>
      </w:r>
      <w:r w:rsidR="00600F32" w:rsidRPr="000E01C3">
        <w:rPr>
          <w:rFonts w:asciiTheme="minorHAnsi" w:hAnsiTheme="minorHAnsi"/>
          <w:bCs/>
          <w:sz w:val="24"/>
          <w:szCs w:val="24"/>
        </w:rPr>
        <w:t>appropriate</w:t>
      </w:r>
      <w:r w:rsidR="00E60986" w:rsidRPr="000E01C3">
        <w:rPr>
          <w:rFonts w:asciiTheme="minorHAnsi" w:hAnsiTheme="minorHAnsi"/>
          <w:bCs/>
          <w:sz w:val="24"/>
          <w:szCs w:val="24"/>
        </w:rPr>
        <w:t xml:space="preserve"> to </w:t>
      </w:r>
      <w:r w:rsidR="005530FA" w:rsidRPr="000E01C3">
        <w:rPr>
          <w:rFonts w:asciiTheme="minorHAnsi" w:hAnsiTheme="minorHAnsi"/>
          <w:bCs/>
          <w:sz w:val="24"/>
          <w:szCs w:val="24"/>
        </w:rPr>
        <w:t>reduce</w:t>
      </w:r>
      <w:r w:rsidR="0047358E" w:rsidRPr="000E01C3">
        <w:rPr>
          <w:rFonts w:asciiTheme="minorHAnsi" w:hAnsiTheme="minorHAnsi"/>
          <w:bCs/>
          <w:sz w:val="24"/>
          <w:szCs w:val="24"/>
        </w:rPr>
        <w:t xml:space="preserve"> </w:t>
      </w:r>
      <w:r w:rsidR="00B07AD4" w:rsidRPr="000E01C3">
        <w:rPr>
          <w:rFonts w:asciiTheme="minorHAnsi" w:hAnsiTheme="minorHAnsi"/>
          <w:bCs/>
          <w:sz w:val="24"/>
          <w:szCs w:val="24"/>
        </w:rPr>
        <w:t xml:space="preserve">the uncertainty </w:t>
      </w:r>
      <w:r w:rsidR="0047358E" w:rsidRPr="000E01C3">
        <w:rPr>
          <w:rFonts w:asciiTheme="minorHAnsi" w:hAnsiTheme="minorHAnsi"/>
          <w:bCs/>
          <w:sz w:val="24"/>
          <w:szCs w:val="24"/>
        </w:rPr>
        <w:t xml:space="preserve">regarding </w:t>
      </w:r>
      <w:r w:rsidR="00C561C1" w:rsidRPr="000E01C3">
        <w:rPr>
          <w:rFonts w:asciiTheme="minorHAnsi" w:hAnsiTheme="minorHAnsi"/>
          <w:bCs/>
          <w:sz w:val="24"/>
          <w:szCs w:val="24"/>
        </w:rPr>
        <w:t>cost</w:t>
      </w:r>
      <w:r w:rsidR="00032AAF" w:rsidRPr="000E01C3">
        <w:rPr>
          <w:rFonts w:asciiTheme="minorHAnsi" w:hAnsiTheme="minorHAnsi"/>
          <w:bCs/>
          <w:sz w:val="24"/>
          <w:szCs w:val="24"/>
        </w:rPr>
        <w:t xml:space="preserve"> </w:t>
      </w:r>
      <w:r w:rsidR="00C561C1" w:rsidRPr="000E01C3">
        <w:rPr>
          <w:rFonts w:asciiTheme="minorHAnsi" w:hAnsiTheme="minorHAnsi"/>
          <w:bCs/>
          <w:sz w:val="24"/>
          <w:szCs w:val="24"/>
        </w:rPr>
        <w:t>effectiveness</w:t>
      </w:r>
      <w:r w:rsidR="00B07AD4" w:rsidRPr="000E01C3">
        <w:rPr>
          <w:rFonts w:asciiTheme="minorHAnsi" w:hAnsiTheme="minorHAnsi"/>
          <w:bCs/>
          <w:sz w:val="24"/>
          <w:szCs w:val="24"/>
        </w:rPr>
        <w:t>.</w:t>
      </w:r>
    </w:p>
    <w:p w:rsidR="00617435" w:rsidRPr="000E01C3" w:rsidRDefault="00617435" w:rsidP="004B6116">
      <w:pPr>
        <w:widowControl/>
        <w:numPr>
          <w:ilvl w:val="1"/>
          <w:numId w:val="5"/>
        </w:numPr>
        <w:spacing w:after="120"/>
        <w:rPr>
          <w:rFonts w:asciiTheme="minorHAnsi" w:hAnsiTheme="minorHAnsi"/>
          <w:bCs/>
          <w:sz w:val="24"/>
          <w:szCs w:val="24"/>
        </w:rPr>
      </w:pPr>
      <w:r w:rsidRPr="000E01C3">
        <w:rPr>
          <w:rFonts w:asciiTheme="minorHAnsi" w:hAnsiTheme="minorHAnsi"/>
          <w:bCs/>
          <w:sz w:val="24"/>
          <w:szCs w:val="24"/>
        </w:rPr>
        <w:t xml:space="preserve">The PBAC considered that the estimates of patients likely to use combination therapy were uncertain and that the financial estimates were sensitive to the assumptions regarding the number of packs dispensed per year. </w:t>
      </w:r>
      <w:r w:rsidR="00523C98" w:rsidRPr="000E01C3">
        <w:rPr>
          <w:rFonts w:asciiTheme="minorHAnsi" w:hAnsiTheme="minorHAnsi"/>
          <w:bCs/>
          <w:sz w:val="24"/>
          <w:szCs w:val="24"/>
        </w:rPr>
        <w:t xml:space="preserve">The PBAC </w:t>
      </w:r>
      <w:r w:rsidR="007900D5">
        <w:rPr>
          <w:rFonts w:asciiTheme="minorHAnsi" w:hAnsiTheme="minorHAnsi"/>
          <w:bCs/>
          <w:sz w:val="24"/>
          <w:szCs w:val="24"/>
        </w:rPr>
        <w:t xml:space="preserve">noted that the submission base case estimates of utilisation only took into account current compassionate access use, resulting in an estimate of </w:t>
      </w:r>
      <w:r w:rsidR="004519D0">
        <w:rPr>
          <w:rFonts w:asciiTheme="minorHAnsi" w:hAnsiTheme="minorHAnsi"/>
          <w:bCs/>
          <w:noProof/>
          <w:color w:val="000000"/>
          <w:sz w:val="24"/>
          <w:szCs w:val="24"/>
          <w:highlight w:val="black"/>
        </w:rPr>
        <w:t>'''''''</w:t>
      </w:r>
      <w:r w:rsidR="007900D5">
        <w:rPr>
          <w:rFonts w:asciiTheme="minorHAnsi" w:hAnsiTheme="minorHAnsi"/>
          <w:bCs/>
          <w:sz w:val="24"/>
          <w:szCs w:val="24"/>
        </w:rPr>
        <w:t xml:space="preserve"> patients in year 5 of listing. The PBAC considered that the sensitivity analysis presented in the submission</w:t>
      </w:r>
      <w:r w:rsidR="00807527" w:rsidRPr="000E01C3">
        <w:rPr>
          <w:rFonts w:asciiTheme="minorHAnsi" w:hAnsiTheme="minorHAnsi"/>
          <w:bCs/>
          <w:sz w:val="24"/>
          <w:szCs w:val="24"/>
        </w:rPr>
        <w:t>,</w:t>
      </w:r>
      <w:r w:rsidR="00523C98" w:rsidRPr="000E01C3">
        <w:rPr>
          <w:rFonts w:asciiTheme="minorHAnsi" w:hAnsiTheme="minorHAnsi"/>
          <w:bCs/>
          <w:sz w:val="24"/>
          <w:szCs w:val="24"/>
        </w:rPr>
        <w:t xml:space="preserve"> which assumed </w:t>
      </w:r>
      <w:r w:rsidR="004519D0">
        <w:rPr>
          <w:rFonts w:asciiTheme="minorHAnsi" w:hAnsiTheme="minorHAnsi"/>
          <w:bCs/>
          <w:noProof/>
          <w:color w:val="000000"/>
          <w:sz w:val="24"/>
          <w:szCs w:val="24"/>
          <w:highlight w:val="black"/>
        </w:rPr>
        <w:t>'''</w:t>
      </w:r>
      <w:r w:rsidR="00026318">
        <w:rPr>
          <w:rFonts w:asciiTheme="minorHAnsi" w:hAnsiTheme="minorHAnsi"/>
          <w:bCs/>
          <w:sz w:val="24"/>
          <w:szCs w:val="24"/>
        </w:rPr>
        <w:t xml:space="preserve"> </w:t>
      </w:r>
      <w:r w:rsidR="00523C98" w:rsidRPr="000E01C3">
        <w:rPr>
          <w:rFonts w:asciiTheme="minorHAnsi" w:hAnsiTheme="minorHAnsi"/>
          <w:bCs/>
          <w:sz w:val="24"/>
          <w:szCs w:val="24"/>
        </w:rPr>
        <w:t>patients from each of the 24 CF centres would receive combination treatment (</w:t>
      </w:r>
      <w:r w:rsidR="007900D5">
        <w:rPr>
          <w:rFonts w:asciiTheme="minorHAnsi" w:hAnsiTheme="minorHAnsi"/>
          <w:bCs/>
          <w:sz w:val="24"/>
          <w:szCs w:val="24"/>
        </w:rPr>
        <w:t xml:space="preserve">resulting in an estimated </w:t>
      </w:r>
      <w:r w:rsidR="004519D0">
        <w:rPr>
          <w:rFonts w:asciiTheme="minorHAnsi" w:hAnsiTheme="minorHAnsi"/>
          <w:bCs/>
          <w:noProof/>
          <w:color w:val="000000"/>
          <w:sz w:val="24"/>
          <w:szCs w:val="24"/>
          <w:highlight w:val="black"/>
        </w:rPr>
        <w:t>'''''''</w:t>
      </w:r>
      <w:r w:rsidR="00523C98" w:rsidRPr="000E01C3">
        <w:rPr>
          <w:rFonts w:asciiTheme="minorHAnsi" w:hAnsiTheme="minorHAnsi"/>
          <w:bCs/>
          <w:sz w:val="24"/>
          <w:szCs w:val="24"/>
        </w:rPr>
        <w:t xml:space="preserve"> patients in year 5 of listing), </w:t>
      </w:r>
      <w:r w:rsidR="007900D5">
        <w:rPr>
          <w:rFonts w:asciiTheme="minorHAnsi" w:hAnsiTheme="minorHAnsi"/>
          <w:bCs/>
          <w:sz w:val="24"/>
          <w:szCs w:val="24"/>
        </w:rPr>
        <w:t>was</w:t>
      </w:r>
      <w:r w:rsidR="00523C98" w:rsidRPr="000E01C3">
        <w:rPr>
          <w:rFonts w:asciiTheme="minorHAnsi" w:hAnsiTheme="minorHAnsi"/>
          <w:bCs/>
          <w:sz w:val="24"/>
          <w:szCs w:val="24"/>
        </w:rPr>
        <w:t xml:space="preserve"> more realistic. </w:t>
      </w:r>
      <w:r w:rsidRPr="000E01C3">
        <w:rPr>
          <w:rFonts w:asciiTheme="minorHAnsi" w:hAnsiTheme="minorHAnsi"/>
          <w:bCs/>
          <w:sz w:val="24"/>
          <w:szCs w:val="24"/>
        </w:rPr>
        <w:t xml:space="preserve">However, in the context of PBS use of mannitol monotherapy being lower than anticipated (as noted in the October 2014 DUSC review), the PBAC considered that the current risk sharing arrangements for mannitol were sufficient to manage the financial risk </w:t>
      </w:r>
      <w:r w:rsidR="00C1462E" w:rsidRPr="000E01C3">
        <w:rPr>
          <w:rFonts w:asciiTheme="minorHAnsi" w:hAnsiTheme="minorHAnsi"/>
          <w:bCs/>
          <w:sz w:val="24"/>
          <w:szCs w:val="24"/>
        </w:rPr>
        <w:t>to the Government.</w:t>
      </w:r>
    </w:p>
    <w:p w:rsidR="005D02D1" w:rsidRPr="000E01C3" w:rsidRDefault="005D02D1" w:rsidP="004B6116">
      <w:pPr>
        <w:widowControl/>
        <w:numPr>
          <w:ilvl w:val="1"/>
          <w:numId w:val="5"/>
        </w:numPr>
        <w:spacing w:after="120"/>
        <w:rPr>
          <w:rFonts w:asciiTheme="minorHAnsi" w:hAnsiTheme="minorHAnsi"/>
          <w:bCs/>
          <w:sz w:val="24"/>
          <w:szCs w:val="24"/>
        </w:rPr>
      </w:pPr>
      <w:r w:rsidRPr="000E01C3">
        <w:rPr>
          <w:rFonts w:asciiTheme="minorHAnsi" w:hAnsiTheme="minorHAnsi"/>
          <w:bCs/>
          <w:sz w:val="24"/>
          <w:szCs w:val="24"/>
        </w:rPr>
        <w:t>The PBAC noted that this submission is not eligible for an Independent Review.</w:t>
      </w:r>
      <w:r w:rsidR="009C7664" w:rsidRPr="000E01C3">
        <w:rPr>
          <w:rFonts w:asciiTheme="minorHAnsi" w:hAnsiTheme="minorHAnsi"/>
          <w:bCs/>
          <w:sz w:val="24"/>
          <w:szCs w:val="24"/>
        </w:rPr>
        <w:t xml:space="preserve"> Independent review is not available in response to a request to modify or extend an existing listing</w:t>
      </w:r>
      <w:r w:rsidR="003F0D47" w:rsidRPr="000E01C3">
        <w:rPr>
          <w:rFonts w:asciiTheme="minorHAnsi" w:hAnsiTheme="minorHAnsi"/>
          <w:bCs/>
          <w:sz w:val="24"/>
          <w:szCs w:val="24"/>
        </w:rPr>
        <w:t xml:space="preserve"> or where </w:t>
      </w:r>
      <w:r w:rsidR="009E0248" w:rsidRPr="000E01C3">
        <w:rPr>
          <w:rFonts w:asciiTheme="minorHAnsi" w:hAnsiTheme="minorHAnsi"/>
          <w:bCs/>
          <w:sz w:val="24"/>
          <w:szCs w:val="24"/>
        </w:rPr>
        <w:t xml:space="preserve">the </w:t>
      </w:r>
      <w:r w:rsidR="003F0D47" w:rsidRPr="000E01C3">
        <w:rPr>
          <w:rFonts w:asciiTheme="minorHAnsi" w:hAnsiTheme="minorHAnsi"/>
          <w:bCs/>
          <w:sz w:val="24"/>
          <w:szCs w:val="24"/>
        </w:rPr>
        <w:t>PBAC makes a positive recommendation</w:t>
      </w:r>
      <w:r w:rsidR="009C7664" w:rsidRPr="000E01C3">
        <w:rPr>
          <w:rFonts w:asciiTheme="minorHAnsi" w:hAnsiTheme="minorHAnsi"/>
          <w:bCs/>
          <w:sz w:val="24"/>
          <w:szCs w:val="24"/>
        </w:rPr>
        <w:t>.</w:t>
      </w:r>
    </w:p>
    <w:p w:rsidR="005D02D1" w:rsidRPr="00FC09E6" w:rsidRDefault="005D02D1" w:rsidP="005D02D1">
      <w:pPr>
        <w:rPr>
          <w:rFonts w:asciiTheme="minorHAnsi" w:hAnsiTheme="minorHAnsi"/>
          <w:b/>
          <w:bCs/>
          <w:sz w:val="28"/>
          <w:szCs w:val="28"/>
        </w:rPr>
      </w:pPr>
      <w:r w:rsidRPr="00FC09E6">
        <w:rPr>
          <w:rFonts w:asciiTheme="minorHAnsi" w:hAnsiTheme="minorHAnsi"/>
          <w:b/>
          <w:bCs/>
          <w:sz w:val="28"/>
          <w:szCs w:val="28"/>
        </w:rPr>
        <w:t>Outcome:</w:t>
      </w:r>
    </w:p>
    <w:p w:rsidR="005D02D1" w:rsidRPr="000E01C3" w:rsidRDefault="005D02D1" w:rsidP="005D02D1">
      <w:pPr>
        <w:rPr>
          <w:rFonts w:asciiTheme="minorHAnsi" w:hAnsiTheme="minorHAnsi"/>
          <w:bCs/>
          <w:sz w:val="24"/>
          <w:szCs w:val="24"/>
        </w:rPr>
      </w:pPr>
      <w:r w:rsidRPr="000E01C3">
        <w:rPr>
          <w:rFonts w:asciiTheme="minorHAnsi" w:hAnsiTheme="minorHAnsi"/>
          <w:bCs/>
          <w:sz w:val="24"/>
          <w:szCs w:val="24"/>
        </w:rPr>
        <w:t xml:space="preserve">Recommended </w:t>
      </w:r>
    </w:p>
    <w:p w:rsidR="005D02D1" w:rsidRPr="000E01C3" w:rsidRDefault="005D02D1" w:rsidP="005D02D1">
      <w:pPr>
        <w:rPr>
          <w:rFonts w:asciiTheme="minorHAnsi" w:hAnsiTheme="minorHAnsi"/>
          <w:b/>
          <w:bCs/>
          <w:sz w:val="24"/>
          <w:szCs w:val="24"/>
          <w:highlight w:val="yellow"/>
        </w:rPr>
      </w:pPr>
    </w:p>
    <w:p w:rsidR="005D02D1" w:rsidRPr="000E01C3" w:rsidRDefault="005D02D1" w:rsidP="00AA0E4B">
      <w:pPr>
        <w:pStyle w:val="Heading1"/>
      </w:pPr>
      <w:r w:rsidRPr="000E01C3">
        <w:t>Recommended listing</w:t>
      </w:r>
    </w:p>
    <w:p w:rsidR="005D02D1" w:rsidRPr="000E01C3" w:rsidRDefault="00DF2836" w:rsidP="005D02D1">
      <w:pPr>
        <w:widowControl/>
        <w:numPr>
          <w:ilvl w:val="1"/>
          <w:numId w:val="5"/>
        </w:numPr>
        <w:spacing w:after="120"/>
        <w:jc w:val="left"/>
        <w:rPr>
          <w:rFonts w:asciiTheme="minorHAnsi" w:hAnsiTheme="minorHAnsi"/>
          <w:b/>
          <w:bCs/>
          <w:sz w:val="24"/>
          <w:szCs w:val="24"/>
        </w:rPr>
      </w:pPr>
      <w:r w:rsidRPr="000E01C3">
        <w:rPr>
          <w:rFonts w:asciiTheme="minorHAnsi" w:hAnsiTheme="minorHAnsi"/>
          <w:bCs/>
          <w:sz w:val="24"/>
          <w:szCs w:val="24"/>
        </w:rPr>
        <w:t>Amend existing listing as follows</w:t>
      </w:r>
      <w:r w:rsidR="004B26BC" w:rsidRPr="000E01C3">
        <w:rPr>
          <w:rFonts w:asciiTheme="minorHAnsi" w:hAnsiTheme="minorHAnsi"/>
          <w:bCs/>
          <w:sz w:val="24"/>
          <w:szCs w:val="24"/>
        </w:rPr>
        <w:t xml:space="preserve"> (with additions in italics and deletions in strikethrough)</w:t>
      </w:r>
      <w:r w:rsidR="000C5182" w:rsidRPr="000E01C3">
        <w:rPr>
          <w:rFonts w:asciiTheme="minorHAnsi" w:hAnsiTheme="minorHAnsi"/>
          <w:bCs/>
          <w:sz w:val="24"/>
          <w:szCs w:val="24"/>
        </w:rPr>
        <w:t>:</w:t>
      </w:r>
    </w:p>
    <w:tbl>
      <w:tblPr>
        <w:tblW w:w="9214" w:type="dxa"/>
        <w:tblInd w:w="108" w:type="dxa"/>
        <w:tblLayout w:type="fixed"/>
        <w:tblLook w:val="0000" w:firstRow="0" w:lastRow="0" w:firstColumn="0" w:lastColumn="0" w:noHBand="0" w:noVBand="0"/>
      </w:tblPr>
      <w:tblGrid>
        <w:gridCol w:w="1701"/>
        <w:gridCol w:w="1560"/>
        <w:gridCol w:w="567"/>
        <w:gridCol w:w="850"/>
        <w:gridCol w:w="1701"/>
        <w:gridCol w:w="1559"/>
        <w:gridCol w:w="1276"/>
      </w:tblGrid>
      <w:tr w:rsidR="006D654F" w:rsidRPr="000E01C3" w:rsidTr="00FE112F">
        <w:trPr>
          <w:cantSplit/>
          <w:trHeight w:val="471"/>
        </w:trPr>
        <w:tc>
          <w:tcPr>
            <w:tcW w:w="3261" w:type="dxa"/>
            <w:gridSpan w:val="2"/>
            <w:tcBorders>
              <w:bottom w:val="single" w:sz="4" w:space="0" w:color="auto"/>
            </w:tcBorders>
          </w:tcPr>
          <w:p w:rsidR="006D654F" w:rsidRPr="000E01C3" w:rsidRDefault="006D654F" w:rsidP="00FE112F">
            <w:pPr>
              <w:keepNext/>
              <w:ind w:left="-108"/>
              <w:rPr>
                <w:rFonts w:ascii="Arial Narrow" w:hAnsi="Arial Narrow"/>
                <w:sz w:val="20"/>
              </w:rPr>
            </w:pPr>
            <w:r w:rsidRPr="000E01C3">
              <w:rPr>
                <w:rFonts w:ascii="Arial Narrow" w:hAnsi="Arial Narrow"/>
                <w:sz w:val="20"/>
              </w:rPr>
              <w:t>Name, Restriction,</w:t>
            </w:r>
          </w:p>
          <w:p w:rsidR="006D654F" w:rsidRPr="000E01C3" w:rsidRDefault="006D654F" w:rsidP="00FE112F">
            <w:pPr>
              <w:keepNext/>
              <w:ind w:left="-108"/>
              <w:rPr>
                <w:rFonts w:ascii="Arial Narrow" w:hAnsi="Arial Narrow"/>
                <w:sz w:val="20"/>
              </w:rPr>
            </w:pPr>
            <w:r w:rsidRPr="000E01C3">
              <w:rPr>
                <w:rFonts w:ascii="Arial Narrow" w:hAnsi="Arial Narrow"/>
                <w:sz w:val="20"/>
              </w:rPr>
              <w:t>Manner of administration and form</w:t>
            </w:r>
          </w:p>
        </w:tc>
        <w:tc>
          <w:tcPr>
            <w:tcW w:w="567" w:type="dxa"/>
            <w:tcBorders>
              <w:bottom w:val="single" w:sz="4" w:space="0" w:color="auto"/>
            </w:tcBorders>
          </w:tcPr>
          <w:p w:rsidR="006D654F" w:rsidRPr="000E01C3" w:rsidRDefault="006D654F" w:rsidP="00FE112F">
            <w:pPr>
              <w:keepNext/>
              <w:ind w:left="-108"/>
              <w:rPr>
                <w:rFonts w:ascii="Arial Narrow" w:hAnsi="Arial Narrow"/>
                <w:sz w:val="20"/>
              </w:rPr>
            </w:pPr>
            <w:r w:rsidRPr="000E01C3">
              <w:rPr>
                <w:rFonts w:ascii="Arial Narrow" w:hAnsi="Arial Narrow"/>
                <w:sz w:val="20"/>
              </w:rPr>
              <w:t>Max.</w:t>
            </w:r>
          </w:p>
          <w:p w:rsidR="006D654F" w:rsidRPr="000E01C3" w:rsidRDefault="006D654F" w:rsidP="00FE112F">
            <w:pPr>
              <w:keepNext/>
              <w:ind w:left="-108"/>
              <w:rPr>
                <w:rFonts w:ascii="Arial Narrow" w:hAnsi="Arial Narrow"/>
                <w:sz w:val="20"/>
              </w:rPr>
            </w:pPr>
            <w:r w:rsidRPr="000E01C3">
              <w:rPr>
                <w:rFonts w:ascii="Arial Narrow" w:hAnsi="Arial Narrow"/>
                <w:sz w:val="20"/>
              </w:rPr>
              <w:t>Qty</w:t>
            </w:r>
          </w:p>
        </w:tc>
        <w:tc>
          <w:tcPr>
            <w:tcW w:w="850" w:type="dxa"/>
            <w:tcBorders>
              <w:bottom w:val="single" w:sz="4" w:space="0" w:color="auto"/>
            </w:tcBorders>
          </w:tcPr>
          <w:p w:rsidR="006D654F" w:rsidRPr="000E01C3" w:rsidRDefault="006D654F" w:rsidP="00FE112F">
            <w:pPr>
              <w:keepNext/>
              <w:ind w:left="-108"/>
              <w:rPr>
                <w:rFonts w:ascii="Arial Narrow" w:hAnsi="Arial Narrow"/>
                <w:sz w:val="20"/>
              </w:rPr>
            </w:pPr>
            <w:r w:rsidRPr="000E01C3">
              <w:rPr>
                <w:rFonts w:ascii="Arial Narrow" w:hAnsi="Arial Narrow"/>
                <w:sz w:val="20"/>
              </w:rPr>
              <w:t>№.of</w:t>
            </w:r>
          </w:p>
          <w:p w:rsidR="006D654F" w:rsidRPr="000E01C3" w:rsidRDefault="006D654F" w:rsidP="00FE112F">
            <w:pPr>
              <w:keepNext/>
              <w:ind w:left="-108"/>
              <w:rPr>
                <w:rFonts w:ascii="Arial Narrow" w:hAnsi="Arial Narrow"/>
                <w:sz w:val="20"/>
              </w:rPr>
            </w:pPr>
            <w:r w:rsidRPr="000E01C3">
              <w:rPr>
                <w:rFonts w:ascii="Arial Narrow" w:hAnsi="Arial Narrow"/>
                <w:sz w:val="20"/>
              </w:rPr>
              <w:t>Rpts</w:t>
            </w:r>
          </w:p>
        </w:tc>
        <w:tc>
          <w:tcPr>
            <w:tcW w:w="1701" w:type="dxa"/>
            <w:tcBorders>
              <w:bottom w:val="single" w:sz="4" w:space="0" w:color="auto"/>
            </w:tcBorders>
          </w:tcPr>
          <w:p w:rsidR="006D654F" w:rsidRPr="000E01C3" w:rsidRDefault="006D654F" w:rsidP="00FE112F">
            <w:pPr>
              <w:keepNext/>
              <w:ind w:left="-108"/>
              <w:rPr>
                <w:rFonts w:ascii="Arial Narrow" w:hAnsi="Arial Narrow"/>
                <w:sz w:val="20"/>
              </w:rPr>
            </w:pPr>
          </w:p>
        </w:tc>
        <w:tc>
          <w:tcPr>
            <w:tcW w:w="2835" w:type="dxa"/>
            <w:gridSpan w:val="2"/>
            <w:tcBorders>
              <w:bottom w:val="single" w:sz="4" w:space="0" w:color="auto"/>
            </w:tcBorders>
          </w:tcPr>
          <w:p w:rsidR="006D654F" w:rsidRPr="000E01C3" w:rsidRDefault="006D654F" w:rsidP="00FE112F">
            <w:pPr>
              <w:keepNext/>
              <w:rPr>
                <w:rFonts w:ascii="Arial Narrow" w:hAnsi="Arial Narrow"/>
                <w:sz w:val="20"/>
              </w:rPr>
            </w:pPr>
            <w:r w:rsidRPr="000E01C3">
              <w:rPr>
                <w:rFonts w:ascii="Arial Narrow" w:hAnsi="Arial Narrow"/>
                <w:sz w:val="20"/>
              </w:rPr>
              <w:t>Proprietary Name and Manufacturer</w:t>
            </w:r>
          </w:p>
        </w:tc>
      </w:tr>
      <w:tr w:rsidR="006D654F" w:rsidRPr="000E01C3" w:rsidTr="00FE112F">
        <w:trPr>
          <w:cantSplit/>
          <w:trHeight w:val="577"/>
        </w:trPr>
        <w:tc>
          <w:tcPr>
            <w:tcW w:w="3261" w:type="dxa"/>
            <w:gridSpan w:val="2"/>
          </w:tcPr>
          <w:p w:rsidR="006D654F" w:rsidRPr="000E01C3" w:rsidRDefault="006D654F" w:rsidP="00FE112F">
            <w:pPr>
              <w:keepNext/>
              <w:ind w:left="-108"/>
              <w:rPr>
                <w:rFonts w:ascii="Arial Narrow" w:hAnsi="Arial Narrow"/>
                <w:sz w:val="20"/>
              </w:rPr>
            </w:pPr>
            <w:r w:rsidRPr="000E01C3">
              <w:rPr>
                <w:rFonts w:ascii="Arial Narrow" w:hAnsi="Arial Narrow"/>
                <w:smallCaps/>
                <w:sz w:val="20"/>
              </w:rPr>
              <w:t>MANNITOL</w:t>
            </w:r>
          </w:p>
          <w:p w:rsidR="006D654F" w:rsidRPr="000E01C3" w:rsidRDefault="006D654F" w:rsidP="00FE112F">
            <w:pPr>
              <w:keepNext/>
              <w:ind w:left="-108"/>
              <w:rPr>
                <w:rFonts w:ascii="Arial Narrow" w:hAnsi="Arial Narrow"/>
                <w:sz w:val="20"/>
              </w:rPr>
            </w:pPr>
            <w:r w:rsidRPr="000E01C3">
              <w:rPr>
                <w:rFonts w:ascii="Arial Narrow" w:hAnsi="Arial Narrow"/>
                <w:sz w:val="20"/>
              </w:rPr>
              <w:t>Pack containing 280 capsules containing powder for inhalation 40 mg and 2 inhalers</w:t>
            </w:r>
          </w:p>
        </w:tc>
        <w:tc>
          <w:tcPr>
            <w:tcW w:w="567" w:type="dxa"/>
          </w:tcPr>
          <w:p w:rsidR="006D654F" w:rsidRPr="000E01C3" w:rsidRDefault="006D654F" w:rsidP="00FE112F">
            <w:pPr>
              <w:keepNext/>
              <w:ind w:left="-108"/>
              <w:rPr>
                <w:rFonts w:ascii="Arial Narrow" w:hAnsi="Arial Narrow"/>
                <w:sz w:val="20"/>
              </w:rPr>
            </w:pPr>
          </w:p>
          <w:p w:rsidR="006D654F" w:rsidRPr="000E01C3" w:rsidRDefault="006D654F" w:rsidP="00FE112F">
            <w:pPr>
              <w:keepNext/>
              <w:ind w:left="-108"/>
              <w:rPr>
                <w:rFonts w:ascii="Arial Narrow" w:hAnsi="Arial Narrow"/>
                <w:sz w:val="20"/>
              </w:rPr>
            </w:pPr>
            <w:r w:rsidRPr="000E01C3">
              <w:rPr>
                <w:rFonts w:ascii="Arial Narrow" w:hAnsi="Arial Narrow"/>
                <w:sz w:val="20"/>
              </w:rPr>
              <w:t>4</w:t>
            </w:r>
          </w:p>
        </w:tc>
        <w:tc>
          <w:tcPr>
            <w:tcW w:w="850" w:type="dxa"/>
          </w:tcPr>
          <w:p w:rsidR="006D654F" w:rsidRPr="000E01C3" w:rsidRDefault="006D654F" w:rsidP="00FE112F">
            <w:pPr>
              <w:keepNext/>
              <w:ind w:left="-108"/>
              <w:rPr>
                <w:rFonts w:ascii="Arial Narrow" w:hAnsi="Arial Narrow"/>
                <w:sz w:val="20"/>
              </w:rPr>
            </w:pPr>
          </w:p>
          <w:p w:rsidR="006D654F" w:rsidRPr="000E01C3" w:rsidRDefault="006D654F" w:rsidP="00FE112F">
            <w:pPr>
              <w:keepNext/>
              <w:ind w:left="-108"/>
              <w:rPr>
                <w:rFonts w:ascii="Arial Narrow" w:hAnsi="Arial Narrow"/>
                <w:sz w:val="20"/>
              </w:rPr>
            </w:pPr>
            <w:r w:rsidRPr="000E01C3">
              <w:rPr>
                <w:rFonts w:ascii="Arial Narrow" w:hAnsi="Arial Narrow"/>
                <w:sz w:val="20"/>
              </w:rPr>
              <w:t>5</w:t>
            </w:r>
          </w:p>
        </w:tc>
        <w:tc>
          <w:tcPr>
            <w:tcW w:w="1701" w:type="dxa"/>
          </w:tcPr>
          <w:p w:rsidR="006D654F" w:rsidRPr="000E01C3" w:rsidRDefault="006D654F" w:rsidP="00FE112F">
            <w:pPr>
              <w:keepNext/>
              <w:ind w:left="-108"/>
              <w:rPr>
                <w:rFonts w:ascii="Arial Narrow" w:hAnsi="Arial Narrow"/>
                <w:sz w:val="20"/>
              </w:rPr>
            </w:pPr>
          </w:p>
          <w:p w:rsidR="006D654F" w:rsidRPr="000E01C3" w:rsidRDefault="006D654F" w:rsidP="00DF2836">
            <w:pPr>
              <w:keepNext/>
              <w:ind w:left="-108"/>
              <w:rPr>
                <w:rFonts w:ascii="Arial Narrow" w:hAnsi="Arial Narrow"/>
                <w:sz w:val="20"/>
              </w:rPr>
            </w:pPr>
          </w:p>
        </w:tc>
        <w:tc>
          <w:tcPr>
            <w:tcW w:w="1559" w:type="dxa"/>
          </w:tcPr>
          <w:p w:rsidR="006D654F" w:rsidRPr="000E01C3" w:rsidRDefault="006D654F" w:rsidP="00FE112F">
            <w:pPr>
              <w:keepNext/>
              <w:rPr>
                <w:rFonts w:ascii="Arial Narrow" w:hAnsi="Arial Narrow"/>
                <w:sz w:val="20"/>
              </w:rPr>
            </w:pPr>
          </w:p>
          <w:p w:rsidR="006D654F" w:rsidRPr="000E01C3" w:rsidRDefault="006D654F" w:rsidP="00FE112F">
            <w:pPr>
              <w:keepNext/>
              <w:rPr>
                <w:rFonts w:ascii="Arial Narrow" w:hAnsi="Arial Narrow"/>
                <w:sz w:val="20"/>
              </w:rPr>
            </w:pPr>
            <w:r w:rsidRPr="000E01C3">
              <w:rPr>
                <w:rFonts w:ascii="Arial Narrow" w:hAnsi="Arial Narrow"/>
                <w:sz w:val="20"/>
              </w:rPr>
              <w:t>Bronchitol</w:t>
            </w:r>
            <w:r w:rsidRPr="000E01C3">
              <w:rPr>
                <w:rFonts w:ascii="Arial Narrow" w:hAnsi="Arial Narrow"/>
                <w:sz w:val="20"/>
                <w:vertAlign w:val="superscript"/>
              </w:rPr>
              <w:t>®</w:t>
            </w:r>
          </w:p>
        </w:tc>
        <w:tc>
          <w:tcPr>
            <w:tcW w:w="1276" w:type="dxa"/>
          </w:tcPr>
          <w:p w:rsidR="006D654F" w:rsidRPr="000E01C3" w:rsidRDefault="006D654F" w:rsidP="00FE112F">
            <w:pPr>
              <w:keepNext/>
              <w:rPr>
                <w:rFonts w:ascii="Arial Narrow" w:hAnsi="Arial Narrow"/>
                <w:sz w:val="20"/>
              </w:rPr>
            </w:pPr>
          </w:p>
          <w:p w:rsidR="006D654F" w:rsidRPr="000E01C3" w:rsidRDefault="006D654F" w:rsidP="00FE112F">
            <w:pPr>
              <w:keepNext/>
              <w:rPr>
                <w:rFonts w:ascii="Arial Narrow" w:hAnsi="Arial Narrow"/>
                <w:sz w:val="20"/>
              </w:rPr>
            </w:pPr>
            <w:r w:rsidRPr="000E01C3">
              <w:rPr>
                <w:rFonts w:ascii="Arial Narrow" w:hAnsi="Arial Narrow"/>
                <w:sz w:val="20"/>
              </w:rPr>
              <w:t>Pharmaxis</w:t>
            </w:r>
          </w:p>
        </w:tc>
      </w:tr>
      <w:tr w:rsidR="006D654F" w:rsidRPr="000E01C3" w:rsidTr="00FE112F">
        <w:trPr>
          <w:cantSplit/>
          <w:trHeight w:val="360"/>
        </w:trPr>
        <w:tc>
          <w:tcPr>
            <w:tcW w:w="1701" w:type="dxa"/>
            <w:tcBorders>
              <w:top w:val="single" w:sz="4" w:space="0" w:color="auto"/>
              <w:left w:val="single" w:sz="4" w:space="0" w:color="auto"/>
              <w:bottom w:val="single" w:sz="4" w:space="0" w:color="auto"/>
              <w:right w:val="single" w:sz="4" w:space="0" w:color="auto"/>
            </w:tcBorders>
          </w:tcPr>
          <w:p w:rsidR="006D654F" w:rsidRPr="000E01C3" w:rsidRDefault="006D654F" w:rsidP="00FE112F">
            <w:pPr>
              <w:rPr>
                <w:rFonts w:ascii="Arial Narrow" w:hAnsi="Arial Narrow"/>
                <w:b/>
                <w:sz w:val="20"/>
              </w:rPr>
            </w:pPr>
            <w:r w:rsidRPr="000E01C3">
              <w:rPr>
                <w:rFonts w:ascii="Arial Narrow" w:hAnsi="Arial Narrow"/>
                <w:b/>
                <w:sz w:val="20"/>
              </w:rPr>
              <w:t xml:space="preserve">Category / </w:t>
            </w:r>
          </w:p>
          <w:p w:rsidR="006D654F" w:rsidRPr="000E01C3" w:rsidRDefault="006D654F" w:rsidP="00FE112F">
            <w:pPr>
              <w:rPr>
                <w:rFonts w:ascii="Arial Narrow" w:hAnsi="Arial Narrow"/>
                <w:b/>
                <w:sz w:val="20"/>
              </w:rPr>
            </w:pPr>
            <w:r w:rsidRPr="000E01C3">
              <w:rPr>
                <w:rFonts w:ascii="Arial Narrow" w:hAnsi="Arial Narrow"/>
                <w:b/>
                <w:sz w:val="20"/>
              </w:rPr>
              <w:t>Program</w:t>
            </w:r>
          </w:p>
        </w:tc>
        <w:tc>
          <w:tcPr>
            <w:tcW w:w="7513" w:type="dxa"/>
            <w:gridSpan w:val="6"/>
            <w:tcBorders>
              <w:top w:val="single" w:sz="4" w:space="0" w:color="auto"/>
              <w:left w:val="single" w:sz="4" w:space="0" w:color="auto"/>
              <w:bottom w:val="single" w:sz="4" w:space="0" w:color="auto"/>
              <w:right w:val="single" w:sz="4" w:space="0" w:color="auto"/>
            </w:tcBorders>
          </w:tcPr>
          <w:p w:rsidR="006D654F" w:rsidRPr="000E01C3" w:rsidRDefault="006D654F" w:rsidP="00FE112F">
            <w:pPr>
              <w:rPr>
                <w:rFonts w:ascii="Arial Narrow" w:hAnsi="Arial Narrow"/>
                <w:sz w:val="20"/>
              </w:rPr>
            </w:pPr>
            <w:r w:rsidRPr="000E01C3">
              <w:rPr>
                <w:rFonts w:ascii="Arial Narrow" w:hAnsi="Arial Narrow"/>
                <w:sz w:val="20"/>
              </w:rPr>
              <w:t xml:space="preserve">Section 100 – Highly Specialised Drugs Program </w:t>
            </w:r>
          </w:p>
          <w:p w:rsidR="006D654F" w:rsidRPr="000E01C3" w:rsidRDefault="006D654F" w:rsidP="00FE112F">
            <w:pPr>
              <w:rPr>
                <w:rFonts w:ascii="Arial Narrow" w:hAnsi="Arial Narrow"/>
                <w:sz w:val="20"/>
              </w:rPr>
            </w:pPr>
          </w:p>
        </w:tc>
      </w:tr>
      <w:tr w:rsidR="006D654F" w:rsidRPr="000E01C3" w:rsidTr="00FE112F">
        <w:trPr>
          <w:cantSplit/>
          <w:trHeight w:val="360"/>
        </w:trPr>
        <w:tc>
          <w:tcPr>
            <w:tcW w:w="1701" w:type="dxa"/>
            <w:tcBorders>
              <w:top w:val="single" w:sz="4" w:space="0" w:color="auto"/>
              <w:left w:val="single" w:sz="4" w:space="0" w:color="auto"/>
              <w:bottom w:val="single" w:sz="4" w:space="0" w:color="auto"/>
              <w:right w:val="single" w:sz="4" w:space="0" w:color="auto"/>
            </w:tcBorders>
          </w:tcPr>
          <w:p w:rsidR="006D654F" w:rsidRPr="000E01C3" w:rsidRDefault="006D654F" w:rsidP="00FE112F">
            <w:pPr>
              <w:rPr>
                <w:rFonts w:ascii="Arial Narrow" w:hAnsi="Arial Narrow"/>
                <w:b/>
                <w:sz w:val="20"/>
              </w:rPr>
            </w:pPr>
            <w:r w:rsidRPr="000E01C3">
              <w:rPr>
                <w:rFonts w:ascii="Arial Narrow" w:hAnsi="Arial Narrow"/>
                <w:b/>
                <w:sz w:val="20"/>
              </w:rPr>
              <w:t>PBS Indication:</w:t>
            </w:r>
          </w:p>
        </w:tc>
        <w:tc>
          <w:tcPr>
            <w:tcW w:w="7513" w:type="dxa"/>
            <w:gridSpan w:val="6"/>
            <w:tcBorders>
              <w:top w:val="single" w:sz="4" w:space="0" w:color="auto"/>
              <w:left w:val="single" w:sz="4" w:space="0" w:color="auto"/>
              <w:bottom w:val="single" w:sz="4" w:space="0" w:color="auto"/>
              <w:right w:val="single" w:sz="4" w:space="0" w:color="auto"/>
            </w:tcBorders>
          </w:tcPr>
          <w:p w:rsidR="006D654F" w:rsidRPr="000E01C3" w:rsidRDefault="006D654F" w:rsidP="00FE112F">
            <w:pPr>
              <w:rPr>
                <w:rFonts w:ascii="Arial Narrow" w:hAnsi="Arial Narrow"/>
                <w:sz w:val="20"/>
              </w:rPr>
            </w:pPr>
            <w:r w:rsidRPr="000E01C3">
              <w:rPr>
                <w:rFonts w:ascii="Arial Narrow" w:hAnsi="Arial Narrow"/>
                <w:sz w:val="20"/>
              </w:rPr>
              <w:t>Cystic fibrosis</w:t>
            </w:r>
          </w:p>
        </w:tc>
      </w:tr>
      <w:tr w:rsidR="006D654F" w:rsidRPr="000E01C3" w:rsidTr="00FE112F">
        <w:trPr>
          <w:cantSplit/>
          <w:trHeight w:val="360"/>
        </w:trPr>
        <w:tc>
          <w:tcPr>
            <w:tcW w:w="1701" w:type="dxa"/>
            <w:tcBorders>
              <w:top w:val="single" w:sz="4" w:space="0" w:color="auto"/>
              <w:left w:val="single" w:sz="4" w:space="0" w:color="auto"/>
              <w:bottom w:val="single" w:sz="4" w:space="0" w:color="auto"/>
              <w:right w:val="single" w:sz="4" w:space="0" w:color="auto"/>
            </w:tcBorders>
          </w:tcPr>
          <w:p w:rsidR="006D654F" w:rsidRPr="000E01C3" w:rsidRDefault="006D654F" w:rsidP="00FE112F">
            <w:pPr>
              <w:rPr>
                <w:rFonts w:ascii="Arial Narrow" w:hAnsi="Arial Narrow"/>
                <w:b/>
                <w:sz w:val="20"/>
              </w:rPr>
            </w:pPr>
            <w:r w:rsidRPr="000E01C3">
              <w:rPr>
                <w:rFonts w:ascii="Arial Narrow" w:hAnsi="Arial Narrow"/>
                <w:b/>
                <w:sz w:val="20"/>
              </w:rPr>
              <w:t>Restriction Level / Method:</w:t>
            </w:r>
          </w:p>
          <w:p w:rsidR="006D654F" w:rsidRPr="000E01C3" w:rsidRDefault="006D654F" w:rsidP="00FE112F">
            <w:pPr>
              <w:rPr>
                <w:rFonts w:ascii="Arial Narrow" w:hAnsi="Arial Narrow"/>
                <w:i/>
                <w:sz w:val="20"/>
                <w:highlight w:val="yellow"/>
              </w:rPr>
            </w:pPr>
          </w:p>
          <w:p w:rsidR="006D654F" w:rsidRPr="000E01C3" w:rsidRDefault="006D654F" w:rsidP="00FE112F">
            <w:pPr>
              <w:rPr>
                <w:rFonts w:ascii="Arial Narrow" w:hAnsi="Arial Narrow"/>
                <w:i/>
                <w:sz w:val="20"/>
              </w:rPr>
            </w:pPr>
          </w:p>
          <w:p w:rsidR="006D654F" w:rsidRPr="000E01C3" w:rsidRDefault="006D654F" w:rsidP="00FE112F">
            <w:pPr>
              <w:rPr>
                <w:rFonts w:ascii="Arial Narrow" w:hAnsi="Arial Narrow"/>
                <w:i/>
                <w:sz w:val="20"/>
              </w:rPr>
            </w:pPr>
          </w:p>
        </w:tc>
        <w:tc>
          <w:tcPr>
            <w:tcW w:w="7513" w:type="dxa"/>
            <w:gridSpan w:val="6"/>
            <w:tcBorders>
              <w:top w:val="single" w:sz="4" w:space="0" w:color="auto"/>
              <w:left w:val="single" w:sz="4" w:space="0" w:color="auto"/>
              <w:bottom w:val="single" w:sz="4" w:space="0" w:color="auto"/>
              <w:right w:val="single" w:sz="4" w:space="0" w:color="auto"/>
            </w:tcBorders>
          </w:tcPr>
          <w:p w:rsidR="006D654F" w:rsidRPr="000E01C3" w:rsidRDefault="006D654F" w:rsidP="00FE112F">
            <w:pPr>
              <w:rPr>
                <w:rFonts w:ascii="Arial Narrow" w:hAnsi="Arial Narrow"/>
                <w:sz w:val="20"/>
              </w:rPr>
            </w:pPr>
            <w:r w:rsidRPr="000E01C3">
              <w:rPr>
                <w:rFonts w:ascii="Arial Narrow" w:hAnsi="Arial Narrow"/>
                <w:sz w:val="20"/>
              </w:rPr>
              <w:fldChar w:fldCharType="begin">
                <w:ffData>
                  <w:name w:val="Check1"/>
                  <w:enabled/>
                  <w:calcOnExit w:val="0"/>
                  <w:checkBox>
                    <w:sizeAuto/>
                    <w:default w:val="0"/>
                  </w:checkBox>
                </w:ffData>
              </w:fldChar>
            </w:r>
            <w:r w:rsidRPr="000E01C3">
              <w:rPr>
                <w:rFonts w:ascii="Arial Narrow" w:hAnsi="Arial Narrow"/>
                <w:sz w:val="20"/>
              </w:rPr>
              <w:instrText xml:space="preserve"> FORMCHECKBOX </w:instrText>
            </w:r>
            <w:r w:rsidR="004519D0">
              <w:rPr>
                <w:rFonts w:ascii="Arial Narrow" w:hAnsi="Arial Narrow"/>
                <w:sz w:val="20"/>
              </w:rPr>
            </w:r>
            <w:r w:rsidR="004519D0">
              <w:rPr>
                <w:rFonts w:ascii="Arial Narrow" w:hAnsi="Arial Narrow"/>
                <w:sz w:val="20"/>
              </w:rPr>
              <w:fldChar w:fldCharType="separate"/>
            </w:r>
            <w:r w:rsidRPr="000E01C3">
              <w:rPr>
                <w:rFonts w:ascii="Arial Narrow" w:hAnsi="Arial Narrow"/>
                <w:sz w:val="20"/>
              </w:rPr>
              <w:fldChar w:fldCharType="end"/>
            </w:r>
            <w:r w:rsidRPr="000E01C3">
              <w:rPr>
                <w:rFonts w:ascii="Arial Narrow" w:hAnsi="Arial Narrow"/>
                <w:sz w:val="20"/>
              </w:rPr>
              <w:t>Restricted benefit</w:t>
            </w:r>
          </w:p>
          <w:p w:rsidR="006D654F" w:rsidRPr="000E01C3" w:rsidRDefault="006D654F" w:rsidP="00FE112F">
            <w:pPr>
              <w:rPr>
                <w:rFonts w:ascii="Arial Narrow" w:hAnsi="Arial Narrow"/>
                <w:sz w:val="20"/>
              </w:rPr>
            </w:pPr>
            <w:r w:rsidRPr="000E01C3">
              <w:rPr>
                <w:rFonts w:ascii="Arial Narrow" w:hAnsi="Arial Narrow"/>
                <w:sz w:val="20"/>
              </w:rPr>
              <w:fldChar w:fldCharType="begin">
                <w:ffData>
                  <w:name w:val=""/>
                  <w:enabled/>
                  <w:calcOnExit w:val="0"/>
                  <w:checkBox>
                    <w:sizeAuto/>
                    <w:default w:val="1"/>
                  </w:checkBox>
                </w:ffData>
              </w:fldChar>
            </w:r>
            <w:r w:rsidRPr="000E01C3">
              <w:rPr>
                <w:rFonts w:ascii="Arial Narrow" w:hAnsi="Arial Narrow"/>
                <w:sz w:val="20"/>
              </w:rPr>
              <w:instrText xml:space="preserve"> FORMCHECKBOX </w:instrText>
            </w:r>
            <w:r w:rsidR="004519D0">
              <w:rPr>
                <w:rFonts w:ascii="Arial Narrow" w:hAnsi="Arial Narrow"/>
                <w:sz w:val="20"/>
              </w:rPr>
            </w:r>
            <w:r w:rsidR="004519D0">
              <w:rPr>
                <w:rFonts w:ascii="Arial Narrow" w:hAnsi="Arial Narrow"/>
                <w:sz w:val="20"/>
              </w:rPr>
              <w:fldChar w:fldCharType="separate"/>
            </w:r>
            <w:r w:rsidRPr="000E01C3">
              <w:rPr>
                <w:rFonts w:ascii="Arial Narrow" w:hAnsi="Arial Narrow"/>
                <w:sz w:val="20"/>
              </w:rPr>
              <w:fldChar w:fldCharType="end"/>
            </w:r>
            <w:r w:rsidRPr="000E01C3">
              <w:rPr>
                <w:rFonts w:ascii="Arial Narrow" w:hAnsi="Arial Narrow"/>
                <w:sz w:val="20"/>
              </w:rPr>
              <w:t>Authority Required - In Writing (Private hospital)</w:t>
            </w:r>
          </w:p>
          <w:p w:rsidR="006D654F" w:rsidRPr="000E01C3" w:rsidRDefault="006D654F" w:rsidP="00FE112F">
            <w:pPr>
              <w:rPr>
                <w:rFonts w:ascii="Arial Narrow" w:hAnsi="Arial Narrow"/>
                <w:sz w:val="20"/>
              </w:rPr>
            </w:pPr>
            <w:r w:rsidRPr="000E01C3">
              <w:rPr>
                <w:rFonts w:ascii="Arial Narrow" w:hAnsi="Arial Narrow"/>
                <w:sz w:val="20"/>
              </w:rPr>
              <w:fldChar w:fldCharType="begin">
                <w:ffData>
                  <w:name w:val="Check3"/>
                  <w:enabled/>
                  <w:calcOnExit w:val="0"/>
                  <w:checkBox>
                    <w:sizeAuto/>
                    <w:default w:val="0"/>
                  </w:checkBox>
                </w:ffData>
              </w:fldChar>
            </w:r>
            <w:r w:rsidRPr="000E01C3">
              <w:rPr>
                <w:rFonts w:ascii="Arial Narrow" w:hAnsi="Arial Narrow"/>
                <w:sz w:val="20"/>
              </w:rPr>
              <w:instrText xml:space="preserve"> FORMCHECKBOX </w:instrText>
            </w:r>
            <w:r w:rsidR="004519D0">
              <w:rPr>
                <w:rFonts w:ascii="Arial Narrow" w:hAnsi="Arial Narrow"/>
                <w:sz w:val="20"/>
              </w:rPr>
            </w:r>
            <w:r w:rsidR="004519D0">
              <w:rPr>
                <w:rFonts w:ascii="Arial Narrow" w:hAnsi="Arial Narrow"/>
                <w:sz w:val="20"/>
              </w:rPr>
              <w:fldChar w:fldCharType="separate"/>
            </w:r>
            <w:r w:rsidRPr="000E01C3">
              <w:rPr>
                <w:rFonts w:ascii="Arial Narrow" w:hAnsi="Arial Narrow"/>
                <w:sz w:val="20"/>
              </w:rPr>
              <w:fldChar w:fldCharType="end"/>
            </w:r>
            <w:r w:rsidRPr="000E01C3">
              <w:rPr>
                <w:rFonts w:ascii="Arial Narrow" w:hAnsi="Arial Narrow"/>
                <w:sz w:val="20"/>
              </w:rPr>
              <w:t>Authority Required - Telephone</w:t>
            </w:r>
          </w:p>
          <w:p w:rsidR="006D654F" w:rsidRPr="000E01C3" w:rsidRDefault="006D654F" w:rsidP="00FE112F">
            <w:pPr>
              <w:rPr>
                <w:rFonts w:ascii="Arial Narrow" w:hAnsi="Arial Narrow"/>
                <w:sz w:val="20"/>
              </w:rPr>
            </w:pPr>
            <w:r w:rsidRPr="000E01C3">
              <w:rPr>
                <w:rFonts w:ascii="Arial Narrow" w:hAnsi="Arial Narrow"/>
                <w:sz w:val="20"/>
              </w:rPr>
              <w:fldChar w:fldCharType="begin">
                <w:ffData>
                  <w:name w:val=""/>
                  <w:enabled/>
                  <w:calcOnExit w:val="0"/>
                  <w:checkBox>
                    <w:sizeAuto/>
                    <w:default w:val="0"/>
                  </w:checkBox>
                </w:ffData>
              </w:fldChar>
            </w:r>
            <w:r w:rsidRPr="000E01C3">
              <w:rPr>
                <w:rFonts w:ascii="Arial Narrow" w:hAnsi="Arial Narrow"/>
                <w:sz w:val="20"/>
              </w:rPr>
              <w:instrText xml:space="preserve"> FORMCHECKBOX </w:instrText>
            </w:r>
            <w:r w:rsidR="004519D0">
              <w:rPr>
                <w:rFonts w:ascii="Arial Narrow" w:hAnsi="Arial Narrow"/>
                <w:sz w:val="20"/>
              </w:rPr>
            </w:r>
            <w:r w:rsidR="004519D0">
              <w:rPr>
                <w:rFonts w:ascii="Arial Narrow" w:hAnsi="Arial Narrow"/>
                <w:sz w:val="20"/>
              </w:rPr>
              <w:fldChar w:fldCharType="separate"/>
            </w:r>
            <w:r w:rsidRPr="000E01C3">
              <w:rPr>
                <w:rFonts w:ascii="Arial Narrow" w:hAnsi="Arial Narrow"/>
                <w:sz w:val="20"/>
              </w:rPr>
              <w:fldChar w:fldCharType="end"/>
            </w:r>
            <w:r w:rsidRPr="000E01C3">
              <w:rPr>
                <w:rFonts w:ascii="Arial Narrow" w:hAnsi="Arial Narrow"/>
                <w:sz w:val="20"/>
              </w:rPr>
              <w:t>Authority Required - Emergency</w:t>
            </w:r>
          </w:p>
          <w:p w:rsidR="006D654F" w:rsidRPr="000E01C3" w:rsidRDefault="006D654F" w:rsidP="00FE112F">
            <w:pPr>
              <w:rPr>
                <w:rFonts w:ascii="Arial Narrow" w:hAnsi="Arial Narrow"/>
                <w:sz w:val="20"/>
              </w:rPr>
            </w:pPr>
            <w:r w:rsidRPr="000E01C3">
              <w:rPr>
                <w:rFonts w:ascii="Arial Narrow" w:hAnsi="Arial Narrow"/>
                <w:sz w:val="20"/>
              </w:rPr>
              <w:fldChar w:fldCharType="begin">
                <w:ffData>
                  <w:name w:val="Check5"/>
                  <w:enabled/>
                  <w:calcOnExit w:val="0"/>
                  <w:checkBox>
                    <w:sizeAuto/>
                    <w:default w:val="0"/>
                  </w:checkBox>
                </w:ffData>
              </w:fldChar>
            </w:r>
            <w:r w:rsidRPr="000E01C3">
              <w:rPr>
                <w:rFonts w:ascii="Arial Narrow" w:hAnsi="Arial Narrow"/>
                <w:sz w:val="20"/>
              </w:rPr>
              <w:instrText xml:space="preserve"> FORMCHECKBOX </w:instrText>
            </w:r>
            <w:r w:rsidR="004519D0">
              <w:rPr>
                <w:rFonts w:ascii="Arial Narrow" w:hAnsi="Arial Narrow"/>
                <w:sz w:val="20"/>
              </w:rPr>
            </w:r>
            <w:r w:rsidR="004519D0">
              <w:rPr>
                <w:rFonts w:ascii="Arial Narrow" w:hAnsi="Arial Narrow"/>
                <w:sz w:val="20"/>
              </w:rPr>
              <w:fldChar w:fldCharType="separate"/>
            </w:r>
            <w:r w:rsidRPr="000E01C3">
              <w:rPr>
                <w:rFonts w:ascii="Arial Narrow" w:hAnsi="Arial Narrow"/>
                <w:sz w:val="20"/>
              </w:rPr>
              <w:fldChar w:fldCharType="end"/>
            </w:r>
            <w:r w:rsidRPr="000E01C3">
              <w:rPr>
                <w:rFonts w:ascii="Arial Narrow" w:hAnsi="Arial Narrow"/>
                <w:sz w:val="20"/>
              </w:rPr>
              <w:t>Authority Required - Electronic</w:t>
            </w:r>
          </w:p>
          <w:p w:rsidR="006D654F" w:rsidRPr="000E01C3" w:rsidRDefault="006D654F" w:rsidP="00FE112F">
            <w:pPr>
              <w:rPr>
                <w:rFonts w:ascii="Arial Narrow" w:hAnsi="Arial Narrow"/>
                <w:sz w:val="20"/>
              </w:rPr>
            </w:pPr>
            <w:r w:rsidRPr="000E01C3">
              <w:rPr>
                <w:rFonts w:ascii="Arial Narrow" w:hAnsi="Arial Narrow"/>
                <w:sz w:val="20"/>
              </w:rPr>
              <w:fldChar w:fldCharType="begin">
                <w:ffData>
                  <w:name w:val="Check5"/>
                  <w:enabled/>
                  <w:calcOnExit w:val="0"/>
                  <w:checkBox>
                    <w:sizeAuto/>
                    <w:default w:val="1"/>
                  </w:checkBox>
                </w:ffData>
              </w:fldChar>
            </w:r>
            <w:r w:rsidRPr="000E01C3">
              <w:rPr>
                <w:rFonts w:ascii="Arial Narrow" w:hAnsi="Arial Narrow"/>
                <w:sz w:val="20"/>
              </w:rPr>
              <w:instrText xml:space="preserve"> FORMCHECKBOX </w:instrText>
            </w:r>
            <w:r w:rsidR="004519D0">
              <w:rPr>
                <w:rFonts w:ascii="Arial Narrow" w:hAnsi="Arial Narrow"/>
                <w:sz w:val="20"/>
              </w:rPr>
            </w:r>
            <w:r w:rsidR="004519D0">
              <w:rPr>
                <w:rFonts w:ascii="Arial Narrow" w:hAnsi="Arial Narrow"/>
                <w:sz w:val="20"/>
              </w:rPr>
              <w:fldChar w:fldCharType="separate"/>
            </w:r>
            <w:r w:rsidRPr="000E01C3">
              <w:rPr>
                <w:rFonts w:ascii="Arial Narrow" w:hAnsi="Arial Narrow"/>
                <w:sz w:val="20"/>
              </w:rPr>
              <w:fldChar w:fldCharType="end"/>
            </w:r>
            <w:r w:rsidRPr="000E01C3">
              <w:rPr>
                <w:rFonts w:ascii="Arial Narrow" w:hAnsi="Arial Narrow"/>
                <w:sz w:val="20"/>
              </w:rPr>
              <w:t>Streamlined (Public hospital)</w:t>
            </w:r>
          </w:p>
        </w:tc>
      </w:tr>
      <w:tr w:rsidR="006D654F" w:rsidRPr="000E01C3" w:rsidTr="00FE112F">
        <w:trPr>
          <w:cantSplit/>
          <w:trHeight w:val="360"/>
        </w:trPr>
        <w:tc>
          <w:tcPr>
            <w:tcW w:w="1701" w:type="dxa"/>
            <w:tcBorders>
              <w:top w:val="single" w:sz="4" w:space="0" w:color="auto"/>
              <w:left w:val="single" w:sz="4" w:space="0" w:color="auto"/>
              <w:bottom w:val="single" w:sz="4" w:space="0" w:color="auto"/>
              <w:right w:val="single" w:sz="4" w:space="0" w:color="auto"/>
            </w:tcBorders>
          </w:tcPr>
          <w:p w:rsidR="006D654F" w:rsidRPr="000E01C3" w:rsidRDefault="006D654F" w:rsidP="00FE112F">
            <w:pPr>
              <w:rPr>
                <w:rFonts w:ascii="Arial Narrow" w:hAnsi="Arial Narrow"/>
                <w:b/>
                <w:sz w:val="20"/>
              </w:rPr>
            </w:pPr>
            <w:r w:rsidRPr="000E01C3">
              <w:rPr>
                <w:rFonts w:ascii="Arial Narrow" w:hAnsi="Arial Narrow"/>
                <w:b/>
                <w:sz w:val="20"/>
              </w:rPr>
              <w:t>Clinical criteria:</w:t>
            </w:r>
          </w:p>
          <w:p w:rsidR="006D654F" w:rsidRPr="000E01C3" w:rsidRDefault="006D654F" w:rsidP="00FE112F">
            <w:pPr>
              <w:rPr>
                <w:rFonts w:ascii="Arial Narrow" w:hAnsi="Arial Narrow"/>
                <w:i/>
                <w:sz w:val="20"/>
              </w:rPr>
            </w:pPr>
          </w:p>
          <w:p w:rsidR="006D654F" w:rsidRPr="000E01C3" w:rsidRDefault="006D654F" w:rsidP="00FE112F">
            <w:pPr>
              <w:rPr>
                <w:rFonts w:ascii="Arial Narrow" w:hAnsi="Arial Narrow"/>
                <w:sz w:val="20"/>
              </w:rPr>
            </w:pPr>
          </w:p>
        </w:tc>
        <w:tc>
          <w:tcPr>
            <w:tcW w:w="7513" w:type="dxa"/>
            <w:gridSpan w:val="6"/>
            <w:tcBorders>
              <w:top w:val="single" w:sz="4" w:space="0" w:color="auto"/>
              <w:left w:val="single" w:sz="4" w:space="0" w:color="auto"/>
              <w:bottom w:val="single" w:sz="4" w:space="0" w:color="auto"/>
              <w:right w:val="single" w:sz="4" w:space="0" w:color="auto"/>
            </w:tcBorders>
          </w:tcPr>
          <w:p w:rsidR="006D654F" w:rsidRPr="000E01C3" w:rsidRDefault="006D654F" w:rsidP="00FE112F">
            <w:pPr>
              <w:rPr>
                <w:rFonts w:ascii="Arial Narrow" w:hAnsi="Arial Narrow"/>
                <w:sz w:val="20"/>
              </w:rPr>
            </w:pPr>
            <w:r w:rsidRPr="000E01C3">
              <w:rPr>
                <w:rFonts w:ascii="Arial Narrow" w:hAnsi="Arial Narrow"/>
                <w:sz w:val="20"/>
              </w:rPr>
              <w:t>Patient must have been assessed for bronchial hyperresponsiveness as per the TGA approved Product Information initiation dose assessment for this drug, prior to therapy with this drug, with a negative result,</w:t>
            </w:r>
          </w:p>
          <w:p w:rsidR="006D654F" w:rsidRPr="000E01C3" w:rsidRDefault="006D654F" w:rsidP="00FE112F">
            <w:pPr>
              <w:rPr>
                <w:rFonts w:ascii="Arial Narrow" w:hAnsi="Arial Narrow"/>
                <w:sz w:val="20"/>
              </w:rPr>
            </w:pPr>
            <w:r w:rsidRPr="000E01C3">
              <w:rPr>
                <w:rFonts w:ascii="Arial Narrow" w:hAnsi="Arial Narrow"/>
                <w:sz w:val="20"/>
              </w:rPr>
              <w:t>AND</w:t>
            </w:r>
          </w:p>
          <w:p w:rsidR="006D654F" w:rsidRDefault="006D654F" w:rsidP="00FE112F">
            <w:pPr>
              <w:rPr>
                <w:rFonts w:ascii="Arial Narrow" w:hAnsi="Arial Narrow"/>
                <w:sz w:val="20"/>
              </w:rPr>
            </w:pPr>
            <w:r w:rsidRPr="000E01C3">
              <w:rPr>
                <w:rFonts w:ascii="Arial Narrow" w:hAnsi="Arial Narrow"/>
                <w:sz w:val="20"/>
              </w:rPr>
              <w:t>Patient must be intolerant or inadequately responsive to dornase alfa.</w:t>
            </w:r>
          </w:p>
          <w:p w:rsidR="0095054A" w:rsidRPr="0095054A" w:rsidRDefault="0095054A" w:rsidP="0095054A">
            <w:pPr>
              <w:rPr>
                <w:rFonts w:ascii="Arial Narrow" w:hAnsi="Arial Narrow"/>
                <w:i/>
                <w:sz w:val="20"/>
              </w:rPr>
            </w:pPr>
            <w:r w:rsidRPr="0095054A">
              <w:rPr>
                <w:rFonts w:ascii="Arial Narrow" w:hAnsi="Arial Narrow"/>
                <w:i/>
                <w:sz w:val="20"/>
              </w:rPr>
              <w:t>AND</w:t>
            </w:r>
          </w:p>
          <w:p w:rsidR="0095054A" w:rsidRPr="000E01C3" w:rsidRDefault="0095054A" w:rsidP="0095054A">
            <w:pPr>
              <w:rPr>
                <w:rFonts w:ascii="Arial Narrow" w:hAnsi="Arial Narrow"/>
                <w:sz w:val="20"/>
              </w:rPr>
            </w:pPr>
            <w:r w:rsidRPr="0095054A">
              <w:rPr>
                <w:rFonts w:ascii="Arial Narrow" w:hAnsi="Arial Narrow"/>
                <w:i/>
                <w:sz w:val="20"/>
              </w:rPr>
              <w:t>Patient must have trialled hypertonic saline before combination use of mannitol and dornase alfa</w:t>
            </w:r>
            <w:r>
              <w:rPr>
                <w:rFonts w:ascii="Arial Narrow" w:hAnsi="Arial Narrow"/>
                <w:i/>
                <w:sz w:val="20"/>
              </w:rPr>
              <w:t>.</w:t>
            </w:r>
          </w:p>
        </w:tc>
      </w:tr>
      <w:tr w:rsidR="006D654F" w:rsidRPr="000E01C3" w:rsidTr="00FE112F">
        <w:trPr>
          <w:cantSplit/>
          <w:trHeight w:val="360"/>
        </w:trPr>
        <w:tc>
          <w:tcPr>
            <w:tcW w:w="1701" w:type="dxa"/>
            <w:tcBorders>
              <w:top w:val="single" w:sz="4" w:space="0" w:color="auto"/>
              <w:left w:val="single" w:sz="4" w:space="0" w:color="auto"/>
              <w:bottom w:val="single" w:sz="4" w:space="0" w:color="auto"/>
              <w:right w:val="single" w:sz="4" w:space="0" w:color="auto"/>
            </w:tcBorders>
          </w:tcPr>
          <w:p w:rsidR="006D654F" w:rsidRPr="000E01C3" w:rsidRDefault="006D654F" w:rsidP="00FE112F">
            <w:pPr>
              <w:rPr>
                <w:rFonts w:ascii="Arial Narrow" w:hAnsi="Arial Narrow"/>
                <w:b/>
                <w:sz w:val="20"/>
              </w:rPr>
            </w:pPr>
            <w:r w:rsidRPr="000E01C3">
              <w:rPr>
                <w:rFonts w:ascii="Arial Narrow" w:hAnsi="Arial Narrow"/>
                <w:b/>
                <w:sz w:val="20"/>
              </w:rPr>
              <w:t>Population criteria:</w:t>
            </w:r>
          </w:p>
        </w:tc>
        <w:tc>
          <w:tcPr>
            <w:tcW w:w="7513" w:type="dxa"/>
            <w:gridSpan w:val="6"/>
            <w:tcBorders>
              <w:top w:val="single" w:sz="4" w:space="0" w:color="auto"/>
              <w:left w:val="single" w:sz="4" w:space="0" w:color="auto"/>
              <w:bottom w:val="single" w:sz="4" w:space="0" w:color="auto"/>
              <w:right w:val="single" w:sz="4" w:space="0" w:color="auto"/>
            </w:tcBorders>
          </w:tcPr>
          <w:p w:rsidR="006D654F" w:rsidRPr="000E01C3" w:rsidRDefault="006D654F" w:rsidP="00FE112F">
            <w:pPr>
              <w:rPr>
                <w:rFonts w:ascii="Arial Narrow" w:hAnsi="Arial Narrow"/>
                <w:sz w:val="20"/>
              </w:rPr>
            </w:pPr>
            <w:r w:rsidRPr="000E01C3">
              <w:rPr>
                <w:rFonts w:ascii="Arial Narrow" w:hAnsi="Arial Narrow"/>
                <w:sz w:val="20"/>
              </w:rPr>
              <w:t>Patient must be 6 years of age or older.</w:t>
            </w:r>
          </w:p>
        </w:tc>
      </w:tr>
      <w:tr w:rsidR="006D654F" w:rsidRPr="000E01C3" w:rsidTr="00FE112F">
        <w:trPr>
          <w:cantSplit/>
          <w:trHeight w:val="360"/>
        </w:trPr>
        <w:tc>
          <w:tcPr>
            <w:tcW w:w="1701" w:type="dxa"/>
            <w:tcBorders>
              <w:top w:val="single" w:sz="4" w:space="0" w:color="auto"/>
              <w:left w:val="single" w:sz="4" w:space="0" w:color="auto"/>
              <w:bottom w:val="single" w:sz="4" w:space="0" w:color="auto"/>
              <w:right w:val="single" w:sz="4" w:space="0" w:color="auto"/>
            </w:tcBorders>
          </w:tcPr>
          <w:p w:rsidR="006D654F" w:rsidRPr="000E01C3" w:rsidRDefault="006D654F" w:rsidP="00FE112F">
            <w:pPr>
              <w:rPr>
                <w:rFonts w:ascii="Arial Narrow" w:hAnsi="Arial Narrow"/>
                <w:b/>
                <w:sz w:val="20"/>
              </w:rPr>
            </w:pPr>
            <w:r w:rsidRPr="000E01C3">
              <w:rPr>
                <w:rFonts w:ascii="Arial Narrow" w:hAnsi="Arial Narrow"/>
                <w:b/>
                <w:sz w:val="20"/>
              </w:rPr>
              <w:t>Prescriber Instructions</w:t>
            </w:r>
          </w:p>
        </w:tc>
        <w:tc>
          <w:tcPr>
            <w:tcW w:w="7513" w:type="dxa"/>
            <w:gridSpan w:val="6"/>
            <w:tcBorders>
              <w:top w:val="single" w:sz="4" w:space="0" w:color="auto"/>
              <w:left w:val="single" w:sz="4" w:space="0" w:color="auto"/>
              <w:bottom w:val="single" w:sz="4" w:space="0" w:color="auto"/>
              <w:right w:val="single" w:sz="4" w:space="0" w:color="auto"/>
            </w:tcBorders>
          </w:tcPr>
          <w:p w:rsidR="006D654F" w:rsidRPr="000E01C3" w:rsidRDefault="006D654F" w:rsidP="00FE112F">
            <w:pPr>
              <w:rPr>
                <w:rFonts w:ascii="Arial Narrow" w:hAnsi="Arial Narrow"/>
                <w:sz w:val="20"/>
              </w:rPr>
            </w:pPr>
            <w:r w:rsidRPr="000E01C3">
              <w:rPr>
                <w:rFonts w:ascii="Arial Narrow" w:hAnsi="Arial Narrow"/>
                <w:sz w:val="20"/>
              </w:rPr>
              <w:t>Patient must be assessed at a cystic fibrosis clinic/centre which is under the control of specialist respiratory physicians with experience and expertise in the management of cystic fibrosis or by a specialist physician or paediatrician in consultation with such a unit.</w:t>
            </w:r>
          </w:p>
          <w:p w:rsidR="006D654F" w:rsidRPr="000E01C3" w:rsidRDefault="006D654F" w:rsidP="00FE112F">
            <w:pPr>
              <w:rPr>
                <w:rFonts w:ascii="Arial Narrow" w:hAnsi="Arial Narrow"/>
                <w:sz w:val="20"/>
              </w:rPr>
            </w:pPr>
          </w:p>
          <w:p w:rsidR="006D654F" w:rsidRPr="000E01C3" w:rsidRDefault="006D654F" w:rsidP="00FE112F">
            <w:pPr>
              <w:rPr>
                <w:rFonts w:ascii="Arial Narrow" w:hAnsi="Arial Narrow"/>
                <w:sz w:val="20"/>
              </w:rPr>
            </w:pPr>
            <w:r w:rsidRPr="000E01C3">
              <w:rPr>
                <w:rFonts w:ascii="Arial Narrow" w:hAnsi="Arial Narrow"/>
                <w:sz w:val="20"/>
              </w:rPr>
              <w:t>Prior to therapy with this drug, a baseline measurement of forced expiratory volume in 1 second (FEV1) must be undertaken during a stable period of the disease.</w:t>
            </w:r>
          </w:p>
          <w:p w:rsidR="006D654F" w:rsidRPr="000E01C3" w:rsidRDefault="006D654F" w:rsidP="00FE112F">
            <w:pPr>
              <w:rPr>
                <w:rFonts w:ascii="Arial Narrow" w:hAnsi="Arial Narrow"/>
                <w:sz w:val="20"/>
              </w:rPr>
            </w:pPr>
          </w:p>
          <w:p w:rsidR="006D654F" w:rsidRPr="000E01C3" w:rsidRDefault="006D654F" w:rsidP="00FE112F">
            <w:pPr>
              <w:rPr>
                <w:rFonts w:ascii="Arial Narrow" w:hAnsi="Arial Narrow"/>
                <w:sz w:val="20"/>
              </w:rPr>
            </w:pPr>
            <w:r w:rsidRPr="000E01C3">
              <w:rPr>
                <w:rFonts w:ascii="Arial Narrow" w:hAnsi="Arial Narrow"/>
                <w:sz w:val="20"/>
              </w:rPr>
              <w:t>Initial therapy is limited to 3 months treatment with mannitol at a dose of 400 mg twice daily.</w:t>
            </w:r>
          </w:p>
          <w:p w:rsidR="006D654F" w:rsidRPr="000E01C3" w:rsidRDefault="006D654F" w:rsidP="00FE112F">
            <w:pPr>
              <w:rPr>
                <w:rFonts w:ascii="Arial Narrow" w:hAnsi="Arial Narrow"/>
                <w:sz w:val="20"/>
              </w:rPr>
            </w:pPr>
          </w:p>
          <w:p w:rsidR="006D654F" w:rsidRPr="000E01C3" w:rsidRDefault="006D654F" w:rsidP="00FE112F">
            <w:pPr>
              <w:rPr>
                <w:rFonts w:ascii="Arial Narrow" w:hAnsi="Arial Narrow"/>
                <w:sz w:val="20"/>
              </w:rPr>
            </w:pPr>
            <w:r w:rsidRPr="000E01C3">
              <w:rPr>
                <w:rFonts w:ascii="Arial Narrow" w:hAnsi="Arial Narrow"/>
                <w:sz w:val="20"/>
              </w:rPr>
              <w:t>To be eligible for continued PBS-subsidised treatment with this drug following 3 months of initial treatment:</w:t>
            </w:r>
          </w:p>
          <w:p w:rsidR="006D654F" w:rsidRPr="000E01C3" w:rsidRDefault="006D654F" w:rsidP="00FE112F">
            <w:pPr>
              <w:rPr>
                <w:rFonts w:ascii="Arial Narrow" w:hAnsi="Arial Narrow"/>
                <w:sz w:val="20"/>
              </w:rPr>
            </w:pPr>
            <w:r w:rsidRPr="000E01C3">
              <w:rPr>
                <w:rFonts w:ascii="Arial Narrow" w:hAnsi="Arial Narrow"/>
                <w:sz w:val="20"/>
              </w:rPr>
              <w:t>(1) the patient must demonstrate no deterioration in FEV1 compared to baseline; AND</w:t>
            </w:r>
          </w:p>
          <w:p w:rsidR="006D654F" w:rsidRPr="000E01C3" w:rsidRDefault="006D654F" w:rsidP="00FE112F">
            <w:pPr>
              <w:rPr>
                <w:rFonts w:ascii="Arial Narrow" w:hAnsi="Arial Narrow"/>
                <w:sz w:val="20"/>
              </w:rPr>
            </w:pPr>
            <w:r w:rsidRPr="000E01C3">
              <w:rPr>
                <w:rFonts w:ascii="Arial Narrow" w:hAnsi="Arial Narrow"/>
                <w:sz w:val="20"/>
              </w:rPr>
              <w:t>(2) the patient or the patient's family (in the case of paediatric patients) and the treating physician(s) must report a benefit in the clinical status of the patient.</w:t>
            </w:r>
          </w:p>
          <w:p w:rsidR="006D654F" w:rsidRPr="000E01C3" w:rsidRDefault="006D654F" w:rsidP="00FE112F">
            <w:pPr>
              <w:rPr>
                <w:rFonts w:ascii="Arial Narrow" w:hAnsi="Arial Narrow"/>
                <w:sz w:val="20"/>
              </w:rPr>
            </w:pPr>
          </w:p>
          <w:p w:rsidR="006D654F" w:rsidRPr="000E01C3" w:rsidRDefault="006D654F" w:rsidP="00FE112F">
            <w:pPr>
              <w:rPr>
                <w:rFonts w:ascii="Arial Narrow" w:hAnsi="Arial Narrow"/>
                <w:sz w:val="20"/>
              </w:rPr>
            </w:pPr>
            <w:r w:rsidRPr="000E01C3">
              <w:rPr>
                <w:rFonts w:ascii="Arial Narrow" w:hAnsi="Arial Narrow"/>
                <w:sz w:val="20"/>
              </w:rPr>
              <w:t>Further reassessments must be undertaken and documented at six-monthly intervals. Therapy with this drug should cease if there is not general agreement of benefit as there is always the possibility of harm from unnecessary use.</w:t>
            </w:r>
          </w:p>
          <w:p w:rsidR="000C5182" w:rsidRPr="000E01C3" w:rsidRDefault="000C5182" w:rsidP="00FE112F">
            <w:pPr>
              <w:rPr>
                <w:rFonts w:ascii="Arial Narrow" w:hAnsi="Arial Narrow"/>
                <w:i/>
                <w:sz w:val="20"/>
              </w:rPr>
            </w:pPr>
          </w:p>
        </w:tc>
      </w:tr>
      <w:tr w:rsidR="006D654F" w:rsidRPr="000E01C3" w:rsidTr="00FE112F">
        <w:trPr>
          <w:cantSplit/>
          <w:trHeight w:val="360"/>
        </w:trPr>
        <w:tc>
          <w:tcPr>
            <w:tcW w:w="1701" w:type="dxa"/>
            <w:tcBorders>
              <w:top w:val="single" w:sz="4" w:space="0" w:color="auto"/>
              <w:left w:val="single" w:sz="4" w:space="0" w:color="auto"/>
              <w:bottom w:val="single" w:sz="4" w:space="0" w:color="auto"/>
              <w:right w:val="single" w:sz="4" w:space="0" w:color="auto"/>
            </w:tcBorders>
          </w:tcPr>
          <w:p w:rsidR="006D654F" w:rsidRPr="000E01C3" w:rsidRDefault="006D654F" w:rsidP="00FE112F">
            <w:pPr>
              <w:rPr>
                <w:rFonts w:ascii="Arial Narrow" w:hAnsi="Arial Narrow"/>
                <w:b/>
                <w:sz w:val="20"/>
              </w:rPr>
            </w:pPr>
            <w:r w:rsidRPr="000E01C3">
              <w:rPr>
                <w:rFonts w:ascii="Arial Narrow" w:hAnsi="Arial Narrow"/>
                <w:b/>
                <w:sz w:val="20"/>
              </w:rPr>
              <w:t>Administrative Advice</w:t>
            </w:r>
          </w:p>
        </w:tc>
        <w:tc>
          <w:tcPr>
            <w:tcW w:w="7513" w:type="dxa"/>
            <w:gridSpan w:val="6"/>
            <w:tcBorders>
              <w:top w:val="single" w:sz="4" w:space="0" w:color="auto"/>
              <w:left w:val="single" w:sz="4" w:space="0" w:color="auto"/>
              <w:bottom w:val="single" w:sz="4" w:space="0" w:color="auto"/>
              <w:right w:val="single" w:sz="4" w:space="0" w:color="auto"/>
            </w:tcBorders>
          </w:tcPr>
          <w:p w:rsidR="004B26BC" w:rsidRPr="000E01C3" w:rsidRDefault="004B26BC" w:rsidP="00FE112F">
            <w:pPr>
              <w:rPr>
                <w:rFonts w:ascii="Arial Narrow" w:hAnsi="Arial Narrow"/>
                <w:sz w:val="20"/>
              </w:rPr>
            </w:pPr>
            <w:r w:rsidRPr="000E01C3">
              <w:rPr>
                <w:rFonts w:ascii="Arial Narrow" w:hAnsi="Arial Narrow"/>
                <w:strike/>
                <w:sz w:val="20"/>
              </w:rPr>
              <w:t>This drug is not PBS-subsidised for use in combination with PBS-subsidised dornase alfa.</w:t>
            </w:r>
          </w:p>
          <w:p w:rsidR="004B26BC" w:rsidRPr="000E01C3" w:rsidRDefault="004B26BC" w:rsidP="00FE112F">
            <w:pPr>
              <w:rPr>
                <w:rFonts w:ascii="Arial Narrow" w:hAnsi="Arial Narrow"/>
                <w:sz w:val="20"/>
              </w:rPr>
            </w:pPr>
          </w:p>
          <w:p w:rsidR="006D654F" w:rsidRPr="000E01C3" w:rsidRDefault="006D654F" w:rsidP="00FE112F">
            <w:pPr>
              <w:rPr>
                <w:rFonts w:ascii="Arial Narrow" w:hAnsi="Arial Narrow"/>
                <w:sz w:val="20"/>
              </w:rPr>
            </w:pPr>
            <w:r w:rsidRPr="000E01C3">
              <w:rPr>
                <w:rFonts w:ascii="Arial Narrow" w:hAnsi="Arial Narrow"/>
                <w:sz w:val="20"/>
              </w:rPr>
              <w:t>It is highly desirable that all patients be included in the national cystic fibrosis patient database.</w:t>
            </w:r>
          </w:p>
        </w:tc>
      </w:tr>
    </w:tbl>
    <w:p w:rsidR="005D02D1" w:rsidRPr="000E01C3" w:rsidRDefault="005D02D1" w:rsidP="005D02D1">
      <w:pPr>
        <w:rPr>
          <w:rFonts w:asciiTheme="minorHAnsi" w:hAnsiTheme="minorHAnsi"/>
          <w:sz w:val="24"/>
          <w:szCs w:val="24"/>
        </w:rPr>
      </w:pPr>
    </w:p>
    <w:p w:rsidR="00E67E84" w:rsidRPr="000E01C3" w:rsidRDefault="00E67E84" w:rsidP="005D02D1">
      <w:pPr>
        <w:pStyle w:val="ListParagraph"/>
        <w:widowControl/>
        <w:numPr>
          <w:ilvl w:val="1"/>
          <w:numId w:val="5"/>
        </w:numPr>
        <w:spacing w:after="120"/>
        <w:contextualSpacing w:val="0"/>
        <w:rPr>
          <w:rFonts w:asciiTheme="minorHAnsi" w:hAnsiTheme="minorHAnsi" w:cstheme="minorHAnsi"/>
          <w:sz w:val="24"/>
          <w:szCs w:val="24"/>
        </w:rPr>
      </w:pPr>
      <w:r w:rsidRPr="000E01C3">
        <w:rPr>
          <w:rFonts w:asciiTheme="minorHAnsi" w:hAnsiTheme="minorHAnsi" w:cstheme="minorHAnsi"/>
          <w:sz w:val="24"/>
          <w:szCs w:val="24"/>
        </w:rPr>
        <w:t>A flow-on change is required for the listings of dornase alfa (PBS item numbers: 5704F and 6120D) to remove the NOTE ‘This drug is not PBS-subsidised for use in combination with PBS-subsidised mannitol’.</w:t>
      </w:r>
      <w:r w:rsidRPr="000E01C3">
        <w:t xml:space="preserve"> </w:t>
      </w:r>
    </w:p>
    <w:p w:rsidR="00E67E84" w:rsidRPr="000E01C3" w:rsidRDefault="00E67E84" w:rsidP="005D02D1">
      <w:pPr>
        <w:rPr>
          <w:rFonts w:asciiTheme="minorHAnsi" w:hAnsiTheme="minorHAnsi"/>
          <w:sz w:val="24"/>
          <w:szCs w:val="24"/>
        </w:rPr>
      </w:pPr>
    </w:p>
    <w:p w:rsidR="003E6B39" w:rsidRPr="005C52F9" w:rsidRDefault="003E6B39" w:rsidP="005C52F9">
      <w:pPr>
        <w:pStyle w:val="Heading1"/>
      </w:pPr>
      <w:r w:rsidRPr="005C52F9">
        <w:t>Context for Decision</w:t>
      </w:r>
    </w:p>
    <w:p w:rsidR="003E6B39" w:rsidRPr="003E6B39" w:rsidRDefault="003E6B39" w:rsidP="005C52F9">
      <w:pPr>
        <w:widowControl/>
        <w:spacing w:line="276" w:lineRule="auto"/>
        <w:rPr>
          <w:rFonts w:asciiTheme="minorHAnsi" w:eastAsiaTheme="minorHAnsi" w:hAnsiTheme="minorHAnsi"/>
          <w:snapToGrid/>
          <w:sz w:val="24"/>
          <w:szCs w:val="24"/>
        </w:rPr>
      </w:pPr>
      <w:r w:rsidRPr="003E6B39">
        <w:rPr>
          <w:rFonts w:asciiTheme="minorHAnsi" w:eastAsiaTheme="minorHAnsi" w:hAnsiTheme="minorHAnsi"/>
          <w:snapToGrid/>
          <w:sz w:val="24"/>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E6B39" w:rsidRPr="003E6B39" w:rsidRDefault="003E6B39" w:rsidP="003E6B39">
      <w:pPr>
        <w:widowControl/>
        <w:spacing w:after="200" w:line="276" w:lineRule="auto"/>
        <w:ind w:left="426"/>
        <w:rPr>
          <w:rFonts w:asciiTheme="minorHAnsi" w:eastAsiaTheme="minorHAnsi" w:hAnsiTheme="minorHAnsi"/>
          <w:snapToGrid/>
          <w:sz w:val="24"/>
          <w:szCs w:val="24"/>
        </w:rPr>
      </w:pPr>
    </w:p>
    <w:p w:rsidR="003E6B39" w:rsidRPr="005C52F9" w:rsidRDefault="003E6B39" w:rsidP="005C52F9">
      <w:pPr>
        <w:pStyle w:val="Heading1"/>
      </w:pPr>
      <w:r w:rsidRPr="005C52F9">
        <w:t>Sponsor’s Comment</w:t>
      </w:r>
    </w:p>
    <w:p w:rsidR="003E6B39" w:rsidRPr="00AA780E" w:rsidRDefault="003E6B39" w:rsidP="003E6B39">
      <w:pPr>
        <w:widowControl/>
        <w:spacing w:line="276" w:lineRule="auto"/>
        <w:ind w:left="426"/>
        <w:rPr>
          <w:rFonts w:asciiTheme="minorHAnsi" w:eastAsiaTheme="minorHAnsi" w:hAnsiTheme="minorHAnsi"/>
          <w:bCs/>
          <w:snapToGrid/>
          <w:sz w:val="24"/>
          <w:szCs w:val="24"/>
          <w:highlight w:val="yellow"/>
          <w:lang w:val="en-GB"/>
        </w:rPr>
      </w:pPr>
    </w:p>
    <w:p w:rsidR="00AA780E" w:rsidRPr="00AA780E" w:rsidRDefault="00AA780E" w:rsidP="00AA780E">
      <w:pPr>
        <w:rPr>
          <w:rFonts w:asciiTheme="minorHAnsi" w:hAnsiTheme="minorHAnsi" w:cs="Calibri"/>
          <w:iCs/>
          <w:snapToGrid/>
          <w:sz w:val="24"/>
          <w:szCs w:val="24"/>
        </w:rPr>
      </w:pPr>
      <w:r w:rsidRPr="004A3DE7">
        <w:rPr>
          <w:rFonts w:asciiTheme="minorHAnsi" w:hAnsiTheme="minorHAnsi"/>
          <w:iCs/>
          <w:sz w:val="24"/>
          <w:szCs w:val="24"/>
        </w:rPr>
        <w:t>The sponsor (Pharmaxis) would like to thank the PBAC for their positive recommendation.  Pharmaxis would also like to thank the cystic fibrosis (CF) community (patients, families, patient organisations and healthcare professionals) who provided consumer comments during the process.  Pharmaxis is committed to working with the PBAC and Pricing departments in order to ensure Australian CF patients receive timely access to Bronchitol.</w:t>
      </w:r>
      <w:r w:rsidRPr="00AA780E">
        <w:rPr>
          <w:rFonts w:asciiTheme="minorHAnsi" w:hAnsiTheme="minorHAnsi"/>
          <w:iCs/>
          <w:sz w:val="24"/>
          <w:szCs w:val="24"/>
        </w:rPr>
        <w:t xml:space="preserve">  </w:t>
      </w:r>
    </w:p>
    <w:p w:rsidR="00A04A6A" w:rsidRPr="00092828" w:rsidRDefault="00A04A6A" w:rsidP="00092828">
      <w:pPr>
        <w:spacing w:before="240" w:after="120"/>
        <w:rPr>
          <w:rFonts w:asciiTheme="minorHAnsi" w:eastAsia="Calibri" w:hAnsiTheme="minorHAnsi"/>
          <w:i/>
          <w:sz w:val="2"/>
          <w:szCs w:val="2"/>
          <w:u w:val="single"/>
        </w:rPr>
      </w:pPr>
    </w:p>
    <w:sectPr w:rsidR="00A04A6A" w:rsidRPr="00092828" w:rsidSect="00EF25F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76752A" w15:done="0"/>
  <w15:commentEx w15:paraId="3626F2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9D0" w:rsidRDefault="004519D0" w:rsidP="00124A51">
      <w:r>
        <w:separator/>
      </w:r>
    </w:p>
  </w:endnote>
  <w:endnote w:type="continuationSeparator" w:id="0">
    <w:p w:rsidR="004519D0" w:rsidRDefault="004519D0"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9D0" w:rsidRDefault="004519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718892"/>
      <w:docPartObj>
        <w:docPartGallery w:val="Page Numbers (Bottom of Page)"/>
        <w:docPartUnique/>
      </w:docPartObj>
    </w:sdtPr>
    <w:sdtEndPr>
      <w:rPr>
        <w:rFonts w:asciiTheme="minorHAnsi" w:hAnsiTheme="minorHAnsi"/>
        <w:noProof/>
      </w:rPr>
    </w:sdtEndPr>
    <w:sdtContent>
      <w:p w:rsidR="001E2C65" w:rsidRDefault="001E2C65" w:rsidP="00F01956">
        <w:pPr>
          <w:pStyle w:val="Footer"/>
          <w:jc w:val="center"/>
        </w:pPr>
      </w:p>
      <w:p w:rsidR="001E2C65" w:rsidRPr="00C14BA0" w:rsidRDefault="001E2C65" w:rsidP="00F01956">
        <w:pPr>
          <w:pStyle w:val="Footer"/>
          <w:jc w:val="center"/>
          <w:rPr>
            <w:rFonts w:asciiTheme="minorHAnsi" w:hAnsiTheme="minorHAnsi"/>
          </w:rPr>
        </w:pPr>
        <w:r w:rsidRPr="00C14BA0">
          <w:rPr>
            <w:rFonts w:asciiTheme="minorHAnsi" w:hAnsiTheme="minorHAnsi"/>
          </w:rPr>
          <w:fldChar w:fldCharType="begin"/>
        </w:r>
        <w:r w:rsidRPr="00C14BA0">
          <w:rPr>
            <w:rFonts w:asciiTheme="minorHAnsi" w:hAnsiTheme="minorHAnsi"/>
          </w:rPr>
          <w:instrText xml:space="preserve"> PAGE   \* MERGEFORMAT </w:instrText>
        </w:r>
        <w:r w:rsidRPr="00C14BA0">
          <w:rPr>
            <w:rFonts w:asciiTheme="minorHAnsi" w:hAnsiTheme="minorHAnsi"/>
          </w:rPr>
          <w:fldChar w:fldCharType="separate"/>
        </w:r>
        <w:r w:rsidR="004519D0">
          <w:rPr>
            <w:rFonts w:asciiTheme="minorHAnsi" w:hAnsiTheme="minorHAnsi"/>
            <w:noProof/>
          </w:rPr>
          <w:t>7</w:t>
        </w:r>
        <w:r w:rsidRPr="00C14BA0">
          <w:rPr>
            <w:rFonts w:asciiTheme="minorHAnsi" w:hAnsiTheme="minorHAns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9D0" w:rsidRDefault="004519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9D0" w:rsidRDefault="004519D0" w:rsidP="00124A51">
      <w:r>
        <w:separator/>
      </w:r>
    </w:p>
  </w:footnote>
  <w:footnote w:type="continuationSeparator" w:id="0">
    <w:p w:rsidR="004519D0" w:rsidRDefault="004519D0" w:rsidP="00124A51">
      <w:r>
        <w:continuationSeparator/>
      </w:r>
    </w:p>
  </w:footnote>
  <w:footnote w:id="1">
    <w:p w:rsidR="001E2C65" w:rsidRPr="002E3363" w:rsidRDefault="001E2C65">
      <w:pPr>
        <w:pStyle w:val="FootnoteText"/>
        <w:rPr>
          <w:rFonts w:ascii="Arial Narrow" w:hAnsi="Arial Narrow"/>
        </w:rPr>
      </w:pPr>
      <w:r w:rsidRPr="002E3363">
        <w:rPr>
          <w:rStyle w:val="FootnoteReference"/>
          <w:rFonts w:ascii="Arial Narrow" w:hAnsi="Arial Narrow"/>
        </w:rPr>
        <w:footnoteRef/>
      </w:r>
      <w:r w:rsidRPr="002E3363">
        <w:rPr>
          <w:rFonts w:ascii="Arial Narrow" w:hAnsi="Arial Narrow"/>
        </w:rPr>
        <w:t xml:space="preserve"> There were slight discrepancies between the ICERs presented in the PSCR and those conducted during the evaluation (Table 12). The PSCR stated this may be due to different versions of TreeAge.</w:t>
      </w:r>
    </w:p>
  </w:footnote>
  <w:footnote w:id="2">
    <w:p w:rsidR="001E2C65" w:rsidRPr="00FE6AF7" w:rsidRDefault="001E2C65">
      <w:pPr>
        <w:pStyle w:val="FootnoteText"/>
        <w:rPr>
          <w:rFonts w:ascii="Arial Narrow" w:hAnsi="Arial Narrow"/>
        </w:rPr>
      </w:pPr>
      <w:r w:rsidRPr="00FE6AF7">
        <w:rPr>
          <w:rStyle w:val="FootnoteReference"/>
          <w:rFonts w:ascii="Arial Narrow" w:hAnsi="Arial Narrow"/>
        </w:rPr>
        <w:footnoteRef/>
      </w:r>
      <w:r w:rsidRPr="00FE6AF7">
        <w:rPr>
          <w:rFonts w:ascii="Arial Narrow" w:hAnsi="Arial Narrow"/>
        </w:rPr>
        <w:t xml:space="preserve"> Teper, A., Jaques, A. and Charlton, B. Inhaled mannitol in patients with cystic fibrosis: A randomised open-label dose response trial. </w:t>
      </w:r>
      <w:r w:rsidRPr="00FE6AF7">
        <w:rPr>
          <w:rFonts w:ascii="Arial Narrow" w:hAnsi="Arial Narrow"/>
          <w:i/>
          <w:iCs/>
        </w:rPr>
        <w:t>Journal of Cystic Fibrosis</w:t>
      </w:r>
      <w:r w:rsidRPr="00FE6AF7">
        <w:rPr>
          <w:rFonts w:ascii="Arial Narrow" w:hAnsi="Arial Narrow"/>
        </w:rPr>
        <w:t xml:space="preserve"> 2011; 10: 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9D0" w:rsidRDefault="004519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C65" w:rsidRPr="002E1C6D" w:rsidRDefault="001E2C65" w:rsidP="007D73D4">
    <w:pPr>
      <w:ind w:left="709"/>
      <w:contextualSpacing/>
      <w:jc w:val="center"/>
      <w:rPr>
        <w:rFonts w:asciiTheme="minorHAnsi" w:hAnsiTheme="minorHAnsi"/>
        <w:bCs/>
        <w:i/>
        <w:sz w:val="24"/>
        <w:szCs w:val="24"/>
      </w:rPr>
    </w:pPr>
    <w:r>
      <w:rPr>
        <w:rFonts w:asciiTheme="minorHAnsi" w:hAnsiTheme="minorHAnsi"/>
        <w:bCs/>
        <w:i/>
        <w:sz w:val="24"/>
        <w:szCs w:val="24"/>
      </w:rPr>
      <w:t>Public Summary Document</w:t>
    </w:r>
    <w:r w:rsidRPr="002E1C6D">
      <w:rPr>
        <w:rFonts w:asciiTheme="minorHAnsi" w:hAnsiTheme="minorHAnsi"/>
        <w:bCs/>
        <w:i/>
        <w:sz w:val="24"/>
        <w:szCs w:val="24"/>
      </w:rPr>
      <w:t xml:space="preserve"> - July 2017 PBAC meeting</w:t>
    </w:r>
  </w:p>
  <w:p w:rsidR="001E2C65" w:rsidRPr="002E1C6D" w:rsidRDefault="001E2C65" w:rsidP="007D73D4">
    <w:pPr>
      <w:ind w:left="709"/>
      <w:contextualSpacing/>
      <w:jc w:val="center"/>
      <w:rPr>
        <w:rFonts w:asciiTheme="minorHAnsi" w:hAnsiTheme="minorHAnsi"/>
        <w:bCs/>
        <w:i/>
        <w:sz w:val="24"/>
        <w:szCs w:val="24"/>
      </w:rPr>
    </w:pPr>
    <w:r w:rsidRPr="002E1C6D">
      <w:rPr>
        <w:rFonts w:asciiTheme="minorHAnsi" w:hAnsiTheme="minorHAnsi"/>
        <w:bCs/>
        <w:i/>
        <w:sz w:val="24"/>
        <w:szCs w:val="24"/>
      </w:rPr>
      <w:t xml:space="preserve"> </w:t>
    </w:r>
  </w:p>
  <w:p w:rsidR="001E2C65" w:rsidRPr="007D73D4" w:rsidRDefault="001E2C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9D0" w:rsidRDefault="004519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89C6EB3"/>
    <w:multiLevelType w:val="hybridMultilevel"/>
    <w:tmpl w:val="2E9EB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C7E7197"/>
    <w:multiLevelType w:val="hybridMultilevel"/>
    <w:tmpl w:val="FBA2359E"/>
    <w:lvl w:ilvl="0" w:tplc="8FAE93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F87C75"/>
    <w:multiLevelType w:val="hybridMultilevel"/>
    <w:tmpl w:val="BD3C564A"/>
    <w:lvl w:ilvl="0" w:tplc="8FAE93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1C910D3"/>
    <w:multiLevelType w:val="hybridMultilevel"/>
    <w:tmpl w:val="51C69F44"/>
    <w:lvl w:ilvl="0" w:tplc="0C090001">
      <w:start w:val="1"/>
      <w:numFmt w:val="bullet"/>
      <w:lvlText w:val=""/>
      <w:lvlJc w:val="left"/>
      <w:pPr>
        <w:ind w:left="1080" w:hanging="72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41B1597"/>
    <w:multiLevelType w:val="hybridMultilevel"/>
    <w:tmpl w:val="E13AF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5A04F9A"/>
    <w:multiLevelType w:val="hybridMultilevel"/>
    <w:tmpl w:val="F5DA2F1C"/>
    <w:lvl w:ilvl="0" w:tplc="FFFFFFFF">
      <w:start w:val="1"/>
      <w:numFmt w:val="bullet"/>
      <w:lvlText w:val=""/>
      <w:lvlJc w:val="left"/>
      <w:pPr>
        <w:tabs>
          <w:tab w:val="num" w:pos="720"/>
        </w:tabs>
        <w:ind w:left="720" w:hanging="360"/>
      </w:pPr>
      <w:rPr>
        <w:rFonts w:ascii="Symbol" w:hAnsi="Symbol" w:hint="default"/>
      </w:rPr>
    </w:lvl>
    <w:lvl w:ilvl="1" w:tplc="F488CFD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A5D24A0"/>
    <w:multiLevelType w:val="hybridMultilevel"/>
    <w:tmpl w:val="88522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B72083C"/>
    <w:multiLevelType w:val="hybridMultilevel"/>
    <w:tmpl w:val="DCDA304A"/>
    <w:lvl w:ilvl="0" w:tplc="6D1C2214">
      <w:start w:val="1"/>
      <w:numFmt w:val="decimal"/>
      <w:lvlText w:val="(%1)"/>
      <w:lvlJc w:val="left"/>
      <w:pPr>
        <w:ind w:left="720" w:hanging="360"/>
      </w:pPr>
      <w:rPr>
        <w:rFonts w:ascii="Arial Narrow" w:hAnsi="Arial Narrow" w:cs="Times New Roman" w:hint="default"/>
        <w:color w:val="222222"/>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CB75133"/>
    <w:multiLevelType w:val="hybridMultilevel"/>
    <w:tmpl w:val="993E5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E7B1A6D"/>
    <w:multiLevelType w:val="hybridMultilevel"/>
    <w:tmpl w:val="1E9ED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0407DE6"/>
    <w:multiLevelType w:val="hybridMultilevel"/>
    <w:tmpl w:val="56E048C2"/>
    <w:lvl w:ilvl="0" w:tplc="C3EA8AC6">
      <w:start w:val="6"/>
      <w:numFmt w:val="decimal"/>
      <w:lvlText w:val="%1.2"/>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2F96FB3"/>
    <w:multiLevelType w:val="hybridMultilevel"/>
    <w:tmpl w:val="ECAE7F7E"/>
    <w:lvl w:ilvl="0" w:tplc="8FAE9300">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46203B5"/>
    <w:multiLevelType w:val="hybridMultilevel"/>
    <w:tmpl w:val="FD8473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5C40DA4"/>
    <w:multiLevelType w:val="hybridMultilevel"/>
    <w:tmpl w:val="023AC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99F60E5"/>
    <w:multiLevelType w:val="hybridMultilevel"/>
    <w:tmpl w:val="F7840EBA"/>
    <w:lvl w:ilvl="0" w:tplc="C3EA8AC6">
      <w:start w:val="6"/>
      <w:numFmt w:val="decimal"/>
      <w:lvlText w:val="%1.2"/>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534455E"/>
    <w:multiLevelType w:val="hybridMultilevel"/>
    <w:tmpl w:val="DA7A2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6DB3105"/>
    <w:multiLevelType w:val="hybridMultilevel"/>
    <w:tmpl w:val="B6B86A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3B7C34E2"/>
    <w:multiLevelType w:val="hybridMultilevel"/>
    <w:tmpl w:val="016E4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D2D3AE8"/>
    <w:multiLevelType w:val="hybridMultilevel"/>
    <w:tmpl w:val="DFD47F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3">
    <w:nsid w:val="42A578E4"/>
    <w:multiLevelType w:val="hybridMultilevel"/>
    <w:tmpl w:val="07AA7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97F6430"/>
    <w:multiLevelType w:val="hybridMultilevel"/>
    <w:tmpl w:val="A0987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6">
    <w:nsid w:val="4D126903"/>
    <w:multiLevelType w:val="hybridMultilevel"/>
    <w:tmpl w:val="AE58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F51299C"/>
    <w:multiLevelType w:val="hybridMultilevel"/>
    <w:tmpl w:val="806C47D0"/>
    <w:lvl w:ilvl="0" w:tplc="5DE23BAC">
      <w:start w:val="1"/>
      <w:numFmt w:val="lowerRoman"/>
      <w:lvlText w:val="(%1)"/>
      <w:lvlJc w:val="left"/>
      <w:pPr>
        <w:ind w:left="765" w:hanging="720"/>
      </w:pPr>
      <w:rPr>
        <w:rFonts w:ascii="Arial Narrow" w:hAnsi="Arial Narrow" w:hint="default"/>
        <w:sz w:val="20"/>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28">
    <w:nsid w:val="509415AE"/>
    <w:multiLevelType w:val="hybridMultilevel"/>
    <w:tmpl w:val="D7520C36"/>
    <w:lvl w:ilvl="0" w:tplc="C3EA8AC6">
      <w:start w:val="6"/>
      <w:numFmt w:val="decimal"/>
      <w:lvlText w:val="%1.2"/>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nsid w:val="52D57B1A"/>
    <w:multiLevelType w:val="hybridMultilevel"/>
    <w:tmpl w:val="EA4AD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0281D42"/>
    <w:multiLevelType w:val="hybridMultilevel"/>
    <w:tmpl w:val="2A8A7316"/>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0624C77"/>
    <w:multiLevelType w:val="multilevel"/>
    <w:tmpl w:val="4FCEE6F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i w:val="0"/>
        <w:sz w:val="24"/>
        <w:szCs w:val="24"/>
      </w:rPr>
    </w:lvl>
    <w:lvl w:ilvl="2">
      <w:start w:val="1"/>
      <w:numFmt w:val="bullet"/>
      <w:lvlText w:val=""/>
      <w:lvlJc w:val="left"/>
      <w:pPr>
        <w:ind w:left="720" w:hanging="720"/>
      </w:pPr>
      <w:rPr>
        <w:rFonts w:ascii="Symbol" w:hAnsi="Symbol" w:hint="default"/>
        <w:color w:val="auto"/>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0B37EE2"/>
    <w:multiLevelType w:val="hybridMultilevel"/>
    <w:tmpl w:val="203286A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6E854229"/>
    <w:multiLevelType w:val="hybridMultilevel"/>
    <w:tmpl w:val="E56E4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40E1E8E"/>
    <w:multiLevelType w:val="hybridMultilevel"/>
    <w:tmpl w:val="AA8EA1A2"/>
    <w:lvl w:ilvl="0" w:tplc="C3EA8AC6">
      <w:start w:val="6"/>
      <w:numFmt w:val="decimal"/>
      <w:lvlText w:val="%1.2"/>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84D033C"/>
    <w:multiLevelType w:val="multilevel"/>
    <w:tmpl w:val="1DF20F6A"/>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8E40AE7"/>
    <w:multiLevelType w:val="hybridMultilevel"/>
    <w:tmpl w:val="D2165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AE57805"/>
    <w:multiLevelType w:val="hybridMultilevel"/>
    <w:tmpl w:val="747C386C"/>
    <w:lvl w:ilvl="0" w:tplc="C3EA8AC6">
      <w:start w:val="6"/>
      <w:numFmt w:val="decimal"/>
      <w:lvlText w:val="%1.2"/>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7"/>
  </w:num>
  <w:num w:numId="2">
    <w:abstractNumId w:val="22"/>
  </w:num>
  <w:num w:numId="3">
    <w:abstractNumId w:val="25"/>
  </w:num>
  <w:num w:numId="4">
    <w:abstractNumId w:val="20"/>
  </w:num>
  <w:num w:numId="5">
    <w:abstractNumId w:val="36"/>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33"/>
  </w:num>
  <w:num w:numId="10">
    <w:abstractNumId w:val="37"/>
  </w:num>
  <w:num w:numId="11">
    <w:abstractNumId w:val="27"/>
  </w:num>
  <w:num w:numId="12">
    <w:abstractNumId w:val="34"/>
  </w:num>
  <w:num w:numId="13">
    <w:abstractNumId w:val="24"/>
  </w:num>
  <w:num w:numId="14">
    <w:abstractNumId w:val="31"/>
  </w:num>
  <w:num w:numId="15">
    <w:abstractNumId w:val="23"/>
  </w:num>
  <w:num w:numId="16">
    <w:abstractNumId w:val="16"/>
  </w:num>
  <w:num w:numId="17">
    <w:abstractNumId w:val="6"/>
  </w:num>
  <w:num w:numId="18">
    <w:abstractNumId w:val="10"/>
  </w:num>
  <w:num w:numId="19">
    <w:abstractNumId w:val="5"/>
  </w:num>
  <w:num w:numId="20">
    <w:abstractNumId w:val="11"/>
  </w:num>
  <w:num w:numId="21">
    <w:abstractNumId w:val="19"/>
  </w:num>
  <w:num w:numId="22">
    <w:abstractNumId w:val="26"/>
  </w:num>
  <w:num w:numId="23">
    <w:abstractNumId w:val="3"/>
  </w:num>
  <w:num w:numId="24">
    <w:abstractNumId w:val="13"/>
  </w:num>
  <w:num w:numId="25">
    <w:abstractNumId w:val="18"/>
  </w:num>
  <w:num w:numId="26">
    <w:abstractNumId w:val="15"/>
  </w:num>
  <w:num w:numId="27">
    <w:abstractNumId w:val="4"/>
  </w:num>
  <w:num w:numId="28">
    <w:abstractNumId w:val="29"/>
  </w:num>
  <w:num w:numId="29">
    <w:abstractNumId w:val="21"/>
  </w:num>
  <w:num w:numId="30">
    <w:abstractNumId w:val="32"/>
  </w:num>
  <w:num w:numId="31">
    <w:abstractNumId w:val="36"/>
  </w:num>
  <w:num w:numId="32">
    <w:abstractNumId w:val="30"/>
  </w:num>
  <w:num w:numId="33">
    <w:abstractNumId w:val="2"/>
  </w:num>
  <w:num w:numId="34">
    <w:abstractNumId w:val="0"/>
  </w:num>
  <w:num w:numId="35">
    <w:abstractNumId w:val="14"/>
  </w:num>
  <w:num w:numId="36">
    <w:abstractNumId w:val="35"/>
  </w:num>
  <w:num w:numId="37">
    <w:abstractNumId w:val="28"/>
  </w:num>
  <w:num w:numId="38">
    <w:abstractNumId w:val="17"/>
  </w:num>
  <w:num w:numId="39">
    <w:abstractNumId w:val="12"/>
  </w:num>
  <w:num w:numId="40">
    <w:abstractNumId w:val="38"/>
  </w:num>
  <w:num w:numId="41">
    <w:abstractNumId w:val="36"/>
  </w:num>
  <w:num w:numId="42">
    <w:abstractNumId w:val="36"/>
  </w:num>
  <w:num w:numId="43">
    <w:abstractNumId w:val="1"/>
  </w:num>
  <w:num w:numId="44">
    <w:abstractNumId w:val="36"/>
  </w:num>
  <w:num w:numId="45">
    <w:abstractNumId w:val="36"/>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Norman">
    <w15:presenceInfo w15:providerId="AD" w15:userId="S-1-5-21-2867577831-3469957244-3552622317-117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5EB"/>
    <w:rsid w:val="00000716"/>
    <w:rsid w:val="00000790"/>
    <w:rsid w:val="00000BF2"/>
    <w:rsid w:val="00000EDB"/>
    <w:rsid w:val="00000FAE"/>
    <w:rsid w:val="0000110B"/>
    <w:rsid w:val="0000127F"/>
    <w:rsid w:val="0000128C"/>
    <w:rsid w:val="000018FA"/>
    <w:rsid w:val="000022BE"/>
    <w:rsid w:val="00002366"/>
    <w:rsid w:val="000036DD"/>
    <w:rsid w:val="00003FB4"/>
    <w:rsid w:val="0000421A"/>
    <w:rsid w:val="00004551"/>
    <w:rsid w:val="00004B60"/>
    <w:rsid w:val="00004D7B"/>
    <w:rsid w:val="00005490"/>
    <w:rsid w:val="000059FC"/>
    <w:rsid w:val="00005EB4"/>
    <w:rsid w:val="00006044"/>
    <w:rsid w:val="00006174"/>
    <w:rsid w:val="00007EBC"/>
    <w:rsid w:val="00010359"/>
    <w:rsid w:val="000115B6"/>
    <w:rsid w:val="00011D15"/>
    <w:rsid w:val="00012CA9"/>
    <w:rsid w:val="00013247"/>
    <w:rsid w:val="00014006"/>
    <w:rsid w:val="000144BC"/>
    <w:rsid w:val="000146DE"/>
    <w:rsid w:val="00015886"/>
    <w:rsid w:val="000162EF"/>
    <w:rsid w:val="0001640C"/>
    <w:rsid w:val="00016DB9"/>
    <w:rsid w:val="00017962"/>
    <w:rsid w:val="0002039B"/>
    <w:rsid w:val="0002070C"/>
    <w:rsid w:val="000209FB"/>
    <w:rsid w:val="00020D87"/>
    <w:rsid w:val="00021F9C"/>
    <w:rsid w:val="000220D8"/>
    <w:rsid w:val="0002225F"/>
    <w:rsid w:val="000224AB"/>
    <w:rsid w:val="000235E5"/>
    <w:rsid w:val="00023610"/>
    <w:rsid w:val="00023757"/>
    <w:rsid w:val="00023763"/>
    <w:rsid w:val="00023E93"/>
    <w:rsid w:val="000253AF"/>
    <w:rsid w:val="00025B4F"/>
    <w:rsid w:val="00026288"/>
    <w:rsid w:val="000262C0"/>
    <w:rsid w:val="00026318"/>
    <w:rsid w:val="00026559"/>
    <w:rsid w:val="00027136"/>
    <w:rsid w:val="0002732F"/>
    <w:rsid w:val="00030258"/>
    <w:rsid w:val="00031504"/>
    <w:rsid w:val="00031A13"/>
    <w:rsid w:val="00031E31"/>
    <w:rsid w:val="000321AE"/>
    <w:rsid w:val="000323ED"/>
    <w:rsid w:val="00032AAF"/>
    <w:rsid w:val="00033056"/>
    <w:rsid w:val="00033F93"/>
    <w:rsid w:val="00034969"/>
    <w:rsid w:val="00034E96"/>
    <w:rsid w:val="000350A9"/>
    <w:rsid w:val="00037403"/>
    <w:rsid w:val="00037990"/>
    <w:rsid w:val="00037FBD"/>
    <w:rsid w:val="00040895"/>
    <w:rsid w:val="00040D6D"/>
    <w:rsid w:val="00041390"/>
    <w:rsid w:val="00041B88"/>
    <w:rsid w:val="00041BEF"/>
    <w:rsid w:val="00041D8F"/>
    <w:rsid w:val="0004231D"/>
    <w:rsid w:val="00043A0C"/>
    <w:rsid w:val="00043C37"/>
    <w:rsid w:val="00044096"/>
    <w:rsid w:val="0004465F"/>
    <w:rsid w:val="0004572A"/>
    <w:rsid w:val="00047A1E"/>
    <w:rsid w:val="00047F29"/>
    <w:rsid w:val="0005023A"/>
    <w:rsid w:val="0005142D"/>
    <w:rsid w:val="000516F3"/>
    <w:rsid w:val="0005254F"/>
    <w:rsid w:val="000539D9"/>
    <w:rsid w:val="000546D7"/>
    <w:rsid w:val="00055255"/>
    <w:rsid w:val="00055554"/>
    <w:rsid w:val="0005578E"/>
    <w:rsid w:val="000560DD"/>
    <w:rsid w:val="00056330"/>
    <w:rsid w:val="0005634C"/>
    <w:rsid w:val="0005647C"/>
    <w:rsid w:val="0005672B"/>
    <w:rsid w:val="00056A38"/>
    <w:rsid w:val="00056AF2"/>
    <w:rsid w:val="00056CEB"/>
    <w:rsid w:val="00056F94"/>
    <w:rsid w:val="00057388"/>
    <w:rsid w:val="000608F6"/>
    <w:rsid w:val="000610AC"/>
    <w:rsid w:val="00061614"/>
    <w:rsid w:val="000648F5"/>
    <w:rsid w:val="0006521A"/>
    <w:rsid w:val="00065A28"/>
    <w:rsid w:val="00065B99"/>
    <w:rsid w:val="00066819"/>
    <w:rsid w:val="00066B5E"/>
    <w:rsid w:val="000672CF"/>
    <w:rsid w:val="00067F46"/>
    <w:rsid w:val="000709FC"/>
    <w:rsid w:val="00070E9E"/>
    <w:rsid w:val="00071205"/>
    <w:rsid w:val="00071248"/>
    <w:rsid w:val="00071293"/>
    <w:rsid w:val="000713FB"/>
    <w:rsid w:val="000717DA"/>
    <w:rsid w:val="00071F6D"/>
    <w:rsid w:val="000720B9"/>
    <w:rsid w:val="0007210C"/>
    <w:rsid w:val="00072E72"/>
    <w:rsid w:val="00074D9A"/>
    <w:rsid w:val="000750E3"/>
    <w:rsid w:val="0007531A"/>
    <w:rsid w:val="00075BCB"/>
    <w:rsid w:val="00075CEC"/>
    <w:rsid w:val="00075EF8"/>
    <w:rsid w:val="00076146"/>
    <w:rsid w:val="000767F8"/>
    <w:rsid w:val="00076C12"/>
    <w:rsid w:val="000774DA"/>
    <w:rsid w:val="00077653"/>
    <w:rsid w:val="00077AA7"/>
    <w:rsid w:val="000802FC"/>
    <w:rsid w:val="000807AC"/>
    <w:rsid w:val="000812CA"/>
    <w:rsid w:val="00082BBE"/>
    <w:rsid w:val="000835E4"/>
    <w:rsid w:val="00083A05"/>
    <w:rsid w:val="00083F66"/>
    <w:rsid w:val="0008468C"/>
    <w:rsid w:val="000847FE"/>
    <w:rsid w:val="00084897"/>
    <w:rsid w:val="00084C19"/>
    <w:rsid w:val="0008507B"/>
    <w:rsid w:val="000854AE"/>
    <w:rsid w:val="00086A0E"/>
    <w:rsid w:val="00086BEA"/>
    <w:rsid w:val="00087242"/>
    <w:rsid w:val="0009037A"/>
    <w:rsid w:val="000905F9"/>
    <w:rsid w:val="00090C7E"/>
    <w:rsid w:val="00090E83"/>
    <w:rsid w:val="000910BA"/>
    <w:rsid w:val="00091601"/>
    <w:rsid w:val="0009177F"/>
    <w:rsid w:val="0009230A"/>
    <w:rsid w:val="000923D6"/>
    <w:rsid w:val="000924A8"/>
    <w:rsid w:val="00092828"/>
    <w:rsid w:val="0009292F"/>
    <w:rsid w:val="00094E39"/>
    <w:rsid w:val="00095106"/>
    <w:rsid w:val="0009514C"/>
    <w:rsid w:val="000972BC"/>
    <w:rsid w:val="000972E3"/>
    <w:rsid w:val="00097564"/>
    <w:rsid w:val="00097922"/>
    <w:rsid w:val="000A0280"/>
    <w:rsid w:val="000A05DB"/>
    <w:rsid w:val="000A06E9"/>
    <w:rsid w:val="000A0E65"/>
    <w:rsid w:val="000A171D"/>
    <w:rsid w:val="000A1BB2"/>
    <w:rsid w:val="000A2317"/>
    <w:rsid w:val="000A2B0B"/>
    <w:rsid w:val="000A2C71"/>
    <w:rsid w:val="000A495C"/>
    <w:rsid w:val="000A51E8"/>
    <w:rsid w:val="000A549D"/>
    <w:rsid w:val="000A6330"/>
    <w:rsid w:val="000A6486"/>
    <w:rsid w:val="000A6BB7"/>
    <w:rsid w:val="000A7C83"/>
    <w:rsid w:val="000B0E43"/>
    <w:rsid w:val="000B0FC0"/>
    <w:rsid w:val="000B15E0"/>
    <w:rsid w:val="000B1947"/>
    <w:rsid w:val="000B1E72"/>
    <w:rsid w:val="000B2319"/>
    <w:rsid w:val="000B23E8"/>
    <w:rsid w:val="000B29E6"/>
    <w:rsid w:val="000B36C6"/>
    <w:rsid w:val="000B3A58"/>
    <w:rsid w:val="000B53E3"/>
    <w:rsid w:val="000B5DD6"/>
    <w:rsid w:val="000B5FBD"/>
    <w:rsid w:val="000B6961"/>
    <w:rsid w:val="000B6ACF"/>
    <w:rsid w:val="000B7224"/>
    <w:rsid w:val="000B7AF6"/>
    <w:rsid w:val="000B7CC7"/>
    <w:rsid w:val="000B7F1E"/>
    <w:rsid w:val="000C0069"/>
    <w:rsid w:val="000C00EF"/>
    <w:rsid w:val="000C1246"/>
    <w:rsid w:val="000C16CE"/>
    <w:rsid w:val="000C1827"/>
    <w:rsid w:val="000C1B7E"/>
    <w:rsid w:val="000C1DDC"/>
    <w:rsid w:val="000C27E6"/>
    <w:rsid w:val="000C2FA8"/>
    <w:rsid w:val="000C385E"/>
    <w:rsid w:val="000C3D3D"/>
    <w:rsid w:val="000C4163"/>
    <w:rsid w:val="000C5182"/>
    <w:rsid w:val="000C5A62"/>
    <w:rsid w:val="000C6208"/>
    <w:rsid w:val="000C6F08"/>
    <w:rsid w:val="000C736E"/>
    <w:rsid w:val="000C7405"/>
    <w:rsid w:val="000C751D"/>
    <w:rsid w:val="000C772A"/>
    <w:rsid w:val="000C7A45"/>
    <w:rsid w:val="000D0191"/>
    <w:rsid w:val="000D02FB"/>
    <w:rsid w:val="000D066D"/>
    <w:rsid w:val="000D0BEB"/>
    <w:rsid w:val="000D182B"/>
    <w:rsid w:val="000D1BFC"/>
    <w:rsid w:val="000D1EE2"/>
    <w:rsid w:val="000D2123"/>
    <w:rsid w:val="000D2AD8"/>
    <w:rsid w:val="000D37BE"/>
    <w:rsid w:val="000D38B9"/>
    <w:rsid w:val="000D3EC3"/>
    <w:rsid w:val="000D4970"/>
    <w:rsid w:val="000D57B5"/>
    <w:rsid w:val="000D635E"/>
    <w:rsid w:val="000D6E91"/>
    <w:rsid w:val="000D73BC"/>
    <w:rsid w:val="000D750E"/>
    <w:rsid w:val="000D7687"/>
    <w:rsid w:val="000E01C3"/>
    <w:rsid w:val="000E0426"/>
    <w:rsid w:val="000E073C"/>
    <w:rsid w:val="000E0CE3"/>
    <w:rsid w:val="000E2126"/>
    <w:rsid w:val="000E274A"/>
    <w:rsid w:val="000E4305"/>
    <w:rsid w:val="000E4795"/>
    <w:rsid w:val="000E58C3"/>
    <w:rsid w:val="000E5EE4"/>
    <w:rsid w:val="000E68CB"/>
    <w:rsid w:val="000E6E49"/>
    <w:rsid w:val="000E7AAE"/>
    <w:rsid w:val="000F03A3"/>
    <w:rsid w:val="000F0990"/>
    <w:rsid w:val="000F122E"/>
    <w:rsid w:val="000F1AFF"/>
    <w:rsid w:val="000F25B2"/>
    <w:rsid w:val="000F2A1D"/>
    <w:rsid w:val="000F2FAA"/>
    <w:rsid w:val="000F3407"/>
    <w:rsid w:val="000F3788"/>
    <w:rsid w:val="000F38EE"/>
    <w:rsid w:val="000F3979"/>
    <w:rsid w:val="000F509D"/>
    <w:rsid w:val="000F50A6"/>
    <w:rsid w:val="000F52AC"/>
    <w:rsid w:val="000F57B6"/>
    <w:rsid w:val="000F594D"/>
    <w:rsid w:val="000F5B28"/>
    <w:rsid w:val="000F5BD1"/>
    <w:rsid w:val="000F6106"/>
    <w:rsid w:val="000F6313"/>
    <w:rsid w:val="000F6A17"/>
    <w:rsid w:val="000F6A73"/>
    <w:rsid w:val="000F6B7C"/>
    <w:rsid w:val="000F6EF4"/>
    <w:rsid w:val="000F6F8E"/>
    <w:rsid w:val="000F7634"/>
    <w:rsid w:val="000F79DA"/>
    <w:rsid w:val="001002DE"/>
    <w:rsid w:val="00100F8A"/>
    <w:rsid w:val="001018AA"/>
    <w:rsid w:val="0010190B"/>
    <w:rsid w:val="00101B03"/>
    <w:rsid w:val="00101F71"/>
    <w:rsid w:val="00102845"/>
    <w:rsid w:val="001033BA"/>
    <w:rsid w:val="0010376F"/>
    <w:rsid w:val="00103976"/>
    <w:rsid w:val="001041C0"/>
    <w:rsid w:val="001041FE"/>
    <w:rsid w:val="001047F5"/>
    <w:rsid w:val="0010488F"/>
    <w:rsid w:val="00104C82"/>
    <w:rsid w:val="00104EEE"/>
    <w:rsid w:val="00105E84"/>
    <w:rsid w:val="00106D94"/>
    <w:rsid w:val="0011032E"/>
    <w:rsid w:val="001105B8"/>
    <w:rsid w:val="00110A29"/>
    <w:rsid w:val="001111E0"/>
    <w:rsid w:val="00112367"/>
    <w:rsid w:val="00112CA5"/>
    <w:rsid w:val="0011384B"/>
    <w:rsid w:val="001143DB"/>
    <w:rsid w:val="00114605"/>
    <w:rsid w:val="00114B4D"/>
    <w:rsid w:val="00114F0B"/>
    <w:rsid w:val="00115706"/>
    <w:rsid w:val="00115B0C"/>
    <w:rsid w:val="00115D7F"/>
    <w:rsid w:val="00116527"/>
    <w:rsid w:val="0011757B"/>
    <w:rsid w:val="00120030"/>
    <w:rsid w:val="001203D2"/>
    <w:rsid w:val="001210B6"/>
    <w:rsid w:val="00121318"/>
    <w:rsid w:val="00121799"/>
    <w:rsid w:val="001217C4"/>
    <w:rsid w:val="001219A1"/>
    <w:rsid w:val="001222FC"/>
    <w:rsid w:val="00122900"/>
    <w:rsid w:val="00122FFC"/>
    <w:rsid w:val="001244B5"/>
    <w:rsid w:val="00124A51"/>
    <w:rsid w:val="00124E29"/>
    <w:rsid w:val="00125DC5"/>
    <w:rsid w:val="00126621"/>
    <w:rsid w:val="00127365"/>
    <w:rsid w:val="00127B2A"/>
    <w:rsid w:val="001301E9"/>
    <w:rsid w:val="00131082"/>
    <w:rsid w:val="00131699"/>
    <w:rsid w:val="00131EC7"/>
    <w:rsid w:val="00132F1F"/>
    <w:rsid w:val="0013380A"/>
    <w:rsid w:val="00133B0D"/>
    <w:rsid w:val="00133F6A"/>
    <w:rsid w:val="00134B67"/>
    <w:rsid w:val="00136520"/>
    <w:rsid w:val="00136750"/>
    <w:rsid w:val="00137002"/>
    <w:rsid w:val="001371A3"/>
    <w:rsid w:val="0013763A"/>
    <w:rsid w:val="00137645"/>
    <w:rsid w:val="0014015A"/>
    <w:rsid w:val="00140E99"/>
    <w:rsid w:val="00140FF1"/>
    <w:rsid w:val="001411EA"/>
    <w:rsid w:val="0014140F"/>
    <w:rsid w:val="001424C9"/>
    <w:rsid w:val="00142C27"/>
    <w:rsid w:val="00142F3D"/>
    <w:rsid w:val="001434A5"/>
    <w:rsid w:val="0014380C"/>
    <w:rsid w:val="00143D27"/>
    <w:rsid w:val="00144A0D"/>
    <w:rsid w:val="001456B0"/>
    <w:rsid w:val="00145723"/>
    <w:rsid w:val="00145823"/>
    <w:rsid w:val="0014596D"/>
    <w:rsid w:val="001462FE"/>
    <w:rsid w:val="001466D7"/>
    <w:rsid w:val="00147080"/>
    <w:rsid w:val="001472B2"/>
    <w:rsid w:val="00147329"/>
    <w:rsid w:val="00147342"/>
    <w:rsid w:val="00147D48"/>
    <w:rsid w:val="001510E8"/>
    <w:rsid w:val="00151A0E"/>
    <w:rsid w:val="00151F4C"/>
    <w:rsid w:val="00152049"/>
    <w:rsid w:val="00152B11"/>
    <w:rsid w:val="00152DBA"/>
    <w:rsid w:val="00152F61"/>
    <w:rsid w:val="001532E5"/>
    <w:rsid w:val="00154877"/>
    <w:rsid w:val="001551BB"/>
    <w:rsid w:val="00155B26"/>
    <w:rsid w:val="00156ECB"/>
    <w:rsid w:val="001570CB"/>
    <w:rsid w:val="00157130"/>
    <w:rsid w:val="001574C1"/>
    <w:rsid w:val="001608CD"/>
    <w:rsid w:val="00160F6E"/>
    <w:rsid w:val="001610FE"/>
    <w:rsid w:val="00161146"/>
    <w:rsid w:val="001617AD"/>
    <w:rsid w:val="00161C36"/>
    <w:rsid w:val="001620E6"/>
    <w:rsid w:val="0016281C"/>
    <w:rsid w:val="00162913"/>
    <w:rsid w:val="0016291D"/>
    <w:rsid w:val="001629C2"/>
    <w:rsid w:val="00162C50"/>
    <w:rsid w:val="00163EFF"/>
    <w:rsid w:val="0016415C"/>
    <w:rsid w:val="0016548C"/>
    <w:rsid w:val="001655EA"/>
    <w:rsid w:val="001661FB"/>
    <w:rsid w:val="00167B80"/>
    <w:rsid w:val="001704AF"/>
    <w:rsid w:val="0017051B"/>
    <w:rsid w:val="0017075B"/>
    <w:rsid w:val="00170E73"/>
    <w:rsid w:val="001714DD"/>
    <w:rsid w:val="00171C59"/>
    <w:rsid w:val="00172D4E"/>
    <w:rsid w:val="00172F52"/>
    <w:rsid w:val="001735D2"/>
    <w:rsid w:val="001748D7"/>
    <w:rsid w:val="001754A3"/>
    <w:rsid w:val="00175731"/>
    <w:rsid w:val="00175C20"/>
    <w:rsid w:val="00175C96"/>
    <w:rsid w:val="00176656"/>
    <w:rsid w:val="00176918"/>
    <w:rsid w:val="00176C24"/>
    <w:rsid w:val="0017789E"/>
    <w:rsid w:val="00177A89"/>
    <w:rsid w:val="001806A3"/>
    <w:rsid w:val="0018106E"/>
    <w:rsid w:val="0018127D"/>
    <w:rsid w:val="001812DE"/>
    <w:rsid w:val="00181527"/>
    <w:rsid w:val="00181FD1"/>
    <w:rsid w:val="00182DA7"/>
    <w:rsid w:val="0018350F"/>
    <w:rsid w:val="00183BFF"/>
    <w:rsid w:val="00184D29"/>
    <w:rsid w:val="001852FD"/>
    <w:rsid w:val="001855DF"/>
    <w:rsid w:val="0018690E"/>
    <w:rsid w:val="00186D38"/>
    <w:rsid w:val="00186DE6"/>
    <w:rsid w:val="00187018"/>
    <w:rsid w:val="0019092D"/>
    <w:rsid w:val="00191155"/>
    <w:rsid w:val="00191657"/>
    <w:rsid w:val="00191A11"/>
    <w:rsid w:val="00191D95"/>
    <w:rsid w:val="001929D0"/>
    <w:rsid w:val="00192B9E"/>
    <w:rsid w:val="00192BBD"/>
    <w:rsid w:val="00193372"/>
    <w:rsid w:val="001933AE"/>
    <w:rsid w:val="0019345A"/>
    <w:rsid w:val="00193998"/>
    <w:rsid w:val="00193F88"/>
    <w:rsid w:val="001947C7"/>
    <w:rsid w:val="001948B5"/>
    <w:rsid w:val="001949B6"/>
    <w:rsid w:val="001950A3"/>
    <w:rsid w:val="00195222"/>
    <w:rsid w:val="00195979"/>
    <w:rsid w:val="00195DE0"/>
    <w:rsid w:val="00195E9B"/>
    <w:rsid w:val="001960D0"/>
    <w:rsid w:val="001971A6"/>
    <w:rsid w:val="001975D8"/>
    <w:rsid w:val="00197D66"/>
    <w:rsid w:val="00197DCF"/>
    <w:rsid w:val="001A02D9"/>
    <w:rsid w:val="001A0E0F"/>
    <w:rsid w:val="001A0FCD"/>
    <w:rsid w:val="001A1B7F"/>
    <w:rsid w:val="001A313C"/>
    <w:rsid w:val="001A3B12"/>
    <w:rsid w:val="001A3FCA"/>
    <w:rsid w:val="001A4679"/>
    <w:rsid w:val="001A5F36"/>
    <w:rsid w:val="001A62C7"/>
    <w:rsid w:val="001A6696"/>
    <w:rsid w:val="001A6832"/>
    <w:rsid w:val="001A6F6F"/>
    <w:rsid w:val="001B028D"/>
    <w:rsid w:val="001B0699"/>
    <w:rsid w:val="001B0C12"/>
    <w:rsid w:val="001B272D"/>
    <w:rsid w:val="001B2D68"/>
    <w:rsid w:val="001B3443"/>
    <w:rsid w:val="001B37C1"/>
    <w:rsid w:val="001B3E66"/>
    <w:rsid w:val="001B4D28"/>
    <w:rsid w:val="001B573F"/>
    <w:rsid w:val="001B6188"/>
    <w:rsid w:val="001B6D2E"/>
    <w:rsid w:val="001B7A44"/>
    <w:rsid w:val="001B7C65"/>
    <w:rsid w:val="001C08BD"/>
    <w:rsid w:val="001C0A84"/>
    <w:rsid w:val="001C1030"/>
    <w:rsid w:val="001C12DC"/>
    <w:rsid w:val="001C14A4"/>
    <w:rsid w:val="001C1E04"/>
    <w:rsid w:val="001C1E26"/>
    <w:rsid w:val="001C2364"/>
    <w:rsid w:val="001C2625"/>
    <w:rsid w:val="001C3989"/>
    <w:rsid w:val="001C4742"/>
    <w:rsid w:val="001C4B92"/>
    <w:rsid w:val="001C4DD1"/>
    <w:rsid w:val="001C5EE6"/>
    <w:rsid w:val="001C627F"/>
    <w:rsid w:val="001C6E66"/>
    <w:rsid w:val="001C6F3A"/>
    <w:rsid w:val="001C70A6"/>
    <w:rsid w:val="001C7871"/>
    <w:rsid w:val="001D112E"/>
    <w:rsid w:val="001D1593"/>
    <w:rsid w:val="001D21A6"/>
    <w:rsid w:val="001D2A49"/>
    <w:rsid w:val="001D508D"/>
    <w:rsid w:val="001D532E"/>
    <w:rsid w:val="001D5368"/>
    <w:rsid w:val="001D541D"/>
    <w:rsid w:val="001D5550"/>
    <w:rsid w:val="001D6BEC"/>
    <w:rsid w:val="001D7CD4"/>
    <w:rsid w:val="001E0373"/>
    <w:rsid w:val="001E0A1B"/>
    <w:rsid w:val="001E0B4D"/>
    <w:rsid w:val="001E2368"/>
    <w:rsid w:val="001E238E"/>
    <w:rsid w:val="001E2C65"/>
    <w:rsid w:val="001E348C"/>
    <w:rsid w:val="001E3817"/>
    <w:rsid w:val="001E4508"/>
    <w:rsid w:val="001E451A"/>
    <w:rsid w:val="001E4AC9"/>
    <w:rsid w:val="001E4F85"/>
    <w:rsid w:val="001E52EB"/>
    <w:rsid w:val="001E54C7"/>
    <w:rsid w:val="001E6522"/>
    <w:rsid w:val="001E6D10"/>
    <w:rsid w:val="001E740C"/>
    <w:rsid w:val="001F05FF"/>
    <w:rsid w:val="001F0942"/>
    <w:rsid w:val="001F0991"/>
    <w:rsid w:val="001F0D75"/>
    <w:rsid w:val="001F0FD6"/>
    <w:rsid w:val="001F1235"/>
    <w:rsid w:val="001F191E"/>
    <w:rsid w:val="001F1CB3"/>
    <w:rsid w:val="001F25A5"/>
    <w:rsid w:val="001F26A1"/>
    <w:rsid w:val="001F29E0"/>
    <w:rsid w:val="001F32E7"/>
    <w:rsid w:val="001F38F3"/>
    <w:rsid w:val="001F3F67"/>
    <w:rsid w:val="001F4D71"/>
    <w:rsid w:val="001F4F14"/>
    <w:rsid w:val="001F525D"/>
    <w:rsid w:val="001F52F4"/>
    <w:rsid w:val="001F69CB"/>
    <w:rsid w:val="001F6CCF"/>
    <w:rsid w:val="001F7361"/>
    <w:rsid w:val="002010C7"/>
    <w:rsid w:val="00201A59"/>
    <w:rsid w:val="00201D20"/>
    <w:rsid w:val="00201EA5"/>
    <w:rsid w:val="00202543"/>
    <w:rsid w:val="002025FE"/>
    <w:rsid w:val="00202794"/>
    <w:rsid w:val="00203297"/>
    <w:rsid w:val="00203605"/>
    <w:rsid w:val="00203C2F"/>
    <w:rsid w:val="00203F46"/>
    <w:rsid w:val="002049D8"/>
    <w:rsid w:val="002054BA"/>
    <w:rsid w:val="002057CF"/>
    <w:rsid w:val="00205F5A"/>
    <w:rsid w:val="00206371"/>
    <w:rsid w:val="00206EEC"/>
    <w:rsid w:val="00207336"/>
    <w:rsid w:val="002073D3"/>
    <w:rsid w:val="00207822"/>
    <w:rsid w:val="0021036F"/>
    <w:rsid w:val="00210564"/>
    <w:rsid w:val="002105C1"/>
    <w:rsid w:val="002108BD"/>
    <w:rsid w:val="00210A3F"/>
    <w:rsid w:val="00210DA2"/>
    <w:rsid w:val="0021131F"/>
    <w:rsid w:val="002115D8"/>
    <w:rsid w:val="0021240E"/>
    <w:rsid w:val="00213C84"/>
    <w:rsid w:val="0021456B"/>
    <w:rsid w:val="00214803"/>
    <w:rsid w:val="00214CDD"/>
    <w:rsid w:val="002152DA"/>
    <w:rsid w:val="00215B35"/>
    <w:rsid w:val="002165A5"/>
    <w:rsid w:val="00217A5F"/>
    <w:rsid w:val="0022055F"/>
    <w:rsid w:val="002209D4"/>
    <w:rsid w:val="00220A94"/>
    <w:rsid w:val="00220B03"/>
    <w:rsid w:val="00220C06"/>
    <w:rsid w:val="00221A0C"/>
    <w:rsid w:val="00221F3D"/>
    <w:rsid w:val="00222B57"/>
    <w:rsid w:val="00222F51"/>
    <w:rsid w:val="00223512"/>
    <w:rsid w:val="0022351B"/>
    <w:rsid w:val="002235BB"/>
    <w:rsid w:val="00223633"/>
    <w:rsid w:val="00223B49"/>
    <w:rsid w:val="00224DD4"/>
    <w:rsid w:val="00224FCF"/>
    <w:rsid w:val="00224FD0"/>
    <w:rsid w:val="00225657"/>
    <w:rsid w:val="0022587B"/>
    <w:rsid w:val="00225F2E"/>
    <w:rsid w:val="0022637E"/>
    <w:rsid w:val="002270E2"/>
    <w:rsid w:val="0022766B"/>
    <w:rsid w:val="0022788D"/>
    <w:rsid w:val="00227B42"/>
    <w:rsid w:val="0023016D"/>
    <w:rsid w:val="002309CC"/>
    <w:rsid w:val="00230A8D"/>
    <w:rsid w:val="00231FB8"/>
    <w:rsid w:val="0023241D"/>
    <w:rsid w:val="00232CAE"/>
    <w:rsid w:val="00233286"/>
    <w:rsid w:val="0023372D"/>
    <w:rsid w:val="00233D16"/>
    <w:rsid w:val="00233F15"/>
    <w:rsid w:val="00233F44"/>
    <w:rsid w:val="002347C8"/>
    <w:rsid w:val="00234A0F"/>
    <w:rsid w:val="00235016"/>
    <w:rsid w:val="002354D0"/>
    <w:rsid w:val="00235CF4"/>
    <w:rsid w:val="00235DA1"/>
    <w:rsid w:val="00236008"/>
    <w:rsid w:val="00237112"/>
    <w:rsid w:val="00237353"/>
    <w:rsid w:val="002376AF"/>
    <w:rsid w:val="00240334"/>
    <w:rsid w:val="0024044E"/>
    <w:rsid w:val="00240736"/>
    <w:rsid w:val="002408B1"/>
    <w:rsid w:val="00240A6C"/>
    <w:rsid w:val="00240DEB"/>
    <w:rsid w:val="00240F1D"/>
    <w:rsid w:val="00241462"/>
    <w:rsid w:val="002415F9"/>
    <w:rsid w:val="002416C7"/>
    <w:rsid w:val="00242563"/>
    <w:rsid w:val="0024271F"/>
    <w:rsid w:val="00243451"/>
    <w:rsid w:val="00243485"/>
    <w:rsid w:val="002435E3"/>
    <w:rsid w:val="0024395A"/>
    <w:rsid w:val="0024520B"/>
    <w:rsid w:val="0024531C"/>
    <w:rsid w:val="00245580"/>
    <w:rsid w:val="00245D80"/>
    <w:rsid w:val="0024636F"/>
    <w:rsid w:val="00246612"/>
    <w:rsid w:val="0024668E"/>
    <w:rsid w:val="00246B63"/>
    <w:rsid w:val="00247146"/>
    <w:rsid w:val="0025178D"/>
    <w:rsid w:val="0025185E"/>
    <w:rsid w:val="002518F2"/>
    <w:rsid w:val="00251FD4"/>
    <w:rsid w:val="002527F9"/>
    <w:rsid w:val="00252CF4"/>
    <w:rsid w:val="002539E0"/>
    <w:rsid w:val="00253C7C"/>
    <w:rsid w:val="00253DED"/>
    <w:rsid w:val="00253E91"/>
    <w:rsid w:val="002545A3"/>
    <w:rsid w:val="00254989"/>
    <w:rsid w:val="0025534B"/>
    <w:rsid w:val="0025579F"/>
    <w:rsid w:val="00255A0A"/>
    <w:rsid w:val="00255ACC"/>
    <w:rsid w:val="00255BB7"/>
    <w:rsid w:val="00255FAD"/>
    <w:rsid w:val="002563C0"/>
    <w:rsid w:val="0025689F"/>
    <w:rsid w:val="00256995"/>
    <w:rsid w:val="00256D5B"/>
    <w:rsid w:val="002570C5"/>
    <w:rsid w:val="00257C54"/>
    <w:rsid w:val="002606E5"/>
    <w:rsid w:val="00260A03"/>
    <w:rsid w:val="00260E06"/>
    <w:rsid w:val="00261326"/>
    <w:rsid w:val="0026136D"/>
    <w:rsid w:val="00261398"/>
    <w:rsid w:val="00261A12"/>
    <w:rsid w:val="00262A87"/>
    <w:rsid w:val="00263225"/>
    <w:rsid w:val="00263D1C"/>
    <w:rsid w:val="0026410E"/>
    <w:rsid w:val="00264893"/>
    <w:rsid w:val="00264ECF"/>
    <w:rsid w:val="0026563B"/>
    <w:rsid w:val="002657CB"/>
    <w:rsid w:val="00266274"/>
    <w:rsid w:val="00266C28"/>
    <w:rsid w:val="0027004A"/>
    <w:rsid w:val="00270538"/>
    <w:rsid w:val="002707BC"/>
    <w:rsid w:val="002710BF"/>
    <w:rsid w:val="0027123E"/>
    <w:rsid w:val="002713FD"/>
    <w:rsid w:val="00272A06"/>
    <w:rsid w:val="002734CD"/>
    <w:rsid w:val="0027353E"/>
    <w:rsid w:val="00273914"/>
    <w:rsid w:val="00273F9E"/>
    <w:rsid w:val="00274903"/>
    <w:rsid w:val="00274DF2"/>
    <w:rsid w:val="00274E21"/>
    <w:rsid w:val="00274E38"/>
    <w:rsid w:val="00274FC3"/>
    <w:rsid w:val="002751BC"/>
    <w:rsid w:val="00275C5A"/>
    <w:rsid w:val="002765BB"/>
    <w:rsid w:val="00276FBB"/>
    <w:rsid w:val="00277CF5"/>
    <w:rsid w:val="002806F1"/>
    <w:rsid w:val="00280BB3"/>
    <w:rsid w:val="002815C7"/>
    <w:rsid w:val="00281697"/>
    <w:rsid w:val="002819C1"/>
    <w:rsid w:val="00281CB9"/>
    <w:rsid w:val="00282392"/>
    <w:rsid w:val="00282E63"/>
    <w:rsid w:val="00283042"/>
    <w:rsid w:val="0028326E"/>
    <w:rsid w:val="00283607"/>
    <w:rsid w:val="00283A52"/>
    <w:rsid w:val="00283E28"/>
    <w:rsid w:val="00284539"/>
    <w:rsid w:val="002845C3"/>
    <w:rsid w:val="002849BF"/>
    <w:rsid w:val="00285302"/>
    <w:rsid w:val="00285CDC"/>
    <w:rsid w:val="002863DD"/>
    <w:rsid w:val="00286529"/>
    <w:rsid w:val="00286752"/>
    <w:rsid w:val="0028727E"/>
    <w:rsid w:val="00287695"/>
    <w:rsid w:val="00290F32"/>
    <w:rsid w:val="00291EA0"/>
    <w:rsid w:val="00291FF7"/>
    <w:rsid w:val="002921C3"/>
    <w:rsid w:val="0029240B"/>
    <w:rsid w:val="00292AAD"/>
    <w:rsid w:val="00293120"/>
    <w:rsid w:val="00294336"/>
    <w:rsid w:val="00294996"/>
    <w:rsid w:val="002951BF"/>
    <w:rsid w:val="002953D4"/>
    <w:rsid w:val="00295429"/>
    <w:rsid w:val="002959E0"/>
    <w:rsid w:val="002973D6"/>
    <w:rsid w:val="00297C22"/>
    <w:rsid w:val="002A14AB"/>
    <w:rsid w:val="002A1962"/>
    <w:rsid w:val="002A1D4C"/>
    <w:rsid w:val="002A1FAF"/>
    <w:rsid w:val="002A248E"/>
    <w:rsid w:val="002A3B33"/>
    <w:rsid w:val="002A4A38"/>
    <w:rsid w:val="002A4ACF"/>
    <w:rsid w:val="002A503D"/>
    <w:rsid w:val="002A52CA"/>
    <w:rsid w:val="002A563B"/>
    <w:rsid w:val="002A611A"/>
    <w:rsid w:val="002A67AB"/>
    <w:rsid w:val="002A68B4"/>
    <w:rsid w:val="002A6D26"/>
    <w:rsid w:val="002A6E81"/>
    <w:rsid w:val="002A70EF"/>
    <w:rsid w:val="002B0577"/>
    <w:rsid w:val="002B089E"/>
    <w:rsid w:val="002B0A18"/>
    <w:rsid w:val="002B0E11"/>
    <w:rsid w:val="002B1C1F"/>
    <w:rsid w:val="002B1E6C"/>
    <w:rsid w:val="002B20F0"/>
    <w:rsid w:val="002B3134"/>
    <w:rsid w:val="002B3931"/>
    <w:rsid w:val="002B432F"/>
    <w:rsid w:val="002B4D3B"/>
    <w:rsid w:val="002B6CCE"/>
    <w:rsid w:val="002B7727"/>
    <w:rsid w:val="002B7DAC"/>
    <w:rsid w:val="002C161D"/>
    <w:rsid w:val="002C21D8"/>
    <w:rsid w:val="002C27C1"/>
    <w:rsid w:val="002C2878"/>
    <w:rsid w:val="002C28B5"/>
    <w:rsid w:val="002C44D8"/>
    <w:rsid w:val="002C5543"/>
    <w:rsid w:val="002C567A"/>
    <w:rsid w:val="002C5A72"/>
    <w:rsid w:val="002C6276"/>
    <w:rsid w:val="002C7B1C"/>
    <w:rsid w:val="002D0716"/>
    <w:rsid w:val="002D0BF2"/>
    <w:rsid w:val="002D147F"/>
    <w:rsid w:val="002D1731"/>
    <w:rsid w:val="002D2B3D"/>
    <w:rsid w:val="002D382C"/>
    <w:rsid w:val="002D3E1D"/>
    <w:rsid w:val="002D49A9"/>
    <w:rsid w:val="002D4A4A"/>
    <w:rsid w:val="002D6AE6"/>
    <w:rsid w:val="002D7649"/>
    <w:rsid w:val="002D788E"/>
    <w:rsid w:val="002D7DCE"/>
    <w:rsid w:val="002E09BE"/>
    <w:rsid w:val="002E0D93"/>
    <w:rsid w:val="002E1271"/>
    <w:rsid w:val="002E1547"/>
    <w:rsid w:val="002E18C6"/>
    <w:rsid w:val="002E1C6D"/>
    <w:rsid w:val="002E1D28"/>
    <w:rsid w:val="002E1DBB"/>
    <w:rsid w:val="002E2274"/>
    <w:rsid w:val="002E23D1"/>
    <w:rsid w:val="002E27F3"/>
    <w:rsid w:val="002E287D"/>
    <w:rsid w:val="002E3363"/>
    <w:rsid w:val="002E528B"/>
    <w:rsid w:val="002E5706"/>
    <w:rsid w:val="002E5B59"/>
    <w:rsid w:val="002E5BCB"/>
    <w:rsid w:val="002E5F27"/>
    <w:rsid w:val="002E6FFE"/>
    <w:rsid w:val="002E758B"/>
    <w:rsid w:val="002E7689"/>
    <w:rsid w:val="002F00DE"/>
    <w:rsid w:val="002F03E0"/>
    <w:rsid w:val="002F07CF"/>
    <w:rsid w:val="002F0836"/>
    <w:rsid w:val="002F0EB5"/>
    <w:rsid w:val="002F13FF"/>
    <w:rsid w:val="002F15C8"/>
    <w:rsid w:val="002F2074"/>
    <w:rsid w:val="002F34BC"/>
    <w:rsid w:val="002F4382"/>
    <w:rsid w:val="002F4835"/>
    <w:rsid w:val="002F4B87"/>
    <w:rsid w:val="002F4E29"/>
    <w:rsid w:val="002F4F8C"/>
    <w:rsid w:val="002F51FD"/>
    <w:rsid w:val="002F5555"/>
    <w:rsid w:val="002F5913"/>
    <w:rsid w:val="002F5918"/>
    <w:rsid w:val="002F6FC4"/>
    <w:rsid w:val="002F7C70"/>
    <w:rsid w:val="003000F1"/>
    <w:rsid w:val="00300AAE"/>
    <w:rsid w:val="00301017"/>
    <w:rsid w:val="0030111C"/>
    <w:rsid w:val="0030294F"/>
    <w:rsid w:val="00302AAA"/>
    <w:rsid w:val="0030338D"/>
    <w:rsid w:val="003037DA"/>
    <w:rsid w:val="00303D41"/>
    <w:rsid w:val="00304568"/>
    <w:rsid w:val="00304CF8"/>
    <w:rsid w:val="00304D3B"/>
    <w:rsid w:val="00305769"/>
    <w:rsid w:val="003058FC"/>
    <w:rsid w:val="00305EA5"/>
    <w:rsid w:val="00305EE9"/>
    <w:rsid w:val="00305F32"/>
    <w:rsid w:val="0030654E"/>
    <w:rsid w:val="00306D49"/>
    <w:rsid w:val="003070A4"/>
    <w:rsid w:val="00307711"/>
    <w:rsid w:val="0030786C"/>
    <w:rsid w:val="00307D95"/>
    <w:rsid w:val="00310188"/>
    <w:rsid w:val="0031031A"/>
    <w:rsid w:val="00310CA1"/>
    <w:rsid w:val="00313D19"/>
    <w:rsid w:val="00315498"/>
    <w:rsid w:val="00315F3F"/>
    <w:rsid w:val="00315FD4"/>
    <w:rsid w:val="0031641A"/>
    <w:rsid w:val="00317852"/>
    <w:rsid w:val="00317D16"/>
    <w:rsid w:val="00317E34"/>
    <w:rsid w:val="003200DD"/>
    <w:rsid w:val="00320811"/>
    <w:rsid w:val="0032133B"/>
    <w:rsid w:val="003214B2"/>
    <w:rsid w:val="003226D2"/>
    <w:rsid w:val="003226E1"/>
    <w:rsid w:val="0032286C"/>
    <w:rsid w:val="00322ABC"/>
    <w:rsid w:val="00322F8E"/>
    <w:rsid w:val="003234D9"/>
    <w:rsid w:val="00323CCE"/>
    <w:rsid w:val="00323D82"/>
    <w:rsid w:val="00323F39"/>
    <w:rsid w:val="00324513"/>
    <w:rsid w:val="0032451A"/>
    <w:rsid w:val="00324702"/>
    <w:rsid w:val="003247A8"/>
    <w:rsid w:val="00324E00"/>
    <w:rsid w:val="003252A1"/>
    <w:rsid w:val="00325785"/>
    <w:rsid w:val="00326145"/>
    <w:rsid w:val="003262E9"/>
    <w:rsid w:val="003262EE"/>
    <w:rsid w:val="0032649D"/>
    <w:rsid w:val="00326A4E"/>
    <w:rsid w:val="0032720C"/>
    <w:rsid w:val="0032735B"/>
    <w:rsid w:val="003274D0"/>
    <w:rsid w:val="00327502"/>
    <w:rsid w:val="0032755A"/>
    <w:rsid w:val="003276A8"/>
    <w:rsid w:val="00327E3B"/>
    <w:rsid w:val="00327FD6"/>
    <w:rsid w:val="0033028E"/>
    <w:rsid w:val="00330BDE"/>
    <w:rsid w:val="00331A25"/>
    <w:rsid w:val="00331A2C"/>
    <w:rsid w:val="003324FB"/>
    <w:rsid w:val="00332948"/>
    <w:rsid w:val="00332CD5"/>
    <w:rsid w:val="003344C7"/>
    <w:rsid w:val="00334EBB"/>
    <w:rsid w:val="00335238"/>
    <w:rsid w:val="00335512"/>
    <w:rsid w:val="00336476"/>
    <w:rsid w:val="003366C9"/>
    <w:rsid w:val="00337069"/>
    <w:rsid w:val="003371A2"/>
    <w:rsid w:val="003376CA"/>
    <w:rsid w:val="00337996"/>
    <w:rsid w:val="0034040A"/>
    <w:rsid w:val="00340951"/>
    <w:rsid w:val="00340E39"/>
    <w:rsid w:val="00340FD2"/>
    <w:rsid w:val="00341F36"/>
    <w:rsid w:val="00342539"/>
    <w:rsid w:val="00342739"/>
    <w:rsid w:val="00342CCF"/>
    <w:rsid w:val="00342D71"/>
    <w:rsid w:val="00342E66"/>
    <w:rsid w:val="00342F88"/>
    <w:rsid w:val="0034305F"/>
    <w:rsid w:val="00343A2C"/>
    <w:rsid w:val="00343B92"/>
    <w:rsid w:val="00345877"/>
    <w:rsid w:val="003461AD"/>
    <w:rsid w:val="003465A9"/>
    <w:rsid w:val="0034669D"/>
    <w:rsid w:val="003468A3"/>
    <w:rsid w:val="00346EED"/>
    <w:rsid w:val="00347BBD"/>
    <w:rsid w:val="00347CB7"/>
    <w:rsid w:val="003500AF"/>
    <w:rsid w:val="0035171A"/>
    <w:rsid w:val="00351EAC"/>
    <w:rsid w:val="003521E6"/>
    <w:rsid w:val="00352377"/>
    <w:rsid w:val="0035271B"/>
    <w:rsid w:val="0035280D"/>
    <w:rsid w:val="00352869"/>
    <w:rsid w:val="00352F6F"/>
    <w:rsid w:val="003532C1"/>
    <w:rsid w:val="0035387E"/>
    <w:rsid w:val="00353CA1"/>
    <w:rsid w:val="003540D2"/>
    <w:rsid w:val="003549A4"/>
    <w:rsid w:val="0035620E"/>
    <w:rsid w:val="00356F69"/>
    <w:rsid w:val="00360EAE"/>
    <w:rsid w:val="003621AB"/>
    <w:rsid w:val="00363956"/>
    <w:rsid w:val="00364001"/>
    <w:rsid w:val="003645B7"/>
    <w:rsid w:val="00364C15"/>
    <w:rsid w:val="003650DC"/>
    <w:rsid w:val="003657C2"/>
    <w:rsid w:val="00366388"/>
    <w:rsid w:val="00366ED3"/>
    <w:rsid w:val="00370431"/>
    <w:rsid w:val="003705F5"/>
    <w:rsid w:val="003718D3"/>
    <w:rsid w:val="00371C3F"/>
    <w:rsid w:val="00372BA1"/>
    <w:rsid w:val="00373A2A"/>
    <w:rsid w:val="00373C1E"/>
    <w:rsid w:val="00374F2C"/>
    <w:rsid w:val="0037500A"/>
    <w:rsid w:val="0037522A"/>
    <w:rsid w:val="0037523C"/>
    <w:rsid w:val="003757C8"/>
    <w:rsid w:val="003758EC"/>
    <w:rsid w:val="00376DF0"/>
    <w:rsid w:val="00376FBC"/>
    <w:rsid w:val="00377B64"/>
    <w:rsid w:val="00377DAF"/>
    <w:rsid w:val="003812F4"/>
    <w:rsid w:val="00381BF2"/>
    <w:rsid w:val="00382410"/>
    <w:rsid w:val="00382AB3"/>
    <w:rsid w:val="0038365C"/>
    <w:rsid w:val="00383710"/>
    <w:rsid w:val="00383CB7"/>
    <w:rsid w:val="00383FB8"/>
    <w:rsid w:val="003840C9"/>
    <w:rsid w:val="00384A8A"/>
    <w:rsid w:val="00384E24"/>
    <w:rsid w:val="00385C69"/>
    <w:rsid w:val="0038650E"/>
    <w:rsid w:val="00386B51"/>
    <w:rsid w:val="00386C47"/>
    <w:rsid w:val="00387402"/>
    <w:rsid w:val="00387C7F"/>
    <w:rsid w:val="00387DC9"/>
    <w:rsid w:val="003911C9"/>
    <w:rsid w:val="00391526"/>
    <w:rsid w:val="00393B4D"/>
    <w:rsid w:val="00393D33"/>
    <w:rsid w:val="00393F75"/>
    <w:rsid w:val="00395016"/>
    <w:rsid w:val="0039554E"/>
    <w:rsid w:val="00395AF3"/>
    <w:rsid w:val="00395D9C"/>
    <w:rsid w:val="00396304"/>
    <w:rsid w:val="003964B2"/>
    <w:rsid w:val="003965C1"/>
    <w:rsid w:val="00396FD0"/>
    <w:rsid w:val="00397626"/>
    <w:rsid w:val="003976E0"/>
    <w:rsid w:val="00397B11"/>
    <w:rsid w:val="003A1A7A"/>
    <w:rsid w:val="003A24F4"/>
    <w:rsid w:val="003A2A12"/>
    <w:rsid w:val="003A2B39"/>
    <w:rsid w:val="003A2C74"/>
    <w:rsid w:val="003A3331"/>
    <w:rsid w:val="003A51A0"/>
    <w:rsid w:val="003A53DB"/>
    <w:rsid w:val="003A5EB0"/>
    <w:rsid w:val="003A76EA"/>
    <w:rsid w:val="003A7A57"/>
    <w:rsid w:val="003A7E50"/>
    <w:rsid w:val="003B1152"/>
    <w:rsid w:val="003B18C5"/>
    <w:rsid w:val="003B2240"/>
    <w:rsid w:val="003B25E1"/>
    <w:rsid w:val="003B3B9C"/>
    <w:rsid w:val="003B3BEF"/>
    <w:rsid w:val="003B4217"/>
    <w:rsid w:val="003B43D3"/>
    <w:rsid w:val="003B4993"/>
    <w:rsid w:val="003B4B69"/>
    <w:rsid w:val="003B6521"/>
    <w:rsid w:val="003B70F7"/>
    <w:rsid w:val="003B7592"/>
    <w:rsid w:val="003C01EA"/>
    <w:rsid w:val="003C067E"/>
    <w:rsid w:val="003C0959"/>
    <w:rsid w:val="003C127A"/>
    <w:rsid w:val="003C1386"/>
    <w:rsid w:val="003C185E"/>
    <w:rsid w:val="003C1D7F"/>
    <w:rsid w:val="003C223D"/>
    <w:rsid w:val="003C27E0"/>
    <w:rsid w:val="003C29C5"/>
    <w:rsid w:val="003C3124"/>
    <w:rsid w:val="003C38AE"/>
    <w:rsid w:val="003C3E10"/>
    <w:rsid w:val="003C3F63"/>
    <w:rsid w:val="003C4E1B"/>
    <w:rsid w:val="003C4FBF"/>
    <w:rsid w:val="003C6349"/>
    <w:rsid w:val="003C6706"/>
    <w:rsid w:val="003D052C"/>
    <w:rsid w:val="003D071C"/>
    <w:rsid w:val="003D0B04"/>
    <w:rsid w:val="003D108C"/>
    <w:rsid w:val="003D1828"/>
    <w:rsid w:val="003D1E55"/>
    <w:rsid w:val="003D23FB"/>
    <w:rsid w:val="003D2422"/>
    <w:rsid w:val="003D259A"/>
    <w:rsid w:val="003D2694"/>
    <w:rsid w:val="003D34D8"/>
    <w:rsid w:val="003D4476"/>
    <w:rsid w:val="003D4CFA"/>
    <w:rsid w:val="003D4FE3"/>
    <w:rsid w:val="003D5A21"/>
    <w:rsid w:val="003D5DCE"/>
    <w:rsid w:val="003D62B8"/>
    <w:rsid w:val="003D63AC"/>
    <w:rsid w:val="003D6491"/>
    <w:rsid w:val="003D7376"/>
    <w:rsid w:val="003D792F"/>
    <w:rsid w:val="003E0131"/>
    <w:rsid w:val="003E037F"/>
    <w:rsid w:val="003E0A8D"/>
    <w:rsid w:val="003E0B09"/>
    <w:rsid w:val="003E1F74"/>
    <w:rsid w:val="003E2BD3"/>
    <w:rsid w:val="003E3DD9"/>
    <w:rsid w:val="003E420E"/>
    <w:rsid w:val="003E45DE"/>
    <w:rsid w:val="003E47ED"/>
    <w:rsid w:val="003E4BD0"/>
    <w:rsid w:val="003E52A2"/>
    <w:rsid w:val="003E557D"/>
    <w:rsid w:val="003E57E6"/>
    <w:rsid w:val="003E5A3F"/>
    <w:rsid w:val="003E6B39"/>
    <w:rsid w:val="003F0126"/>
    <w:rsid w:val="003F018C"/>
    <w:rsid w:val="003F03B7"/>
    <w:rsid w:val="003F0772"/>
    <w:rsid w:val="003F0D47"/>
    <w:rsid w:val="003F1A49"/>
    <w:rsid w:val="003F25DD"/>
    <w:rsid w:val="003F2C02"/>
    <w:rsid w:val="003F2DB8"/>
    <w:rsid w:val="003F363D"/>
    <w:rsid w:val="003F4156"/>
    <w:rsid w:val="003F4362"/>
    <w:rsid w:val="003F481E"/>
    <w:rsid w:val="003F4B2F"/>
    <w:rsid w:val="003F636F"/>
    <w:rsid w:val="003F6872"/>
    <w:rsid w:val="003F6965"/>
    <w:rsid w:val="003F6987"/>
    <w:rsid w:val="003F6E1E"/>
    <w:rsid w:val="003F6E5A"/>
    <w:rsid w:val="003F6E9B"/>
    <w:rsid w:val="003F7C3F"/>
    <w:rsid w:val="003F7D3C"/>
    <w:rsid w:val="003F7F07"/>
    <w:rsid w:val="00400360"/>
    <w:rsid w:val="00400804"/>
    <w:rsid w:val="004008C3"/>
    <w:rsid w:val="00400AAA"/>
    <w:rsid w:val="00400DF8"/>
    <w:rsid w:val="00401851"/>
    <w:rsid w:val="004019FE"/>
    <w:rsid w:val="00401C25"/>
    <w:rsid w:val="00401CF2"/>
    <w:rsid w:val="004023C6"/>
    <w:rsid w:val="0040248B"/>
    <w:rsid w:val="00402856"/>
    <w:rsid w:val="004030E1"/>
    <w:rsid w:val="004045F7"/>
    <w:rsid w:val="00404D3D"/>
    <w:rsid w:val="00405DEF"/>
    <w:rsid w:val="00406548"/>
    <w:rsid w:val="004102AF"/>
    <w:rsid w:val="00410728"/>
    <w:rsid w:val="00410CD3"/>
    <w:rsid w:val="00410EC7"/>
    <w:rsid w:val="0041127F"/>
    <w:rsid w:val="00411BB3"/>
    <w:rsid w:val="00411DB0"/>
    <w:rsid w:val="00411F3C"/>
    <w:rsid w:val="00412C2F"/>
    <w:rsid w:val="004131D8"/>
    <w:rsid w:val="004135D5"/>
    <w:rsid w:val="004138DF"/>
    <w:rsid w:val="00414476"/>
    <w:rsid w:val="0041456D"/>
    <w:rsid w:val="004149BC"/>
    <w:rsid w:val="004149F8"/>
    <w:rsid w:val="00414B2A"/>
    <w:rsid w:val="00414C02"/>
    <w:rsid w:val="00414CB2"/>
    <w:rsid w:val="00414D17"/>
    <w:rsid w:val="00416AE2"/>
    <w:rsid w:val="0041707E"/>
    <w:rsid w:val="004171EB"/>
    <w:rsid w:val="004177B5"/>
    <w:rsid w:val="004202E2"/>
    <w:rsid w:val="00420B9F"/>
    <w:rsid w:val="00420D2F"/>
    <w:rsid w:val="00420F8E"/>
    <w:rsid w:val="00421132"/>
    <w:rsid w:val="004213AE"/>
    <w:rsid w:val="004219F2"/>
    <w:rsid w:val="00421D94"/>
    <w:rsid w:val="00422372"/>
    <w:rsid w:val="00422E39"/>
    <w:rsid w:val="00422FFD"/>
    <w:rsid w:val="004236C2"/>
    <w:rsid w:val="0042483D"/>
    <w:rsid w:val="00424A6D"/>
    <w:rsid w:val="00424F48"/>
    <w:rsid w:val="004259A7"/>
    <w:rsid w:val="00425CB2"/>
    <w:rsid w:val="00425F1F"/>
    <w:rsid w:val="00426777"/>
    <w:rsid w:val="00427257"/>
    <w:rsid w:val="00427CCE"/>
    <w:rsid w:val="00427EE4"/>
    <w:rsid w:val="004306DB"/>
    <w:rsid w:val="00430FCC"/>
    <w:rsid w:val="004319F8"/>
    <w:rsid w:val="00432501"/>
    <w:rsid w:val="00432C99"/>
    <w:rsid w:val="00432DC1"/>
    <w:rsid w:val="00433ACA"/>
    <w:rsid w:val="00433D7B"/>
    <w:rsid w:val="00434431"/>
    <w:rsid w:val="00434924"/>
    <w:rsid w:val="00434D62"/>
    <w:rsid w:val="00435221"/>
    <w:rsid w:val="004353F1"/>
    <w:rsid w:val="00435845"/>
    <w:rsid w:val="00435944"/>
    <w:rsid w:val="00436EFA"/>
    <w:rsid w:val="00436FE3"/>
    <w:rsid w:val="00440706"/>
    <w:rsid w:val="004407E5"/>
    <w:rsid w:val="00440ABC"/>
    <w:rsid w:val="00440B9E"/>
    <w:rsid w:val="00440D95"/>
    <w:rsid w:val="004411AD"/>
    <w:rsid w:val="00441358"/>
    <w:rsid w:val="00441935"/>
    <w:rsid w:val="00443D90"/>
    <w:rsid w:val="004443A7"/>
    <w:rsid w:val="0044448C"/>
    <w:rsid w:val="004445EC"/>
    <w:rsid w:val="00445539"/>
    <w:rsid w:val="004457A0"/>
    <w:rsid w:val="00445BBC"/>
    <w:rsid w:val="004464EB"/>
    <w:rsid w:val="004465C4"/>
    <w:rsid w:val="00446ACC"/>
    <w:rsid w:val="00446EBA"/>
    <w:rsid w:val="004470FF"/>
    <w:rsid w:val="004475E2"/>
    <w:rsid w:val="00447B85"/>
    <w:rsid w:val="00447ECD"/>
    <w:rsid w:val="004508B8"/>
    <w:rsid w:val="004512F4"/>
    <w:rsid w:val="004519A7"/>
    <w:rsid w:val="004519D0"/>
    <w:rsid w:val="00451D3B"/>
    <w:rsid w:val="004527E7"/>
    <w:rsid w:val="00452B8A"/>
    <w:rsid w:val="00452FEF"/>
    <w:rsid w:val="0045324C"/>
    <w:rsid w:val="00453E3F"/>
    <w:rsid w:val="00454A0F"/>
    <w:rsid w:val="00454DDD"/>
    <w:rsid w:val="00454EBC"/>
    <w:rsid w:val="00455CC3"/>
    <w:rsid w:val="00455D45"/>
    <w:rsid w:val="00456B84"/>
    <w:rsid w:val="004571DF"/>
    <w:rsid w:val="0045770D"/>
    <w:rsid w:val="00457968"/>
    <w:rsid w:val="00457A73"/>
    <w:rsid w:val="00457C53"/>
    <w:rsid w:val="00457CD5"/>
    <w:rsid w:val="004606C9"/>
    <w:rsid w:val="004608D8"/>
    <w:rsid w:val="00460C73"/>
    <w:rsid w:val="004618B7"/>
    <w:rsid w:val="00461E76"/>
    <w:rsid w:val="00462822"/>
    <w:rsid w:val="00462A44"/>
    <w:rsid w:val="00462BBF"/>
    <w:rsid w:val="0046340F"/>
    <w:rsid w:val="00464595"/>
    <w:rsid w:val="004662E8"/>
    <w:rsid w:val="004664BF"/>
    <w:rsid w:val="004702A1"/>
    <w:rsid w:val="00470637"/>
    <w:rsid w:val="00472359"/>
    <w:rsid w:val="00472387"/>
    <w:rsid w:val="00472D37"/>
    <w:rsid w:val="00472F27"/>
    <w:rsid w:val="0047358E"/>
    <w:rsid w:val="00473BFF"/>
    <w:rsid w:val="00474473"/>
    <w:rsid w:val="0047456A"/>
    <w:rsid w:val="00474FC7"/>
    <w:rsid w:val="004750B9"/>
    <w:rsid w:val="00475F47"/>
    <w:rsid w:val="00476670"/>
    <w:rsid w:val="00476C19"/>
    <w:rsid w:val="00477007"/>
    <w:rsid w:val="00477279"/>
    <w:rsid w:val="00477444"/>
    <w:rsid w:val="00477484"/>
    <w:rsid w:val="00477581"/>
    <w:rsid w:val="0047777F"/>
    <w:rsid w:val="00480A31"/>
    <w:rsid w:val="00480A86"/>
    <w:rsid w:val="00480B15"/>
    <w:rsid w:val="004817AF"/>
    <w:rsid w:val="004819CE"/>
    <w:rsid w:val="00482D63"/>
    <w:rsid w:val="00483124"/>
    <w:rsid w:val="00483AE9"/>
    <w:rsid w:val="00483E03"/>
    <w:rsid w:val="0048417C"/>
    <w:rsid w:val="004848B0"/>
    <w:rsid w:val="00485207"/>
    <w:rsid w:val="0048529E"/>
    <w:rsid w:val="0048563A"/>
    <w:rsid w:val="00485ED5"/>
    <w:rsid w:val="004860F2"/>
    <w:rsid w:val="004867E2"/>
    <w:rsid w:val="004874B3"/>
    <w:rsid w:val="00487503"/>
    <w:rsid w:val="00487BAF"/>
    <w:rsid w:val="004904D5"/>
    <w:rsid w:val="00491109"/>
    <w:rsid w:val="0049137E"/>
    <w:rsid w:val="0049142D"/>
    <w:rsid w:val="00491671"/>
    <w:rsid w:val="00491B3A"/>
    <w:rsid w:val="00491DB7"/>
    <w:rsid w:val="00491F1B"/>
    <w:rsid w:val="004921FB"/>
    <w:rsid w:val="00492E00"/>
    <w:rsid w:val="00493436"/>
    <w:rsid w:val="00493E38"/>
    <w:rsid w:val="00494118"/>
    <w:rsid w:val="004942A2"/>
    <w:rsid w:val="00494D04"/>
    <w:rsid w:val="0049522C"/>
    <w:rsid w:val="00496D62"/>
    <w:rsid w:val="004974C3"/>
    <w:rsid w:val="00497854"/>
    <w:rsid w:val="00497F10"/>
    <w:rsid w:val="004A00B0"/>
    <w:rsid w:val="004A0DA1"/>
    <w:rsid w:val="004A0E3F"/>
    <w:rsid w:val="004A0EC4"/>
    <w:rsid w:val="004A13AE"/>
    <w:rsid w:val="004A1A8C"/>
    <w:rsid w:val="004A2225"/>
    <w:rsid w:val="004A2236"/>
    <w:rsid w:val="004A2580"/>
    <w:rsid w:val="004A30B1"/>
    <w:rsid w:val="004A34CF"/>
    <w:rsid w:val="004A360A"/>
    <w:rsid w:val="004A3CF3"/>
    <w:rsid w:val="004A3DE7"/>
    <w:rsid w:val="004A3E07"/>
    <w:rsid w:val="004A518C"/>
    <w:rsid w:val="004A524F"/>
    <w:rsid w:val="004A5D80"/>
    <w:rsid w:val="004A6597"/>
    <w:rsid w:val="004A6B90"/>
    <w:rsid w:val="004A6F9A"/>
    <w:rsid w:val="004A731E"/>
    <w:rsid w:val="004A7338"/>
    <w:rsid w:val="004A7986"/>
    <w:rsid w:val="004A7A88"/>
    <w:rsid w:val="004A7BC4"/>
    <w:rsid w:val="004A7F2E"/>
    <w:rsid w:val="004B0120"/>
    <w:rsid w:val="004B11EE"/>
    <w:rsid w:val="004B1688"/>
    <w:rsid w:val="004B1F92"/>
    <w:rsid w:val="004B23AD"/>
    <w:rsid w:val="004B26BC"/>
    <w:rsid w:val="004B2A82"/>
    <w:rsid w:val="004B2F18"/>
    <w:rsid w:val="004B3073"/>
    <w:rsid w:val="004B35A5"/>
    <w:rsid w:val="004B3650"/>
    <w:rsid w:val="004B3BA8"/>
    <w:rsid w:val="004B3DDB"/>
    <w:rsid w:val="004B4351"/>
    <w:rsid w:val="004B44FD"/>
    <w:rsid w:val="004B528B"/>
    <w:rsid w:val="004B5453"/>
    <w:rsid w:val="004B5CFC"/>
    <w:rsid w:val="004B6116"/>
    <w:rsid w:val="004B6202"/>
    <w:rsid w:val="004B630C"/>
    <w:rsid w:val="004B63B6"/>
    <w:rsid w:val="004B696D"/>
    <w:rsid w:val="004B6B8D"/>
    <w:rsid w:val="004B703D"/>
    <w:rsid w:val="004B7653"/>
    <w:rsid w:val="004B7663"/>
    <w:rsid w:val="004B7972"/>
    <w:rsid w:val="004C0276"/>
    <w:rsid w:val="004C0685"/>
    <w:rsid w:val="004C0E77"/>
    <w:rsid w:val="004C0ECF"/>
    <w:rsid w:val="004C2DDB"/>
    <w:rsid w:val="004C30F4"/>
    <w:rsid w:val="004C4491"/>
    <w:rsid w:val="004C471D"/>
    <w:rsid w:val="004C4AED"/>
    <w:rsid w:val="004C5125"/>
    <w:rsid w:val="004C5438"/>
    <w:rsid w:val="004C56E9"/>
    <w:rsid w:val="004C5A21"/>
    <w:rsid w:val="004C627A"/>
    <w:rsid w:val="004C63BE"/>
    <w:rsid w:val="004C66AF"/>
    <w:rsid w:val="004C7FB8"/>
    <w:rsid w:val="004D0312"/>
    <w:rsid w:val="004D0B73"/>
    <w:rsid w:val="004D11FA"/>
    <w:rsid w:val="004D13F6"/>
    <w:rsid w:val="004D1969"/>
    <w:rsid w:val="004D1C0F"/>
    <w:rsid w:val="004D1E19"/>
    <w:rsid w:val="004D1F98"/>
    <w:rsid w:val="004D4108"/>
    <w:rsid w:val="004D4488"/>
    <w:rsid w:val="004D51A1"/>
    <w:rsid w:val="004D51F9"/>
    <w:rsid w:val="004D5D06"/>
    <w:rsid w:val="004D5F69"/>
    <w:rsid w:val="004D64DC"/>
    <w:rsid w:val="004D71AE"/>
    <w:rsid w:val="004D7734"/>
    <w:rsid w:val="004E0464"/>
    <w:rsid w:val="004E05C3"/>
    <w:rsid w:val="004E084E"/>
    <w:rsid w:val="004E0BB2"/>
    <w:rsid w:val="004E0D31"/>
    <w:rsid w:val="004E0EB8"/>
    <w:rsid w:val="004E235E"/>
    <w:rsid w:val="004E2590"/>
    <w:rsid w:val="004E2957"/>
    <w:rsid w:val="004E29FA"/>
    <w:rsid w:val="004E2ADC"/>
    <w:rsid w:val="004E410C"/>
    <w:rsid w:val="004E4113"/>
    <w:rsid w:val="004E49AB"/>
    <w:rsid w:val="004E4CE0"/>
    <w:rsid w:val="004E4EF4"/>
    <w:rsid w:val="004E57CA"/>
    <w:rsid w:val="004E604A"/>
    <w:rsid w:val="004E6241"/>
    <w:rsid w:val="004E63A8"/>
    <w:rsid w:val="004E63E0"/>
    <w:rsid w:val="004E6BD6"/>
    <w:rsid w:val="004E751D"/>
    <w:rsid w:val="004E783D"/>
    <w:rsid w:val="004E7A5D"/>
    <w:rsid w:val="004E7D38"/>
    <w:rsid w:val="004E7DA5"/>
    <w:rsid w:val="004F07AE"/>
    <w:rsid w:val="004F0AE1"/>
    <w:rsid w:val="004F0D04"/>
    <w:rsid w:val="004F173A"/>
    <w:rsid w:val="004F1C04"/>
    <w:rsid w:val="004F1D02"/>
    <w:rsid w:val="004F213B"/>
    <w:rsid w:val="004F2159"/>
    <w:rsid w:val="004F2679"/>
    <w:rsid w:val="004F2A2C"/>
    <w:rsid w:val="004F5868"/>
    <w:rsid w:val="004F6440"/>
    <w:rsid w:val="004F6CBB"/>
    <w:rsid w:val="004F6D65"/>
    <w:rsid w:val="004F70AB"/>
    <w:rsid w:val="004F7478"/>
    <w:rsid w:val="004F7CA5"/>
    <w:rsid w:val="0050015D"/>
    <w:rsid w:val="005001DB"/>
    <w:rsid w:val="00501374"/>
    <w:rsid w:val="00502125"/>
    <w:rsid w:val="005034C0"/>
    <w:rsid w:val="005048EB"/>
    <w:rsid w:val="00504CBE"/>
    <w:rsid w:val="005054CF"/>
    <w:rsid w:val="0050590B"/>
    <w:rsid w:val="0050590E"/>
    <w:rsid w:val="0050603E"/>
    <w:rsid w:val="00506114"/>
    <w:rsid w:val="00506815"/>
    <w:rsid w:val="00506E16"/>
    <w:rsid w:val="005075BE"/>
    <w:rsid w:val="00510291"/>
    <w:rsid w:val="00511F8F"/>
    <w:rsid w:val="00512490"/>
    <w:rsid w:val="00512A44"/>
    <w:rsid w:val="00512E74"/>
    <w:rsid w:val="00512F43"/>
    <w:rsid w:val="00513730"/>
    <w:rsid w:val="00514130"/>
    <w:rsid w:val="00514BDE"/>
    <w:rsid w:val="005152B5"/>
    <w:rsid w:val="00515A02"/>
    <w:rsid w:val="00515A3B"/>
    <w:rsid w:val="0051740D"/>
    <w:rsid w:val="00517524"/>
    <w:rsid w:val="005175D1"/>
    <w:rsid w:val="0051796D"/>
    <w:rsid w:val="00517991"/>
    <w:rsid w:val="005208D8"/>
    <w:rsid w:val="00520D2B"/>
    <w:rsid w:val="00520D39"/>
    <w:rsid w:val="00520DEC"/>
    <w:rsid w:val="00521319"/>
    <w:rsid w:val="005215AA"/>
    <w:rsid w:val="00521895"/>
    <w:rsid w:val="00521E0C"/>
    <w:rsid w:val="00522039"/>
    <w:rsid w:val="00522162"/>
    <w:rsid w:val="005222F7"/>
    <w:rsid w:val="0052248D"/>
    <w:rsid w:val="005228DB"/>
    <w:rsid w:val="005228F2"/>
    <w:rsid w:val="00522A19"/>
    <w:rsid w:val="00522C4C"/>
    <w:rsid w:val="00522D9D"/>
    <w:rsid w:val="0052366D"/>
    <w:rsid w:val="00523C28"/>
    <w:rsid w:val="00523C98"/>
    <w:rsid w:val="00523F46"/>
    <w:rsid w:val="005241F2"/>
    <w:rsid w:val="005249B8"/>
    <w:rsid w:val="00524AB4"/>
    <w:rsid w:val="0052567F"/>
    <w:rsid w:val="00526E18"/>
    <w:rsid w:val="00526FF3"/>
    <w:rsid w:val="00530C80"/>
    <w:rsid w:val="00530F1E"/>
    <w:rsid w:val="0053101C"/>
    <w:rsid w:val="00531798"/>
    <w:rsid w:val="005317C8"/>
    <w:rsid w:val="00531E31"/>
    <w:rsid w:val="00532029"/>
    <w:rsid w:val="005324DA"/>
    <w:rsid w:val="00532978"/>
    <w:rsid w:val="00532AD9"/>
    <w:rsid w:val="00532FB3"/>
    <w:rsid w:val="00533486"/>
    <w:rsid w:val="0053379F"/>
    <w:rsid w:val="005344FE"/>
    <w:rsid w:val="0053459C"/>
    <w:rsid w:val="00534C3A"/>
    <w:rsid w:val="005364AB"/>
    <w:rsid w:val="005368D4"/>
    <w:rsid w:val="00536BB1"/>
    <w:rsid w:val="005378C1"/>
    <w:rsid w:val="00537E8A"/>
    <w:rsid w:val="0054044B"/>
    <w:rsid w:val="00540891"/>
    <w:rsid w:val="00540FB4"/>
    <w:rsid w:val="005413E5"/>
    <w:rsid w:val="00541458"/>
    <w:rsid w:val="00541B16"/>
    <w:rsid w:val="00541C6C"/>
    <w:rsid w:val="00542199"/>
    <w:rsid w:val="005426AC"/>
    <w:rsid w:val="005429A2"/>
    <w:rsid w:val="00542B92"/>
    <w:rsid w:val="00542C5D"/>
    <w:rsid w:val="00542CB8"/>
    <w:rsid w:val="00542F56"/>
    <w:rsid w:val="00543A2D"/>
    <w:rsid w:val="00543A59"/>
    <w:rsid w:val="00544247"/>
    <w:rsid w:val="00544ABD"/>
    <w:rsid w:val="00544DCE"/>
    <w:rsid w:val="005456A2"/>
    <w:rsid w:val="00546562"/>
    <w:rsid w:val="00547B43"/>
    <w:rsid w:val="005503DE"/>
    <w:rsid w:val="00550605"/>
    <w:rsid w:val="005506C3"/>
    <w:rsid w:val="00550894"/>
    <w:rsid w:val="005509CD"/>
    <w:rsid w:val="00550BC2"/>
    <w:rsid w:val="0055286E"/>
    <w:rsid w:val="005528FE"/>
    <w:rsid w:val="00552E41"/>
    <w:rsid w:val="00552F34"/>
    <w:rsid w:val="005530FA"/>
    <w:rsid w:val="00553173"/>
    <w:rsid w:val="005532D5"/>
    <w:rsid w:val="00553ACB"/>
    <w:rsid w:val="00553B31"/>
    <w:rsid w:val="005546B7"/>
    <w:rsid w:val="005548DF"/>
    <w:rsid w:val="00554CB1"/>
    <w:rsid w:val="00555109"/>
    <w:rsid w:val="00555921"/>
    <w:rsid w:val="00555A68"/>
    <w:rsid w:val="00555CDB"/>
    <w:rsid w:val="00555D64"/>
    <w:rsid w:val="005567B5"/>
    <w:rsid w:val="005568DE"/>
    <w:rsid w:val="005570A7"/>
    <w:rsid w:val="00557367"/>
    <w:rsid w:val="00557491"/>
    <w:rsid w:val="0055753F"/>
    <w:rsid w:val="00557572"/>
    <w:rsid w:val="005578AF"/>
    <w:rsid w:val="00557DE1"/>
    <w:rsid w:val="0056010F"/>
    <w:rsid w:val="0056014E"/>
    <w:rsid w:val="0056015E"/>
    <w:rsid w:val="00560D15"/>
    <w:rsid w:val="00561243"/>
    <w:rsid w:val="00561734"/>
    <w:rsid w:val="00561F7A"/>
    <w:rsid w:val="0056276A"/>
    <w:rsid w:val="00563741"/>
    <w:rsid w:val="00563744"/>
    <w:rsid w:val="00563794"/>
    <w:rsid w:val="00563E65"/>
    <w:rsid w:val="0056520F"/>
    <w:rsid w:val="005652C9"/>
    <w:rsid w:val="0056696F"/>
    <w:rsid w:val="00566DD6"/>
    <w:rsid w:val="00566F01"/>
    <w:rsid w:val="0056733F"/>
    <w:rsid w:val="00567B5D"/>
    <w:rsid w:val="00567E6E"/>
    <w:rsid w:val="00570840"/>
    <w:rsid w:val="005716B5"/>
    <w:rsid w:val="005716FA"/>
    <w:rsid w:val="005724E2"/>
    <w:rsid w:val="00573A95"/>
    <w:rsid w:val="00573C08"/>
    <w:rsid w:val="00573DA7"/>
    <w:rsid w:val="00574F15"/>
    <w:rsid w:val="005757E4"/>
    <w:rsid w:val="00575D79"/>
    <w:rsid w:val="00576972"/>
    <w:rsid w:val="00576CF1"/>
    <w:rsid w:val="0057746D"/>
    <w:rsid w:val="00577717"/>
    <w:rsid w:val="005801E9"/>
    <w:rsid w:val="005804E0"/>
    <w:rsid w:val="00580BCB"/>
    <w:rsid w:val="00580C77"/>
    <w:rsid w:val="00580DA5"/>
    <w:rsid w:val="00581983"/>
    <w:rsid w:val="005821BF"/>
    <w:rsid w:val="0058268F"/>
    <w:rsid w:val="005828F5"/>
    <w:rsid w:val="00582CF0"/>
    <w:rsid w:val="00582E01"/>
    <w:rsid w:val="00582FF7"/>
    <w:rsid w:val="00583156"/>
    <w:rsid w:val="00583699"/>
    <w:rsid w:val="00583D6B"/>
    <w:rsid w:val="0058541B"/>
    <w:rsid w:val="005877B5"/>
    <w:rsid w:val="00587BA0"/>
    <w:rsid w:val="00587FD3"/>
    <w:rsid w:val="005901E0"/>
    <w:rsid w:val="00590A5A"/>
    <w:rsid w:val="005914C5"/>
    <w:rsid w:val="00591E58"/>
    <w:rsid w:val="0059276D"/>
    <w:rsid w:val="00593172"/>
    <w:rsid w:val="005937B7"/>
    <w:rsid w:val="00593D7F"/>
    <w:rsid w:val="0059483C"/>
    <w:rsid w:val="00597558"/>
    <w:rsid w:val="00597F97"/>
    <w:rsid w:val="005A0055"/>
    <w:rsid w:val="005A01A7"/>
    <w:rsid w:val="005A1BBC"/>
    <w:rsid w:val="005A1F02"/>
    <w:rsid w:val="005A21C5"/>
    <w:rsid w:val="005A316A"/>
    <w:rsid w:val="005A326D"/>
    <w:rsid w:val="005A3F20"/>
    <w:rsid w:val="005A42F2"/>
    <w:rsid w:val="005A432E"/>
    <w:rsid w:val="005A4FAE"/>
    <w:rsid w:val="005A6553"/>
    <w:rsid w:val="005A6745"/>
    <w:rsid w:val="005A69EC"/>
    <w:rsid w:val="005A6C94"/>
    <w:rsid w:val="005A7769"/>
    <w:rsid w:val="005B02B4"/>
    <w:rsid w:val="005B04C1"/>
    <w:rsid w:val="005B0DEB"/>
    <w:rsid w:val="005B0E01"/>
    <w:rsid w:val="005B1AB7"/>
    <w:rsid w:val="005B3F5B"/>
    <w:rsid w:val="005B3FB9"/>
    <w:rsid w:val="005B40D7"/>
    <w:rsid w:val="005B42F8"/>
    <w:rsid w:val="005B44DA"/>
    <w:rsid w:val="005B544C"/>
    <w:rsid w:val="005B548A"/>
    <w:rsid w:val="005B5857"/>
    <w:rsid w:val="005B59AA"/>
    <w:rsid w:val="005B5A80"/>
    <w:rsid w:val="005B5DB6"/>
    <w:rsid w:val="005B5E71"/>
    <w:rsid w:val="005B5F80"/>
    <w:rsid w:val="005B61CD"/>
    <w:rsid w:val="005B6B03"/>
    <w:rsid w:val="005B6BEE"/>
    <w:rsid w:val="005B7CEB"/>
    <w:rsid w:val="005C0316"/>
    <w:rsid w:val="005C0347"/>
    <w:rsid w:val="005C0581"/>
    <w:rsid w:val="005C08D0"/>
    <w:rsid w:val="005C0903"/>
    <w:rsid w:val="005C17CC"/>
    <w:rsid w:val="005C1A91"/>
    <w:rsid w:val="005C1B83"/>
    <w:rsid w:val="005C2A89"/>
    <w:rsid w:val="005C346B"/>
    <w:rsid w:val="005C35D2"/>
    <w:rsid w:val="005C4059"/>
    <w:rsid w:val="005C4514"/>
    <w:rsid w:val="005C4D91"/>
    <w:rsid w:val="005C52F9"/>
    <w:rsid w:val="005C56E0"/>
    <w:rsid w:val="005C5A04"/>
    <w:rsid w:val="005C5BB4"/>
    <w:rsid w:val="005C6285"/>
    <w:rsid w:val="005C6362"/>
    <w:rsid w:val="005C6373"/>
    <w:rsid w:val="005C6431"/>
    <w:rsid w:val="005C6994"/>
    <w:rsid w:val="005C71EC"/>
    <w:rsid w:val="005C7AEC"/>
    <w:rsid w:val="005C7DB1"/>
    <w:rsid w:val="005D02D1"/>
    <w:rsid w:val="005D0DD1"/>
    <w:rsid w:val="005D1561"/>
    <w:rsid w:val="005D18AD"/>
    <w:rsid w:val="005D19D9"/>
    <w:rsid w:val="005D1E34"/>
    <w:rsid w:val="005D3A71"/>
    <w:rsid w:val="005D3BED"/>
    <w:rsid w:val="005D4E79"/>
    <w:rsid w:val="005D567F"/>
    <w:rsid w:val="005D5DED"/>
    <w:rsid w:val="005D63F8"/>
    <w:rsid w:val="005D6DC5"/>
    <w:rsid w:val="005D71C8"/>
    <w:rsid w:val="005D7E3E"/>
    <w:rsid w:val="005E0100"/>
    <w:rsid w:val="005E0582"/>
    <w:rsid w:val="005E08EE"/>
    <w:rsid w:val="005E0BF2"/>
    <w:rsid w:val="005E0DBE"/>
    <w:rsid w:val="005E1243"/>
    <w:rsid w:val="005E158B"/>
    <w:rsid w:val="005E1D25"/>
    <w:rsid w:val="005E315A"/>
    <w:rsid w:val="005E39C8"/>
    <w:rsid w:val="005E3A0F"/>
    <w:rsid w:val="005E420A"/>
    <w:rsid w:val="005E61B3"/>
    <w:rsid w:val="005E6ADA"/>
    <w:rsid w:val="005E7132"/>
    <w:rsid w:val="005E7A4A"/>
    <w:rsid w:val="005F0C95"/>
    <w:rsid w:val="005F1A96"/>
    <w:rsid w:val="005F21CC"/>
    <w:rsid w:val="005F2706"/>
    <w:rsid w:val="005F3191"/>
    <w:rsid w:val="005F384C"/>
    <w:rsid w:val="005F46E8"/>
    <w:rsid w:val="005F50CB"/>
    <w:rsid w:val="005F5402"/>
    <w:rsid w:val="005F63B6"/>
    <w:rsid w:val="005F674C"/>
    <w:rsid w:val="005F6A8F"/>
    <w:rsid w:val="005F70DC"/>
    <w:rsid w:val="005F78CE"/>
    <w:rsid w:val="005F7EC7"/>
    <w:rsid w:val="00600F32"/>
    <w:rsid w:val="006012CC"/>
    <w:rsid w:val="006014D4"/>
    <w:rsid w:val="00601FA2"/>
    <w:rsid w:val="00603309"/>
    <w:rsid w:val="0060414B"/>
    <w:rsid w:val="00604159"/>
    <w:rsid w:val="00605511"/>
    <w:rsid w:val="00605F2E"/>
    <w:rsid w:val="00607206"/>
    <w:rsid w:val="00607669"/>
    <w:rsid w:val="00607828"/>
    <w:rsid w:val="006078A2"/>
    <w:rsid w:val="0061027D"/>
    <w:rsid w:val="006117A1"/>
    <w:rsid w:val="0061195E"/>
    <w:rsid w:val="00611B67"/>
    <w:rsid w:val="00612E0D"/>
    <w:rsid w:val="00612E98"/>
    <w:rsid w:val="00612F97"/>
    <w:rsid w:val="00613371"/>
    <w:rsid w:val="00614258"/>
    <w:rsid w:val="006144E9"/>
    <w:rsid w:val="00614A91"/>
    <w:rsid w:val="00614D37"/>
    <w:rsid w:val="00615039"/>
    <w:rsid w:val="00615138"/>
    <w:rsid w:val="006157B8"/>
    <w:rsid w:val="00615AD9"/>
    <w:rsid w:val="00615D25"/>
    <w:rsid w:val="00615F45"/>
    <w:rsid w:val="00616114"/>
    <w:rsid w:val="006162B2"/>
    <w:rsid w:val="00616802"/>
    <w:rsid w:val="00616977"/>
    <w:rsid w:val="00616A3F"/>
    <w:rsid w:val="00616DFD"/>
    <w:rsid w:val="0061732D"/>
    <w:rsid w:val="00617435"/>
    <w:rsid w:val="0061747F"/>
    <w:rsid w:val="00617E12"/>
    <w:rsid w:val="00617F4D"/>
    <w:rsid w:val="00620038"/>
    <w:rsid w:val="0062111F"/>
    <w:rsid w:val="00621477"/>
    <w:rsid w:val="00621BDA"/>
    <w:rsid w:val="00621BEC"/>
    <w:rsid w:val="00621F46"/>
    <w:rsid w:val="00622602"/>
    <w:rsid w:val="00622ADB"/>
    <w:rsid w:val="00622D02"/>
    <w:rsid w:val="006230C3"/>
    <w:rsid w:val="0062312D"/>
    <w:rsid w:val="006232B9"/>
    <w:rsid w:val="00623D8B"/>
    <w:rsid w:val="006249BD"/>
    <w:rsid w:val="00625B63"/>
    <w:rsid w:val="00625F2C"/>
    <w:rsid w:val="0062613A"/>
    <w:rsid w:val="0062647F"/>
    <w:rsid w:val="00626558"/>
    <w:rsid w:val="00626A5A"/>
    <w:rsid w:val="00626F3F"/>
    <w:rsid w:val="006271C6"/>
    <w:rsid w:val="006300D1"/>
    <w:rsid w:val="006319D9"/>
    <w:rsid w:val="00631D6B"/>
    <w:rsid w:val="00631E39"/>
    <w:rsid w:val="006322CF"/>
    <w:rsid w:val="006335DE"/>
    <w:rsid w:val="00633740"/>
    <w:rsid w:val="00633D1D"/>
    <w:rsid w:val="0063408A"/>
    <w:rsid w:val="0063479F"/>
    <w:rsid w:val="00634B55"/>
    <w:rsid w:val="00634C20"/>
    <w:rsid w:val="0063500A"/>
    <w:rsid w:val="00635862"/>
    <w:rsid w:val="006364A1"/>
    <w:rsid w:val="00636CA1"/>
    <w:rsid w:val="00636FFE"/>
    <w:rsid w:val="00637167"/>
    <w:rsid w:val="00637493"/>
    <w:rsid w:val="00637BFD"/>
    <w:rsid w:val="006405C4"/>
    <w:rsid w:val="00641283"/>
    <w:rsid w:val="006413E7"/>
    <w:rsid w:val="00641A13"/>
    <w:rsid w:val="00641C6A"/>
    <w:rsid w:val="00642A37"/>
    <w:rsid w:val="00642EB1"/>
    <w:rsid w:val="006430CD"/>
    <w:rsid w:val="006430F0"/>
    <w:rsid w:val="00643681"/>
    <w:rsid w:val="00643729"/>
    <w:rsid w:val="006437B0"/>
    <w:rsid w:val="006437FD"/>
    <w:rsid w:val="006441EB"/>
    <w:rsid w:val="0064478C"/>
    <w:rsid w:val="00644BB3"/>
    <w:rsid w:val="00645C84"/>
    <w:rsid w:val="00646146"/>
    <w:rsid w:val="00646A0D"/>
    <w:rsid w:val="006471CC"/>
    <w:rsid w:val="0064745C"/>
    <w:rsid w:val="006477AE"/>
    <w:rsid w:val="0064781C"/>
    <w:rsid w:val="00647961"/>
    <w:rsid w:val="00647D9D"/>
    <w:rsid w:val="006506AA"/>
    <w:rsid w:val="0065079F"/>
    <w:rsid w:val="006511ED"/>
    <w:rsid w:val="00651A78"/>
    <w:rsid w:val="00651F2A"/>
    <w:rsid w:val="006521E2"/>
    <w:rsid w:val="006523B8"/>
    <w:rsid w:val="00652A49"/>
    <w:rsid w:val="0065311F"/>
    <w:rsid w:val="00654014"/>
    <w:rsid w:val="006555FF"/>
    <w:rsid w:val="00656378"/>
    <w:rsid w:val="00656877"/>
    <w:rsid w:val="006607F0"/>
    <w:rsid w:val="0066156C"/>
    <w:rsid w:val="00661E9E"/>
    <w:rsid w:val="00662060"/>
    <w:rsid w:val="00662EE1"/>
    <w:rsid w:val="0066384B"/>
    <w:rsid w:val="00663A9D"/>
    <w:rsid w:val="00664059"/>
    <w:rsid w:val="00664FEE"/>
    <w:rsid w:val="00665194"/>
    <w:rsid w:val="00665C9E"/>
    <w:rsid w:val="00665F9E"/>
    <w:rsid w:val="00666419"/>
    <w:rsid w:val="00666A21"/>
    <w:rsid w:val="00667402"/>
    <w:rsid w:val="00670590"/>
    <w:rsid w:val="006713AD"/>
    <w:rsid w:val="00671C76"/>
    <w:rsid w:val="00671F64"/>
    <w:rsid w:val="0067206C"/>
    <w:rsid w:val="00672849"/>
    <w:rsid w:val="00672D51"/>
    <w:rsid w:val="006730A4"/>
    <w:rsid w:val="0067319E"/>
    <w:rsid w:val="006738F3"/>
    <w:rsid w:val="00673E7B"/>
    <w:rsid w:val="00673FCB"/>
    <w:rsid w:val="0067452B"/>
    <w:rsid w:val="00674E42"/>
    <w:rsid w:val="00675137"/>
    <w:rsid w:val="0067519B"/>
    <w:rsid w:val="00675991"/>
    <w:rsid w:val="00675C44"/>
    <w:rsid w:val="0067619F"/>
    <w:rsid w:val="00676686"/>
    <w:rsid w:val="00677267"/>
    <w:rsid w:val="00677A3B"/>
    <w:rsid w:val="00680AAC"/>
    <w:rsid w:val="00682112"/>
    <w:rsid w:val="006825B1"/>
    <w:rsid w:val="00683006"/>
    <w:rsid w:val="00683A8A"/>
    <w:rsid w:val="00683ABD"/>
    <w:rsid w:val="0068463E"/>
    <w:rsid w:val="0068526A"/>
    <w:rsid w:val="00685B17"/>
    <w:rsid w:val="00686AA6"/>
    <w:rsid w:val="0068756C"/>
    <w:rsid w:val="00691095"/>
    <w:rsid w:val="00691A12"/>
    <w:rsid w:val="0069251E"/>
    <w:rsid w:val="00692935"/>
    <w:rsid w:val="00692C2E"/>
    <w:rsid w:val="00692C76"/>
    <w:rsid w:val="00692EA1"/>
    <w:rsid w:val="0069301F"/>
    <w:rsid w:val="00693994"/>
    <w:rsid w:val="0069419C"/>
    <w:rsid w:val="00694F44"/>
    <w:rsid w:val="00695842"/>
    <w:rsid w:val="00695B56"/>
    <w:rsid w:val="00695CA4"/>
    <w:rsid w:val="00697363"/>
    <w:rsid w:val="006A0261"/>
    <w:rsid w:val="006A0ADA"/>
    <w:rsid w:val="006A0DDD"/>
    <w:rsid w:val="006A1019"/>
    <w:rsid w:val="006A11E3"/>
    <w:rsid w:val="006A1707"/>
    <w:rsid w:val="006A2361"/>
    <w:rsid w:val="006A23DD"/>
    <w:rsid w:val="006A2C66"/>
    <w:rsid w:val="006A2DA1"/>
    <w:rsid w:val="006A3189"/>
    <w:rsid w:val="006A3536"/>
    <w:rsid w:val="006A356D"/>
    <w:rsid w:val="006A37D1"/>
    <w:rsid w:val="006A3D10"/>
    <w:rsid w:val="006A4C11"/>
    <w:rsid w:val="006A4CC1"/>
    <w:rsid w:val="006A511D"/>
    <w:rsid w:val="006A5721"/>
    <w:rsid w:val="006A5738"/>
    <w:rsid w:val="006A63BD"/>
    <w:rsid w:val="006A64D9"/>
    <w:rsid w:val="006A76D4"/>
    <w:rsid w:val="006A7A49"/>
    <w:rsid w:val="006A7A8D"/>
    <w:rsid w:val="006B00E7"/>
    <w:rsid w:val="006B03D6"/>
    <w:rsid w:val="006B1500"/>
    <w:rsid w:val="006B1596"/>
    <w:rsid w:val="006B2658"/>
    <w:rsid w:val="006B3AB9"/>
    <w:rsid w:val="006B3E7A"/>
    <w:rsid w:val="006B40DF"/>
    <w:rsid w:val="006B5072"/>
    <w:rsid w:val="006B5BEE"/>
    <w:rsid w:val="006B5D2C"/>
    <w:rsid w:val="006B5F0A"/>
    <w:rsid w:val="006B63CE"/>
    <w:rsid w:val="006B6583"/>
    <w:rsid w:val="006B6DCC"/>
    <w:rsid w:val="006B6E85"/>
    <w:rsid w:val="006B6FD8"/>
    <w:rsid w:val="006B7045"/>
    <w:rsid w:val="006B7090"/>
    <w:rsid w:val="006B7230"/>
    <w:rsid w:val="006B736E"/>
    <w:rsid w:val="006B7F0A"/>
    <w:rsid w:val="006C0A30"/>
    <w:rsid w:val="006C0D28"/>
    <w:rsid w:val="006C0EC3"/>
    <w:rsid w:val="006C10A9"/>
    <w:rsid w:val="006C215A"/>
    <w:rsid w:val="006C26FA"/>
    <w:rsid w:val="006C2A8E"/>
    <w:rsid w:val="006C45A4"/>
    <w:rsid w:val="006C4664"/>
    <w:rsid w:val="006C4C55"/>
    <w:rsid w:val="006C4F4C"/>
    <w:rsid w:val="006C4FD5"/>
    <w:rsid w:val="006C509A"/>
    <w:rsid w:val="006C528A"/>
    <w:rsid w:val="006C5469"/>
    <w:rsid w:val="006C55B9"/>
    <w:rsid w:val="006C60F8"/>
    <w:rsid w:val="006C66ED"/>
    <w:rsid w:val="006C70BD"/>
    <w:rsid w:val="006C7877"/>
    <w:rsid w:val="006D107C"/>
    <w:rsid w:val="006D1256"/>
    <w:rsid w:val="006D1CA3"/>
    <w:rsid w:val="006D1DCD"/>
    <w:rsid w:val="006D278C"/>
    <w:rsid w:val="006D2AD1"/>
    <w:rsid w:val="006D2D4C"/>
    <w:rsid w:val="006D3278"/>
    <w:rsid w:val="006D35DC"/>
    <w:rsid w:val="006D3AD3"/>
    <w:rsid w:val="006D3C7D"/>
    <w:rsid w:val="006D654F"/>
    <w:rsid w:val="006D67AD"/>
    <w:rsid w:val="006D67F7"/>
    <w:rsid w:val="006D71ED"/>
    <w:rsid w:val="006D7B8E"/>
    <w:rsid w:val="006E033F"/>
    <w:rsid w:val="006E062E"/>
    <w:rsid w:val="006E0BBD"/>
    <w:rsid w:val="006E1494"/>
    <w:rsid w:val="006E18F3"/>
    <w:rsid w:val="006E1C7C"/>
    <w:rsid w:val="006E2152"/>
    <w:rsid w:val="006E2708"/>
    <w:rsid w:val="006E3915"/>
    <w:rsid w:val="006E40DC"/>
    <w:rsid w:val="006E4C28"/>
    <w:rsid w:val="006E4E2A"/>
    <w:rsid w:val="006E59B3"/>
    <w:rsid w:val="006E5CCA"/>
    <w:rsid w:val="006E5E1A"/>
    <w:rsid w:val="006E5E8B"/>
    <w:rsid w:val="006E635F"/>
    <w:rsid w:val="006E7B69"/>
    <w:rsid w:val="006E7EFA"/>
    <w:rsid w:val="006F0C99"/>
    <w:rsid w:val="006F2C5A"/>
    <w:rsid w:val="006F3E57"/>
    <w:rsid w:val="006F40EC"/>
    <w:rsid w:val="006F4B73"/>
    <w:rsid w:val="006F4EDF"/>
    <w:rsid w:val="006F4EF9"/>
    <w:rsid w:val="006F63A5"/>
    <w:rsid w:val="006F670D"/>
    <w:rsid w:val="006F6794"/>
    <w:rsid w:val="006F6F8D"/>
    <w:rsid w:val="006F71C7"/>
    <w:rsid w:val="006F759D"/>
    <w:rsid w:val="006F7B87"/>
    <w:rsid w:val="00700073"/>
    <w:rsid w:val="007003D6"/>
    <w:rsid w:val="007005C6"/>
    <w:rsid w:val="007008C9"/>
    <w:rsid w:val="007009C0"/>
    <w:rsid w:val="00700C3F"/>
    <w:rsid w:val="00700C88"/>
    <w:rsid w:val="00701865"/>
    <w:rsid w:val="00701961"/>
    <w:rsid w:val="00701981"/>
    <w:rsid w:val="00701BCE"/>
    <w:rsid w:val="00701D1B"/>
    <w:rsid w:val="0070276E"/>
    <w:rsid w:val="00703AEC"/>
    <w:rsid w:val="0070487C"/>
    <w:rsid w:val="00705CBE"/>
    <w:rsid w:val="00705CF5"/>
    <w:rsid w:val="00705F1C"/>
    <w:rsid w:val="00706091"/>
    <w:rsid w:val="007062CB"/>
    <w:rsid w:val="007063DF"/>
    <w:rsid w:val="00706468"/>
    <w:rsid w:val="00706818"/>
    <w:rsid w:val="00706E55"/>
    <w:rsid w:val="0070716A"/>
    <w:rsid w:val="007073C0"/>
    <w:rsid w:val="0070764B"/>
    <w:rsid w:val="00710173"/>
    <w:rsid w:val="0071059C"/>
    <w:rsid w:val="00710BDC"/>
    <w:rsid w:val="00710E7A"/>
    <w:rsid w:val="00710FD5"/>
    <w:rsid w:val="0071147C"/>
    <w:rsid w:val="00711688"/>
    <w:rsid w:val="00711874"/>
    <w:rsid w:val="00711914"/>
    <w:rsid w:val="00711A36"/>
    <w:rsid w:val="00711C32"/>
    <w:rsid w:val="00712024"/>
    <w:rsid w:val="00712491"/>
    <w:rsid w:val="00712B6B"/>
    <w:rsid w:val="00712E74"/>
    <w:rsid w:val="0071391A"/>
    <w:rsid w:val="00713D71"/>
    <w:rsid w:val="00713ECF"/>
    <w:rsid w:val="007140B8"/>
    <w:rsid w:val="00715EAD"/>
    <w:rsid w:val="00715FEE"/>
    <w:rsid w:val="00716171"/>
    <w:rsid w:val="007167A8"/>
    <w:rsid w:val="00716C65"/>
    <w:rsid w:val="00716C84"/>
    <w:rsid w:val="007172AD"/>
    <w:rsid w:val="007177B3"/>
    <w:rsid w:val="0072084F"/>
    <w:rsid w:val="007212E0"/>
    <w:rsid w:val="0072159A"/>
    <w:rsid w:val="0072199F"/>
    <w:rsid w:val="0072212F"/>
    <w:rsid w:val="0072213A"/>
    <w:rsid w:val="007222E0"/>
    <w:rsid w:val="00723144"/>
    <w:rsid w:val="00724340"/>
    <w:rsid w:val="00724A94"/>
    <w:rsid w:val="00724DBA"/>
    <w:rsid w:val="00725AFB"/>
    <w:rsid w:val="00725EE6"/>
    <w:rsid w:val="007263FC"/>
    <w:rsid w:val="007265FB"/>
    <w:rsid w:val="0072674C"/>
    <w:rsid w:val="0072709E"/>
    <w:rsid w:val="00727B4A"/>
    <w:rsid w:val="007300B8"/>
    <w:rsid w:val="00730737"/>
    <w:rsid w:val="007309E2"/>
    <w:rsid w:val="00730DCA"/>
    <w:rsid w:val="00731CE1"/>
    <w:rsid w:val="00731DB1"/>
    <w:rsid w:val="00731E6E"/>
    <w:rsid w:val="00732F3F"/>
    <w:rsid w:val="007342FB"/>
    <w:rsid w:val="00734A05"/>
    <w:rsid w:val="00735328"/>
    <w:rsid w:val="0073685B"/>
    <w:rsid w:val="00737567"/>
    <w:rsid w:val="007379A4"/>
    <w:rsid w:val="00737A11"/>
    <w:rsid w:val="00737B0C"/>
    <w:rsid w:val="007409F9"/>
    <w:rsid w:val="00740B22"/>
    <w:rsid w:val="00740F62"/>
    <w:rsid w:val="00741164"/>
    <w:rsid w:val="00741785"/>
    <w:rsid w:val="007418CE"/>
    <w:rsid w:val="00741CA6"/>
    <w:rsid w:val="00741E42"/>
    <w:rsid w:val="007421C7"/>
    <w:rsid w:val="0074228A"/>
    <w:rsid w:val="00743271"/>
    <w:rsid w:val="00743820"/>
    <w:rsid w:val="00743995"/>
    <w:rsid w:val="00743B5C"/>
    <w:rsid w:val="00743CEB"/>
    <w:rsid w:val="00743FC8"/>
    <w:rsid w:val="0074496C"/>
    <w:rsid w:val="00744EEA"/>
    <w:rsid w:val="00745EB2"/>
    <w:rsid w:val="00745F23"/>
    <w:rsid w:val="00746434"/>
    <w:rsid w:val="00746742"/>
    <w:rsid w:val="00747084"/>
    <w:rsid w:val="0074721A"/>
    <w:rsid w:val="007474AD"/>
    <w:rsid w:val="00747D11"/>
    <w:rsid w:val="00750154"/>
    <w:rsid w:val="00750D28"/>
    <w:rsid w:val="007510C6"/>
    <w:rsid w:val="00751770"/>
    <w:rsid w:val="0075221F"/>
    <w:rsid w:val="00752D23"/>
    <w:rsid w:val="007535F9"/>
    <w:rsid w:val="007536B0"/>
    <w:rsid w:val="00754297"/>
    <w:rsid w:val="00754334"/>
    <w:rsid w:val="00754DCC"/>
    <w:rsid w:val="00755243"/>
    <w:rsid w:val="0075544D"/>
    <w:rsid w:val="0075584D"/>
    <w:rsid w:val="00755BDC"/>
    <w:rsid w:val="00755E37"/>
    <w:rsid w:val="00756D8F"/>
    <w:rsid w:val="007604CA"/>
    <w:rsid w:val="0076078A"/>
    <w:rsid w:val="00760E3D"/>
    <w:rsid w:val="00761038"/>
    <w:rsid w:val="0076104A"/>
    <w:rsid w:val="007610DD"/>
    <w:rsid w:val="0076193B"/>
    <w:rsid w:val="00762A7F"/>
    <w:rsid w:val="0076322F"/>
    <w:rsid w:val="007639D3"/>
    <w:rsid w:val="00764B19"/>
    <w:rsid w:val="007658DC"/>
    <w:rsid w:val="00765B95"/>
    <w:rsid w:val="00765F80"/>
    <w:rsid w:val="007671ED"/>
    <w:rsid w:val="007672C0"/>
    <w:rsid w:val="00767476"/>
    <w:rsid w:val="00767AA8"/>
    <w:rsid w:val="00770318"/>
    <w:rsid w:val="007705D7"/>
    <w:rsid w:val="00770654"/>
    <w:rsid w:val="00770803"/>
    <w:rsid w:val="00770D17"/>
    <w:rsid w:val="00771031"/>
    <w:rsid w:val="00771413"/>
    <w:rsid w:val="00771436"/>
    <w:rsid w:val="007720AA"/>
    <w:rsid w:val="007720FA"/>
    <w:rsid w:val="00772A86"/>
    <w:rsid w:val="007732DA"/>
    <w:rsid w:val="007737E7"/>
    <w:rsid w:val="00773C03"/>
    <w:rsid w:val="00773D7D"/>
    <w:rsid w:val="00774E06"/>
    <w:rsid w:val="00775987"/>
    <w:rsid w:val="00775E90"/>
    <w:rsid w:val="00775F9D"/>
    <w:rsid w:val="00776712"/>
    <w:rsid w:val="00776A20"/>
    <w:rsid w:val="00777320"/>
    <w:rsid w:val="007776CA"/>
    <w:rsid w:val="00777A31"/>
    <w:rsid w:val="0078035C"/>
    <w:rsid w:val="007812E9"/>
    <w:rsid w:val="007820BE"/>
    <w:rsid w:val="007821A6"/>
    <w:rsid w:val="0078301F"/>
    <w:rsid w:val="00783232"/>
    <w:rsid w:val="0078364E"/>
    <w:rsid w:val="00783A1D"/>
    <w:rsid w:val="007841DE"/>
    <w:rsid w:val="00784498"/>
    <w:rsid w:val="007852AD"/>
    <w:rsid w:val="0078648D"/>
    <w:rsid w:val="007864FC"/>
    <w:rsid w:val="007866F1"/>
    <w:rsid w:val="00786839"/>
    <w:rsid w:val="007869A7"/>
    <w:rsid w:val="00787258"/>
    <w:rsid w:val="007900D5"/>
    <w:rsid w:val="0079031B"/>
    <w:rsid w:val="00790529"/>
    <w:rsid w:val="0079333C"/>
    <w:rsid w:val="00793695"/>
    <w:rsid w:val="00793F05"/>
    <w:rsid w:val="0079456B"/>
    <w:rsid w:val="00795AD8"/>
    <w:rsid w:val="00796C05"/>
    <w:rsid w:val="00796DD9"/>
    <w:rsid w:val="00796EA1"/>
    <w:rsid w:val="007A047D"/>
    <w:rsid w:val="007A1395"/>
    <w:rsid w:val="007A2AC1"/>
    <w:rsid w:val="007A2E60"/>
    <w:rsid w:val="007A30D5"/>
    <w:rsid w:val="007A3410"/>
    <w:rsid w:val="007A3767"/>
    <w:rsid w:val="007A524A"/>
    <w:rsid w:val="007A5834"/>
    <w:rsid w:val="007A6357"/>
    <w:rsid w:val="007A6697"/>
    <w:rsid w:val="007A6AE6"/>
    <w:rsid w:val="007A7B47"/>
    <w:rsid w:val="007A7F30"/>
    <w:rsid w:val="007B006C"/>
    <w:rsid w:val="007B022C"/>
    <w:rsid w:val="007B065F"/>
    <w:rsid w:val="007B1AC6"/>
    <w:rsid w:val="007B215C"/>
    <w:rsid w:val="007B21AA"/>
    <w:rsid w:val="007B2240"/>
    <w:rsid w:val="007B251D"/>
    <w:rsid w:val="007B2618"/>
    <w:rsid w:val="007B29A1"/>
    <w:rsid w:val="007B2AC7"/>
    <w:rsid w:val="007B3432"/>
    <w:rsid w:val="007B39D8"/>
    <w:rsid w:val="007B3CFD"/>
    <w:rsid w:val="007B3F06"/>
    <w:rsid w:val="007B3FAF"/>
    <w:rsid w:val="007B4078"/>
    <w:rsid w:val="007B419D"/>
    <w:rsid w:val="007B4A16"/>
    <w:rsid w:val="007B4F07"/>
    <w:rsid w:val="007B4F93"/>
    <w:rsid w:val="007B569A"/>
    <w:rsid w:val="007B675D"/>
    <w:rsid w:val="007B6F2F"/>
    <w:rsid w:val="007B750B"/>
    <w:rsid w:val="007B75ED"/>
    <w:rsid w:val="007B77D1"/>
    <w:rsid w:val="007B781E"/>
    <w:rsid w:val="007C049F"/>
    <w:rsid w:val="007C0C01"/>
    <w:rsid w:val="007C0C10"/>
    <w:rsid w:val="007C156D"/>
    <w:rsid w:val="007C1686"/>
    <w:rsid w:val="007C16A8"/>
    <w:rsid w:val="007C29D4"/>
    <w:rsid w:val="007C2A82"/>
    <w:rsid w:val="007C2AE9"/>
    <w:rsid w:val="007C3757"/>
    <w:rsid w:val="007C382C"/>
    <w:rsid w:val="007C401A"/>
    <w:rsid w:val="007C4A96"/>
    <w:rsid w:val="007C58F9"/>
    <w:rsid w:val="007C5D13"/>
    <w:rsid w:val="007C75D7"/>
    <w:rsid w:val="007C75E2"/>
    <w:rsid w:val="007C7998"/>
    <w:rsid w:val="007C7C95"/>
    <w:rsid w:val="007D0B38"/>
    <w:rsid w:val="007D0B6F"/>
    <w:rsid w:val="007D1CA3"/>
    <w:rsid w:val="007D2C38"/>
    <w:rsid w:val="007D364C"/>
    <w:rsid w:val="007D3A99"/>
    <w:rsid w:val="007D47C9"/>
    <w:rsid w:val="007D6255"/>
    <w:rsid w:val="007D63EA"/>
    <w:rsid w:val="007D73D4"/>
    <w:rsid w:val="007E0874"/>
    <w:rsid w:val="007E0ECB"/>
    <w:rsid w:val="007E1098"/>
    <w:rsid w:val="007E154F"/>
    <w:rsid w:val="007E16BA"/>
    <w:rsid w:val="007E2880"/>
    <w:rsid w:val="007E3393"/>
    <w:rsid w:val="007E34A4"/>
    <w:rsid w:val="007E3538"/>
    <w:rsid w:val="007E578B"/>
    <w:rsid w:val="007E5AB7"/>
    <w:rsid w:val="007E5E20"/>
    <w:rsid w:val="007E692B"/>
    <w:rsid w:val="007E7EDA"/>
    <w:rsid w:val="007F01AD"/>
    <w:rsid w:val="007F02AD"/>
    <w:rsid w:val="007F04C1"/>
    <w:rsid w:val="007F0A03"/>
    <w:rsid w:val="007F0F10"/>
    <w:rsid w:val="007F1017"/>
    <w:rsid w:val="007F132C"/>
    <w:rsid w:val="007F27E7"/>
    <w:rsid w:val="007F37B2"/>
    <w:rsid w:val="007F3822"/>
    <w:rsid w:val="007F393E"/>
    <w:rsid w:val="007F4A3F"/>
    <w:rsid w:val="007F4AA0"/>
    <w:rsid w:val="007F4FB2"/>
    <w:rsid w:val="007F539B"/>
    <w:rsid w:val="007F5E22"/>
    <w:rsid w:val="007F674E"/>
    <w:rsid w:val="007F6D5A"/>
    <w:rsid w:val="007F7291"/>
    <w:rsid w:val="007F7806"/>
    <w:rsid w:val="007F7849"/>
    <w:rsid w:val="007F7ADB"/>
    <w:rsid w:val="007F7B76"/>
    <w:rsid w:val="00800A18"/>
    <w:rsid w:val="00800CAB"/>
    <w:rsid w:val="008016AC"/>
    <w:rsid w:val="00801A63"/>
    <w:rsid w:val="00801ED0"/>
    <w:rsid w:val="00802D00"/>
    <w:rsid w:val="00805142"/>
    <w:rsid w:val="0080534F"/>
    <w:rsid w:val="00805486"/>
    <w:rsid w:val="008057BE"/>
    <w:rsid w:val="00805C9E"/>
    <w:rsid w:val="00805F33"/>
    <w:rsid w:val="008067AF"/>
    <w:rsid w:val="00806B9E"/>
    <w:rsid w:val="00807527"/>
    <w:rsid w:val="008078D1"/>
    <w:rsid w:val="00807A8B"/>
    <w:rsid w:val="00807C9C"/>
    <w:rsid w:val="00810449"/>
    <w:rsid w:val="00810885"/>
    <w:rsid w:val="00812149"/>
    <w:rsid w:val="00812D11"/>
    <w:rsid w:val="008149C0"/>
    <w:rsid w:val="00814AA1"/>
    <w:rsid w:val="008151DC"/>
    <w:rsid w:val="0081562B"/>
    <w:rsid w:val="0081601A"/>
    <w:rsid w:val="008166EF"/>
    <w:rsid w:val="008170DA"/>
    <w:rsid w:val="008172CE"/>
    <w:rsid w:val="0081747A"/>
    <w:rsid w:val="008179BB"/>
    <w:rsid w:val="00820BD3"/>
    <w:rsid w:val="00820D9E"/>
    <w:rsid w:val="00821609"/>
    <w:rsid w:val="00821792"/>
    <w:rsid w:val="00821DBA"/>
    <w:rsid w:val="00821F1A"/>
    <w:rsid w:val="008220E5"/>
    <w:rsid w:val="008222E3"/>
    <w:rsid w:val="00822852"/>
    <w:rsid w:val="008240D3"/>
    <w:rsid w:val="00824978"/>
    <w:rsid w:val="008264EB"/>
    <w:rsid w:val="00826CEF"/>
    <w:rsid w:val="00826F9B"/>
    <w:rsid w:val="0082716F"/>
    <w:rsid w:val="00827CC1"/>
    <w:rsid w:val="00827D93"/>
    <w:rsid w:val="00827D9E"/>
    <w:rsid w:val="00830AF2"/>
    <w:rsid w:val="00830AFC"/>
    <w:rsid w:val="00832082"/>
    <w:rsid w:val="00832568"/>
    <w:rsid w:val="008330F2"/>
    <w:rsid w:val="008334B8"/>
    <w:rsid w:val="0083464B"/>
    <w:rsid w:val="0083480E"/>
    <w:rsid w:val="00834906"/>
    <w:rsid w:val="00834962"/>
    <w:rsid w:val="008357A1"/>
    <w:rsid w:val="00835BB1"/>
    <w:rsid w:val="00835D46"/>
    <w:rsid w:val="00836FA8"/>
    <w:rsid w:val="00837A04"/>
    <w:rsid w:val="0084035A"/>
    <w:rsid w:val="00840CA2"/>
    <w:rsid w:val="0084131C"/>
    <w:rsid w:val="008415ED"/>
    <w:rsid w:val="00842A20"/>
    <w:rsid w:val="00842DEE"/>
    <w:rsid w:val="00843A1A"/>
    <w:rsid w:val="00843FE8"/>
    <w:rsid w:val="008441FF"/>
    <w:rsid w:val="0084458F"/>
    <w:rsid w:val="00845558"/>
    <w:rsid w:val="008464B9"/>
    <w:rsid w:val="00847579"/>
    <w:rsid w:val="008475BA"/>
    <w:rsid w:val="00847838"/>
    <w:rsid w:val="00850500"/>
    <w:rsid w:val="00850DF7"/>
    <w:rsid w:val="00852880"/>
    <w:rsid w:val="00853D0C"/>
    <w:rsid w:val="00854260"/>
    <w:rsid w:val="00854AC6"/>
    <w:rsid w:val="00854EC7"/>
    <w:rsid w:val="00854F60"/>
    <w:rsid w:val="008551A4"/>
    <w:rsid w:val="00856C6B"/>
    <w:rsid w:val="00856E9A"/>
    <w:rsid w:val="00856F3C"/>
    <w:rsid w:val="008601D6"/>
    <w:rsid w:val="008609B4"/>
    <w:rsid w:val="0086188C"/>
    <w:rsid w:val="008619C5"/>
    <w:rsid w:val="00861CAE"/>
    <w:rsid w:val="00861D88"/>
    <w:rsid w:val="0086262D"/>
    <w:rsid w:val="0086286A"/>
    <w:rsid w:val="008631E7"/>
    <w:rsid w:val="00863414"/>
    <w:rsid w:val="00863568"/>
    <w:rsid w:val="00863DD3"/>
    <w:rsid w:val="00864F69"/>
    <w:rsid w:val="008657F2"/>
    <w:rsid w:val="00865F6E"/>
    <w:rsid w:val="0086664D"/>
    <w:rsid w:val="008669E4"/>
    <w:rsid w:val="00867228"/>
    <w:rsid w:val="0086783C"/>
    <w:rsid w:val="00867D2D"/>
    <w:rsid w:val="00870CDA"/>
    <w:rsid w:val="008716CE"/>
    <w:rsid w:val="00872811"/>
    <w:rsid w:val="00872A13"/>
    <w:rsid w:val="00872D48"/>
    <w:rsid w:val="00872D69"/>
    <w:rsid w:val="008730FB"/>
    <w:rsid w:val="0087323A"/>
    <w:rsid w:val="0087367D"/>
    <w:rsid w:val="008738A0"/>
    <w:rsid w:val="008739D6"/>
    <w:rsid w:val="00873A5B"/>
    <w:rsid w:val="00873C21"/>
    <w:rsid w:val="00874002"/>
    <w:rsid w:val="00874AC5"/>
    <w:rsid w:val="0087510C"/>
    <w:rsid w:val="00876308"/>
    <w:rsid w:val="0088090D"/>
    <w:rsid w:val="00880BCF"/>
    <w:rsid w:val="00880EDF"/>
    <w:rsid w:val="00881951"/>
    <w:rsid w:val="00881DA6"/>
    <w:rsid w:val="00882874"/>
    <w:rsid w:val="00882C6C"/>
    <w:rsid w:val="008831B1"/>
    <w:rsid w:val="00883754"/>
    <w:rsid w:val="00883787"/>
    <w:rsid w:val="00883EE8"/>
    <w:rsid w:val="008847C8"/>
    <w:rsid w:val="00885D0D"/>
    <w:rsid w:val="00886317"/>
    <w:rsid w:val="00886405"/>
    <w:rsid w:val="008865CD"/>
    <w:rsid w:val="00886DE2"/>
    <w:rsid w:val="00886FF8"/>
    <w:rsid w:val="00887907"/>
    <w:rsid w:val="00887C35"/>
    <w:rsid w:val="0089034C"/>
    <w:rsid w:val="008906DE"/>
    <w:rsid w:val="008907F0"/>
    <w:rsid w:val="00890D7B"/>
    <w:rsid w:val="00890D9F"/>
    <w:rsid w:val="00891B91"/>
    <w:rsid w:val="00892069"/>
    <w:rsid w:val="008920C8"/>
    <w:rsid w:val="00892E76"/>
    <w:rsid w:val="0089399A"/>
    <w:rsid w:val="00894284"/>
    <w:rsid w:val="00894790"/>
    <w:rsid w:val="00894CA2"/>
    <w:rsid w:val="00894E4F"/>
    <w:rsid w:val="00895359"/>
    <w:rsid w:val="008963A3"/>
    <w:rsid w:val="008963A5"/>
    <w:rsid w:val="008966CD"/>
    <w:rsid w:val="00896AD5"/>
    <w:rsid w:val="00896BCD"/>
    <w:rsid w:val="00896F35"/>
    <w:rsid w:val="008A0EAF"/>
    <w:rsid w:val="008A101F"/>
    <w:rsid w:val="008A1975"/>
    <w:rsid w:val="008A243F"/>
    <w:rsid w:val="008A26ED"/>
    <w:rsid w:val="008A3C3E"/>
    <w:rsid w:val="008A3F64"/>
    <w:rsid w:val="008A4516"/>
    <w:rsid w:val="008A4A5E"/>
    <w:rsid w:val="008A5AEA"/>
    <w:rsid w:val="008A6790"/>
    <w:rsid w:val="008A69BB"/>
    <w:rsid w:val="008A6B83"/>
    <w:rsid w:val="008A6EAC"/>
    <w:rsid w:val="008A733F"/>
    <w:rsid w:val="008A78AF"/>
    <w:rsid w:val="008A79DE"/>
    <w:rsid w:val="008B01D3"/>
    <w:rsid w:val="008B0244"/>
    <w:rsid w:val="008B09B1"/>
    <w:rsid w:val="008B0A43"/>
    <w:rsid w:val="008B1745"/>
    <w:rsid w:val="008B4926"/>
    <w:rsid w:val="008B4C19"/>
    <w:rsid w:val="008B4F89"/>
    <w:rsid w:val="008B5187"/>
    <w:rsid w:val="008B51FF"/>
    <w:rsid w:val="008B5EB3"/>
    <w:rsid w:val="008B66DC"/>
    <w:rsid w:val="008B6798"/>
    <w:rsid w:val="008B69FA"/>
    <w:rsid w:val="008B74F8"/>
    <w:rsid w:val="008B7810"/>
    <w:rsid w:val="008B7D7E"/>
    <w:rsid w:val="008C0A63"/>
    <w:rsid w:val="008C0C51"/>
    <w:rsid w:val="008C0CC2"/>
    <w:rsid w:val="008C1479"/>
    <w:rsid w:val="008C1AC7"/>
    <w:rsid w:val="008C1DB1"/>
    <w:rsid w:val="008C1FBB"/>
    <w:rsid w:val="008C3020"/>
    <w:rsid w:val="008C3A4C"/>
    <w:rsid w:val="008C5AFC"/>
    <w:rsid w:val="008C5FB2"/>
    <w:rsid w:val="008C6346"/>
    <w:rsid w:val="008C7545"/>
    <w:rsid w:val="008C76DC"/>
    <w:rsid w:val="008C7B53"/>
    <w:rsid w:val="008C7ECB"/>
    <w:rsid w:val="008D092A"/>
    <w:rsid w:val="008D0A8D"/>
    <w:rsid w:val="008D0C4F"/>
    <w:rsid w:val="008D0CA0"/>
    <w:rsid w:val="008D12D0"/>
    <w:rsid w:val="008D19DD"/>
    <w:rsid w:val="008D20B6"/>
    <w:rsid w:val="008D20DA"/>
    <w:rsid w:val="008D2CE1"/>
    <w:rsid w:val="008D2E67"/>
    <w:rsid w:val="008D362A"/>
    <w:rsid w:val="008D48CF"/>
    <w:rsid w:val="008D5F30"/>
    <w:rsid w:val="008D622B"/>
    <w:rsid w:val="008D63A8"/>
    <w:rsid w:val="008D655B"/>
    <w:rsid w:val="008D6A00"/>
    <w:rsid w:val="008D7E41"/>
    <w:rsid w:val="008E079B"/>
    <w:rsid w:val="008E08EC"/>
    <w:rsid w:val="008E1776"/>
    <w:rsid w:val="008E1B9E"/>
    <w:rsid w:val="008E2414"/>
    <w:rsid w:val="008E2680"/>
    <w:rsid w:val="008E27A9"/>
    <w:rsid w:val="008E37B7"/>
    <w:rsid w:val="008E3D0D"/>
    <w:rsid w:val="008E3E2A"/>
    <w:rsid w:val="008E5A6F"/>
    <w:rsid w:val="008E5E41"/>
    <w:rsid w:val="008E64A9"/>
    <w:rsid w:val="008E689C"/>
    <w:rsid w:val="008E7809"/>
    <w:rsid w:val="008E7A90"/>
    <w:rsid w:val="008E7CDD"/>
    <w:rsid w:val="008F0009"/>
    <w:rsid w:val="008F053A"/>
    <w:rsid w:val="008F05CD"/>
    <w:rsid w:val="008F09EB"/>
    <w:rsid w:val="008F12E3"/>
    <w:rsid w:val="008F21BB"/>
    <w:rsid w:val="008F21F4"/>
    <w:rsid w:val="008F334E"/>
    <w:rsid w:val="008F35A0"/>
    <w:rsid w:val="008F37B9"/>
    <w:rsid w:val="008F4107"/>
    <w:rsid w:val="008F48EB"/>
    <w:rsid w:val="008F4B7C"/>
    <w:rsid w:val="008F4C9F"/>
    <w:rsid w:val="008F4DB5"/>
    <w:rsid w:val="008F4F0B"/>
    <w:rsid w:val="008F5290"/>
    <w:rsid w:val="008F6417"/>
    <w:rsid w:val="008F66A2"/>
    <w:rsid w:val="008F720D"/>
    <w:rsid w:val="0090053F"/>
    <w:rsid w:val="00900D69"/>
    <w:rsid w:val="00900F66"/>
    <w:rsid w:val="00901A88"/>
    <w:rsid w:val="00901DFA"/>
    <w:rsid w:val="009025CD"/>
    <w:rsid w:val="00902833"/>
    <w:rsid w:val="00902875"/>
    <w:rsid w:val="00902C39"/>
    <w:rsid w:val="00903C92"/>
    <w:rsid w:val="00904281"/>
    <w:rsid w:val="00904A71"/>
    <w:rsid w:val="00904AC5"/>
    <w:rsid w:val="00904AEC"/>
    <w:rsid w:val="00905593"/>
    <w:rsid w:val="009059F1"/>
    <w:rsid w:val="00905E4A"/>
    <w:rsid w:val="00905E6B"/>
    <w:rsid w:val="009062A5"/>
    <w:rsid w:val="00907408"/>
    <w:rsid w:val="00907713"/>
    <w:rsid w:val="00907A30"/>
    <w:rsid w:val="0091049A"/>
    <w:rsid w:val="00910723"/>
    <w:rsid w:val="00910DFA"/>
    <w:rsid w:val="00910E94"/>
    <w:rsid w:val="00910FA9"/>
    <w:rsid w:val="00911138"/>
    <w:rsid w:val="00911272"/>
    <w:rsid w:val="00911994"/>
    <w:rsid w:val="00911DB3"/>
    <w:rsid w:val="0091245A"/>
    <w:rsid w:val="00912821"/>
    <w:rsid w:val="00912AF5"/>
    <w:rsid w:val="00912CC4"/>
    <w:rsid w:val="00912E55"/>
    <w:rsid w:val="009130EB"/>
    <w:rsid w:val="00913E02"/>
    <w:rsid w:val="0091401F"/>
    <w:rsid w:val="009147AF"/>
    <w:rsid w:val="009156BA"/>
    <w:rsid w:val="00915C19"/>
    <w:rsid w:val="00916FDC"/>
    <w:rsid w:val="00917049"/>
    <w:rsid w:val="00917824"/>
    <w:rsid w:val="00917A40"/>
    <w:rsid w:val="00920EE5"/>
    <w:rsid w:val="00920F2C"/>
    <w:rsid w:val="009212D7"/>
    <w:rsid w:val="00922E1A"/>
    <w:rsid w:val="009232A8"/>
    <w:rsid w:val="009239F5"/>
    <w:rsid w:val="00923BF9"/>
    <w:rsid w:val="009248AC"/>
    <w:rsid w:val="009254CA"/>
    <w:rsid w:val="00925D42"/>
    <w:rsid w:val="009260C7"/>
    <w:rsid w:val="00926130"/>
    <w:rsid w:val="009262F1"/>
    <w:rsid w:val="00927187"/>
    <w:rsid w:val="0092720E"/>
    <w:rsid w:val="00927236"/>
    <w:rsid w:val="009302A1"/>
    <w:rsid w:val="0093164F"/>
    <w:rsid w:val="009318FB"/>
    <w:rsid w:val="00931AAF"/>
    <w:rsid w:val="00931C75"/>
    <w:rsid w:val="00931D8D"/>
    <w:rsid w:val="0093227E"/>
    <w:rsid w:val="00932CEF"/>
    <w:rsid w:val="00933277"/>
    <w:rsid w:val="00933462"/>
    <w:rsid w:val="00933EFB"/>
    <w:rsid w:val="00934283"/>
    <w:rsid w:val="009343E5"/>
    <w:rsid w:val="00934629"/>
    <w:rsid w:val="009347C3"/>
    <w:rsid w:val="00934DC7"/>
    <w:rsid w:val="00935514"/>
    <w:rsid w:val="009355A9"/>
    <w:rsid w:val="009356B4"/>
    <w:rsid w:val="00935978"/>
    <w:rsid w:val="00935F66"/>
    <w:rsid w:val="00936160"/>
    <w:rsid w:val="00936B51"/>
    <w:rsid w:val="00937487"/>
    <w:rsid w:val="009400F4"/>
    <w:rsid w:val="00940500"/>
    <w:rsid w:val="00940B89"/>
    <w:rsid w:val="00941AD6"/>
    <w:rsid w:val="00941CEE"/>
    <w:rsid w:val="00941F40"/>
    <w:rsid w:val="009422A7"/>
    <w:rsid w:val="009423A7"/>
    <w:rsid w:val="00942A72"/>
    <w:rsid w:val="00942F40"/>
    <w:rsid w:val="0094372B"/>
    <w:rsid w:val="00944B32"/>
    <w:rsid w:val="009456B4"/>
    <w:rsid w:val="00945CB1"/>
    <w:rsid w:val="009473D4"/>
    <w:rsid w:val="009477A1"/>
    <w:rsid w:val="0095054A"/>
    <w:rsid w:val="00950864"/>
    <w:rsid w:val="009508A6"/>
    <w:rsid w:val="00950DBA"/>
    <w:rsid w:val="00950DC6"/>
    <w:rsid w:val="00951682"/>
    <w:rsid w:val="009517AC"/>
    <w:rsid w:val="00951C20"/>
    <w:rsid w:val="00951F13"/>
    <w:rsid w:val="00951FD4"/>
    <w:rsid w:val="0095213D"/>
    <w:rsid w:val="00952169"/>
    <w:rsid w:val="0095234C"/>
    <w:rsid w:val="0095253B"/>
    <w:rsid w:val="00952659"/>
    <w:rsid w:val="00952870"/>
    <w:rsid w:val="00953A2E"/>
    <w:rsid w:val="00953ECF"/>
    <w:rsid w:val="0095427A"/>
    <w:rsid w:val="00954384"/>
    <w:rsid w:val="0095488E"/>
    <w:rsid w:val="00955112"/>
    <w:rsid w:val="00955A9E"/>
    <w:rsid w:val="00955C2D"/>
    <w:rsid w:val="00955ED0"/>
    <w:rsid w:val="0095681A"/>
    <w:rsid w:val="00956858"/>
    <w:rsid w:val="009568B7"/>
    <w:rsid w:val="00957535"/>
    <w:rsid w:val="009576C2"/>
    <w:rsid w:val="009602DB"/>
    <w:rsid w:val="0096151E"/>
    <w:rsid w:val="00961ABE"/>
    <w:rsid w:val="00961AF9"/>
    <w:rsid w:val="009624CD"/>
    <w:rsid w:val="009625D2"/>
    <w:rsid w:val="00962CB9"/>
    <w:rsid w:val="00963255"/>
    <w:rsid w:val="009640D3"/>
    <w:rsid w:val="00964312"/>
    <w:rsid w:val="0096588F"/>
    <w:rsid w:val="00965BA2"/>
    <w:rsid w:val="0096639C"/>
    <w:rsid w:val="00966C4B"/>
    <w:rsid w:val="00966D09"/>
    <w:rsid w:val="0096720C"/>
    <w:rsid w:val="00967227"/>
    <w:rsid w:val="00967517"/>
    <w:rsid w:val="009675B5"/>
    <w:rsid w:val="009675D1"/>
    <w:rsid w:val="009678A8"/>
    <w:rsid w:val="00967C5B"/>
    <w:rsid w:val="009713BF"/>
    <w:rsid w:val="0097145B"/>
    <w:rsid w:val="00971717"/>
    <w:rsid w:val="00971E51"/>
    <w:rsid w:val="00971E8D"/>
    <w:rsid w:val="00971F10"/>
    <w:rsid w:val="009732A3"/>
    <w:rsid w:val="009737A1"/>
    <w:rsid w:val="0097403A"/>
    <w:rsid w:val="00975789"/>
    <w:rsid w:val="00976203"/>
    <w:rsid w:val="00976418"/>
    <w:rsid w:val="0097646B"/>
    <w:rsid w:val="00976D49"/>
    <w:rsid w:val="009774BD"/>
    <w:rsid w:val="0097763A"/>
    <w:rsid w:val="0098002F"/>
    <w:rsid w:val="00980081"/>
    <w:rsid w:val="00980CBD"/>
    <w:rsid w:val="0098210C"/>
    <w:rsid w:val="00982193"/>
    <w:rsid w:val="009823FC"/>
    <w:rsid w:val="00983143"/>
    <w:rsid w:val="009832A8"/>
    <w:rsid w:val="00983399"/>
    <w:rsid w:val="00983E57"/>
    <w:rsid w:val="00984C3E"/>
    <w:rsid w:val="009859D2"/>
    <w:rsid w:val="00987551"/>
    <w:rsid w:val="0098785A"/>
    <w:rsid w:val="00990C95"/>
    <w:rsid w:val="00990E8B"/>
    <w:rsid w:val="00991741"/>
    <w:rsid w:val="00991BC6"/>
    <w:rsid w:val="009920DE"/>
    <w:rsid w:val="00992209"/>
    <w:rsid w:val="009927F8"/>
    <w:rsid w:val="009929BC"/>
    <w:rsid w:val="00992CB7"/>
    <w:rsid w:val="00992CDC"/>
    <w:rsid w:val="0099305D"/>
    <w:rsid w:val="00993340"/>
    <w:rsid w:val="009939B1"/>
    <w:rsid w:val="00994906"/>
    <w:rsid w:val="00994BD6"/>
    <w:rsid w:val="00994CA9"/>
    <w:rsid w:val="00995555"/>
    <w:rsid w:val="00995910"/>
    <w:rsid w:val="009959E0"/>
    <w:rsid w:val="00995E87"/>
    <w:rsid w:val="00996012"/>
    <w:rsid w:val="009962D3"/>
    <w:rsid w:val="009967E7"/>
    <w:rsid w:val="00996B1A"/>
    <w:rsid w:val="00997371"/>
    <w:rsid w:val="009A006C"/>
    <w:rsid w:val="009A008C"/>
    <w:rsid w:val="009A095B"/>
    <w:rsid w:val="009A1068"/>
    <w:rsid w:val="009A1D5C"/>
    <w:rsid w:val="009A1F1E"/>
    <w:rsid w:val="009A2794"/>
    <w:rsid w:val="009A4192"/>
    <w:rsid w:val="009A4206"/>
    <w:rsid w:val="009A4479"/>
    <w:rsid w:val="009A47FC"/>
    <w:rsid w:val="009A4934"/>
    <w:rsid w:val="009A54B3"/>
    <w:rsid w:val="009A6181"/>
    <w:rsid w:val="009B01AD"/>
    <w:rsid w:val="009B0E2F"/>
    <w:rsid w:val="009B0F5C"/>
    <w:rsid w:val="009B1389"/>
    <w:rsid w:val="009B178E"/>
    <w:rsid w:val="009B1BB7"/>
    <w:rsid w:val="009B1C4A"/>
    <w:rsid w:val="009B1D47"/>
    <w:rsid w:val="009B209A"/>
    <w:rsid w:val="009B20DE"/>
    <w:rsid w:val="009B2FAF"/>
    <w:rsid w:val="009B3BFC"/>
    <w:rsid w:val="009B3C16"/>
    <w:rsid w:val="009B3E26"/>
    <w:rsid w:val="009B40FC"/>
    <w:rsid w:val="009B4455"/>
    <w:rsid w:val="009B520A"/>
    <w:rsid w:val="009B56B0"/>
    <w:rsid w:val="009B65E0"/>
    <w:rsid w:val="009B66E6"/>
    <w:rsid w:val="009B7824"/>
    <w:rsid w:val="009B7AFE"/>
    <w:rsid w:val="009B7F46"/>
    <w:rsid w:val="009C019E"/>
    <w:rsid w:val="009C0305"/>
    <w:rsid w:val="009C16CE"/>
    <w:rsid w:val="009C1D0F"/>
    <w:rsid w:val="009C254D"/>
    <w:rsid w:val="009C289F"/>
    <w:rsid w:val="009C2B09"/>
    <w:rsid w:val="009C3235"/>
    <w:rsid w:val="009C3921"/>
    <w:rsid w:val="009C3944"/>
    <w:rsid w:val="009C3946"/>
    <w:rsid w:val="009C3A5C"/>
    <w:rsid w:val="009C4414"/>
    <w:rsid w:val="009C4B99"/>
    <w:rsid w:val="009C5A2A"/>
    <w:rsid w:val="009C6241"/>
    <w:rsid w:val="009C6312"/>
    <w:rsid w:val="009C6575"/>
    <w:rsid w:val="009C6E10"/>
    <w:rsid w:val="009C724D"/>
    <w:rsid w:val="009C7664"/>
    <w:rsid w:val="009C7CAF"/>
    <w:rsid w:val="009D0030"/>
    <w:rsid w:val="009D03A4"/>
    <w:rsid w:val="009D089B"/>
    <w:rsid w:val="009D0A6B"/>
    <w:rsid w:val="009D0A7C"/>
    <w:rsid w:val="009D147F"/>
    <w:rsid w:val="009D257E"/>
    <w:rsid w:val="009D29AA"/>
    <w:rsid w:val="009D2B57"/>
    <w:rsid w:val="009D2DFB"/>
    <w:rsid w:val="009D3046"/>
    <w:rsid w:val="009D35DE"/>
    <w:rsid w:val="009D3657"/>
    <w:rsid w:val="009D3CCD"/>
    <w:rsid w:val="009D4E60"/>
    <w:rsid w:val="009D4F32"/>
    <w:rsid w:val="009D5892"/>
    <w:rsid w:val="009D5B16"/>
    <w:rsid w:val="009D5B91"/>
    <w:rsid w:val="009D5EBC"/>
    <w:rsid w:val="009D6492"/>
    <w:rsid w:val="009D6582"/>
    <w:rsid w:val="009D6599"/>
    <w:rsid w:val="009D7167"/>
    <w:rsid w:val="009E0248"/>
    <w:rsid w:val="009E0439"/>
    <w:rsid w:val="009E055E"/>
    <w:rsid w:val="009E10FE"/>
    <w:rsid w:val="009E1B44"/>
    <w:rsid w:val="009E2667"/>
    <w:rsid w:val="009E2688"/>
    <w:rsid w:val="009E26F7"/>
    <w:rsid w:val="009E37FB"/>
    <w:rsid w:val="009E4C07"/>
    <w:rsid w:val="009E4F4D"/>
    <w:rsid w:val="009E5553"/>
    <w:rsid w:val="009E585A"/>
    <w:rsid w:val="009E5C2A"/>
    <w:rsid w:val="009E5CFD"/>
    <w:rsid w:val="009E61F7"/>
    <w:rsid w:val="009E66A5"/>
    <w:rsid w:val="009F03B6"/>
    <w:rsid w:val="009F0F8A"/>
    <w:rsid w:val="009F13CE"/>
    <w:rsid w:val="009F1E3C"/>
    <w:rsid w:val="009F21A7"/>
    <w:rsid w:val="009F2B29"/>
    <w:rsid w:val="009F2FB1"/>
    <w:rsid w:val="009F38B6"/>
    <w:rsid w:val="009F3F50"/>
    <w:rsid w:val="009F4D6F"/>
    <w:rsid w:val="009F52CC"/>
    <w:rsid w:val="009F55FC"/>
    <w:rsid w:val="009F6A9A"/>
    <w:rsid w:val="009F76D7"/>
    <w:rsid w:val="00A006D5"/>
    <w:rsid w:val="00A006E2"/>
    <w:rsid w:val="00A00ABD"/>
    <w:rsid w:val="00A015B0"/>
    <w:rsid w:val="00A01E30"/>
    <w:rsid w:val="00A0253E"/>
    <w:rsid w:val="00A03D43"/>
    <w:rsid w:val="00A04380"/>
    <w:rsid w:val="00A04485"/>
    <w:rsid w:val="00A04A6A"/>
    <w:rsid w:val="00A054CE"/>
    <w:rsid w:val="00A05911"/>
    <w:rsid w:val="00A064DE"/>
    <w:rsid w:val="00A06E1E"/>
    <w:rsid w:val="00A074A8"/>
    <w:rsid w:val="00A07FE5"/>
    <w:rsid w:val="00A1028D"/>
    <w:rsid w:val="00A1051C"/>
    <w:rsid w:val="00A11607"/>
    <w:rsid w:val="00A11E6A"/>
    <w:rsid w:val="00A11EDD"/>
    <w:rsid w:val="00A12C8E"/>
    <w:rsid w:val="00A13948"/>
    <w:rsid w:val="00A14280"/>
    <w:rsid w:val="00A1458D"/>
    <w:rsid w:val="00A14CC0"/>
    <w:rsid w:val="00A14E08"/>
    <w:rsid w:val="00A15296"/>
    <w:rsid w:val="00A1582B"/>
    <w:rsid w:val="00A1587C"/>
    <w:rsid w:val="00A15B9B"/>
    <w:rsid w:val="00A17BEE"/>
    <w:rsid w:val="00A205B0"/>
    <w:rsid w:val="00A209B7"/>
    <w:rsid w:val="00A20F6B"/>
    <w:rsid w:val="00A2149A"/>
    <w:rsid w:val="00A214F5"/>
    <w:rsid w:val="00A2195C"/>
    <w:rsid w:val="00A2287C"/>
    <w:rsid w:val="00A25B62"/>
    <w:rsid w:val="00A25C0C"/>
    <w:rsid w:val="00A262D8"/>
    <w:rsid w:val="00A268B8"/>
    <w:rsid w:val="00A274C3"/>
    <w:rsid w:val="00A27AEC"/>
    <w:rsid w:val="00A303FC"/>
    <w:rsid w:val="00A3064B"/>
    <w:rsid w:val="00A30760"/>
    <w:rsid w:val="00A30C44"/>
    <w:rsid w:val="00A31372"/>
    <w:rsid w:val="00A31CAF"/>
    <w:rsid w:val="00A31DFF"/>
    <w:rsid w:val="00A3304E"/>
    <w:rsid w:val="00A34288"/>
    <w:rsid w:val="00A3446F"/>
    <w:rsid w:val="00A352CF"/>
    <w:rsid w:val="00A353FB"/>
    <w:rsid w:val="00A355B8"/>
    <w:rsid w:val="00A356FB"/>
    <w:rsid w:val="00A35966"/>
    <w:rsid w:val="00A35D16"/>
    <w:rsid w:val="00A35FC9"/>
    <w:rsid w:val="00A35FCE"/>
    <w:rsid w:val="00A36602"/>
    <w:rsid w:val="00A3719A"/>
    <w:rsid w:val="00A3764B"/>
    <w:rsid w:val="00A378E3"/>
    <w:rsid w:val="00A40DC5"/>
    <w:rsid w:val="00A41678"/>
    <w:rsid w:val="00A42811"/>
    <w:rsid w:val="00A42C32"/>
    <w:rsid w:val="00A42F6E"/>
    <w:rsid w:val="00A438B1"/>
    <w:rsid w:val="00A43C59"/>
    <w:rsid w:val="00A43DAE"/>
    <w:rsid w:val="00A44167"/>
    <w:rsid w:val="00A4432B"/>
    <w:rsid w:val="00A45700"/>
    <w:rsid w:val="00A4592E"/>
    <w:rsid w:val="00A460F2"/>
    <w:rsid w:val="00A4685C"/>
    <w:rsid w:val="00A46ABA"/>
    <w:rsid w:val="00A474B3"/>
    <w:rsid w:val="00A479CD"/>
    <w:rsid w:val="00A47FB8"/>
    <w:rsid w:val="00A50AFD"/>
    <w:rsid w:val="00A50E2D"/>
    <w:rsid w:val="00A50ECD"/>
    <w:rsid w:val="00A51D37"/>
    <w:rsid w:val="00A5235D"/>
    <w:rsid w:val="00A525D7"/>
    <w:rsid w:val="00A526B0"/>
    <w:rsid w:val="00A52729"/>
    <w:rsid w:val="00A52C8E"/>
    <w:rsid w:val="00A52D82"/>
    <w:rsid w:val="00A535DB"/>
    <w:rsid w:val="00A5360D"/>
    <w:rsid w:val="00A53675"/>
    <w:rsid w:val="00A539FA"/>
    <w:rsid w:val="00A54DD0"/>
    <w:rsid w:val="00A552D9"/>
    <w:rsid w:val="00A5541F"/>
    <w:rsid w:val="00A555E7"/>
    <w:rsid w:val="00A5658C"/>
    <w:rsid w:val="00A56B6A"/>
    <w:rsid w:val="00A56D63"/>
    <w:rsid w:val="00A57241"/>
    <w:rsid w:val="00A574AC"/>
    <w:rsid w:val="00A578DC"/>
    <w:rsid w:val="00A57C3D"/>
    <w:rsid w:val="00A57D8A"/>
    <w:rsid w:val="00A602DD"/>
    <w:rsid w:val="00A603F4"/>
    <w:rsid w:val="00A60432"/>
    <w:rsid w:val="00A6093A"/>
    <w:rsid w:val="00A609A8"/>
    <w:rsid w:val="00A610D6"/>
    <w:rsid w:val="00A61429"/>
    <w:rsid w:val="00A61C45"/>
    <w:rsid w:val="00A63CE9"/>
    <w:rsid w:val="00A649D0"/>
    <w:rsid w:val="00A654FB"/>
    <w:rsid w:val="00A65944"/>
    <w:rsid w:val="00A663C4"/>
    <w:rsid w:val="00A66881"/>
    <w:rsid w:val="00A66A0C"/>
    <w:rsid w:val="00A66D23"/>
    <w:rsid w:val="00A6725B"/>
    <w:rsid w:val="00A67864"/>
    <w:rsid w:val="00A67F77"/>
    <w:rsid w:val="00A70567"/>
    <w:rsid w:val="00A72530"/>
    <w:rsid w:val="00A7363B"/>
    <w:rsid w:val="00A74038"/>
    <w:rsid w:val="00A74124"/>
    <w:rsid w:val="00A7476E"/>
    <w:rsid w:val="00A75F47"/>
    <w:rsid w:val="00A765EF"/>
    <w:rsid w:val="00A76AFC"/>
    <w:rsid w:val="00A77396"/>
    <w:rsid w:val="00A77B2F"/>
    <w:rsid w:val="00A77D81"/>
    <w:rsid w:val="00A808A6"/>
    <w:rsid w:val="00A80B9E"/>
    <w:rsid w:val="00A80CA6"/>
    <w:rsid w:val="00A81DC3"/>
    <w:rsid w:val="00A8275C"/>
    <w:rsid w:val="00A833F1"/>
    <w:rsid w:val="00A839A4"/>
    <w:rsid w:val="00A83C4D"/>
    <w:rsid w:val="00A83DFD"/>
    <w:rsid w:val="00A83EA6"/>
    <w:rsid w:val="00A8518B"/>
    <w:rsid w:val="00A852C0"/>
    <w:rsid w:val="00A85A4B"/>
    <w:rsid w:val="00A85AFD"/>
    <w:rsid w:val="00A85EC0"/>
    <w:rsid w:val="00A862BB"/>
    <w:rsid w:val="00A86339"/>
    <w:rsid w:val="00A8655E"/>
    <w:rsid w:val="00A869DD"/>
    <w:rsid w:val="00A86C4C"/>
    <w:rsid w:val="00A86E8B"/>
    <w:rsid w:val="00A8708C"/>
    <w:rsid w:val="00A873E0"/>
    <w:rsid w:val="00A87A36"/>
    <w:rsid w:val="00A901B4"/>
    <w:rsid w:val="00A90E4E"/>
    <w:rsid w:val="00A91678"/>
    <w:rsid w:val="00A91734"/>
    <w:rsid w:val="00A92176"/>
    <w:rsid w:val="00A92999"/>
    <w:rsid w:val="00A92BC1"/>
    <w:rsid w:val="00A92DF0"/>
    <w:rsid w:val="00A93072"/>
    <w:rsid w:val="00A937A3"/>
    <w:rsid w:val="00A93C81"/>
    <w:rsid w:val="00A93DDD"/>
    <w:rsid w:val="00A94100"/>
    <w:rsid w:val="00A9418E"/>
    <w:rsid w:val="00A951DA"/>
    <w:rsid w:val="00A954DC"/>
    <w:rsid w:val="00A957EA"/>
    <w:rsid w:val="00A95A78"/>
    <w:rsid w:val="00A95A7C"/>
    <w:rsid w:val="00A9611D"/>
    <w:rsid w:val="00A96481"/>
    <w:rsid w:val="00A967ED"/>
    <w:rsid w:val="00A96E9F"/>
    <w:rsid w:val="00A97699"/>
    <w:rsid w:val="00AA00CE"/>
    <w:rsid w:val="00AA0A07"/>
    <w:rsid w:val="00AA0B9C"/>
    <w:rsid w:val="00AA0E4B"/>
    <w:rsid w:val="00AA1D71"/>
    <w:rsid w:val="00AA2587"/>
    <w:rsid w:val="00AA29DE"/>
    <w:rsid w:val="00AA2CBE"/>
    <w:rsid w:val="00AA2F15"/>
    <w:rsid w:val="00AA402D"/>
    <w:rsid w:val="00AA4716"/>
    <w:rsid w:val="00AA48F9"/>
    <w:rsid w:val="00AA4C6B"/>
    <w:rsid w:val="00AA536B"/>
    <w:rsid w:val="00AA5718"/>
    <w:rsid w:val="00AA601A"/>
    <w:rsid w:val="00AA63EB"/>
    <w:rsid w:val="00AA64DC"/>
    <w:rsid w:val="00AA6552"/>
    <w:rsid w:val="00AA66DE"/>
    <w:rsid w:val="00AA6B93"/>
    <w:rsid w:val="00AA6C37"/>
    <w:rsid w:val="00AA7116"/>
    <w:rsid w:val="00AA7757"/>
    <w:rsid w:val="00AA77EF"/>
    <w:rsid w:val="00AA780E"/>
    <w:rsid w:val="00AA7A25"/>
    <w:rsid w:val="00AB042A"/>
    <w:rsid w:val="00AB09EE"/>
    <w:rsid w:val="00AB172C"/>
    <w:rsid w:val="00AB1AE6"/>
    <w:rsid w:val="00AB22D0"/>
    <w:rsid w:val="00AB3430"/>
    <w:rsid w:val="00AB364C"/>
    <w:rsid w:val="00AB45A7"/>
    <w:rsid w:val="00AB6AAF"/>
    <w:rsid w:val="00AB6B9D"/>
    <w:rsid w:val="00AB6C47"/>
    <w:rsid w:val="00AB7251"/>
    <w:rsid w:val="00AB73F9"/>
    <w:rsid w:val="00AB7929"/>
    <w:rsid w:val="00AB7AD2"/>
    <w:rsid w:val="00AB7B76"/>
    <w:rsid w:val="00AB7CFA"/>
    <w:rsid w:val="00AC0078"/>
    <w:rsid w:val="00AC0633"/>
    <w:rsid w:val="00AC0BAB"/>
    <w:rsid w:val="00AC191A"/>
    <w:rsid w:val="00AC1934"/>
    <w:rsid w:val="00AC1A20"/>
    <w:rsid w:val="00AC1B66"/>
    <w:rsid w:val="00AC2087"/>
    <w:rsid w:val="00AC26B1"/>
    <w:rsid w:val="00AC2B1B"/>
    <w:rsid w:val="00AC2D0E"/>
    <w:rsid w:val="00AC42A2"/>
    <w:rsid w:val="00AC442F"/>
    <w:rsid w:val="00AC4765"/>
    <w:rsid w:val="00AC4D98"/>
    <w:rsid w:val="00AC53D0"/>
    <w:rsid w:val="00AC56CA"/>
    <w:rsid w:val="00AC5859"/>
    <w:rsid w:val="00AC5B46"/>
    <w:rsid w:val="00AC6231"/>
    <w:rsid w:val="00AC6387"/>
    <w:rsid w:val="00AC65B1"/>
    <w:rsid w:val="00AC6BBB"/>
    <w:rsid w:val="00AC7EB0"/>
    <w:rsid w:val="00AD035C"/>
    <w:rsid w:val="00AD131E"/>
    <w:rsid w:val="00AD1602"/>
    <w:rsid w:val="00AD1F73"/>
    <w:rsid w:val="00AD1F96"/>
    <w:rsid w:val="00AD2212"/>
    <w:rsid w:val="00AD28C5"/>
    <w:rsid w:val="00AD2A77"/>
    <w:rsid w:val="00AD3224"/>
    <w:rsid w:val="00AD3452"/>
    <w:rsid w:val="00AD386B"/>
    <w:rsid w:val="00AD4193"/>
    <w:rsid w:val="00AD4897"/>
    <w:rsid w:val="00AD568B"/>
    <w:rsid w:val="00AD5BF6"/>
    <w:rsid w:val="00AD5C6C"/>
    <w:rsid w:val="00AD611C"/>
    <w:rsid w:val="00AD625A"/>
    <w:rsid w:val="00AD62F8"/>
    <w:rsid w:val="00AD75E4"/>
    <w:rsid w:val="00AE0273"/>
    <w:rsid w:val="00AE03A9"/>
    <w:rsid w:val="00AE1417"/>
    <w:rsid w:val="00AE20A2"/>
    <w:rsid w:val="00AE21A9"/>
    <w:rsid w:val="00AE2FF7"/>
    <w:rsid w:val="00AE38D3"/>
    <w:rsid w:val="00AE38F6"/>
    <w:rsid w:val="00AE3E4C"/>
    <w:rsid w:val="00AE4490"/>
    <w:rsid w:val="00AE47B4"/>
    <w:rsid w:val="00AE60C4"/>
    <w:rsid w:val="00AE61C1"/>
    <w:rsid w:val="00AE7969"/>
    <w:rsid w:val="00AF08A0"/>
    <w:rsid w:val="00AF1317"/>
    <w:rsid w:val="00AF13F3"/>
    <w:rsid w:val="00AF3EF2"/>
    <w:rsid w:val="00AF4042"/>
    <w:rsid w:val="00AF48AB"/>
    <w:rsid w:val="00AF55EB"/>
    <w:rsid w:val="00AF592C"/>
    <w:rsid w:val="00AF5CFB"/>
    <w:rsid w:val="00AF6014"/>
    <w:rsid w:val="00AF60F0"/>
    <w:rsid w:val="00AF63F2"/>
    <w:rsid w:val="00AF69B7"/>
    <w:rsid w:val="00AF7704"/>
    <w:rsid w:val="00AF7762"/>
    <w:rsid w:val="00AF7784"/>
    <w:rsid w:val="00AF7E79"/>
    <w:rsid w:val="00B025AC"/>
    <w:rsid w:val="00B0287E"/>
    <w:rsid w:val="00B02D34"/>
    <w:rsid w:val="00B03495"/>
    <w:rsid w:val="00B034D1"/>
    <w:rsid w:val="00B036B3"/>
    <w:rsid w:val="00B04619"/>
    <w:rsid w:val="00B05007"/>
    <w:rsid w:val="00B059AC"/>
    <w:rsid w:val="00B05FF2"/>
    <w:rsid w:val="00B062CF"/>
    <w:rsid w:val="00B067D1"/>
    <w:rsid w:val="00B06D67"/>
    <w:rsid w:val="00B07AD4"/>
    <w:rsid w:val="00B07D0B"/>
    <w:rsid w:val="00B1063C"/>
    <w:rsid w:val="00B11A47"/>
    <w:rsid w:val="00B11BE3"/>
    <w:rsid w:val="00B11D96"/>
    <w:rsid w:val="00B12A83"/>
    <w:rsid w:val="00B1313B"/>
    <w:rsid w:val="00B13256"/>
    <w:rsid w:val="00B133E8"/>
    <w:rsid w:val="00B13EF5"/>
    <w:rsid w:val="00B14405"/>
    <w:rsid w:val="00B149F0"/>
    <w:rsid w:val="00B1515C"/>
    <w:rsid w:val="00B168E1"/>
    <w:rsid w:val="00B16F00"/>
    <w:rsid w:val="00B177B6"/>
    <w:rsid w:val="00B17B7F"/>
    <w:rsid w:val="00B20181"/>
    <w:rsid w:val="00B204D9"/>
    <w:rsid w:val="00B226A2"/>
    <w:rsid w:val="00B23ADB"/>
    <w:rsid w:val="00B240AD"/>
    <w:rsid w:val="00B24F0D"/>
    <w:rsid w:val="00B25929"/>
    <w:rsid w:val="00B25F0F"/>
    <w:rsid w:val="00B2625B"/>
    <w:rsid w:val="00B267B4"/>
    <w:rsid w:val="00B26E6D"/>
    <w:rsid w:val="00B2720D"/>
    <w:rsid w:val="00B277CE"/>
    <w:rsid w:val="00B30CB1"/>
    <w:rsid w:val="00B31FEC"/>
    <w:rsid w:val="00B336A7"/>
    <w:rsid w:val="00B3437E"/>
    <w:rsid w:val="00B34FBD"/>
    <w:rsid w:val="00B36F95"/>
    <w:rsid w:val="00B375C1"/>
    <w:rsid w:val="00B377D7"/>
    <w:rsid w:val="00B37FB9"/>
    <w:rsid w:val="00B405BD"/>
    <w:rsid w:val="00B42851"/>
    <w:rsid w:val="00B42B67"/>
    <w:rsid w:val="00B42B71"/>
    <w:rsid w:val="00B42D7F"/>
    <w:rsid w:val="00B434AA"/>
    <w:rsid w:val="00B437BD"/>
    <w:rsid w:val="00B43FB7"/>
    <w:rsid w:val="00B444CF"/>
    <w:rsid w:val="00B44541"/>
    <w:rsid w:val="00B4478C"/>
    <w:rsid w:val="00B44AE6"/>
    <w:rsid w:val="00B46083"/>
    <w:rsid w:val="00B46E5E"/>
    <w:rsid w:val="00B47323"/>
    <w:rsid w:val="00B4737C"/>
    <w:rsid w:val="00B5027F"/>
    <w:rsid w:val="00B50602"/>
    <w:rsid w:val="00B513B5"/>
    <w:rsid w:val="00B51466"/>
    <w:rsid w:val="00B5180B"/>
    <w:rsid w:val="00B51EB8"/>
    <w:rsid w:val="00B524AF"/>
    <w:rsid w:val="00B5256D"/>
    <w:rsid w:val="00B52986"/>
    <w:rsid w:val="00B53616"/>
    <w:rsid w:val="00B53962"/>
    <w:rsid w:val="00B53AA5"/>
    <w:rsid w:val="00B53EA8"/>
    <w:rsid w:val="00B54B5B"/>
    <w:rsid w:val="00B5557F"/>
    <w:rsid w:val="00B555BA"/>
    <w:rsid w:val="00B5562E"/>
    <w:rsid w:val="00B5664B"/>
    <w:rsid w:val="00B566D0"/>
    <w:rsid w:val="00B56880"/>
    <w:rsid w:val="00B569EC"/>
    <w:rsid w:val="00B57000"/>
    <w:rsid w:val="00B57567"/>
    <w:rsid w:val="00B57DA1"/>
    <w:rsid w:val="00B601F6"/>
    <w:rsid w:val="00B60633"/>
    <w:rsid w:val="00B608CF"/>
    <w:rsid w:val="00B60939"/>
    <w:rsid w:val="00B60AFD"/>
    <w:rsid w:val="00B61DB5"/>
    <w:rsid w:val="00B62165"/>
    <w:rsid w:val="00B62715"/>
    <w:rsid w:val="00B6284A"/>
    <w:rsid w:val="00B62ED8"/>
    <w:rsid w:val="00B635D8"/>
    <w:rsid w:val="00B647C5"/>
    <w:rsid w:val="00B6498F"/>
    <w:rsid w:val="00B65298"/>
    <w:rsid w:val="00B65431"/>
    <w:rsid w:val="00B6590D"/>
    <w:rsid w:val="00B6641D"/>
    <w:rsid w:val="00B675A4"/>
    <w:rsid w:val="00B700B4"/>
    <w:rsid w:val="00B701E2"/>
    <w:rsid w:val="00B70BA4"/>
    <w:rsid w:val="00B70F9E"/>
    <w:rsid w:val="00B71638"/>
    <w:rsid w:val="00B721D5"/>
    <w:rsid w:val="00B722C0"/>
    <w:rsid w:val="00B7257E"/>
    <w:rsid w:val="00B7267F"/>
    <w:rsid w:val="00B72861"/>
    <w:rsid w:val="00B743C6"/>
    <w:rsid w:val="00B74B8A"/>
    <w:rsid w:val="00B74CEF"/>
    <w:rsid w:val="00B74E99"/>
    <w:rsid w:val="00B760C8"/>
    <w:rsid w:val="00B76276"/>
    <w:rsid w:val="00B7693B"/>
    <w:rsid w:val="00B77A3A"/>
    <w:rsid w:val="00B77D02"/>
    <w:rsid w:val="00B803AD"/>
    <w:rsid w:val="00B80866"/>
    <w:rsid w:val="00B81047"/>
    <w:rsid w:val="00B818A4"/>
    <w:rsid w:val="00B81C48"/>
    <w:rsid w:val="00B82353"/>
    <w:rsid w:val="00B83058"/>
    <w:rsid w:val="00B83459"/>
    <w:rsid w:val="00B8563F"/>
    <w:rsid w:val="00B85667"/>
    <w:rsid w:val="00B8593A"/>
    <w:rsid w:val="00B862F3"/>
    <w:rsid w:val="00B8649C"/>
    <w:rsid w:val="00B868DD"/>
    <w:rsid w:val="00B870EE"/>
    <w:rsid w:val="00B87B1E"/>
    <w:rsid w:val="00B9007A"/>
    <w:rsid w:val="00B907CC"/>
    <w:rsid w:val="00B909EF"/>
    <w:rsid w:val="00B90D89"/>
    <w:rsid w:val="00B91690"/>
    <w:rsid w:val="00B91CEF"/>
    <w:rsid w:val="00B91DC7"/>
    <w:rsid w:val="00B9233A"/>
    <w:rsid w:val="00B92BE6"/>
    <w:rsid w:val="00B92D0B"/>
    <w:rsid w:val="00B9366E"/>
    <w:rsid w:val="00B94232"/>
    <w:rsid w:val="00B942E2"/>
    <w:rsid w:val="00B942E9"/>
    <w:rsid w:val="00B94945"/>
    <w:rsid w:val="00B94984"/>
    <w:rsid w:val="00B94E57"/>
    <w:rsid w:val="00B94ED2"/>
    <w:rsid w:val="00B95296"/>
    <w:rsid w:val="00B95384"/>
    <w:rsid w:val="00B96F0B"/>
    <w:rsid w:val="00B970E7"/>
    <w:rsid w:val="00B9715F"/>
    <w:rsid w:val="00B97C17"/>
    <w:rsid w:val="00BA00FD"/>
    <w:rsid w:val="00BA1452"/>
    <w:rsid w:val="00BA22B8"/>
    <w:rsid w:val="00BA29F0"/>
    <w:rsid w:val="00BA2F60"/>
    <w:rsid w:val="00BA49E0"/>
    <w:rsid w:val="00BA638B"/>
    <w:rsid w:val="00BA7662"/>
    <w:rsid w:val="00BA77BB"/>
    <w:rsid w:val="00BA7B29"/>
    <w:rsid w:val="00BA7E8D"/>
    <w:rsid w:val="00BB152E"/>
    <w:rsid w:val="00BB154D"/>
    <w:rsid w:val="00BB1CC6"/>
    <w:rsid w:val="00BB2427"/>
    <w:rsid w:val="00BB25A1"/>
    <w:rsid w:val="00BB2610"/>
    <w:rsid w:val="00BB44E3"/>
    <w:rsid w:val="00BB4722"/>
    <w:rsid w:val="00BB559F"/>
    <w:rsid w:val="00BB5881"/>
    <w:rsid w:val="00BB60B5"/>
    <w:rsid w:val="00BB6453"/>
    <w:rsid w:val="00BB7654"/>
    <w:rsid w:val="00BB7AC3"/>
    <w:rsid w:val="00BB7F53"/>
    <w:rsid w:val="00BC0123"/>
    <w:rsid w:val="00BC16DC"/>
    <w:rsid w:val="00BC189B"/>
    <w:rsid w:val="00BC1C2C"/>
    <w:rsid w:val="00BC1FF2"/>
    <w:rsid w:val="00BC3190"/>
    <w:rsid w:val="00BC33A6"/>
    <w:rsid w:val="00BC3B7F"/>
    <w:rsid w:val="00BC3EC4"/>
    <w:rsid w:val="00BC404D"/>
    <w:rsid w:val="00BC4B4A"/>
    <w:rsid w:val="00BC4EBB"/>
    <w:rsid w:val="00BC56CD"/>
    <w:rsid w:val="00BC5978"/>
    <w:rsid w:val="00BC59E6"/>
    <w:rsid w:val="00BC6B68"/>
    <w:rsid w:val="00BC6BE0"/>
    <w:rsid w:val="00BC7317"/>
    <w:rsid w:val="00BD071B"/>
    <w:rsid w:val="00BD0992"/>
    <w:rsid w:val="00BD0E41"/>
    <w:rsid w:val="00BD105D"/>
    <w:rsid w:val="00BD1937"/>
    <w:rsid w:val="00BD1BB3"/>
    <w:rsid w:val="00BD1F4C"/>
    <w:rsid w:val="00BD3EF0"/>
    <w:rsid w:val="00BD414F"/>
    <w:rsid w:val="00BD43B7"/>
    <w:rsid w:val="00BD48AA"/>
    <w:rsid w:val="00BD4ABB"/>
    <w:rsid w:val="00BD5303"/>
    <w:rsid w:val="00BD6C6A"/>
    <w:rsid w:val="00BD6FD9"/>
    <w:rsid w:val="00BD79FD"/>
    <w:rsid w:val="00BE1B99"/>
    <w:rsid w:val="00BE1D44"/>
    <w:rsid w:val="00BE2180"/>
    <w:rsid w:val="00BE309F"/>
    <w:rsid w:val="00BE33FF"/>
    <w:rsid w:val="00BE4275"/>
    <w:rsid w:val="00BE441B"/>
    <w:rsid w:val="00BE4FE1"/>
    <w:rsid w:val="00BE5187"/>
    <w:rsid w:val="00BE51E6"/>
    <w:rsid w:val="00BE52DE"/>
    <w:rsid w:val="00BE53A3"/>
    <w:rsid w:val="00BE54EE"/>
    <w:rsid w:val="00BE56C5"/>
    <w:rsid w:val="00BE59E2"/>
    <w:rsid w:val="00BE63E0"/>
    <w:rsid w:val="00BE767D"/>
    <w:rsid w:val="00BE7C72"/>
    <w:rsid w:val="00BF01BE"/>
    <w:rsid w:val="00BF0D2F"/>
    <w:rsid w:val="00BF0FC8"/>
    <w:rsid w:val="00BF138A"/>
    <w:rsid w:val="00BF1512"/>
    <w:rsid w:val="00BF1C21"/>
    <w:rsid w:val="00BF23ED"/>
    <w:rsid w:val="00BF2433"/>
    <w:rsid w:val="00BF2FAD"/>
    <w:rsid w:val="00BF3173"/>
    <w:rsid w:val="00BF4767"/>
    <w:rsid w:val="00BF4B0F"/>
    <w:rsid w:val="00BF4B47"/>
    <w:rsid w:val="00BF4E1C"/>
    <w:rsid w:val="00BF566D"/>
    <w:rsid w:val="00BF5787"/>
    <w:rsid w:val="00BF5EF1"/>
    <w:rsid w:val="00BF61C9"/>
    <w:rsid w:val="00BF6441"/>
    <w:rsid w:val="00BF7039"/>
    <w:rsid w:val="00BF7233"/>
    <w:rsid w:val="00BF7473"/>
    <w:rsid w:val="00C0012D"/>
    <w:rsid w:val="00C00279"/>
    <w:rsid w:val="00C00BE5"/>
    <w:rsid w:val="00C01A4A"/>
    <w:rsid w:val="00C01A60"/>
    <w:rsid w:val="00C01B88"/>
    <w:rsid w:val="00C020D1"/>
    <w:rsid w:val="00C02E7D"/>
    <w:rsid w:val="00C034A0"/>
    <w:rsid w:val="00C044D5"/>
    <w:rsid w:val="00C04AB7"/>
    <w:rsid w:val="00C0511C"/>
    <w:rsid w:val="00C05509"/>
    <w:rsid w:val="00C05967"/>
    <w:rsid w:val="00C05A73"/>
    <w:rsid w:val="00C05B22"/>
    <w:rsid w:val="00C05C96"/>
    <w:rsid w:val="00C061CD"/>
    <w:rsid w:val="00C06731"/>
    <w:rsid w:val="00C070F4"/>
    <w:rsid w:val="00C111EB"/>
    <w:rsid w:val="00C11580"/>
    <w:rsid w:val="00C11635"/>
    <w:rsid w:val="00C12FD2"/>
    <w:rsid w:val="00C13129"/>
    <w:rsid w:val="00C135A9"/>
    <w:rsid w:val="00C143E2"/>
    <w:rsid w:val="00C1462E"/>
    <w:rsid w:val="00C14B94"/>
    <w:rsid w:val="00C14BA0"/>
    <w:rsid w:val="00C14E22"/>
    <w:rsid w:val="00C167D5"/>
    <w:rsid w:val="00C1704A"/>
    <w:rsid w:val="00C17207"/>
    <w:rsid w:val="00C1786C"/>
    <w:rsid w:val="00C178E2"/>
    <w:rsid w:val="00C17B8E"/>
    <w:rsid w:val="00C20DD4"/>
    <w:rsid w:val="00C22478"/>
    <w:rsid w:val="00C22B89"/>
    <w:rsid w:val="00C234A9"/>
    <w:rsid w:val="00C2366E"/>
    <w:rsid w:val="00C24EAE"/>
    <w:rsid w:val="00C25418"/>
    <w:rsid w:val="00C25D9C"/>
    <w:rsid w:val="00C26A66"/>
    <w:rsid w:val="00C27E78"/>
    <w:rsid w:val="00C3043E"/>
    <w:rsid w:val="00C307D8"/>
    <w:rsid w:val="00C31649"/>
    <w:rsid w:val="00C31780"/>
    <w:rsid w:val="00C31A04"/>
    <w:rsid w:val="00C31C79"/>
    <w:rsid w:val="00C31C9E"/>
    <w:rsid w:val="00C32D72"/>
    <w:rsid w:val="00C32D76"/>
    <w:rsid w:val="00C33E6D"/>
    <w:rsid w:val="00C34460"/>
    <w:rsid w:val="00C346BC"/>
    <w:rsid w:val="00C34ED2"/>
    <w:rsid w:val="00C351F9"/>
    <w:rsid w:val="00C354C6"/>
    <w:rsid w:val="00C36660"/>
    <w:rsid w:val="00C366FA"/>
    <w:rsid w:val="00C36F28"/>
    <w:rsid w:val="00C36FF7"/>
    <w:rsid w:val="00C373C6"/>
    <w:rsid w:val="00C37F40"/>
    <w:rsid w:val="00C40385"/>
    <w:rsid w:val="00C41779"/>
    <w:rsid w:val="00C425AE"/>
    <w:rsid w:val="00C4269C"/>
    <w:rsid w:val="00C42F59"/>
    <w:rsid w:val="00C43150"/>
    <w:rsid w:val="00C43227"/>
    <w:rsid w:val="00C4477C"/>
    <w:rsid w:val="00C448FA"/>
    <w:rsid w:val="00C44FCA"/>
    <w:rsid w:val="00C450DF"/>
    <w:rsid w:val="00C45259"/>
    <w:rsid w:val="00C454AC"/>
    <w:rsid w:val="00C45835"/>
    <w:rsid w:val="00C45862"/>
    <w:rsid w:val="00C46224"/>
    <w:rsid w:val="00C46AA6"/>
    <w:rsid w:val="00C47BC3"/>
    <w:rsid w:val="00C47CEA"/>
    <w:rsid w:val="00C500BA"/>
    <w:rsid w:val="00C507C6"/>
    <w:rsid w:val="00C509DB"/>
    <w:rsid w:val="00C5367D"/>
    <w:rsid w:val="00C53DF4"/>
    <w:rsid w:val="00C545D4"/>
    <w:rsid w:val="00C54918"/>
    <w:rsid w:val="00C55416"/>
    <w:rsid w:val="00C55F76"/>
    <w:rsid w:val="00C561C1"/>
    <w:rsid w:val="00C5781D"/>
    <w:rsid w:val="00C608BB"/>
    <w:rsid w:val="00C60C47"/>
    <w:rsid w:val="00C60D6E"/>
    <w:rsid w:val="00C61076"/>
    <w:rsid w:val="00C61847"/>
    <w:rsid w:val="00C61CF3"/>
    <w:rsid w:val="00C62458"/>
    <w:rsid w:val="00C62C7F"/>
    <w:rsid w:val="00C63212"/>
    <w:rsid w:val="00C635D0"/>
    <w:rsid w:val="00C63839"/>
    <w:rsid w:val="00C63972"/>
    <w:rsid w:val="00C63F75"/>
    <w:rsid w:val="00C64107"/>
    <w:rsid w:val="00C64620"/>
    <w:rsid w:val="00C64692"/>
    <w:rsid w:val="00C64D21"/>
    <w:rsid w:val="00C65576"/>
    <w:rsid w:val="00C66165"/>
    <w:rsid w:val="00C66265"/>
    <w:rsid w:val="00C66544"/>
    <w:rsid w:val="00C66A71"/>
    <w:rsid w:val="00C66F4C"/>
    <w:rsid w:val="00C67C7F"/>
    <w:rsid w:val="00C709FA"/>
    <w:rsid w:val="00C70B1F"/>
    <w:rsid w:val="00C70CC6"/>
    <w:rsid w:val="00C710CA"/>
    <w:rsid w:val="00C71967"/>
    <w:rsid w:val="00C72334"/>
    <w:rsid w:val="00C73A80"/>
    <w:rsid w:val="00C73FAC"/>
    <w:rsid w:val="00C7447E"/>
    <w:rsid w:val="00C756B7"/>
    <w:rsid w:val="00C76730"/>
    <w:rsid w:val="00C76BAF"/>
    <w:rsid w:val="00C76E77"/>
    <w:rsid w:val="00C77C0C"/>
    <w:rsid w:val="00C80617"/>
    <w:rsid w:val="00C8076D"/>
    <w:rsid w:val="00C80A5E"/>
    <w:rsid w:val="00C81356"/>
    <w:rsid w:val="00C81995"/>
    <w:rsid w:val="00C81DEA"/>
    <w:rsid w:val="00C82050"/>
    <w:rsid w:val="00C8213F"/>
    <w:rsid w:val="00C825E7"/>
    <w:rsid w:val="00C82A41"/>
    <w:rsid w:val="00C82C53"/>
    <w:rsid w:val="00C82FB9"/>
    <w:rsid w:val="00C83C2E"/>
    <w:rsid w:val="00C83DD2"/>
    <w:rsid w:val="00C84019"/>
    <w:rsid w:val="00C845F9"/>
    <w:rsid w:val="00C852F9"/>
    <w:rsid w:val="00C871BD"/>
    <w:rsid w:val="00C8796E"/>
    <w:rsid w:val="00C8797A"/>
    <w:rsid w:val="00C87AC1"/>
    <w:rsid w:val="00C87D07"/>
    <w:rsid w:val="00C902A6"/>
    <w:rsid w:val="00C91612"/>
    <w:rsid w:val="00C9200C"/>
    <w:rsid w:val="00C92564"/>
    <w:rsid w:val="00C92ADE"/>
    <w:rsid w:val="00C92B88"/>
    <w:rsid w:val="00C9304E"/>
    <w:rsid w:val="00C938CF"/>
    <w:rsid w:val="00C93C8D"/>
    <w:rsid w:val="00C945B4"/>
    <w:rsid w:val="00C95729"/>
    <w:rsid w:val="00C963A4"/>
    <w:rsid w:val="00C96B94"/>
    <w:rsid w:val="00CA00D9"/>
    <w:rsid w:val="00CA10D0"/>
    <w:rsid w:val="00CA1741"/>
    <w:rsid w:val="00CA222F"/>
    <w:rsid w:val="00CA2CB6"/>
    <w:rsid w:val="00CA2EBA"/>
    <w:rsid w:val="00CA31B6"/>
    <w:rsid w:val="00CA336E"/>
    <w:rsid w:val="00CA403A"/>
    <w:rsid w:val="00CA470F"/>
    <w:rsid w:val="00CA4C77"/>
    <w:rsid w:val="00CA4CE5"/>
    <w:rsid w:val="00CA5245"/>
    <w:rsid w:val="00CA6C75"/>
    <w:rsid w:val="00CA7584"/>
    <w:rsid w:val="00CA75E7"/>
    <w:rsid w:val="00CA7B09"/>
    <w:rsid w:val="00CB0810"/>
    <w:rsid w:val="00CB0E45"/>
    <w:rsid w:val="00CB18B6"/>
    <w:rsid w:val="00CB1AC6"/>
    <w:rsid w:val="00CB29E7"/>
    <w:rsid w:val="00CB2B9A"/>
    <w:rsid w:val="00CB2DEC"/>
    <w:rsid w:val="00CB3B27"/>
    <w:rsid w:val="00CB3E7C"/>
    <w:rsid w:val="00CB42F5"/>
    <w:rsid w:val="00CB4C80"/>
    <w:rsid w:val="00CB5B1A"/>
    <w:rsid w:val="00CB5BB8"/>
    <w:rsid w:val="00CB603D"/>
    <w:rsid w:val="00CB611C"/>
    <w:rsid w:val="00CB6402"/>
    <w:rsid w:val="00CB6633"/>
    <w:rsid w:val="00CB7140"/>
    <w:rsid w:val="00CB735C"/>
    <w:rsid w:val="00CC0772"/>
    <w:rsid w:val="00CC11A8"/>
    <w:rsid w:val="00CC12D2"/>
    <w:rsid w:val="00CC12F6"/>
    <w:rsid w:val="00CC238E"/>
    <w:rsid w:val="00CC299E"/>
    <w:rsid w:val="00CC2C40"/>
    <w:rsid w:val="00CC3A00"/>
    <w:rsid w:val="00CC3D02"/>
    <w:rsid w:val="00CC42F1"/>
    <w:rsid w:val="00CC475B"/>
    <w:rsid w:val="00CC4DBD"/>
    <w:rsid w:val="00CC542F"/>
    <w:rsid w:val="00CC5C55"/>
    <w:rsid w:val="00CC5F47"/>
    <w:rsid w:val="00CC5FFF"/>
    <w:rsid w:val="00CC6DB3"/>
    <w:rsid w:val="00CC7A90"/>
    <w:rsid w:val="00CD09BA"/>
    <w:rsid w:val="00CD130E"/>
    <w:rsid w:val="00CD14A9"/>
    <w:rsid w:val="00CD1A4A"/>
    <w:rsid w:val="00CD1F90"/>
    <w:rsid w:val="00CD2B93"/>
    <w:rsid w:val="00CD30ED"/>
    <w:rsid w:val="00CD342B"/>
    <w:rsid w:val="00CD374A"/>
    <w:rsid w:val="00CD44B5"/>
    <w:rsid w:val="00CD555B"/>
    <w:rsid w:val="00CD63B5"/>
    <w:rsid w:val="00CD6783"/>
    <w:rsid w:val="00CD6ADC"/>
    <w:rsid w:val="00CD7A58"/>
    <w:rsid w:val="00CD7D7E"/>
    <w:rsid w:val="00CD7E32"/>
    <w:rsid w:val="00CE06F0"/>
    <w:rsid w:val="00CE0F13"/>
    <w:rsid w:val="00CE143A"/>
    <w:rsid w:val="00CE1C85"/>
    <w:rsid w:val="00CE2502"/>
    <w:rsid w:val="00CE2D4D"/>
    <w:rsid w:val="00CE3E65"/>
    <w:rsid w:val="00CE42A1"/>
    <w:rsid w:val="00CE4711"/>
    <w:rsid w:val="00CE47B3"/>
    <w:rsid w:val="00CE4824"/>
    <w:rsid w:val="00CE4E4D"/>
    <w:rsid w:val="00CE4FDA"/>
    <w:rsid w:val="00CE56AD"/>
    <w:rsid w:val="00CE5F2F"/>
    <w:rsid w:val="00CE6274"/>
    <w:rsid w:val="00CE63CC"/>
    <w:rsid w:val="00CE65B9"/>
    <w:rsid w:val="00CE6B4D"/>
    <w:rsid w:val="00CE6ED3"/>
    <w:rsid w:val="00CE73A9"/>
    <w:rsid w:val="00CE754D"/>
    <w:rsid w:val="00CF072E"/>
    <w:rsid w:val="00CF07D0"/>
    <w:rsid w:val="00CF139D"/>
    <w:rsid w:val="00CF1CF9"/>
    <w:rsid w:val="00CF22E2"/>
    <w:rsid w:val="00CF26C3"/>
    <w:rsid w:val="00CF2CA0"/>
    <w:rsid w:val="00CF2D8E"/>
    <w:rsid w:val="00CF344B"/>
    <w:rsid w:val="00CF38DC"/>
    <w:rsid w:val="00CF4106"/>
    <w:rsid w:val="00CF42E0"/>
    <w:rsid w:val="00CF456B"/>
    <w:rsid w:val="00CF4A3C"/>
    <w:rsid w:val="00CF5094"/>
    <w:rsid w:val="00CF5A22"/>
    <w:rsid w:val="00CF5A63"/>
    <w:rsid w:val="00CF600A"/>
    <w:rsid w:val="00CF6D98"/>
    <w:rsid w:val="00CF7674"/>
    <w:rsid w:val="00CF7EA8"/>
    <w:rsid w:val="00D004BE"/>
    <w:rsid w:val="00D01995"/>
    <w:rsid w:val="00D02523"/>
    <w:rsid w:val="00D0262E"/>
    <w:rsid w:val="00D0268A"/>
    <w:rsid w:val="00D02F43"/>
    <w:rsid w:val="00D03042"/>
    <w:rsid w:val="00D030E3"/>
    <w:rsid w:val="00D03940"/>
    <w:rsid w:val="00D03C1E"/>
    <w:rsid w:val="00D03E07"/>
    <w:rsid w:val="00D03EC6"/>
    <w:rsid w:val="00D04B01"/>
    <w:rsid w:val="00D04C42"/>
    <w:rsid w:val="00D05005"/>
    <w:rsid w:val="00D062B6"/>
    <w:rsid w:val="00D06883"/>
    <w:rsid w:val="00D06935"/>
    <w:rsid w:val="00D06FD4"/>
    <w:rsid w:val="00D07030"/>
    <w:rsid w:val="00D0719B"/>
    <w:rsid w:val="00D10BC7"/>
    <w:rsid w:val="00D10DEC"/>
    <w:rsid w:val="00D110BD"/>
    <w:rsid w:val="00D113B5"/>
    <w:rsid w:val="00D1200D"/>
    <w:rsid w:val="00D12AF5"/>
    <w:rsid w:val="00D13AFD"/>
    <w:rsid w:val="00D13C09"/>
    <w:rsid w:val="00D1422B"/>
    <w:rsid w:val="00D14A78"/>
    <w:rsid w:val="00D14B6E"/>
    <w:rsid w:val="00D14E0D"/>
    <w:rsid w:val="00D15324"/>
    <w:rsid w:val="00D157D2"/>
    <w:rsid w:val="00D15DF0"/>
    <w:rsid w:val="00D163D1"/>
    <w:rsid w:val="00D16665"/>
    <w:rsid w:val="00D1771F"/>
    <w:rsid w:val="00D17BC2"/>
    <w:rsid w:val="00D17D6C"/>
    <w:rsid w:val="00D206CD"/>
    <w:rsid w:val="00D20BF4"/>
    <w:rsid w:val="00D20EC1"/>
    <w:rsid w:val="00D20FB9"/>
    <w:rsid w:val="00D213B6"/>
    <w:rsid w:val="00D2144C"/>
    <w:rsid w:val="00D21825"/>
    <w:rsid w:val="00D222BE"/>
    <w:rsid w:val="00D22587"/>
    <w:rsid w:val="00D225E4"/>
    <w:rsid w:val="00D226E6"/>
    <w:rsid w:val="00D22A58"/>
    <w:rsid w:val="00D2367C"/>
    <w:rsid w:val="00D23742"/>
    <w:rsid w:val="00D24CC4"/>
    <w:rsid w:val="00D2537D"/>
    <w:rsid w:val="00D26094"/>
    <w:rsid w:val="00D269DF"/>
    <w:rsid w:val="00D26B3E"/>
    <w:rsid w:val="00D273E7"/>
    <w:rsid w:val="00D2770D"/>
    <w:rsid w:val="00D2795E"/>
    <w:rsid w:val="00D27E48"/>
    <w:rsid w:val="00D3036E"/>
    <w:rsid w:val="00D30AFE"/>
    <w:rsid w:val="00D314B6"/>
    <w:rsid w:val="00D321FB"/>
    <w:rsid w:val="00D322F4"/>
    <w:rsid w:val="00D32E5B"/>
    <w:rsid w:val="00D333BA"/>
    <w:rsid w:val="00D3473D"/>
    <w:rsid w:val="00D350D4"/>
    <w:rsid w:val="00D36899"/>
    <w:rsid w:val="00D36982"/>
    <w:rsid w:val="00D36B2D"/>
    <w:rsid w:val="00D37045"/>
    <w:rsid w:val="00D371AD"/>
    <w:rsid w:val="00D37CA6"/>
    <w:rsid w:val="00D401A9"/>
    <w:rsid w:val="00D40CFF"/>
    <w:rsid w:val="00D411F3"/>
    <w:rsid w:val="00D417B6"/>
    <w:rsid w:val="00D41E5D"/>
    <w:rsid w:val="00D43D38"/>
    <w:rsid w:val="00D43E2A"/>
    <w:rsid w:val="00D44A65"/>
    <w:rsid w:val="00D44E47"/>
    <w:rsid w:val="00D4529B"/>
    <w:rsid w:val="00D45406"/>
    <w:rsid w:val="00D4590B"/>
    <w:rsid w:val="00D45C1E"/>
    <w:rsid w:val="00D46138"/>
    <w:rsid w:val="00D46789"/>
    <w:rsid w:val="00D46EC4"/>
    <w:rsid w:val="00D46FE8"/>
    <w:rsid w:val="00D479EF"/>
    <w:rsid w:val="00D47CB3"/>
    <w:rsid w:val="00D50BF1"/>
    <w:rsid w:val="00D5170A"/>
    <w:rsid w:val="00D5198C"/>
    <w:rsid w:val="00D5349F"/>
    <w:rsid w:val="00D54A1D"/>
    <w:rsid w:val="00D55F77"/>
    <w:rsid w:val="00D560DE"/>
    <w:rsid w:val="00D573C7"/>
    <w:rsid w:val="00D57580"/>
    <w:rsid w:val="00D62366"/>
    <w:rsid w:val="00D6312C"/>
    <w:rsid w:val="00D6358F"/>
    <w:rsid w:val="00D63748"/>
    <w:rsid w:val="00D63801"/>
    <w:rsid w:val="00D6434A"/>
    <w:rsid w:val="00D644EE"/>
    <w:rsid w:val="00D64C1E"/>
    <w:rsid w:val="00D64F23"/>
    <w:rsid w:val="00D659B1"/>
    <w:rsid w:val="00D65BFB"/>
    <w:rsid w:val="00D66491"/>
    <w:rsid w:val="00D66E23"/>
    <w:rsid w:val="00D67AFE"/>
    <w:rsid w:val="00D67EC0"/>
    <w:rsid w:val="00D70732"/>
    <w:rsid w:val="00D7140A"/>
    <w:rsid w:val="00D716CD"/>
    <w:rsid w:val="00D7184A"/>
    <w:rsid w:val="00D72AC5"/>
    <w:rsid w:val="00D733D3"/>
    <w:rsid w:val="00D7400B"/>
    <w:rsid w:val="00D7479A"/>
    <w:rsid w:val="00D74D79"/>
    <w:rsid w:val="00D75FEA"/>
    <w:rsid w:val="00D76A44"/>
    <w:rsid w:val="00D76AD9"/>
    <w:rsid w:val="00D76BCD"/>
    <w:rsid w:val="00D76C67"/>
    <w:rsid w:val="00D7719B"/>
    <w:rsid w:val="00D802B1"/>
    <w:rsid w:val="00D806A9"/>
    <w:rsid w:val="00D8074D"/>
    <w:rsid w:val="00D80ADB"/>
    <w:rsid w:val="00D813DD"/>
    <w:rsid w:val="00D81D12"/>
    <w:rsid w:val="00D81E50"/>
    <w:rsid w:val="00D82FD5"/>
    <w:rsid w:val="00D832E9"/>
    <w:rsid w:val="00D835F2"/>
    <w:rsid w:val="00D841B8"/>
    <w:rsid w:val="00D842A4"/>
    <w:rsid w:val="00D84FD0"/>
    <w:rsid w:val="00D852A7"/>
    <w:rsid w:val="00D85797"/>
    <w:rsid w:val="00D85F3D"/>
    <w:rsid w:val="00D86877"/>
    <w:rsid w:val="00D8697E"/>
    <w:rsid w:val="00D8706D"/>
    <w:rsid w:val="00D876A8"/>
    <w:rsid w:val="00D87789"/>
    <w:rsid w:val="00D909E3"/>
    <w:rsid w:val="00D911DA"/>
    <w:rsid w:val="00D91671"/>
    <w:rsid w:val="00D92A0F"/>
    <w:rsid w:val="00D92CC2"/>
    <w:rsid w:val="00D930FD"/>
    <w:rsid w:val="00D93753"/>
    <w:rsid w:val="00D94493"/>
    <w:rsid w:val="00D94A64"/>
    <w:rsid w:val="00D953A7"/>
    <w:rsid w:val="00D95828"/>
    <w:rsid w:val="00D95B3A"/>
    <w:rsid w:val="00D95D01"/>
    <w:rsid w:val="00D964C4"/>
    <w:rsid w:val="00D9698B"/>
    <w:rsid w:val="00D9702B"/>
    <w:rsid w:val="00D97E39"/>
    <w:rsid w:val="00D97EFA"/>
    <w:rsid w:val="00DA0028"/>
    <w:rsid w:val="00DA0313"/>
    <w:rsid w:val="00DA037A"/>
    <w:rsid w:val="00DA16BE"/>
    <w:rsid w:val="00DA17B5"/>
    <w:rsid w:val="00DA1E85"/>
    <w:rsid w:val="00DA2140"/>
    <w:rsid w:val="00DA2323"/>
    <w:rsid w:val="00DA24D9"/>
    <w:rsid w:val="00DA4A20"/>
    <w:rsid w:val="00DA54F1"/>
    <w:rsid w:val="00DA5977"/>
    <w:rsid w:val="00DA6170"/>
    <w:rsid w:val="00DA61CF"/>
    <w:rsid w:val="00DA77A5"/>
    <w:rsid w:val="00DB01E4"/>
    <w:rsid w:val="00DB07BF"/>
    <w:rsid w:val="00DB0E64"/>
    <w:rsid w:val="00DB15B9"/>
    <w:rsid w:val="00DB18CD"/>
    <w:rsid w:val="00DB1F82"/>
    <w:rsid w:val="00DB40AB"/>
    <w:rsid w:val="00DB47F5"/>
    <w:rsid w:val="00DB5B4F"/>
    <w:rsid w:val="00DB6811"/>
    <w:rsid w:val="00DB703C"/>
    <w:rsid w:val="00DB7131"/>
    <w:rsid w:val="00DB74D0"/>
    <w:rsid w:val="00DB77D2"/>
    <w:rsid w:val="00DC009C"/>
    <w:rsid w:val="00DC08AC"/>
    <w:rsid w:val="00DC0C61"/>
    <w:rsid w:val="00DC1B4E"/>
    <w:rsid w:val="00DC1C81"/>
    <w:rsid w:val="00DC447F"/>
    <w:rsid w:val="00DC539B"/>
    <w:rsid w:val="00DC5501"/>
    <w:rsid w:val="00DC59CA"/>
    <w:rsid w:val="00DC5A7B"/>
    <w:rsid w:val="00DD0593"/>
    <w:rsid w:val="00DD06F8"/>
    <w:rsid w:val="00DD0787"/>
    <w:rsid w:val="00DD1183"/>
    <w:rsid w:val="00DD154E"/>
    <w:rsid w:val="00DD1C92"/>
    <w:rsid w:val="00DD2072"/>
    <w:rsid w:val="00DD2F92"/>
    <w:rsid w:val="00DD3CEC"/>
    <w:rsid w:val="00DD3F28"/>
    <w:rsid w:val="00DD4133"/>
    <w:rsid w:val="00DD415F"/>
    <w:rsid w:val="00DD4537"/>
    <w:rsid w:val="00DD4699"/>
    <w:rsid w:val="00DD4E15"/>
    <w:rsid w:val="00DD4F10"/>
    <w:rsid w:val="00DD54E6"/>
    <w:rsid w:val="00DD6220"/>
    <w:rsid w:val="00DD638B"/>
    <w:rsid w:val="00DD63D9"/>
    <w:rsid w:val="00DD67DB"/>
    <w:rsid w:val="00DD79D1"/>
    <w:rsid w:val="00DD7BCD"/>
    <w:rsid w:val="00DE06BB"/>
    <w:rsid w:val="00DE0D2F"/>
    <w:rsid w:val="00DE0E90"/>
    <w:rsid w:val="00DE1019"/>
    <w:rsid w:val="00DE17D8"/>
    <w:rsid w:val="00DE2015"/>
    <w:rsid w:val="00DE20F1"/>
    <w:rsid w:val="00DE232F"/>
    <w:rsid w:val="00DE23EF"/>
    <w:rsid w:val="00DE2EEF"/>
    <w:rsid w:val="00DE3F8B"/>
    <w:rsid w:val="00DE40CD"/>
    <w:rsid w:val="00DE45F8"/>
    <w:rsid w:val="00DE4E88"/>
    <w:rsid w:val="00DE4FCB"/>
    <w:rsid w:val="00DE55E9"/>
    <w:rsid w:val="00DE5812"/>
    <w:rsid w:val="00DE67E1"/>
    <w:rsid w:val="00DE6EFA"/>
    <w:rsid w:val="00DE7F35"/>
    <w:rsid w:val="00DF013F"/>
    <w:rsid w:val="00DF0E03"/>
    <w:rsid w:val="00DF180D"/>
    <w:rsid w:val="00DF2310"/>
    <w:rsid w:val="00DF257A"/>
    <w:rsid w:val="00DF2836"/>
    <w:rsid w:val="00DF29EE"/>
    <w:rsid w:val="00DF308A"/>
    <w:rsid w:val="00DF3CB4"/>
    <w:rsid w:val="00DF5780"/>
    <w:rsid w:val="00DF604C"/>
    <w:rsid w:val="00DF6A53"/>
    <w:rsid w:val="00DF73ED"/>
    <w:rsid w:val="00DF7E3D"/>
    <w:rsid w:val="00E00485"/>
    <w:rsid w:val="00E00527"/>
    <w:rsid w:val="00E00FE5"/>
    <w:rsid w:val="00E01294"/>
    <w:rsid w:val="00E022DD"/>
    <w:rsid w:val="00E025CD"/>
    <w:rsid w:val="00E03242"/>
    <w:rsid w:val="00E0324B"/>
    <w:rsid w:val="00E03685"/>
    <w:rsid w:val="00E03FCD"/>
    <w:rsid w:val="00E04A3D"/>
    <w:rsid w:val="00E04DBD"/>
    <w:rsid w:val="00E04E0A"/>
    <w:rsid w:val="00E054B5"/>
    <w:rsid w:val="00E05689"/>
    <w:rsid w:val="00E05F7D"/>
    <w:rsid w:val="00E05FF1"/>
    <w:rsid w:val="00E0628C"/>
    <w:rsid w:val="00E06C53"/>
    <w:rsid w:val="00E06D50"/>
    <w:rsid w:val="00E06D63"/>
    <w:rsid w:val="00E0798F"/>
    <w:rsid w:val="00E07E5A"/>
    <w:rsid w:val="00E10149"/>
    <w:rsid w:val="00E10CD9"/>
    <w:rsid w:val="00E10F30"/>
    <w:rsid w:val="00E11B79"/>
    <w:rsid w:val="00E1211F"/>
    <w:rsid w:val="00E129EE"/>
    <w:rsid w:val="00E12CC6"/>
    <w:rsid w:val="00E13426"/>
    <w:rsid w:val="00E144FB"/>
    <w:rsid w:val="00E14C9B"/>
    <w:rsid w:val="00E15146"/>
    <w:rsid w:val="00E154CF"/>
    <w:rsid w:val="00E1598C"/>
    <w:rsid w:val="00E159CC"/>
    <w:rsid w:val="00E15ACE"/>
    <w:rsid w:val="00E16372"/>
    <w:rsid w:val="00E16392"/>
    <w:rsid w:val="00E172B0"/>
    <w:rsid w:val="00E17B55"/>
    <w:rsid w:val="00E17E30"/>
    <w:rsid w:val="00E20D9F"/>
    <w:rsid w:val="00E20EB7"/>
    <w:rsid w:val="00E20ED6"/>
    <w:rsid w:val="00E21358"/>
    <w:rsid w:val="00E21728"/>
    <w:rsid w:val="00E21EDA"/>
    <w:rsid w:val="00E22315"/>
    <w:rsid w:val="00E2249B"/>
    <w:rsid w:val="00E22B8B"/>
    <w:rsid w:val="00E23379"/>
    <w:rsid w:val="00E2351E"/>
    <w:rsid w:val="00E235F9"/>
    <w:rsid w:val="00E242FF"/>
    <w:rsid w:val="00E2506A"/>
    <w:rsid w:val="00E259F9"/>
    <w:rsid w:val="00E26462"/>
    <w:rsid w:val="00E26BC9"/>
    <w:rsid w:val="00E26CE9"/>
    <w:rsid w:val="00E2749F"/>
    <w:rsid w:val="00E2771E"/>
    <w:rsid w:val="00E2780B"/>
    <w:rsid w:val="00E30092"/>
    <w:rsid w:val="00E30635"/>
    <w:rsid w:val="00E309BC"/>
    <w:rsid w:val="00E30F5A"/>
    <w:rsid w:val="00E317C4"/>
    <w:rsid w:val="00E3181B"/>
    <w:rsid w:val="00E32E3D"/>
    <w:rsid w:val="00E33327"/>
    <w:rsid w:val="00E347EA"/>
    <w:rsid w:val="00E3510B"/>
    <w:rsid w:val="00E372BC"/>
    <w:rsid w:val="00E37569"/>
    <w:rsid w:val="00E37881"/>
    <w:rsid w:val="00E378C8"/>
    <w:rsid w:val="00E37BC9"/>
    <w:rsid w:val="00E4018A"/>
    <w:rsid w:val="00E4093F"/>
    <w:rsid w:val="00E40C84"/>
    <w:rsid w:val="00E413C2"/>
    <w:rsid w:val="00E414A3"/>
    <w:rsid w:val="00E41A08"/>
    <w:rsid w:val="00E41E30"/>
    <w:rsid w:val="00E4210E"/>
    <w:rsid w:val="00E43023"/>
    <w:rsid w:val="00E433FC"/>
    <w:rsid w:val="00E43879"/>
    <w:rsid w:val="00E44E8E"/>
    <w:rsid w:val="00E451A4"/>
    <w:rsid w:val="00E46108"/>
    <w:rsid w:val="00E46353"/>
    <w:rsid w:val="00E4695D"/>
    <w:rsid w:val="00E469F4"/>
    <w:rsid w:val="00E46A50"/>
    <w:rsid w:val="00E46C5D"/>
    <w:rsid w:val="00E4708C"/>
    <w:rsid w:val="00E47829"/>
    <w:rsid w:val="00E4795C"/>
    <w:rsid w:val="00E47B2C"/>
    <w:rsid w:val="00E500E5"/>
    <w:rsid w:val="00E5016D"/>
    <w:rsid w:val="00E50CE9"/>
    <w:rsid w:val="00E5184B"/>
    <w:rsid w:val="00E51F2F"/>
    <w:rsid w:val="00E52107"/>
    <w:rsid w:val="00E52234"/>
    <w:rsid w:val="00E52E55"/>
    <w:rsid w:val="00E52F37"/>
    <w:rsid w:val="00E536B2"/>
    <w:rsid w:val="00E548B2"/>
    <w:rsid w:val="00E54903"/>
    <w:rsid w:val="00E550C1"/>
    <w:rsid w:val="00E55424"/>
    <w:rsid w:val="00E55C12"/>
    <w:rsid w:val="00E565A2"/>
    <w:rsid w:val="00E56AC1"/>
    <w:rsid w:val="00E56BA0"/>
    <w:rsid w:val="00E56C24"/>
    <w:rsid w:val="00E5719C"/>
    <w:rsid w:val="00E60986"/>
    <w:rsid w:val="00E60D21"/>
    <w:rsid w:val="00E6130F"/>
    <w:rsid w:val="00E61DA5"/>
    <w:rsid w:val="00E61E31"/>
    <w:rsid w:val="00E6285F"/>
    <w:rsid w:val="00E62A34"/>
    <w:rsid w:val="00E62B04"/>
    <w:rsid w:val="00E62F59"/>
    <w:rsid w:val="00E63706"/>
    <w:rsid w:val="00E63CDC"/>
    <w:rsid w:val="00E6434E"/>
    <w:rsid w:val="00E64412"/>
    <w:rsid w:val="00E64BBD"/>
    <w:rsid w:val="00E64F3B"/>
    <w:rsid w:val="00E652B2"/>
    <w:rsid w:val="00E65655"/>
    <w:rsid w:val="00E65E2E"/>
    <w:rsid w:val="00E65E79"/>
    <w:rsid w:val="00E661C0"/>
    <w:rsid w:val="00E66C37"/>
    <w:rsid w:val="00E672BC"/>
    <w:rsid w:val="00E67416"/>
    <w:rsid w:val="00E67E84"/>
    <w:rsid w:val="00E70A25"/>
    <w:rsid w:val="00E70D87"/>
    <w:rsid w:val="00E70E3A"/>
    <w:rsid w:val="00E7129B"/>
    <w:rsid w:val="00E712C0"/>
    <w:rsid w:val="00E7135F"/>
    <w:rsid w:val="00E718B6"/>
    <w:rsid w:val="00E71C7A"/>
    <w:rsid w:val="00E71CB6"/>
    <w:rsid w:val="00E73581"/>
    <w:rsid w:val="00E7380D"/>
    <w:rsid w:val="00E73BC2"/>
    <w:rsid w:val="00E751C2"/>
    <w:rsid w:val="00E7583F"/>
    <w:rsid w:val="00E75A42"/>
    <w:rsid w:val="00E764CF"/>
    <w:rsid w:val="00E7738F"/>
    <w:rsid w:val="00E80A11"/>
    <w:rsid w:val="00E80AF5"/>
    <w:rsid w:val="00E81DE4"/>
    <w:rsid w:val="00E823BE"/>
    <w:rsid w:val="00E827D0"/>
    <w:rsid w:val="00E835ED"/>
    <w:rsid w:val="00E8391E"/>
    <w:rsid w:val="00E83BDF"/>
    <w:rsid w:val="00E83C3A"/>
    <w:rsid w:val="00E83C7B"/>
    <w:rsid w:val="00E85222"/>
    <w:rsid w:val="00E8523A"/>
    <w:rsid w:val="00E85F86"/>
    <w:rsid w:val="00E876FA"/>
    <w:rsid w:val="00E87719"/>
    <w:rsid w:val="00E87BC7"/>
    <w:rsid w:val="00E909D9"/>
    <w:rsid w:val="00E91EB7"/>
    <w:rsid w:val="00E924C2"/>
    <w:rsid w:val="00E936D2"/>
    <w:rsid w:val="00E94518"/>
    <w:rsid w:val="00E94A8A"/>
    <w:rsid w:val="00E95115"/>
    <w:rsid w:val="00E954DB"/>
    <w:rsid w:val="00E9574F"/>
    <w:rsid w:val="00E95CA9"/>
    <w:rsid w:val="00E96AA9"/>
    <w:rsid w:val="00E96FD2"/>
    <w:rsid w:val="00E97AD1"/>
    <w:rsid w:val="00E97C36"/>
    <w:rsid w:val="00E97DC0"/>
    <w:rsid w:val="00EA0014"/>
    <w:rsid w:val="00EA041D"/>
    <w:rsid w:val="00EA07A2"/>
    <w:rsid w:val="00EA21A5"/>
    <w:rsid w:val="00EA362B"/>
    <w:rsid w:val="00EA3864"/>
    <w:rsid w:val="00EA3B43"/>
    <w:rsid w:val="00EA42EC"/>
    <w:rsid w:val="00EA4620"/>
    <w:rsid w:val="00EA4C20"/>
    <w:rsid w:val="00EA56B4"/>
    <w:rsid w:val="00EA5B28"/>
    <w:rsid w:val="00EA63F9"/>
    <w:rsid w:val="00EA6728"/>
    <w:rsid w:val="00EA6996"/>
    <w:rsid w:val="00EA6BBA"/>
    <w:rsid w:val="00EA6F7B"/>
    <w:rsid w:val="00EA6FA0"/>
    <w:rsid w:val="00EB04F9"/>
    <w:rsid w:val="00EB0B91"/>
    <w:rsid w:val="00EB1E89"/>
    <w:rsid w:val="00EB2DBE"/>
    <w:rsid w:val="00EB340C"/>
    <w:rsid w:val="00EB3C34"/>
    <w:rsid w:val="00EB3E03"/>
    <w:rsid w:val="00EB41E4"/>
    <w:rsid w:val="00EB43AB"/>
    <w:rsid w:val="00EB548B"/>
    <w:rsid w:val="00EB57FE"/>
    <w:rsid w:val="00EB608A"/>
    <w:rsid w:val="00EB63B8"/>
    <w:rsid w:val="00EB6D2E"/>
    <w:rsid w:val="00EB6FC5"/>
    <w:rsid w:val="00EB77DF"/>
    <w:rsid w:val="00EB7BD6"/>
    <w:rsid w:val="00EC00C9"/>
    <w:rsid w:val="00EC03F8"/>
    <w:rsid w:val="00EC0436"/>
    <w:rsid w:val="00EC097F"/>
    <w:rsid w:val="00EC0A0F"/>
    <w:rsid w:val="00EC16D5"/>
    <w:rsid w:val="00EC16D6"/>
    <w:rsid w:val="00EC22C2"/>
    <w:rsid w:val="00EC2A71"/>
    <w:rsid w:val="00EC2DA8"/>
    <w:rsid w:val="00EC450C"/>
    <w:rsid w:val="00EC4DCF"/>
    <w:rsid w:val="00EC7566"/>
    <w:rsid w:val="00EC7B4C"/>
    <w:rsid w:val="00EC7BCE"/>
    <w:rsid w:val="00EC7F60"/>
    <w:rsid w:val="00ED030E"/>
    <w:rsid w:val="00ED0312"/>
    <w:rsid w:val="00ED03D7"/>
    <w:rsid w:val="00ED05C5"/>
    <w:rsid w:val="00ED086B"/>
    <w:rsid w:val="00ED0FDD"/>
    <w:rsid w:val="00ED2988"/>
    <w:rsid w:val="00ED29E2"/>
    <w:rsid w:val="00ED2E26"/>
    <w:rsid w:val="00ED3A4C"/>
    <w:rsid w:val="00ED4398"/>
    <w:rsid w:val="00ED527F"/>
    <w:rsid w:val="00ED56F8"/>
    <w:rsid w:val="00ED5B36"/>
    <w:rsid w:val="00ED63D1"/>
    <w:rsid w:val="00ED67D9"/>
    <w:rsid w:val="00ED7C9B"/>
    <w:rsid w:val="00EE07D3"/>
    <w:rsid w:val="00EE0EED"/>
    <w:rsid w:val="00EE1629"/>
    <w:rsid w:val="00EE1A2F"/>
    <w:rsid w:val="00EE27A5"/>
    <w:rsid w:val="00EE2B72"/>
    <w:rsid w:val="00EE2BAE"/>
    <w:rsid w:val="00EE3684"/>
    <w:rsid w:val="00EE3688"/>
    <w:rsid w:val="00EE3CE7"/>
    <w:rsid w:val="00EE3D2B"/>
    <w:rsid w:val="00EE3F20"/>
    <w:rsid w:val="00EE4005"/>
    <w:rsid w:val="00EE4360"/>
    <w:rsid w:val="00EE4B5C"/>
    <w:rsid w:val="00EE5BC4"/>
    <w:rsid w:val="00EE5E36"/>
    <w:rsid w:val="00EE6271"/>
    <w:rsid w:val="00EE64AE"/>
    <w:rsid w:val="00EE7D05"/>
    <w:rsid w:val="00EE7E75"/>
    <w:rsid w:val="00EF0039"/>
    <w:rsid w:val="00EF09D1"/>
    <w:rsid w:val="00EF0F8F"/>
    <w:rsid w:val="00EF1777"/>
    <w:rsid w:val="00EF1F98"/>
    <w:rsid w:val="00EF25FC"/>
    <w:rsid w:val="00EF26DD"/>
    <w:rsid w:val="00EF2741"/>
    <w:rsid w:val="00EF2838"/>
    <w:rsid w:val="00EF290B"/>
    <w:rsid w:val="00EF2AF1"/>
    <w:rsid w:val="00EF30FA"/>
    <w:rsid w:val="00EF315B"/>
    <w:rsid w:val="00EF367A"/>
    <w:rsid w:val="00EF43A7"/>
    <w:rsid w:val="00EF44F9"/>
    <w:rsid w:val="00EF477D"/>
    <w:rsid w:val="00EF4DB6"/>
    <w:rsid w:val="00EF5B7F"/>
    <w:rsid w:val="00EF6305"/>
    <w:rsid w:val="00EF6619"/>
    <w:rsid w:val="00EF671C"/>
    <w:rsid w:val="00EF6912"/>
    <w:rsid w:val="00EF72A3"/>
    <w:rsid w:val="00EF734D"/>
    <w:rsid w:val="00EF75EA"/>
    <w:rsid w:val="00EF7A66"/>
    <w:rsid w:val="00EF7ACF"/>
    <w:rsid w:val="00F00013"/>
    <w:rsid w:val="00F003BB"/>
    <w:rsid w:val="00F00DBF"/>
    <w:rsid w:val="00F01096"/>
    <w:rsid w:val="00F016DB"/>
    <w:rsid w:val="00F01956"/>
    <w:rsid w:val="00F019E9"/>
    <w:rsid w:val="00F023F4"/>
    <w:rsid w:val="00F02BBC"/>
    <w:rsid w:val="00F03D91"/>
    <w:rsid w:val="00F0477D"/>
    <w:rsid w:val="00F04DDE"/>
    <w:rsid w:val="00F04FCA"/>
    <w:rsid w:val="00F058C9"/>
    <w:rsid w:val="00F05A1B"/>
    <w:rsid w:val="00F06558"/>
    <w:rsid w:val="00F067A2"/>
    <w:rsid w:val="00F06E43"/>
    <w:rsid w:val="00F06FE2"/>
    <w:rsid w:val="00F07DD7"/>
    <w:rsid w:val="00F101C4"/>
    <w:rsid w:val="00F10BC4"/>
    <w:rsid w:val="00F11465"/>
    <w:rsid w:val="00F11A92"/>
    <w:rsid w:val="00F11E7E"/>
    <w:rsid w:val="00F125C1"/>
    <w:rsid w:val="00F1262C"/>
    <w:rsid w:val="00F131DD"/>
    <w:rsid w:val="00F132D4"/>
    <w:rsid w:val="00F13A6F"/>
    <w:rsid w:val="00F13D68"/>
    <w:rsid w:val="00F16E19"/>
    <w:rsid w:val="00F17BBE"/>
    <w:rsid w:val="00F20DED"/>
    <w:rsid w:val="00F217AF"/>
    <w:rsid w:val="00F22251"/>
    <w:rsid w:val="00F2228E"/>
    <w:rsid w:val="00F22BB1"/>
    <w:rsid w:val="00F22BEB"/>
    <w:rsid w:val="00F23128"/>
    <w:rsid w:val="00F232BB"/>
    <w:rsid w:val="00F23F4E"/>
    <w:rsid w:val="00F24557"/>
    <w:rsid w:val="00F24837"/>
    <w:rsid w:val="00F24A1D"/>
    <w:rsid w:val="00F2575F"/>
    <w:rsid w:val="00F257A5"/>
    <w:rsid w:val="00F26259"/>
    <w:rsid w:val="00F26742"/>
    <w:rsid w:val="00F26EA6"/>
    <w:rsid w:val="00F272B7"/>
    <w:rsid w:val="00F27397"/>
    <w:rsid w:val="00F27686"/>
    <w:rsid w:val="00F27A72"/>
    <w:rsid w:val="00F27C93"/>
    <w:rsid w:val="00F27DDC"/>
    <w:rsid w:val="00F312F8"/>
    <w:rsid w:val="00F314BC"/>
    <w:rsid w:val="00F31935"/>
    <w:rsid w:val="00F31CE7"/>
    <w:rsid w:val="00F32199"/>
    <w:rsid w:val="00F322F2"/>
    <w:rsid w:val="00F3378D"/>
    <w:rsid w:val="00F338FF"/>
    <w:rsid w:val="00F33DE9"/>
    <w:rsid w:val="00F34003"/>
    <w:rsid w:val="00F34388"/>
    <w:rsid w:val="00F34796"/>
    <w:rsid w:val="00F34A85"/>
    <w:rsid w:val="00F35A70"/>
    <w:rsid w:val="00F3619A"/>
    <w:rsid w:val="00F36772"/>
    <w:rsid w:val="00F367B0"/>
    <w:rsid w:val="00F36C04"/>
    <w:rsid w:val="00F40BD2"/>
    <w:rsid w:val="00F40D88"/>
    <w:rsid w:val="00F415AA"/>
    <w:rsid w:val="00F4232E"/>
    <w:rsid w:val="00F423EB"/>
    <w:rsid w:val="00F42C00"/>
    <w:rsid w:val="00F43015"/>
    <w:rsid w:val="00F436A8"/>
    <w:rsid w:val="00F436AC"/>
    <w:rsid w:val="00F43961"/>
    <w:rsid w:val="00F44C04"/>
    <w:rsid w:val="00F44E6D"/>
    <w:rsid w:val="00F4515F"/>
    <w:rsid w:val="00F455CA"/>
    <w:rsid w:val="00F469F0"/>
    <w:rsid w:val="00F46CB6"/>
    <w:rsid w:val="00F46D4D"/>
    <w:rsid w:val="00F46F25"/>
    <w:rsid w:val="00F477AE"/>
    <w:rsid w:val="00F47D2A"/>
    <w:rsid w:val="00F47F84"/>
    <w:rsid w:val="00F50FCF"/>
    <w:rsid w:val="00F5119E"/>
    <w:rsid w:val="00F520E8"/>
    <w:rsid w:val="00F5248A"/>
    <w:rsid w:val="00F527E6"/>
    <w:rsid w:val="00F5341C"/>
    <w:rsid w:val="00F535A3"/>
    <w:rsid w:val="00F53719"/>
    <w:rsid w:val="00F53966"/>
    <w:rsid w:val="00F545A4"/>
    <w:rsid w:val="00F548FF"/>
    <w:rsid w:val="00F549C3"/>
    <w:rsid w:val="00F54E9C"/>
    <w:rsid w:val="00F551CC"/>
    <w:rsid w:val="00F55E73"/>
    <w:rsid w:val="00F55E90"/>
    <w:rsid w:val="00F56193"/>
    <w:rsid w:val="00F567E6"/>
    <w:rsid w:val="00F56B0A"/>
    <w:rsid w:val="00F57052"/>
    <w:rsid w:val="00F608DB"/>
    <w:rsid w:val="00F61D03"/>
    <w:rsid w:val="00F61D9F"/>
    <w:rsid w:val="00F62418"/>
    <w:rsid w:val="00F62887"/>
    <w:rsid w:val="00F62CB5"/>
    <w:rsid w:val="00F6384A"/>
    <w:rsid w:val="00F63ED5"/>
    <w:rsid w:val="00F65599"/>
    <w:rsid w:val="00F659BA"/>
    <w:rsid w:val="00F659E2"/>
    <w:rsid w:val="00F65F2C"/>
    <w:rsid w:val="00F66CFF"/>
    <w:rsid w:val="00F67543"/>
    <w:rsid w:val="00F67C0F"/>
    <w:rsid w:val="00F70089"/>
    <w:rsid w:val="00F70856"/>
    <w:rsid w:val="00F7094F"/>
    <w:rsid w:val="00F71CF1"/>
    <w:rsid w:val="00F71E9A"/>
    <w:rsid w:val="00F7243A"/>
    <w:rsid w:val="00F735D7"/>
    <w:rsid w:val="00F73866"/>
    <w:rsid w:val="00F73929"/>
    <w:rsid w:val="00F73D9A"/>
    <w:rsid w:val="00F742E2"/>
    <w:rsid w:val="00F7437D"/>
    <w:rsid w:val="00F7509C"/>
    <w:rsid w:val="00F75EDE"/>
    <w:rsid w:val="00F7658D"/>
    <w:rsid w:val="00F76865"/>
    <w:rsid w:val="00F769EF"/>
    <w:rsid w:val="00F80261"/>
    <w:rsid w:val="00F80588"/>
    <w:rsid w:val="00F8081B"/>
    <w:rsid w:val="00F80CD7"/>
    <w:rsid w:val="00F80E5D"/>
    <w:rsid w:val="00F815D5"/>
    <w:rsid w:val="00F81BDD"/>
    <w:rsid w:val="00F81CEB"/>
    <w:rsid w:val="00F82A15"/>
    <w:rsid w:val="00F82D04"/>
    <w:rsid w:val="00F836FF"/>
    <w:rsid w:val="00F83C37"/>
    <w:rsid w:val="00F83C72"/>
    <w:rsid w:val="00F84D56"/>
    <w:rsid w:val="00F84EB9"/>
    <w:rsid w:val="00F84EFC"/>
    <w:rsid w:val="00F84F62"/>
    <w:rsid w:val="00F851CE"/>
    <w:rsid w:val="00F85C45"/>
    <w:rsid w:val="00F85F6E"/>
    <w:rsid w:val="00F8663B"/>
    <w:rsid w:val="00F86A03"/>
    <w:rsid w:val="00F8716D"/>
    <w:rsid w:val="00F878C8"/>
    <w:rsid w:val="00F9021A"/>
    <w:rsid w:val="00F90731"/>
    <w:rsid w:val="00F908A4"/>
    <w:rsid w:val="00F90925"/>
    <w:rsid w:val="00F90978"/>
    <w:rsid w:val="00F9189C"/>
    <w:rsid w:val="00F922DF"/>
    <w:rsid w:val="00F92350"/>
    <w:rsid w:val="00F923ED"/>
    <w:rsid w:val="00F92AA3"/>
    <w:rsid w:val="00F92DAD"/>
    <w:rsid w:val="00F92F11"/>
    <w:rsid w:val="00F93DE9"/>
    <w:rsid w:val="00F93E72"/>
    <w:rsid w:val="00F93F6A"/>
    <w:rsid w:val="00F93F86"/>
    <w:rsid w:val="00F95100"/>
    <w:rsid w:val="00F9528A"/>
    <w:rsid w:val="00F9609F"/>
    <w:rsid w:val="00F96318"/>
    <w:rsid w:val="00F96441"/>
    <w:rsid w:val="00F9646E"/>
    <w:rsid w:val="00F96A8D"/>
    <w:rsid w:val="00F96BA8"/>
    <w:rsid w:val="00F96FB5"/>
    <w:rsid w:val="00F97A78"/>
    <w:rsid w:val="00F97B59"/>
    <w:rsid w:val="00FA05B8"/>
    <w:rsid w:val="00FA269E"/>
    <w:rsid w:val="00FA286A"/>
    <w:rsid w:val="00FA2DF2"/>
    <w:rsid w:val="00FA3088"/>
    <w:rsid w:val="00FA3709"/>
    <w:rsid w:val="00FA3B33"/>
    <w:rsid w:val="00FA3BFE"/>
    <w:rsid w:val="00FA3C51"/>
    <w:rsid w:val="00FA402F"/>
    <w:rsid w:val="00FA4077"/>
    <w:rsid w:val="00FA42FE"/>
    <w:rsid w:val="00FA48F2"/>
    <w:rsid w:val="00FA4BF3"/>
    <w:rsid w:val="00FA5C5E"/>
    <w:rsid w:val="00FA6261"/>
    <w:rsid w:val="00FA68B4"/>
    <w:rsid w:val="00FB0494"/>
    <w:rsid w:val="00FB1451"/>
    <w:rsid w:val="00FB1E7C"/>
    <w:rsid w:val="00FB2472"/>
    <w:rsid w:val="00FB25D9"/>
    <w:rsid w:val="00FB2702"/>
    <w:rsid w:val="00FB2FCB"/>
    <w:rsid w:val="00FB43CF"/>
    <w:rsid w:val="00FB4DE6"/>
    <w:rsid w:val="00FB4FCE"/>
    <w:rsid w:val="00FB5A4E"/>
    <w:rsid w:val="00FB5AC8"/>
    <w:rsid w:val="00FB5E51"/>
    <w:rsid w:val="00FB6E3F"/>
    <w:rsid w:val="00FB7408"/>
    <w:rsid w:val="00FB78BE"/>
    <w:rsid w:val="00FB78F0"/>
    <w:rsid w:val="00FC030F"/>
    <w:rsid w:val="00FC094A"/>
    <w:rsid w:val="00FC09E6"/>
    <w:rsid w:val="00FC0F5D"/>
    <w:rsid w:val="00FC1074"/>
    <w:rsid w:val="00FC10C3"/>
    <w:rsid w:val="00FC1884"/>
    <w:rsid w:val="00FC2158"/>
    <w:rsid w:val="00FC2552"/>
    <w:rsid w:val="00FC305D"/>
    <w:rsid w:val="00FC3075"/>
    <w:rsid w:val="00FC31DD"/>
    <w:rsid w:val="00FC405C"/>
    <w:rsid w:val="00FC4797"/>
    <w:rsid w:val="00FC503F"/>
    <w:rsid w:val="00FC5199"/>
    <w:rsid w:val="00FC56CC"/>
    <w:rsid w:val="00FC593F"/>
    <w:rsid w:val="00FC6047"/>
    <w:rsid w:val="00FC62D1"/>
    <w:rsid w:val="00FC6360"/>
    <w:rsid w:val="00FC6B42"/>
    <w:rsid w:val="00FC73A1"/>
    <w:rsid w:val="00FC792D"/>
    <w:rsid w:val="00FD0673"/>
    <w:rsid w:val="00FD0779"/>
    <w:rsid w:val="00FD0883"/>
    <w:rsid w:val="00FD0D1A"/>
    <w:rsid w:val="00FD1A32"/>
    <w:rsid w:val="00FD1C2E"/>
    <w:rsid w:val="00FD2100"/>
    <w:rsid w:val="00FD35BC"/>
    <w:rsid w:val="00FD3B11"/>
    <w:rsid w:val="00FD446D"/>
    <w:rsid w:val="00FD4874"/>
    <w:rsid w:val="00FD4EC4"/>
    <w:rsid w:val="00FD621D"/>
    <w:rsid w:val="00FD63F9"/>
    <w:rsid w:val="00FD640E"/>
    <w:rsid w:val="00FD6899"/>
    <w:rsid w:val="00FD68EE"/>
    <w:rsid w:val="00FD6A34"/>
    <w:rsid w:val="00FD7514"/>
    <w:rsid w:val="00FE0087"/>
    <w:rsid w:val="00FE0CC5"/>
    <w:rsid w:val="00FE0DE5"/>
    <w:rsid w:val="00FE0F57"/>
    <w:rsid w:val="00FE112F"/>
    <w:rsid w:val="00FE11D4"/>
    <w:rsid w:val="00FE1F27"/>
    <w:rsid w:val="00FE2FA4"/>
    <w:rsid w:val="00FE3215"/>
    <w:rsid w:val="00FE35ED"/>
    <w:rsid w:val="00FE3EE5"/>
    <w:rsid w:val="00FE435C"/>
    <w:rsid w:val="00FE44DF"/>
    <w:rsid w:val="00FE5166"/>
    <w:rsid w:val="00FE5215"/>
    <w:rsid w:val="00FE61A6"/>
    <w:rsid w:val="00FE61F9"/>
    <w:rsid w:val="00FE6AF7"/>
    <w:rsid w:val="00FE70B2"/>
    <w:rsid w:val="00FE7DD7"/>
    <w:rsid w:val="00FF0479"/>
    <w:rsid w:val="00FF0712"/>
    <w:rsid w:val="00FF23BB"/>
    <w:rsid w:val="00FF2841"/>
    <w:rsid w:val="00FF29FB"/>
    <w:rsid w:val="00FF2A79"/>
    <w:rsid w:val="00FF38C5"/>
    <w:rsid w:val="00FF3DCF"/>
    <w:rsid w:val="00FF3F06"/>
    <w:rsid w:val="00FF3F1E"/>
    <w:rsid w:val="00FF400A"/>
    <w:rsid w:val="00FF4014"/>
    <w:rsid w:val="00FF4479"/>
    <w:rsid w:val="00FF4F01"/>
    <w:rsid w:val="00FF567A"/>
    <w:rsid w:val="00FF5AA3"/>
    <w:rsid w:val="00FF5B38"/>
    <w:rsid w:val="00FF5B3E"/>
    <w:rsid w:val="00FF615C"/>
    <w:rsid w:val="00FF64FC"/>
    <w:rsid w:val="00FF741F"/>
    <w:rsid w:val="00FF7A9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D654F"/>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9E0439"/>
    <w:pPr>
      <w:keepNext/>
      <w:keepLines/>
      <w:widowControl/>
      <w:numPr>
        <w:numId w:val="5"/>
      </w:numPr>
      <w:spacing w:before="240" w:after="120"/>
      <w:jc w:val="left"/>
      <w:outlineLvl w:val="0"/>
    </w:pPr>
    <w:rPr>
      <w:rFonts w:asciiTheme="minorHAnsi" w:eastAsiaTheme="majorEastAsia" w:hAnsiTheme="minorHAnsi" w:cstheme="majorBidi"/>
      <w:b/>
      <w:snapToGrid/>
      <w:sz w:val="32"/>
      <w:szCs w:val="28"/>
    </w:rPr>
  </w:style>
  <w:style w:type="paragraph" w:styleId="Heading2">
    <w:name w:val="heading 2"/>
    <w:aliases w:val="PBAC Heading 2"/>
    <w:basedOn w:val="Normal"/>
    <w:next w:val="Normal"/>
    <w:link w:val="Heading2Char"/>
    <w:uiPriority w:val="1"/>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PBAC Heading 2 Char"/>
    <w:link w:val="Heading2"/>
    <w:uiPriority w:val="1"/>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Bayer Caption,IB Caption,Medical Caption,Medical Caption + Arial Narrow,Caption Char1 Char Char,Caption Char Char Char Char,Caption Char1 Char,Caption Char Char Char Char Char,Caption Char Char,Caption Char Char Char Char1,Caption Char1 Char1,c"/>
    <w:basedOn w:val="Normal"/>
    <w:next w:val="Normal"/>
    <w:link w:val="CaptionChar"/>
    <w:uiPriority w:val="35"/>
    <w:unhideWhenUsed/>
    <w:qFormat/>
    <w:rsid w:val="00E55C12"/>
    <w:pPr>
      <w:widowControl/>
    </w:pPr>
    <w:rPr>
      <w:rFonts w:ascii="Arial Narrow" w:hAnsi="Arial Narrow"/>
      <w:b/>
      <w:sz w:val="20"/>
    </w:rPr>
  </w:style>
  <w:style w:type="character" w:customStyle="1" w:styleId="CaptionChar">
    <w:name w:val="Caption Char"/>
    <w:aliases w:val="Bayer Caption Char,IB Caption Char,Medical Caption Char,Medical Caption + Arial Narrow Char,Caption Char1 Char Char Char,Caption Char Char Char Char Char1,Caption Char1 Char Char1,Caption Char Char Char Char Char Char,Caption Char Char Char"/>
    <w:link w:val="Caption"/>
    <w:uiPriority w:val="35"/>
    <w:rsid w:val="00E55C12"/>
    <w:rPr>
      <w:rFonts w:ascii="Arial Narrow" w:hAnsi="Arial Narrow" w:cs="Arial"/>
      <w:b/>
      <w:snapToGrid w:val="0"/>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spacing w:before="480" w:line="276" w:lineRule="auto"/>
      <w:ind w:left="0" w:firstLine="0"/>
      <w:outlineLvl w:val="9"/>
    </w:pPr>
    <w:rPr>
      <w:rFonts w:asciiTheme="majorHAnsi" w:hAnsiTheme="majorHAnsi"/>
      <w:bCs/>
      <w:snapToGrid w:val="0"/>
      <w:color w:val="365F91" w:themeColor="accent1" w:themeShade="BF"/>
      <w:sz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ind w:left="720" w:hanging="720"/>
    </w:pPr>
    <w:rPr>
      <w:rFonts w:ascii="Arial" w:hAnsi="Arial" w:cs="Arial"/>
      <w:snapToGrid w:val="0"/>
      <w:sz w:val="22"/>
      <w:szCs w:val="22"/>
      <w:lang w:eastAsia="en-US"/>
    </w:rPr>
  </w:style>
  <w:style w:type="table" w:customStyle="1" w:styleId="TableGrid11">
    <w:name w:val="Table Grid11"/>
    <w:basedOn w:val="TableNormal"/>
    <w:next w:val="TableGrid"/>
    <w:uiPriority w:val="59"/>
    <w:rsid w:val="006B15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B7AD2"/>
    <w:rPr>
      <w:sz w:val="20"/>
    </w:rPr>
  </w:style>
  <w:style w:type="character" w:customStyle="1" w:styleId="FootnoteTextChar">
    <w:name w:val="Footnote Text Char"/>
    <w:basedOn w:val="DefaultParagraphFont"/>
    <w:link w:val="FootnoteText"/>
    <w:semiHidden/>
    <w:rsid w:val="00AB7AD2"/>
    <w:rPr>
      <w:rFonts w:ascii="Arial" w:hAnsi="Arial" w:cs="Arial"/>
      <w:snapToGrid w:val="0"/>
      <w:lang w:eastAsia="en-US"/>
    </w:rPr>
  </w:style>
  <w:style w:type="character" w:styleId="FootnoteReference">
    <w:name w:val="footnote reference"/>
    <w:basedOn w:val="DefaultParagraphFont"/>
    <w:semiHidden/>
    <w:unhideWhenUsed/>
    <w:rsid w:val="00AB7AD2"/>
    <w:rPr>
      <w:vertAlign w:val="superscript"/>
    </w:rPr>
  </w:style>
  <w:style w:type="paragraph" w:customStyle="1" w:styleId="Default">
    <w:name w:val="Default"/>
    <w:rsid w:val="00F43961"/>
    <w:pPr>
      <w:autoSpaceDE w:val="0"/>
      <w:autoSpaceDN w:val="0"/>
      <w:adjustRightInd w:val="0"/>
    </w:pPr>
    <w:rPr>
      <w:color w:val="000000"/>
      <w:sz w:val="24"/>
      <w:szCs w:val="24"/>
    </w:rPr>
  </w:style>
  <w:style w:type="paragraph" w:customStyle="1" w:styleId="PBACHeading10">
    <w:name w:val="PBAC Heading 1"/>
    <w:qFormat/>
    <w:rsid w:val="004B703D"/>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4B703D"/>
    <w:rPr>
      <w:rFonts w:ascii="Arial" w:hAnsi="Arial" w:cs="Arial"/>
      <w:snapToGrid w:val="0"/>
      <w:sz w:val="22"/>
      <w:lang w:eastAsia="en-US"/>
    </w:rPr>
  </w:style>
  <w:style w:type="paragraph" w:customStyle="1" w:styleId="TableFootnote">
    <w:name w:val="Table Footnote"/>
    <w:qFormat/>
    <w:rsid w:val="00391526"/>
    <w:pPr>
      <w:tabs>
        <w:tab w:val="left" w:pos="288"/>
      </w:tabs>
    </w:pPr>
    <w:rPr>
      <w:rFonts w:ascii="Arial Narrow" w:hAnsi="Arial Narrow"/>
      <w:i/>
      <w:sz w:val="18"/>
      <w:lang w:val="en-US" w:eastAsia="en-US"/>
    </w:rPr>
  </w:style>
  <w:style w:type="character" w:customStyle="1" w:styleId="article-headermeta-info-data">
    <w:name w:val="article-header__meta-info-data"/>
    <w:basedOn w:val="DefaultParagraphFont"/>
    <w:rsid w:val="00B53616"/>
  </w:style>
  <w:style w:type="paragraph" w:customStyle="1" w:styleId="TableText1">
    <w:name w:val="Table Text"/>
    <w:basedOn w:val="Normal"/>
    <w:qFormat/>
    <w:rsid w:val="00EE5E36"/>
    <w:pPr>
      <w:keepNext/>
      <w:widowControl/>
      <w:spacing w:before="40" w:after="40"/>
      <w:jc w:val="left"/>
    </w:pPr>
    <w:rPr>
      <w:rFonts w:ascii="Arial Narrow" w:eastAsiaTheme="minorHAnsi" w:hAnsi="Arial Narrow" w:cstheme="minorBidi"/>
      <w:snapToGrid/>
      <w:sz w:val="20"/>
      <w:szCs w:val="22"/>
    </w:rPr>
  </w:style>
  <w:style w:type="paragraph" w:customStyle="1" w:styleId="TableHeading0">
    <w:name w:val="Table Heading"/>
    <w:basedOn w:val="Normal"/>
    <w:qFormat/>
    <w:rsid w:val="00EE5E36"/>
    <w:pPr>
      <w:keepNext/>
      <w:widowControl/>
      <w:spacing w:after="60"/>
      <w:jc w:val="left"/>
    </w:pPr>
    <w:rPr>
      <w:rFonts w:ascii="Arial Narrow" w:eastAsiaTheme="minorHAnsi" w:hAnsi="Arial Narrow" w:cstheme="minorBidi"/>
      <w:b/>
      <w:snapToGrid/>
      <w:sz w:val="20"/>
      <w:szCs w:val="22"/>
    </w:rPr>
  </w:style>
  <w:style w:type="character" w:customStyle="1" w:styleId="TableFooterChar">
    <w:name w:val="Table Footer Char"/>
    <w:link w:val="TableFooter"/>
    <w:rsid w:val="00EE5E36"/>
    <w:rPr>
      <w:rFonts w:ascii="Arial Narrow" w:hAnsi="Arial Narrow" w:cs="Arial"/>
      <w:snapToGrid w:val="0"/>
      <w:sz w:val="18"/>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976E0"/>
    <w:pPr>
      <w:widowControl/>
      <w:spacing w:after="160" w:line="240" w:lineRule="exact"/>
      <w:jc w:val="left"/>
    </w:pPr>
    <w:rPr>
      <w:rFonts w:ascii="Verdana" w:eastAsia="MS Mincho" w:hAnsi="Verdana" w:cs="Verdana"/>
      <w:snapToGrid/>
      <w:sz w:val="20"/>
      <w:lang w:val="en-US"/>
    </w:rPr>
  </w:style>
  <w:style w:type="character" w:customStyle="1" w:styleId="Heading1Char">
    <w:name w:val="Heading 1 Char"/>
    <w:link w:val="Heading1"/>
    <w:rsid w:val="009E0439"/>
    <w:rPr>
      <w:rFonts w:asciiTheme="minorHAnsi" w:eastAsiaTheme="majorEastAsia" w:hAnsiTheme="minorHAnsi" w:cstheme="majorBidi"/>
      <w:b/>
      <w:sz w:val="32"/>
      <w:szCs w:val="28"/>
      <w:lang w:eastAsia="en-US"/>
    </w:rPr>
  </w:style>
  <w:style w:type="character" w:styleId="FollowedHyperlink">
    <w:name w:val="FollowedHyperlink"/>
    <w:basedOn w:val="DefaultParagraphFont"/>
    <w:semiHidden/>
    <w:unhideWhenUsed/>
    <w:rsid w:val="00BE33FF"/>
    <w:rPr>
      <w:color w:val="800080" w:themeColor="followedHyperlink"/>
      <w:u w:val="single"/>
    </w:rPr>
  </w:style>
  <w:style w:type="paragraph" w:styleId="Subtitle">
    <w:name w:val="Subtitle"/>
    <w:aliases w:val="PBAC Paragraph"/>
    <w:basedOn w:val="ListParagraph"/>
    <w:next w:val="Normal"/>
    <w:link w:val="SubtitleChar"/>
    <w:uiPriority w:val="11"/>
    <w:qFormat/>
    <w:rsid w:val="006E2708"/>
    <w:pPr>
      <w:widowControl/>
      <w:spacing w:before="240" w:after="120"/>
      <w:ind w:hanging="720"/>
      <w:contextualSpacing w:val="0"/>
    </w:pPr>
    <w:rPr>
      <w:rFonts w:ascii="Times New Roman" w:eastAsiaTheme="majorEastAsia" w:hAnsi="Times New Roman"/>
      <w:sz w:val="24"/>
      <w:szCs w:val="24"/>
    </w:rPr>
  </w:style>
  <w:style w:type="character" w:customStyle="1" w:styleId="SubtitleChar">
    <w:name w:val="Subtitle Char"/>
    <w:aliases w:val="PBAC Paragraph Char"/>
    <w:basedOn w:val="DefaultParagraphFont"/>
    <w:link w:val="Subtitle"/>
    <w:uiPriority w:val="11"/>
    <w:rsid w:val="006E2708"/>
    <w:rPr>
      <w:rFonts w:eastAsiaTheme="majorEastAsia" w:cs="Arial"/>
      <w:snapToGrid w:val="0"/>
      <w:sz w:val="24"/>
      <w:szCs w:val="24"/>
      <w:lang w:eastAsia="en-US"/>
    </w:rPr>
  </w:style>
  <w:style w:type="character" w:styleId="IntenseReference">
    <w:name w:val="Intense Reference"/>
    <w:basedOn w:val="DefaultParagraphFont"/>
    <w:uiPriority w:val="32"/>
    <w:rsid w:val="006E2708"/>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D654F"/>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9E0439"/>
    <w:pPr>
      <w:keepNext/>
      <w:keepLines/>
      <w:widowControl/>
      <w:numPr>
        <w:numId w:val="5"/>
      </w:numPr>
      <w:spacing w:before="240" w:after="120"/>
      <w:jc w:val="left"/>
      <w:outlineLvl w:val="0"/>
    </w:pPr>
    <w:rPr>
      <w:rFonts w:asciiTheme="minorHAnsi" w:eastAsiaTheme="majorEastAsia" w:hAnsiTheme="minorHAnsi" w:cstheme="majorBidi"/>
      <w:b/>
      <w:snapToGrid/>
      <w:sz w:val="32"/>
      <w:szCs w:val="28"/>
    </w:rPr>
  </w:style>
  <w:style w:type="paragraph" w:styleId="Heading2">
    <w:name w:val="heading 2"/>
    <w:aliases w:val="PBAC Heading 2"/>
    <w:basedOn w:val="Normal"/>
    <w:next w:val="Normal"/>
    <w:link w:val="Heading2Char"/>
    <w:uiPriority w:val="1"/>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PBAC Heading 2 Char"/>
    <w:link w:val="Heading2"/>
    <w:uiPriority w:val="1"/>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Bayer Caption,IB Caption,Medical Caption,Medical Caption + Arial Narrow,Caption Char1 Char Char,Caption Char Char Char Char,Caption Char1 Char,Caption Char Char Char Char Char,Caption Char Char,Caption Char Char Char Char1,Caption Char1 Char1,c"/>
    <w:basedOn w:val="Normal"/>
    <w:next w:val="Normal"/>
    <w:link w:val="CaptionChar"/>
    <w:uiPriority w:val="35"/>
    <w:unhideWhenUsed/>
    <w:qFormat/>
    <w:rsid w:val="00E55C12"/>
    <w:pPr>
      <w:widowControl/>
    </w:pPr>
    <w:rPr>
      <w:rFonts w:ascii="Arial Narrow" w:hAnsi="Arial Narrow"/>
      <w:b/>
      <w:sz w:val="20"/>
    </w:rPr>
  </w:style>
  <w:style w:type="character" w:customStyle="1" w:styleId="CaptionChar">
    <w:name w:val="Caption Char"/>
    <w:aliases w:val="Bayer Caption Char,IB Caption Char,Medical Caption Char,Medical Caption + Arial Narrow Char,Caption Char1 Char Char Char,Caption Char Char Char Char Char1,Caption Char1 Char Char1,Caption Char Char Char Char Char Char,Caption Char Char Char"/>
    <w:link w:val="Caption"/>
    <w:uiPriority w:val="35"/>
    <w:rsid w:val="00E55C12"/>
    <w:rPr>
      <w:rFonts w:ascii="Arial Narrow" w:hAnsi="Arial Narrow" w:cs="Arial"/>
      <w:b/>
      <w:snapToGrid w:val="0"/>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spacing w:before="480" w:line="276" w:lineRule="auto"/>
      <w:ind w:left="0" w:firstLine="0"/>
      <w:outlineLvl w:val="9"/>
    </w:pPr>
    <w:rPr>
      <w:rFonts w:asciiTheme="majorHAnsi" w:hAnsiTheme="majorHAnsi"/>
      <w:bCs/>
      <w:snapToGrid w:val="0"/>
      <w:color w:val="365F91" w:themeColor="accent1" w:themeShade="BF"/>
      <w:sz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ind w:left="720" w:hanging="720"/>
    </w:pPr>
    <w:rPr>
      <w:rFonts w:ascii="Arial" w:hAnsi="Arial" w:cs="Arial"/>
      <w:snapToGrid w:val="0"/>
      <w:sz w:val="22"/>
      <w:szCs w:val="22"/>
      <w:lang w:eastAsia="en-US"/>
    </w:rPr>
  </w:style>
  <w:style w:type="table" w:customStyle="1" w:styleId="TableGrid11">
    <w:name w:val="Table Grid11"/>
    <w:basedOn w:val="TableNormal"/>
    <w:next w:val="TableGrid"/>
    <w:uiPriority w:val="59"/>
    <w:rsid w:val="006B15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B7AD2"/>
    <w:rPr>
      <w:sz w:val="20"/>
    </w:rPr>
  </w:style>
  <w:style w:type="character" w:customStyle="1" w:styleId="FootnoteTextChar">
    <w:name w:val="Footnote Text Char"/>
    <w:basedOn w:val="DefaultParagraphFont"/>
    <w:link w:val="FootnoteText"/>
    <w:semiHidden/>
    <w:rsid w:val="00AB7AD2"/>
    <w:rPr>
      <w:rFonts w:ascii="Arial" w:hAnsi="Arial" w:cs="Arial"/>
      <w:snapToGrid w:val="0"/>
      <w:lang w:eastAsia="en-US"/>
    </w:rPr>
  </w:style>
  <w:style w:type="character" w:styleId="FootnoteReference">
    <w:name w:val="footnote reference"/>
    <w:basedOn w:val="DefaultParagraphFont"/>
    <w:semiHidden/>
    <w:unhideWhenUsed/>
    <w:rsid w:val="00AB7AD2"/>
    <w:rPr>
      <w:vertAlign w:val="superscript"/>
    </w:rPr>
  </w:style>
  <w:style w:type="paragraph" w:customStyle="1" w:styleId="Default">
    <w:name w:val="Default"/>
    <w:rsid w:val="00F43961"/>
    <w:pPr>
      <w:autoSpaceDE w:val="0"/>
      <w:autoSpaceDN w:val="0"/>
      <w:adjustRightInd w:val="0"/>
    </w:pPr>
    <w:rPr>
      <w:color w:val="000000"/>
      <w:sz w:val="24"/>
      <w:szCs w:val="24"/>
    </w:rPr>
  </w:style>
  <w:style w:type="paragraph" w:customStyle="1" w:styleId="PBACHeading10">
    <w:name w:val="PBAC Heading 1"/>
    <w:qFormat/>
    <w:rsid w:val="004B703D"/>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4B703D"/>
    <w:rPr>
      <w:rFonts w:ascii="Arial" w:hAnsi="Arial" w:cs="Arial"/>
      <w:snapToGrid w:val="0"/>
      <w:sz w:val="22"/>
      <w:lang w:eastAsia="en-US"/>
    </w:rPr>
  </w:style>
  <w:style w:type="paragraph" w:customStyle="1" w:styleId="TableFootnote">
    <w:name w:val="Table Footnote"/>
    <w:qFormat/>
    <w:rsid w:val="00391526"/>
    <w:pPr>
      <w:tabs>
        <w:tab w:val="left" w:pos="288"/>
      </w:tabs>
    </w:pPr>
    <w:rPr>
      <w:rFonts w:ascii="Arial Narrow" w:hAnsi="Arial Narrow"/>
      <w:i/>
      <w:sz w:val="18"/>
      <w:lang w:val="en-US" w:eastAsia="en-US"/>
    </w:rPr>
  </w:style>
  <w:style w:type="character" w:customStyle="1" w:styleId="article-headermeta-info-data">
    <w:name w:val="article-header__meta-info-data"/>
    <w:basedOn w:val="DefaultParagraphFont"/>
    <w:rsid w:val="00B53616"/>
  </w:style>
  <w:style w:type="paragraph" w:customStyle="1" w:styleId="TableText1">
    <w:name w:val="Table Text"/>
    <w:basedOn w:val="Normal"/>
    <w:qFormat/>
    <w:rsid w:val="00EE5E36"/>
    <w:pPr>
      <w:keepNext/>
      <w:widowControl/>
      <w:spacing w:before="40" w:after="40"/>
      <w:jc w:val="left"/>
    </w:pPr>
    <w:rPr>
      <w:rFonts w:ascii="Arial Narrow" w:eastAsiaTheme="minorHAnsi" w:hAnsi="Arial Narrow" w:cstheme="minorBidi"/>
      <w:snapToGrid/>
      <w:sz w:val="20"/>
      <w:szCs w:val="22"/>
    </w:rPr>
  </w:style>
  <w:style w:type="paragraph" w:customStyle="1" w:styleId="TableHeading0">
    <w:name w:val="Table Heading"/>
    <w:basedOn w:val="Normal"/>
    <w:qFormat/>
    <w:rsid w:val="00EE5E36"/>
    <w:pPr>
      <w:keepNext/>
      <w:widowControl/>
      <w:spacing w:after="60"/>
      <w:jc w:val="left"/>
    </w:pPr>
    <w:rPr>
      <w:rFonts w:ascii="Arial Narrow" w:eastAsiaTheme="minorHAnsi" w:hAnsi="Arial Narrow" w:cstheme="minorBidi"/>
      <w:b/>
      <w:snapToGrid/>
      <w:sz w:val="20"/>
      <w:szCs w:val="22"/>
    </w:rPr>
  </w:style>
  <w:style w:type="character" w:customStyle="1" w:styleId="TableFooterChar">
    <w:name w:val="Table Footer Char"/>
    <w:link w:val="TableFooter"/>
    <w:rsid w:val="00EE5E36"/>
    <w:rPr>
      <w:rFonts w:ascii="Arial Narrow" w:hAnsi="Arial Narrow" w:cs="Arial"/>
      <w:snapToGrid w:val="0"/>
      <w:sz w:val="18"/>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976E0"/>
    <w:pPr>
      <w:widowControl/>
      <w:spacing w:after="160" w:line="240" w:lineRule="exact"/>
      <w:jc w:val="left"/>
    </w:pPr>
    <w:rPr>
      <w:rFonts w:ascii="Verdana" w:eastAsia="MS Mincho" w:hAnsi="Verdana" w:cs="Verdana"/>
      <w:snapToGrid/>
      <w:sz w:val="20"/>
      <w:lang w:val="en-US"/>
    </w:rPr>
  </w:style>
  <w:style w:type="character" w:customStyle="1" w:styleId="Heading1Char">
    <w:name w:val="Heading 1 Char"/>
    <w:link w:val="Heading1"/>
    <w:rsid w:val="009E0439"/>
    <w:rPr>
      <w:rFonts w:asciiTheme="minorHAnsi" w:eastAsiaTheme="majorEastAsia" w:hAnsiTheme="minorHAnsi" w:cstheme="majorBidi"/>
      <w:b/>
      <w:sz w:val="32"/>
      <w:szCs w:val="28"/>
      <w:lang w:eastAsia="en-US"/>
    </w:rPr>
  </w:style>
  <w:style w:type="character" w:styleId="FollowedHyperlink">
    <w:name w:val="FollowedHyperlink"/>
    <w:basedOn w:val="DefaultParagraphFont"/>
    <w:semiHidden/>
    <w:unhideWhenUsed/>
    <w:rsid w:val="00BE33FF"/>
    <w:rPr>
      <w:color w:val="800080" w:themeColor="followedHyperlink"/>
      <w:u w:val="single"/>
    </w:rPr>
  </w:style>
  <w:style w:type="paragraph" w:styleId="Subtitle">
    <w:name w:val="Subtitle"/>
    <w:aliases w:val="PBAC Paragraph"/>
    <w:basedOn w:val="ListParagraph"/>
    <w:next w:val="Normal"/>
    <w:link w:val="SubtitleChar"/>
    <w:uiPriority w:val="11"/>
    <w:qFormat/>
    <w:rsid w:val="006E2708"/>
    <w:pPr>
      <w:widowControl/>
      <w:spacing w:before="240" w:after="120"/>
      <w:ind w:hanging="720"/>
      <w:contextualSpacing w:val="0"/>
    </w:pPr>
    <w:rPr>
      <w:rFonts w:ascii="Times New Roman" w:eastAsiaTheme="majorEastAsia" w:hAnsi="Times New Roman"/>
      <w:sz w:val="24"/>
      <w:szCs w:val="24"/>
    </w:rPr>
  </w:style>
  <w:style w:type="character" w:customStyle="1" w:styleId="SubtitleChar">
    <w:name w:val="Subtitle Char"/>
    <w:aliases w:val="PBAC Paragraph Char"/>
    <w:basedOn w:val="DefaultParagraphFont"/>
    <w:link w:val="Subtitle"/>
    <w:uiPriority w:val="11"/>
    <w:rsid w:val="006E2708"/>
    <w:rPr>
      <w:rFonts w:eastAsiaTheme="majorEastAsia" w:cs="Arial"/>
      <w:snapToGrid w:val="0"/>
      <w:sz w:val="24"/>
      <w:szCs w:val="24"/>
      <w:lang w:eastAsia="en-US"/>
    </w:rPr>
  </w:style>
  <w:style w:type="character" w:styleId="IntenseReference">
    <w:name w:val="Intense Reference"/>
    <w:basedOn w:val="DefaultParagraphFont"/>
    <w:uiPriority w:val="32"/>
    <w:rsid w:val="006E2708"/>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1031">
      <w:bodyDiv w:val="1"/>
      <w:marLeft w:val="0"/>
      <w:marRight w:val="0"/>
      <w:marTop w:val="0"/>
      <w:marBottom w:val="0"/>
      <w:divBdr>
        <w:top w:val="none" w:sz="0" w:space="0" w:color="auto"/>
        <w:left w:val="none" w:sz="0" w:space="0" w:color="auto"/>
        <w:bottom w:val="none" w:sz="0" w:space="0" w:color="auto"/>
        <w:right w:val="none" w:sz="0" w:space="0" w:color="auto"/>
      </w:divBdr>
    </w:div>
    <w:div w:id="623072792">
      <w:bodyDiv w:val="1"/>
      <w:marLeft w:val="0"/>
      <w:marRight w:val="0"/>
      <w:marTop w:val="0"/>
      <w:marBottom w:val="0"/>
      <w:divBdr>
        <w:top w:val="none" w:sz="0" w:space="0" w:color="auto"/>
        <w:left w:val="none" w:sz="0" w:space="0" w:color="auto"/>
        <w:bottom w:val="none" w:sz="0" w:space="0" w:color="auto"/>
        <w:right w:val="none" w:sz="0" w:space="0" w:color="auto"/>
      </w:divBdr>
    </w:div>
    <w:div w:id="625279670">
      <w:bodyDiv w:val="1"/>
      <w:marLeft w:val="0"/>
      <w:marRight w:val="0"/>
      <w:marTop w:val="0"/>
      <w:marBottom w:val="0"/>
      <w:divBdr>
        <w:top w:val="none" w:sz="0" w:space="0" w:color="auto"/>
        <w:left w:val="none" w:sz="0" w:space="0" w:color="auto"/>
        <w:bottom w:val="none" w:sz="0" w:space="0" w:color="auto"/>
        <w:right w:val="none" w:sz="0" w:space="0" w:color="auto"/>
      </w:divBdr>
    </w:div>
    <w:div w:id="675117394">
      <w:bodyDiv w:val="1"/>
      <w:marLeft w:val="0"/>
      <w:marRight w:val="0"/>
      <w:marTop w:val="0"/>
      <w:marBottom w:val="0"/>
      <w:divBdr>
        <w:top w:val="none" w:sz="0" w:space="0" w:color="auto"/>
        <w:left w:val="none" w:sz="0" w:space="0" w:color="auto"/>
        <w:bottom w:val="none" w:sz="0" w:space="0" w:color="auto"/>
        <w:right w:val="none" w:sz="0" w:space="0" w:color="auto"/>
      </w:divBdr>
    </w:div>
    <w:div w:id="1102604502">
      <w:bodyDiv w:val="1"/>
      <w:marLeft w:val="0"/>
      <w:marRight w:val="0"/>
      <w:marTop w:val="0"/>
      <w:marBottom w:val="0"/>
      <w:divBdr>
        <w:top w:val="none" w:sz="0" w:space="0" w:color="auto"/>
        <w:left w:val="none" w:sz="0" w:space="0" w:color="auto"/>
        <w:bottom w:val="none" w:sz="0" w:space="0" w:color="auto"/>
        <w:right w:val="none" w:sz="0" w:space="0" w:color="auto"/>
      </w:divBdr>
    </w:div>
    <w:div w:id="1191919262">
      <w:bodyDiv w:val="1"/>
      <w:marLeft w:val="0"/>
      <w:marRight w:val="0"/>
      <w:marTop w:val="0"/>
      <w:marBottom w:val="0"/>
      <w:divBdr>
        <w:top w:val="none" w:sz="0" w:space="0" w:color="auto"/>
        <w:left w:val="none" w:sz="0" w:space="0" w:color="auto"/>
        <w:bottom w:val="none" w:sz="0" w:space="0" w:color="auto"/>
        <w:right w:val="none" w:sz="0" w:space="0" w:color="auto"/>
      </w:divBdr>
      <w:divsChild>
        <w:div w:id="204607020">
          <w:marLeft w:val="0"/>
          <w:marRight w:val="0"/>
          <w:marTop w:val="0"/>
          <w:marBottom w:val="0"/>
          <w:divBdr>
            <w:top w:val="none" w:sz="0" w:space="0" w:color="auto"/>
            <w:left w:val="none" w:sz="0" w:space="0" w:color="auto"/>
            <w:bottom w:val="none" w:sz="0" w:space="0" w:color="auto"/>
            <w:right w:val="none" w:sz="0" w:space="0" w:color="auto"/>
          </w:divBdr>
          <w:divsChild>
            <w:div w:id="1956475345">
              <w:marLeft w:val="0"/>
              <w:marRight w:val="0"/>
              <w:marTop w:val="0"/>
              <w:marBottom w:val="0"/>
              <w:divBdr>
                <w:top w:val="none" w:sz="0" w:space="0" w:color="auto"/>
                <w:left w:val="none" w:sz="0" w:space="0" w:color="auto"/>
                <w:bottom w:val="none" w:sz="0" w:space="0" w:color="auto"/>
                <w:right w:val="none" w:sz="0" w:space="0" w:color="auto"/>
              </w:divBdr>
              <w:divsChild>
                <w:div w:id="452866378">
                  <w:marLeft w:val="0"/>
                  <w:marRight w:val="0"/>
                  <w:marTop w:val="0"/>
                  <w:marBottom w:val="0"/>
                  <w:divBdr>
                    <w:top w:val="none" w:sz="0" w:space="0" w:color="auto"/>
                    <w:left w:val="none" w:sz="0" w:space="0" w:color="auto"/>
                    <w:bottom w:val="none" w:sz="0" w:space="0" w:color="auto"/>
                    <w:right w:val="none" w:sz="0" w:space="0" w:color="auto"/>
                  </w:divBdr>
                  <w:divsChild>
                    <w:div w:id="1827553412">
                      <w:marLeft w:val="0"/>
                      <w:marRight w:val="0"/>
                      <w:marTop w:val="0"/>
                      <w:marBottom w:val="0"/>
                      <w:divBdr>
                        <w:top w:val="none" w:sz="0" w:space="0" w:color="auto"/>
                        <w:left w:val="none" w:sz="0" w:space="0" w:color="auto"/>
                        <w:bottom w:val="none" w:sz="0" w:space="0" w:color="auto"/>
                        <w:right w:val="none" w:sz="0" w:space="0" w:color="auto"/>
                      </w:divBdr>
                      <w:divsChild>
                        <w:div w:id="18744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192884">
      <w:bodyDiv w:val="1"/>
      <w:marLeft w:val="0"/>
      <w:marRight w:val="0"/>
      <w:marTop w:val="0"/>
      <w:marBottom w:val="0"/>
      <w:divBdr>
        <w:top w:val="none" w:sz="0" w:space="0" w:color="auto"/>
        <w:left w:val="none" w:sz="0" w:space="0" w:color="auto"/>
        <w:bottom w:val="none" w:sz="0" w:space="0" w:color="auto"/>
        <w:right w:val="none" w:sz="0" w:space="0" w:color="auto"/>
      </w:divBdr>
    </w:div>
    <w:div w:id="1551067217">
      <w:bodyDiv w:val="1"/>
      <w:marLeft w:val="0"/>
      <w:marRight w:val="0"/>
      <w:marTop w:val="0"/>
      <w:marBottom w:val="0"/>
      <w:divBdr>
        <w:top w:val="none" w:sz="0" w:space="0" w:color="auto"/>
        <w:left w:val="none" w:sz="0" w:space="0" w:color="auto"/>
        <w:bottom w:val="none" w:sz="0" w:space="0" w:color="auto"/>
        <w:right w:val="none" w:sz="0" w:space="0" w:color="auto"/>
      </w:divBdr>
    </w:div>
    <w:div w:id="1553347436">
      <w:bodyDiv w:val="1"/>
      <w:marLeft w:val="0"/>
      <w:marRight w:val="0"/>
      <w:marTop w:val="0"/>
      <w:marBottom w:val="0"/>
      <w:divBdr>
        <w:top w:val="none" w:sz="0" w:space="0" w:color="auto"/>
        <w:left w:val="none" w:sz="0" w:space="0" w:color="auto"/>
        <w:bottom w:val="none" w:sz="0" w:space="0" w:color="auto"/>
        <w:right w:val="none" w:sz="0" w:space="0" w:color="auto"/>
      </w:divBdr>
      <w:divsChild>
        <w:div w:id="1279138717">
          <w:marLeft w:val="0"/>
          <w:marRight w:val="0"/>
          <w:marTop w:val="0"/>
          <w:marBottom w:val="0"/>
          <w:divBdr>
            <w:top w:val="none" w:sz="0" w:space="0" w:color="auto"/>
            <w:left w:val="none" w:sz="0" w:space="0" w:color="auto"/>
            <w:bottom w:val="none" w:sz="0" w:space="0" w:color="auto"/>
            <w:right w:val="none" w:sz="0" w:space="0" w:color="auto"/>
          </w:divBdr>
          <w:divsChild>
            <w:div w:id="1678926673">
              <w:marLeft w:val="0"/>
              <w:marRight w:val="0"/>
              <w:marTop w:val="0"/>
              <w:marBottom w:val="0"/>
              <w:divBdr>
                <w:top w:val="none" w:sz="0" w:space="0" w:color="auto"/>
                <w:left w:val="none" w:sz="0" w:space="0" w:color="auto"/>
                <w:bottom w:val="none" w:sz="0" w:space="0" w:color="auto"/>
                <w:right w:val="none" w:sz="0" w:space="0" w:color="auto"/>
              </w:divBdr>
              <w:divsChild>
                <w:div w:id="32704239">
                  <w:marLeft w:val="0"/>
                  <w:marRight w:val="0"/>
                  <w:marTop w:val="0"/>
                  <w:marBottom w:val="0"/>
                  <w:divBdr>
                    <w:top w:val="none" w:sz="0" w:space="0" w:color="auto"/>
                    <w:left w:val="none" w:sz="0" w:space="0" w:color="auto"/>
                    <w:bottom w:val="none" w:sz="0" w:space="0" w:color="auto"/>
                    <w:right w:val="none" w:sz="0" w:space="0" w:color="auto"/>
                  </w:divBdr>
                  <w:divsChild>
                    <w:div w:id="358356390">
                      <w:marLeft w:val="0"/>
                      <w:marRight w:val="0"/>
                      <w:marTop w:val="0"/>
                      <w:marBottom w:val="0"/>
                      <w:divBdr>
                        <w:top w:val="none" w:sz="0" w:space="0" w:color="auto"/>
                        <w:left w:val="none" w:sz="0" w:space="0" w:color="auto"/>
                        <w:bottom w:val="none" w:sz="0" w:space="0" w:color="auto"/>
                        <w:right w:val="none" w:sz="0" w:space="0" w:color="auto"/>
                      </w:divBdr>
                      <w:divsChild>
                        <w:div w:id="1366252734">
                          <w:marLeft w:val="0"/>
                          <w:marRight w:val="0"/>
                          <w:marTop w:val="0"/>
                          <w:marBottom w:val="0"/>
                          <w:divBdr>
                            <w:top w:val="none" w:sz="0" w:space="0" w:color="auto"/>
                            <w:left w:val="none" w:sz="0" w:space="0" w:color="auto"/>
                            <w:bottom w:val="none" w:sz="0" w:space="0" w:color="auto"/>
                            <w:right w:val="none" w:sz="0" w:space="0" w:color="auto"/>
                          </w:divBdr>
                          <w:divsChild>
                            <w:div w:id="108784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05654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ad.monash.edu\shared\Buseco-CHE\Pharm\PBAC%20evaluations\July%202017\Mannitol\FEV%20trac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ad.monash.edu\shared\Buseco-CHE\Pharm\PBAC%20evaluations\July%202017\Mannitol\FEV%20trac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'FEV trace'!$A$6</c:f>
              <c:strCache>
                <c:ptCount val="1"/>
                <c:pt idx="0">
                  <c:v>ppFEV mannitol</c:v>
                </c:pt>
              </c:strCache>
            </c:strRef>
          </c:tx>
          <c:spPr>
            <a:ln w="12700" cap="rnd">
              <a:solidFill>
                <a:schemeClr val="accent1"/>
              </a:solidFill>
              <a:round/>
            </a:ln>
            <a:effectLst/>
          </c:spPr>
          <c:marker>
            <c:symbol val="none"/>
          </c:marker>
          <c:cat>
            <c:numRef>
              <c:f>'FEV trace'!$B$5:$PS$5</c:f>
              <c:numCache>
                <c:formatCode>General</c:formatCode>
                <c:ptCount val="434"/>
                <c:pt idx="0">
                  <c:v>0.23076923076923078</c:v>
                </c:pt>
                <c:pt idx="1">
                  <c:v>0.26923076923076927</c:v>
                </c:pt>
                <c:pt idx="2">
                  <c:v>0.5</c:v>
                </c:pt>
                <c:pt idx="3">
                  <c:v>0.73076923076923084</c:v>
                </c:pt>
                <c:pt idx="4">
                  <c:v>0.96153846153846168</c:v>
                </c:pt>
                <c:pt idx="5">
                  <c:v>1.1923076923076925</c:v>
                </c:pt>
                <c:pt idx="6">
                  <c:v>1.4230769230769234</c:v>
                </c:pt>
                <c:pt idx="7">
                  <c:v>1.6538461538461542</c:v>
                </c:pt>
                <c:pt idx="8">
                  <c:v>1.884615384615385</c:v>
                </c:pt>
                <c:pt idx="9">
                  <c:v>2.1153846153846159</c:v>
                </c:pt>
                <c:pt idx="10">
                  <c:v>2.3461538461538467</c:v>
                </c:pt>
                <c:pt idx="11">
                  <c:v>2.5769230769230775</c:v>
                </c:pt>
                <c:pt idx="12">
                  <c:v>2.8076923076923084</c:v>
                </c:pt>
                <c:pt idx="13">
                  <c:v>3.0384615384615392</c:v>
                </c:pt>
                <c:pt idx="14">
                  <c:v>3.2692307692307701</c:v>
                </c:pt>
                <c:pt idx="15">
                  <c:v>3.5000000000000009</c:v>
                </c:pt>
                <c:pt idx="16">
                  <c:v>3.7307692307692317</c:v>
                </c:pt>
                <c:pt idx="17">
                  <c:v>3.9615384615384626</c:v>
                </c:pt>
                <c:pt idx="18">
                  <c:v>4.1923076923076934</c:v>
                </c:pt>
                <c:pt idx="19">
                  <c:v>4.4230769230769242</c:v>
                </c:pt>
                <c:pt idx="20">
                  <c:v>4.6538461538461551</c:v>
                </c:pt>
                <c:pt idx="21">
                  <c:v>4.8846153846153859</c:v>
                </c:pt>
                <c:pt idx="22">
                  <c:v>5.1153846153846168</c:v>
                </c:pt>
                <c:pt idx="23">
                  <c:v>5.3461538461538476</c:v>
                </c:pt>
                <c:pt idx="24">
                  <c:v>5.5769230769230784</c:v>
                </c:pt>
                <c:pt idx="25">
                  <c:v>5.8076923076923093</c:v>
                </c:pt>
                <c:pt idx="26">
                  <c:v>6.0384615384615401</c:v>
                </c:pt>
                <c:pt idx="27">
                  <c:v>6.2692307692307709</c:v>
                </c:pt>
                <c:pt idx="28">
                  <c:v>6.5000000000000018</c:v>
                </c:pt>
                <c:pt idx="29">
                  <c:v>6.7307692307692326</c:v>
                </c:pt>
                <c:pt idx="30">
                  <c:v>6.9615384615384635</c:v>
                </c:pt>
                <c:pt idx="31">
                  <c:v>7.1923076923076943</c:v>
                </c:pt>
                <c:pt idx="32">
                  <c:v>7.4230769230769251</c:v>
                </c:pt>
                <c:pt idx="33">
                  <c:v>7.653846153846156</c:v>
                </c:pt>
                <c:pt idx="34">
                  <c:v>7.8846153846153868</c:v>
                </c:pt>
                <c:pt idx="35">
                  <c:v>8.1153846153846168</c:v>
                </c:pt>
                <c:pt idx="36">
                  <c:v>8.3461538461538467</c:v>
                </c:pt>
                <c:pt idx="37">
                  <c:v>8.5769230769230766</c:v>
                </c:pt>
                <c:pt idx="38">
                  <c:v>8.8076923076923066</c:v>
                </c:pt>
                <c:pt idx="39">
                  <c:v>9.0384615384615365</c:v>
                </c:pt>
                <c:pt idx="40">
                  <c:v>9.2692307692307665</c:v>
                </c:pt>
                <c:pt idx="41">
                  <c:v>9.4999999999999964</c:v>
                </c:pt>
                <c:pt idx="42">
                  <c:v>9.7307692307692264</c:v>
                </c:pt>
                <c:pt idx="43">
                  <c:v>9.9615384615384563</c:v>
                </c:pt>
                <c:pt idx="44">
                  <c:v>10.192307692307686</c:v>
                </c:pt>
                <c:pt idx="45">
                  <c:v>10.423076923076916</c:v>
                </c:pt>
                <c:pt idx="46">
                  <c:v>10.653846153846146</c:v>
                </c:pt>
                <c:pt idx="47">
                  <c:v>10.884615384615376</c:v>
                </c:pt>
                <c:pt idx="48">
                  <c:v>11.115384615384606</c:v>
                </c:pt>
                <c:pt idx="49">
                  <c:v>11.346153846153836</c:v>
                </c:pt>
                <c:pt idx="50">
                  <c:v>11.576923076923066</c:v>
                </c:pt>
                <c:pt idx="51">
                  <c:v>11.807692307692296</c:v>
                </c:pt>
                <c:pt idx="52">
                  <c:v>12.038461538461526</c:v>
                </c:pt>
                <c:pt idx="53">
                  <c:v>12.269230769230756</c:v>
                </c:pt>
                <c:pt idx="54">
                  <c:v>12.499999999999986</c:v>
                </c:pt>
                <c:pt idx="55">
                  <c:v>12.730769230769216</c:v>
                </c:pt>
                <c:pt idx="56">
                  <c:v>12.961538461538446</c:v>
                </c:pt>
                <c:pt idx="57">
                  <c:v>13.192307692307676</c:v>
                </c:pt>
                <c:pt idx="58">
                  <c:v>13.423076923076906</c:v>
                </c:pt>
                <c:pt idx="59">
                  <c:v>13.653846153846136</c:v>
                </c:pt>
                <c:pt idx="60">
                  <c:v>13.884615384615365</c:v>
                </c:pt>
                <c:pt idx="61">
                  <c:v>14.115384615384595</c:v>
                </c:pt>
                <c:pt idx="62">
                  <c:v>14.346153846153825</c:v>
                </c:pt>
                <c:pt idx="63">
                  <c:v>14.576923076923055</c:v>
                </c:pt>
                <c:pt idx="64">
                  <c:v>14.807692307692285</c:v>
                </c:pt>
                <c:pt idx="65">
                  <c:v>15.038461538461515</c:v>
                </c:pt>
                <c:pt idx="66">
                  <c:v>15.269230769230745</c:v>
                </c:pt>
                <c:pt idx="67">
                  <c:v>15.499999999999975</c:v>
                </c:pt>
                <c:pt idx="68">
                  <c:v>15.730769230769205</c:v>
                </c:pt>
                <c:pt idx="69">
                  <c:v>15.961538461538435</c:v>
                </c:pt>
                <c:pt idx="70">
                  <c:v>16.192307692307665</c:v>
                </c:pt>
                <c:pt idx="71">
                  <c:v>16.423076923076895</c:v>
                </c:pt>
                <c:pt idx="72">
                  <c:v>16.653846153846125</c:v>
                </c:pt>
                <c:pt idx="73">
                  <c:v>16.884615384615355</c:v>
                </c:pt>
                <c:pt idx="74">
                  <c:v>17.115384615384585</c:v>
                </c:pt>
                <c:pt idx="75">
                  <c:v>17.346153846153815</c:v>
                </c:pt>
                <c:pt idx="76">
                  <c:v>17.576923076923045</c:v>
                </c:pt>
                <c:pt idx="77">
                  <c:v>17.807692307692275</c:v>
                </c:pt>
                <c:pt idx="78">
                  <c:v>18.038461538461505</c:v>
                </c:pt>
                <c:pt idx="79">
                  <c:v>18.269230769230735</c:v>
                </c:pt>
                <c:pt idx="80">
                  <c:v>18.499999999999964</c:v>
                </c:pt>
                <c:pt idx="81">
                  <c:v>18.730769230769194</c:v>
                </c:pt>
                <c:pt idx="82">
                  <c:v>18.961538461538424</c:v>
                </c:pt>
                <c:pt idx="83">
                  <c:v>19.192307692307654</c:v>
                </c:pt>
                <c:pt idx="84">
                  <c:v>19.423076923076884</c:v>
                </c:pt>
                <c:pt idx="85">
                  <c:v>19.653846153846114</c:v>
                </c:pt>
                <c:pt idx="86">
                  <c:v>19.884615384615344</c:v>
                </c:pt>
                <c:pt idx="87">
                  <c:v>20.115384615384574</c:v>
                </c:pt>
                <c:pt idx="88">
                  <c:v>20.346153846153804</c:v>
                </c:pt>
                <c:pt idx="89">
                  <c:v>20.576923076923034</c:v>
                </c:pt>
                <c:pt idx="90">
                  <c:v>20.807692307692264</c:v>
                </c:pt>
                <c:pt idx="91">
                  <c:v>21.038461538461494</c:v>
                </c:pt>
                <c:pt idx="92">
                  <c:v>21.269230769230724</c:v>
                </c:pt>
                <c:pt idx="93">
                  <c:v>21.499999999999954</c:v>
                </c:pt>
                <c:pt idx="94">
                  <c:v>21.730769230769184</c:v>
                </c:pt>
                <c:pt idx="95">
                  <c:v>21.961538461538414</c:v>
                </c:pt>
                <c:pt idx="96">
                  <c:v>22.192307692307644</c:v>
                </c:pt>
                <c:pt idx="97">
                  <c:v>22.423076923076874</c:v>
                </c:pt>
                <c:pt idx="98">
                  <c:v>22.653846153846104</c:v>
                </c:pt>
                <c:pt idx="99">
                  <c:v>22.884615384615334</c:v>
                </c:pt>
                <c:pt idx="100">
                  <c:v>23.115384615384563</c:v>
                </c:pt>
                <c:pt idx="101">
                  <c:v>23.346153846153793</c:v>
                </c:pt>
                <c:pt idx="102">
                  <c:v>23.576923076923023</c:v>
                </c:pt>
                <c:pt idx="103">
                  <c:v>23.807692307692253</c:v>
                </c:pt>
                <c:pt idx="104">
                  <c:v>24.038461538461483</c:v>
                </c:pt>
                <c:pt idx="105">
                  <c:v>24.269230769230713</c:v>
                </c:pt>
                <c:pt idx="106">
                  <c:v>24.499999999999943</c:v>
                </c:pt>
                <c:pt idx="107">
                  <c:v>24.730769230769173</c:v>
                </c:pt>
                <c:pt idx="108">
                  <c:v>24.961538461538403</c:v>
                </c:pt>
                <c:pt idx="109">
                  <c:v>25.192307692307633</c:v>
                </c:pt>
                <c:pt idx="110">
                  <c:v>25.423076923076863</c:v>
                </c:pt>
                <c:pt idx="111">
                  <c:v>25.653846153846093</c:v>
                </c:pt>
                <c:pt idx="112">
                  <c:v>25.884615384615323</c:v>
                </c:pt>
                <c:pt idx="113">
                  <c:v>26.115384615384553</c:v>
                </c:pt>
                <c:pt idx="114">
                  <c:v>26.346153846153783</c:v>
                </c:pt>
                <c:pt idx="115">
                  <c:v>26.576923076923013</c:v>
                </c:pt>
                <c:pt idx="116">
                  <c:v>26.807692307692243</c:v>
                </c:pt>
                <c:pt idx="117">
                  <c:v>27.038461538461473</c:v>
                </c:pt>
                <c:pt idx="118">
                  <c:v>27.269230769230703</c:v>
                </c:pt>
                <c:pt idx="119">
                  <c:v>27.499999999999932</c:v>
                </c:pt>
                <c:pt idx="120">
                  <c:v>27.730769230769162</c:v>
                </c:pt>
                <c:pt idx="121">
                  <c:v>27.961538461538392</c:v>
                </c:pt>
                <c:pt idx="122">
                  <c:v>28.192307692307622</c:v>
                </c:pt>
                <c:pt idx="123">
                  <c:v>28.423076923076852</c:v>
                </c:pt>
                <c:pt idx="124">
                  <c:v>28.653846153846082</c:v>
                </c:pt>
                <c:pt idx="125">
                  <c:v>28.884615384615312</c:v>
                </c:pt>
                <c:pt idx="126">
                  <c:v>29.115384615384542</c:v>
                </c:pt>
                <c:pt idx="127">
                  <c:v>29.346153846153772</c:v>
                </c:pt>
                <c:pt idx="128">
                  <c:v>29.576923076923002</c:v>
                </c:pt>
                <c:pt idx="129">
                  <c:v>29.807692307692232</c:v>
                </c:pt>
                <c:pt idx="130">
                  <c:v>30.038461538461462</c:v>
                </c:pt>
                <c:pt idx="131">
                  <c:v>30.269230769230692</c:v>
                </c:pt>
                <c:pt idx="132">
                  <c:v>30.499999999999922</c:v>
                </c:pt>
                <c:pt idx="133">
                  <c:v>30.730769230769152</c:v>
                </c:pt>
                <c:pt idx="134">
                  <c:v>30.961538461538382</c:v>
                </c:pt>
                <c:pt idx="135">
                  <c:v>31.192307692307612</c:v>
                </c:pt>
                <c:pt idx="136">
                  <c:v>31.423076923076842</c:v>
                </c:pt>
                <c:pt idx="137">
                  <c:v>31.653846153846072</c:v>
                </c:pt>
                <c:pt idx="138">
                  <c:v>31.884615384615302</c:v>
                </c:pt>
                <c:pt idx="139">
                  <c:v>32.115384615384535</c:v>
                </c:pt>
                <c:pt idx="140">
                  <c:v>32.346153846153769</c:v>
                </c:pt>
                <c:pt idx="141">
                  <c:v>32.576923076923002</c:v>
                </c:pt>
                <c:pt idx="142">
                  <c:v>32.807692307692236</c:v>
                </c:pt>
                <c:pt idx="143">
                  <c:v>33.038461538461469</c:v>
                </c:pt>
                <c:pt idx="144">
                  <c:v>33.269230769230703</c:v>
                </c:pt>
                <c:pt idx="145">
                  <c:v>33.499999999999936</c:v>
                </c:pt>
                <c:pt idx="146">
                  <c:v>33.73076923076917</c:v>
                </c:pt>
                <c:pt idx="147">
                  <c:v>33.961538461538403</c:v>
                </c:pt>
                <c:pt idx="148">
                  <c:v>34.192307692307637</c:v>
                </c:pt>
                <c:pt idx="149">
                  <c:v>34.42307692307687</c:v>
                </c:pt>
                <c:pt idx="150">
                  <c:v>34.653846153846104</c:v>
                </c:pt>
                <c:pt idx="151">
                  <c:v>34.884615384615337</c:v>
                </c:pt>
                <c:pt idx="152">
                  <c:v>35.115384615384571</c:v>
                </c:pt>
                <c:pt idx="153">
                  <c:v>35.346153846153804</c:v>
                </c:pt>
                <c:pt idx="154">
                  <c:v>35.576923076923038</c:v>
                </c:pt>
                <c:pt idx="155">
                  <c:v>35.807692307692271</c:v>
                </c:pt>
                <c:pt idx="156">
                  <c:v>36.038461538461505</c:v>
                </c:pt>
                <c:pt idx="157">
                  <c:v>36.269230769230738</c:v>
                </c:pt>
                <c:pt idx="158">
                  <c:v>36.499999999999972</c:v>
                </c:pt>
                <c:pt idx="159">
                  <c:v>36.730769230769205</c:v>
                </c:pt>
                <c:pt idx="160">
                  <c:v>36.961538461538439</c:v>
                </c:pt>
                <c:pt idx="161">
                  <c:v>37.192307692307672</c:v>
                </c:pt>
                <c:pt idx="162">
                  <c:v>37.423076923076906</c:v>
                </c:pt>
                <c:pt idx="163">
                  <c:v>37.653846153846139</c:v>
                </c:pt>
                <c:pt idx="164">
                  <c:v>37.884615384615373</c:v>
                </c:pt>
                <c:pt idx="165">
                  <c:v>38.115384615384606</c:v>
                </c:pt>
                <c:pt idx="166">
                  <c:v>38.34615384615384</c:v>
                </c:pt>
                <c:pt idx="167">
                  <c:v>38.576923076923073</c:v>
                </c:pt>
                <c:pt idx="168">
                  <c:v>38.807692307692307</c:v>
                </c:pt>
                <c:pt idx="169">
                  <c:v>39.03846153846154</c:v>
                </c:pt>
                <c:pt idx="170">
                  <c:v>39.269230769230774</c:v>
                </c:pt>
                <c:pt idx="171">
                  <c:v>39.500000000000007</c:v>
                </c:pt>
                <c:pt idx="172">
                  <c:v>39.730769230769241</c:v>
                </c:pt>
                <c:pt idx="173">
                  <c:v>39.961538461538474</c:v>
                </c:pt>
                <c:pt idx="174">
                  <c:v>40.192307692307708</c:v>
                </c:pt>
                <c:pt idx="175">
                  <c:v>40.423076923076941</c:v>
                </c:pt>
                <c:pt idx="176">
                  <c:v>40.653846153846175</c:v>
                </c:pt>
                <c:pt idx="177">
                  <c:v>40.884615384615408</c:v>
                </c:pt>
                <c:pt idx="178">
                  <c:v>41.115384615384642</c:v>
                </c:pt>
                <c:pt idx="179">
                  <c:v>41.346153846153875</c:v>
                </c:pt>
                <c:pt idx="180">
                  <c:v>41.576923076923109</c:v>
                </c:pt>
                <c:pt idx="181">
                  <c:v>41.807692307692342</c:v>
                </c:pt>
                <c:pt idx="182">
                  <c:v>42.038461538461576</c:v>
                </c:pt>
                <c:pt idx="183">
                  <c:v>42.269230769230809</c:v>
                </c:pt>
                <c:pt idx="184">
                  <c:v>42.500000000000043</c:v>
                </c:pt>
                <c:pt idx="185">
                  <c:v>42.730769230769276</c:v>
                </c:pt>
                <c:pt idx="186">
                  <c:v>42.96153846153851</c:v>
                </c:pt>
                <c:pt idx="187">
                  <c:v>43.192307692307743</c:v>
                </c:pt>
                <c:pt idx="188">
                  <c:v>43.423076923076977</c:v>
                </c:pt>
                <c:pt idx="189">
                  <c:v>43.65384615384621</c:v>
                </c:pt>
                <c:pt idx="190">
                  <c:v>43.884615384615444</c:v>
                </c:pt>
                <c:pt idx="191">
                  <c:v>44.115384615384677</c:v>
                </c:pt>
                <c:pt idx="192">
                  <c:v>44.346153846153911</c:v>
                </c:pt>
                <c:pt idx="193">
                  <c:v>44.576923076923144</c:v>
                </c:pt>
                <c:pt idx="194">
                  <c:v>44.807692307692378</c:v>
                </c:pt>
                <c:pt idx="195">
                  <c:v>45.038461538461611</c:v>
                </c:pt>
                <c:pt idx="196">
                  <c:v>45.269230769230845</c:v>
                </c:pt>
                <c:pt idx="197">
                  <c:v>45.500000000000078</c:v>
                </c:pt>
                <c:pt idx="198">
                  <c:v>45.730769230769312</c:v>
                </c:pt>
                <c:pt idx="199">
                  <c:v>45.961538461538545</c:v>
                </c:pt>
                <c:pt idx="200">
                  <c:v>46.192307692307779</c:v>
                </c:pt>
                <c:pt idx="201">
                  <c:v>46.423076923077012</c:v>
                </c:pt>
                <c:pt idx="202">
                  <c:v>46.653846153846246</c:v>
                </c:pt>
                <c:pt idx="203">
                  <c:v>46.884615384615479</c:v>
                </c:pt>
                <c:pt idx="204">
                  <c:v>47.115384615384713</c:v>
                </c:pt>
                <c:pt idx="205">
                  <c:v>47.346153846153946</c:v>
                </c:pt>
                <c:pt idx="206">
                  <c:v>47.57692307692318</c:v>
                </c:pt>
                <c:pt idx="207">
                  <c:v>47.807692307692413</c:v>
                </c:pt>
                <c:pt idx="208">
                  <c:v>48.038461538461647</c:v>
                </c:pt>
                <c:pt idx="209">
                  <c:v>48.26923076923088</c:v>
                </c:pt>
                <c:pt idx="210">
                  <c:v>48.500000000000114</c:v>
                </c:pt>
                <c:pt idx="211">
                  <c:v>48.730769230769347</c:v>
                </c:pt>
                <c:pt idx="212">
                  <c:v>48.961538461538581</c:v>
                </c:pt>
                <c:pt idx="213">
                  <c:v>49.192307692307814</c:v>
                </c:pt>
                <c:pt idx="214">
                  <c:v>49.423076923077048</c:v>
                </c:pt>
                <c:pt idx="215">
                  <c:v>49.653846153846281</c:v>
                </c:pt>
                <c:pt idx="216">
                  <c:v>49.884615384615515</c:v>
                </c:pt>
                <c:pt idx="217">
                  <c:v>50.115384615384748</c:v>
                </c:pt>
                <c:pt idx="218">
                  <c:v>50.346153846153982</c:v>
                </c:pt>
                <c:pt idx="219">
                  <c:v>50.576923076923215</c:v>
                </c:pt>
                <c:pt idx="220">
                  <c:v>50.807692307692449</c:v>
                </c:pt>
                <c:pt idx="221">
                  <c:v>51.038461538461682</c:v>
                </c:pt>
                <c:pt idx="222">
                  <c:v>51.269230769230916</c:v>
                </c:pt>
                <c:pt idx="223">
                  <c:v>51.500000000000149</c:v>
                </c:pt>
                <c:pt idx="224">
                  <c:v>51.730769230769383</c:v>
                </c:pt>
                <c:pt idx="225">
                  <c:v>51.961538461538616</c:v>
                </c:pt>
                <c:pt idx="226">
                  <c:v>52.19230769230785</c:v>
                </c:pt>
                <c:pt idx="227">
                  <c:v>52.423076923077083</c:v>
                </c:pt>
                <c:pt idx="228">
                  <c:v>52.653846153846317</c:v>
                </c:pt>
                <c:pt idx="229">
                  <c:v>52.88461538461555</c:v>
                </c:pt>
                <c:pt idx="230">
                  <c:v>53.115384615384784</c:v>
                </c:pt>
                <c:pt idx="231">
                  <c:v>53.346153846154017</c:v>
                </c:pt>
                <c:pt idx="232">
                  <c:v>53.576923076923251</c:v>
                </c:pt>
                <c:pt idx="233">
                  <c:v>53.807692307692484</c:v>
                </c:pt>
                <c:pt idx="234">
                  <c:v>54.038461538461718</c:v>
                </c:pt>
                <c:pt idx="235">
                  <c:v>54.269230769230951</c:v>
                </c:pt>
                <c:pt idx="236">
                  <c:v>54.500000000000185</c:v>
                </c:pt>
                <c:pt idx="237">
                  <c:v>54.730769230769418</c:v>
                </c:pt>
                <c:pt idx="238">
                  <c:v>54.961538461538652</c:v>
                </c:pt>
                <c:pt idx="239">
                  <c:v>55.192307692307885</c:v>
                </c:pt>
                <c:pt idx="240">
                  <c:v>55.423076923077119</c:v>
                </c:pt>
                <c:pt idx="241">
                  <c:v>55.653846153846352</c:v>
                </c:pt>
                <c:pt idx="242">
                  <c:v>55.884615384615586</c:v>
                </c:pt>
                <c:pt idx="243">
                  <c:v>56.115384615384819</c:v>
                </c:pt>
                <c:pt idx="244">
                  <c:v>56.346153846154053</c:v>
                </c:pt>
                <c:pt idx="245">
                  <c:v>56.576923076923286</c:v>
                </c:pt>
                <c:pt idx="246">
                  <c:v>56.80769230769252</c:v>
                </c:pt>
                <c:pt idx="247">
                  <c:v>57.038461538461753</c:v>
                </c:pt>
                <c:pt idx="248">
                  <c:v>57.269230769230987</c:v>
                </c:pt>
                <c:pt idx="249">
                  <c:v>57.50000000000022</c:v>
                </c:pt>
                <c:pt idx="250">
                  <c:v>57.730769230769454</c:v>
                </c:pt>
                <c:pt idx="251">
                  <c:v>57.961538461538687</c:v>
                </c:pt>
                <c:pt idx="252">
                  <c:v>58.192307692307921</c:v>
                </c:pt>
                <c:pt idx="253">
                  <c:v>58.423076923077154</c:v>
                </c:pt>
                <c:pt idx="254">
                  <c:v>58.653846153846388</c:v>
                </c:pt>
                <c:pt idx="255">
                  <c:v>58.884615384615621</c:v>
                </c:pt>
                <c:pt idx="256">
                  <c:v>59.115384615384855</c:v>
                </c:pt>
                <c:pt idx="257">
                  <c:v>59.346153846154088</c:v>
                </c:pt>
                <c:pt idx="258">
                  <c:v>59.576923076923322</c:v>
                </c:pt>
                <c:pt idx="259">
                  <c:v>59.807692307692555</c:v>
                </c:pt>
                <c:pt idx="260">
                  <c:v>60.038461538461789</c:v>
                </c:pt>
                <c:pt idx="261">
                  <c:v>60.269230769231022</c:v>
                </c:pt>
                <c:pt idx="262">
                  <c:v>60.500000000000256</c:v>
                </c:pt>
                <c:pt idx="263">
                  <c:v>60.730769230769489</c:v>
                </c:pt>
                <c:pt idx="264">
                  <c:v>60.961538461538723</c:v>
                </c:pt>
                <c:pt idx="265">
                  <c:v>61.192307692307956</c:v>
                </c:pt>
                <c:pt idx="266">
                  <c:v>61.42307692307719</c:v>
                </c:pt>
                <c:pt idx="267">
                  <c:v>61.653846153846423</c:v>
                </c:pt>
                <c:pt idx="268">
                  <c:v>61.884615384615657</c:v>
                </c:pt>
                <c:pt idx="269">
                  <c:v>62.11538461538489</c:v>
                </c:pt>
                <c:pt idx="270">
                  <c:v>62.346153846154124</c:v>
                </c:pt>
                <c:pt idx="271">
                  <c:v>62.576923076923357</c:v>
                </c:pt>
                <c:pt idx="272">
                  <c:v>62.807692307692591</c:v>
                </c:pt>
                <c:pt idx="273">
                  <c:v>63.038461538461824</c:v>
                </c:pt>
                <c:pt idx="274">
                  <c:v>63.269230769231058</c:v>
                </c:pt>
                <c:pt idx="275">
                  <c:v>63.500000000000291</c:v>
                </c:pt>
                <c:pt idx="276">
                  <c:v>63.730769230769525</c:v>
                </c:pt>
                <c:pt idx="277">
                  <c:v>63.961538461538758</c:v>
                </c:pt>
                <c:pt idx="278">
                  <c:v>64.192307692307992</c:v>
                </c:pt>
                <c:pt idx="279">
                  <c:v>64.423076923077218</c:v>
                </c:pt>
                <c:pt idx="280">
                  <c:v>64.653846153846445</c:v>
                </c:pt>
                <c:pt idx="281">
                  <c:v>64.884615384615671</c:v>
                </c:pt>
                <c:pt idx="282">
                  <c:v>65.115384615384897</c:v>
                </c:pt>
                <c:pt idx="283">
                  <c:v>65.346153846154124</c:v>
                </c:pt>
                <c:pt idx="284">
                  <c:v>65.57692307692335</c:v>
                </c:pt>
                <c:pt idx="285">
                  <c:v>65.807692307692577</c:v>
                </c:pt>
                <c:pt idx="286">
                  <c:v>66.038461538461803</c:v>
                </c:pt>
                <c:pt idx="287">
                  <c:v>66.269230769231029</c:v>
                </c:pt>
                <c:pt idx="288">
                  <c:v>66.500000000000256</c:v>
                </c:pt>
                <c:pt idx="289">
                  <c:v>66.730769230769482</c:v>
                </c:pt>
                <c:pt idx="290">
                  <c:v>66.961538461538709</c:v>
                </c:pt>
                <c:pt idx="291">
                  <c:v>67.192307692307935</c:v>
                </c:pt>
                <c:pt idx="292">
                  <c:v>67.423076923077161</c:v>
                </c:pt>
                <c:pt idx="293">
                  <c:v>67.653846153846388</c:v>
                </c:pt>
                <c:pt idx="294">
                  <c:v>67.884615384615614</c:v>
                </c:pt>
                <c:pt idx="295">
                  <c:v>68.115384615384841</c:v>
                </c:pt>
                <c:pt idx="296">
                  <c:v>68.346153846154067</c:v>
                </c:pt>
                <c:pt idx="297">
                  <c:v>68.576923076923293</c:v>
                </c:pt>
                <c:pt idx="298">
                  <c:v>68.80769230769252</c:v>
                </c:pt>
                <c:pt idx="299">
                  <c:v>69.038461538461746</c:v>
                </c:pt>
                <c:pt idx="300">
                  <c:v>69.269230769230973</c:v>
                </c:pt>
                <c:pt idx="301">
                  <c:v>69.500000000000199</c:v>
                </c:pt>
                <c:pt idx="302">
                  <c:v>69.730769230769425</c:v>
                </c:pt>
                <c:pt idx="303">
                  <c:v>69.961538461538652</c:v>
                </c:pt>
                <c:pt idx="304">
                  <c:v>70.192307692307878</c:v>
                </c:pt>
                <c:pt idx="305">
                  <c:v>70.423076923077105</c:v>
                </c:pt>
                <c:pt idx="306">
                  <c:v>70.653846153846331</c:v>
                </c:pt>
                <c:pt idx="307">
                  <c:v>70.884615384615557</c:v>
                </c:pt>
                <c:pt idx="308">
                  <c:v>71.115384615384784</c:v>
                </c:pt>
                <c:pt idx="309">
                  <c:v>71.34615384615401</c:v>
                </c:pt>
                <c:pt idx="310">
                  <c:v>71.576923076923237</c:v>
                </c:pt>
                <c:pt idx="311">
                  <c:v>71.807692307692463</c:v>
                </c:pt>
                <c:pt idx="312">
                  <c:v>72.038461538461689</c:v>
                </c:pt>
                <c:pt idx="313">
                  <c:v>72.269230769230916</c:v>
                </c:pt>
                <c:pt idx="314">
                  <c:v>72.500000000000142</c:v>
                </c:pt>
                <c:pt idx="315">
                  <c:v>72.730769230769369</c:v>
                </c:pt>
                <c:pt idx="316">
                  <c:v>72.961538461538595</c:v>
                </c:pt>
                <c:pt idx="317">
                  <c:v>73.192307692307821</c:v>
                </c:pt>
                <c:pt idx="318">
                  <c:v>73.423076923077048</c:v>
                </c:pt>
                <c:pt idx="319">
                  <c:v>73.653846153846274</c:v>
                </c:pt>
                <c:pt idx="320">
                  <c:v>73.8846153846155</c:v>
                </c:pt>
                <c:pt idx="321">
                  <c:v>74.115384615384727</c:v>
                </c:pt>
                <c:pt idx="322">
                  <c:v>74.346153846153953</c:v>
                </c:pt>
                <c:pt idx="323">
                  <c:v>74.57692307692318</c:v>
                </c:pt>
                <c:pt idx="324">
                  <c:v>74.807692307692406</c:v>
                </c:pt>
                <c:pt idx="325">
                  <c:v>75.038461538461632</c:v>
                </c:pt>
                <c:pt idx="326">
                  <c:v>75.269230769230859</c:v>
                </c:pt>
                <c:pt idx="327">
                  <c:v>75.500000000000085</c:v>
                </c:pt>
                <c:pt idx="328">
                  <c:v>75.730769230769312</c:v>
                </c:pt>
                <c:pt idx="329">
                  <c:v>75.961538461538538</c:v>
                </c:pt>
                <c:pt idx="330">
                  <c:v>76.192307692307764</c:v>
                </c:pt>
                <c:pt idx="331">
                  <c:v>76.423076923076991</c:v>
                </c:pt>
                <c:pt idx="332">
                  <c:v>76.653846153846217</c:v>
                </c:pt>
                <c:pt idx="333">
                  <c:v>76.884615384615444</c:v>
                </c:pt>
                <c:pt idx="334">
                  <c:v>77.11538461538467</c:v>
                </c:pt>
                <c:pt idx="335">
                  <c:v>77.346153846153896</c:v>
                </c:pt>
                <c:pt idx="336">
                  <c:v>77.576923076923123</c:v>
                </c:pt>
                <c:pt idx="337">
                  <c:v>77.807692307692349</c:v>
                </c:pt>
                <c:pt idx="338">
                  <c:v>78.038461538461576</c:v>
                </c:pt>
                <c:pt idx="339">
                  <c:v>78.269230769230802</c:v>
                </c:pt>
                <c:pt idx="340">
                  <c:v>78.500000000000028</c:v>
                </c:pt>
                <c:pt idx="341">
                  <c:v>78.730769230769255</c:v>
                </c:pt>
                <c:pt idx="342">
                  <c:v>78.961538461538481</c:v>
                </c:pt>
                <c:pt idx="343">
                  <c:v>79.192307692307708</c:v>
                </c:pt>
                <c:pt idx="344">
                  <c:v>79.423076923076934</c:v>
                </c:pt>
                <c:pt idx="345">
                  <c:v>79.65384615384616</c:v>
                </c:pt>
                <c:pt idx="346">
                  <c:v>79.884615384615387</c:v>
                </c:pt>
                <c:pt idx="347">
                  <c:v>80.115384615384613</c:v>
                </c:pt>
                <c:pt idx="348">
                  <c:v>80.34615384615384</c:v>
                </c:pt>
                <c:pt idx="349">
                  <c:v>80.576923076923066</c:v>
                </c:pt>
                <c:pt idx="350">
                  <c:v>80.807692307692292</c:v>
                </c:pt>
                <c:pt idx="351">
                  <c:v>81.038461538461519</c:v>
                </c:pt>
                <c:pt idx="352">
                  <c:v>81.269230769230745</c:v>
                </c:pt>
                <c:pt idx="353">
                  <c:v>81.499999999999972</c:v>
                </c:pt>
                <c:pt idx="354">
                  <c:v>81.730769230769198</c:v>
                </c:pt>
                <c:pt idx="355">
                  <c:v>81.961538461538424</c:v>
                </c:pt>
                <c:pt idx="356">
                  <c:v>82.192307692307651</c:v>
                </c:pt>
                <c:pt idx="357">
                  <c:v>82.423076923076877</c:v>
                </c:pt>
                <c:pt idx="358">
                  <c:v>82.653846153846104</c:v>
                </c:pt>
                <c:pt idx="359">
                  <c:v>82.88461538461533</c:v>
                </c:pt>
                <c:pt idx="360">
                  <c:v>83.115384615384556</c:v>
                </c:pt>
                <c:pt idx="361">
                  <c:v>83.346153846153783</c:v>
                </c:pt>
                <c:pt idx="362">
                  <c:v>83.576923076923009</c:v>
                </c:pt>
                <c:pt idx="363">
                  <c:v>83.807692307692236</c:v>
                </c:pt>
                <c:pt idx="364">
                  <c:v>84.038461538461462</c:v>
                </c:pt>
                <c:pt idx="365">
                  <c:v>84.269230769230688</c:v>
                </c:pt>
                <c:pt idx="366">
                  <c:v>84.499999999999915</c:v>
                </c:pt>
                <c:pt idx="367">
                  <c:v>84.730769230769141</c:v>
                </c:pt>
                <c:pt idx="368">
                  <c:v>84.961538461538368</c:v>
                </c:pt>
                <c:pt idx="369">
                  <c:v>85.192307692307594</c:v>
                </c:pt>
                <c:pt idx="370">
                  <c:v>85.42307692307682</c:v>
                </c:pt>
                <c:pt idx="371">
                  <c:v>85.653846153846047</c:v>
                </c:pt>
                <c:pt idx="372">
                  <c:v>85.884615384615273</c:v>
                </c:pt>
                <c:pt idx="373">
                  <c:v>86.1153846153845</c:v>
                </c:pt>
                <c:pt idx="374">
                  <c:v>86.346153846153726</c:v>
                </c:pt>
                <c:pt idx="375">
                  <c:v>86.576923076922952</c:v>
                </c:pt>
                <c:pt idx="376">
                  <c:v>86.807692307692179</c:v>
                </c:pt>
                <c:pt idx="377">
                  <c:v>87.038461538461405</c:v>
                </c:pt>
                <c:pt idx="378">
                  <c:v>87.269230769230631</c:v>
                </c:pt>
                <c:pt idx="379">
                  <c:v>87.499999999999858</c:v>
                </c:pt>
                <c:pt idx="380">
                  <c:v>87.730769230769084</c:v>
                </c:pt>
                <c:pt idx="381">
                  <c:v>87.961538461538311</c:v>
                </c:pt>
                <c:pt idx="382">
                  <c:v>88.192307692307537</c:v>
                </c:pt>
                <c:pt idx="383">
                  <c:v>88.423076923076763</c:v>
                </c:pt>
                <c:pt idx="384">
                  <c:v>88.65384615384599</c:v>
                </c:pt>
                <c:pt idx="385">
                  <c:v>88.884615384615216</c:v>
                </c:pt>
                <c:pt idx="386">
                  <c:v>89.115384615384443</c:v>
                </c:pt>
                <c:pt idx="387">
                  <c:v>89.346153846153669</c:v>
                </c:pt>
                <c:pt idx="388">
                  <c:v>89.576923076922895</c:v>
                </c:pt>
                <c:pt idx="389">
                  <c:v>89.807692307692122</c:v>
                </c:pt>
                <c:pt idx="390">
                  <c:v>90.038461538461348</c:v>
                </c:pt>
                <c:pt idx="391">
                  <c:v>90.269230769230575</c:v>
                </c:pt>
                <c:pt idx="392">
                  <c:v>90.499999999999801</c:v>
                </c:pt>
                <c:pt idx="393">
                  <c:v>90.730769230769027</c:v>
                </c:pt>
                <c:pt idx="394">
                  <c:v>90.961538461538254</c:v>
                </c:pt>
                <c:pt idx="395">
                  <c:v>91.19230769230748</c:v>
                </c:pt>
                <c:pt idx="396">
                  <c:v>91.423076923076707</c:v>
                </c:pt>
                <c:pt idx="397">
                  <c:v>91.653846153845933</c:v>
                </c:pt>
                <c:pt idx="398">
                  <c:v>91.884615384615159</c:v>
                </c:pt>
                <c:pt idx="399">
                  <c:v>92.115384615384386</c:v>
                </c:pt>
                <c:pt idx="400">
                  <c:v>92.346153846153612</c:v>
                </c:pt>
                <c:pt idx="401">
                  <c:v>92.576923076922839</c:v>
                </c:pt>
                <c:pt idx="402">
                  <c:v>92.807692307692065</c:v>
                </c:pt>
                <c:pt idx="403">
                  <c:v>93.038461538461291</c:v>
                </c:pt>
                <c:pt idx="404">
                  <c:v>93.269230769230518</c:v>
                </c:pt>
                <c:pt idx="405">
                  <c:v>93.499999999999744</c:v>
                </c:pt>
                <c:pt idx="406">
                  <c:v>93.730769230768971</c:v>
                </c:pt>
                <c:pt idx="407">
                  <c:v>93.961538461538197</c:v>
                </c:pt>
                <c:pt idx="408">
                  <c:v>94.192307692307423</c:v>
                </c:pt>
                <c:pt idx="409">
                  <c:v>94.42307692307665</c:v>
                </c:pt>
                <c:pt idx="410">
                  <c:v>94.653846153845876</c:v>
                </c:pt>
                <c:pt idx="411">
                  <c:v>94.884615384615103</c:v>
                </c:pt>
                <c:pt idx="412">
                  <c:v>95.115384615384329</c:v>
                </c:pt>
                <c:pt idx="413">
                  <c:v>95.346153846153555</c:v>
                </c:pt>
                <c:pt idx="414">
                  <c:v>95.576923076922782</c:v>
                </c:pt>
                <c:pt idx="415">
                  <c:v>95.807692307692008</c:v>
                </c:pt>
                <c:pt idx="416">
                  <c:v>96.038461538461235</c:v>
                </c:pt>
                <c:pt idx="417">
                  <c:v>96.269230769230461</c:v>
                </c:pt>
                <c:pt idx="418">
                  <c:v>96.499999999999687</c:v>
                </c:pt>
                <c:pt idx="419">
                  <c:v>96.730769230768914</c:v>
                </c:pt>
                <c:pt idx="420">
                  <c:v>96.96153846153814</c:v>
                </c:pt>
                <c:pt idx="421">
                  <c:v>97.192307692307367</c:v>
                </c:pt>
                <c:pt idx="422">
                  <c:v>97.423076923076593</c:v>
                </c:pt>
                <c:pt idx="423">
                  <c:v>97.653846153845819</c:v>
                </c:pt>
                <c:pt idx="424">
                  <c:v>97.884615384615046</c:v>
                </c:pt>
                <c:pt idx="425">
                  <c:v>98.115384615384272</c:v>
                </c:pt>
                <c:pt idx="426">
                  <c:v>98.346153846153499</c:v>
                </c:pt>
                <c:pt idx="427">
                  <c:v>98.576923076922725</c:v>
                </c:pt>
                <c:pt idx="428">
                  <c:v>98.807692307691951</c:v>
                </c:pt>
                <c:pt idx="429">
                  <c:v>99.038461538461178</c:v>
                </c:pt>
                <c:pt idx="430">
                  <c:v>99.269230769230404</c:v>
                </c:pt>
                <c:pt idx="431">
                  <c:v>99.499999999999631</c:v>
                </c:pt>
                <c:pt idx="432">
                  <c:v>99.730769230768857</c:v>
                </c:pt>
                <c:pt idx="433">
                  <c:v>99.961538461538083</c:v>
                </c:pt>
              </c:numCache>
            </c:numRef>
          </c:cat>
          <c:val>
            <c:numRef>
              <c:f>'FEV trace'!$B$6:$PS$6</c:f>
              <c:numCache>
                <c:formatCode>General</c:formatCode>
                <c:ptCount val="434"/>
                <c:pt idx="0">
                  <c:v>63.060899999999997</c:v>
                </c:pt>
                <c:pt idx="1">
                  <c:v>63.142297256557129</c:v>
                </c:pt>
                <c:pt idx="2">
                  <c:v>63.197336561743342</c:v>
                </c:pt>
                <c:pt idx="3">
                  <c:v>64.951391304391848</c:v>
                </c:pt>
                <c:pt idx="4">
                  <c:v>64.827163630469315</c:v>
                </c:pt>
                <c:pt idx="5">
                  <c:v>64.696850858159976</c:v>
                </c:pt>
                <c:pt idx="6">
                  <c:v>64.574616179586798</c:v>
                </c:pt>
                <c:pt idx="7">
                  <c:v>64.426201447117705</c:v>
                </c:pt>
                <c:pt idx="8">
                  <c:v>64.196239317983412</c:v>
                </c:pt>
                <c:pt idx="9">
                  <c:v>63.95363862190397</c:v>
                </c:pt>
                <c:pt idx="10">
                  <c:v>63.753300361417708</c:v>
                </c:pt>
                <c:pt idx="11">
                  <c:v>63.544732648388305</c:v>
                </c:pt>
                <c:pt idx="12">
                  <c:v>63.345127108647986</c:v>
                </c:pt>
                <c:pt idx="13">
                  <c:v>63.133415470408728</c:v>
                </c:pt>
                <c:pt idx="14">
                  <c:v>62.957236072118654</c:v>
                </c:pt>
                <c:pt idx="15">
                  <c:v>62.766794639349229</c:v>
                </c:pt>
                <c:pt idx="16">
                  <c:v>62.573898926906104</c:v>
                </c:pt>
                <c:pt idx="17">
                  <c:v>62.357676800733081</c:v>
                </c:pt>
                <c:pt idx="18">
                  <c:v>62.16067106458118</c:v>
                </c:pt>
                <c:pt idx="19">
                  <c:v>61.978120196724142</c:v>
                </c:pt>
                <c:pt idx="20">
                  <c:v>61.826913867759842</c:v>
                </c:pt>
                <c:pt idx="21">
                  <c:v>61.634243830487513</c:v>
                </c:pt>
                <c:pt idx="22">
                  <c:v>61.479517320272848</c:v>
                </c:pt>
                <c:pt idx="23">
                  <c:v>61.328778952970133</c:v>
                </c:pt>
                <c:pt idx="24">
                  <c:v>61.183583000721924</c:v>
                </c:pt>
                <c:pt idx="25">
                  <c:v>61.056733115597915</c:v>
                </c:pt>
                <c:pt idx="26">
                  <c:v>60.937560374224859</c:v>
                </c:pt>
                <c:pt idx="27">
                  <c:v>60.815181560999328</c:v>
                </c:pt>
                <c:pt idx="28">
                  <c:v>60.680593703119342</c:v>
                </c:pt>
                <c:pt idx="29">
                  <c:v>60.545707486297644</c:v>
                </c:pt>
                <c:pt idx="30">
                  <c:v>60.400962808543632</c:v>
                </c:pt>
                <c:pt idx="31">
                  <c:v>60.266985496498314</c:v>
                </c:pt>
                <c:pt idx="32">
                  <c:v>60.198659873000722</c:v>
                </c:pt>
                <c:pt idx="33">
                  <c:v>60.111810565717761</c:v>
                </c:pt>
                <c:pt idx="34">
                  <c:v>60.021471835197929</c:v>
                </c:pt>
                <c:pt idx="35">
                  <c:v>59.932714748313728</c:v>
                </c:pt>
                <c:pt idx="36">
                  <c:v>59.842635331626965</c:v>
                </c:pt>
                <c:pt idx="37">
                  <c:v>59.775322613751705</c:v>
                </c:pt>
                <c:pt idx="38">
                  <c:v>59.711314355902658</c:v>
                </c:pt>
                <c:pt idx="39">
                  <c:v>59.644379962671167</c:v>
                </c:pt>
                <c:pt idx="40">
                  <c:v>59.586590589359204</c:v>
                </c:pt>
                <c:pt idx="41">
                  <c:v>59.569065252620163</c:v>
                </c:pt>
                <c:pt idx="42">
                  <c:v>59.549113797493192</c:v>
                </c:pt>
                <c:pt idx="43">
                  <c:v>59.534368171290936</c:v>
                </c:pt>
                <c:pt idx="44">
                  <c:v>59.520371150916432</c:v>
                </c:pt>
                <c:pt idx="45">
                  <c:v>59.503201692973029</c:v>
                </c:pt>
                <c:pt idx="46">
                  <c:v>59.479867229144276</c:v>
                </c:pt>
                <c:pt idx="47">
                  <c:v>59.493127006091292</c:v>
                </c:pt>
                <c:pt idx="48">
                  <c:v>59.51238868514411</c:v>
                </c:pt>
                <c:pt idx="49">
                  <c:v>59.516031782344818</c:v>
                </c:pt>
                <c:pt idx="50">
                  <c:v>59.57346758087607</c:v>
                </c:pt>
                <c:pt idx="51">
                  <c:v>59.593340646118193</c:v>
                </c:pt>
                <c:pt idx="52">
                  <c:v>59.640405644431574</c:v>
                </c:pt>
                <c:pt idx="53">
                  <c:v>59.721922376678066</c:v>
                </c:pt>
                <c:pt idx="54">
                  <c:v>59.760448654623474</c:v>
                </c:pt>
                <c:pt idx="55">
                  <c:v>59.781916738312177</c:v>
                </c:pt>
                <c:pt idx="56">
                  <c:v>59.833627320692202</c:v>
                </c:pt>
                <c:pt idx="57">
                  <c:v>59.900231632240185</c:v>
                </c:pt>
                <c:pt idx="58">
                  <c:v>59.951946541185627</c:v>
                </c:pt>
                <c:pt idx="59">
                  <c:v>60.019637860757541</c:v>
                </c:pt>
                <c:pt idx="60">
                  <c:v>60.108206719667741</c:v>
                </c:pt>
                <c:pt idx="61">
                  <c:v>60.187610231124523</c:v>
                </c:pt>
                <c:pt idx="62">
                  <c:v>60.24235753210818</c:v>
                </c:pt>
                <c:pt idx="63">
                  <c:v>60.368399368461191</c:v>
                </c:pt>
                <c:pt idx="64">
                  <c:v>60.484578359130687</c:v>
                </c:pt>
                <c:pt idx="65">
                  <c:v>60.597439736757117</c:v>
                </c:pt>
                <c:pt idx="66">
                  <c:v>60.670520984529112</c:v>
                </c:pt>
                <c:pt idx="67">
                  <c:v>60.776091908943989</c:v>
                </c:pt>
                <c:pt idx="68">
                  <c:v>60.90869863067536</c:v>
                </c:pt>
                <c:pt idx="69">
                  <c:v>61.03055042487906</c:v>
                </c:pt>
                <c:pt idx="70">
                  <c:v>61.186118565882012</c:v>
                </c:pt>
                <c:pt idx="71">
                  <c:v>61.354361463092296</c:v>
                </c:pt>
                <c:pt idx="72">
                  <c:v>61.522630286521242</c:v>
                </c:pt>
                <c:pt idx="73">
                  <c:v>61.70418122569469</c:v>
                </c:pt>
                <c:pt idx="74">
                  <c:v>61.900802083535645</c:v>
                </c:pt>
                <c:pt idx="75">
                  <c:v>62.079947834711021</c:v>
                </c:pt>
                <c:pt idx="76">
                  <c:v>62.311268323250729</c:v>
                </c:pt>
                <c:pt idx="77">
                  <c:v>62.508665341278324</c:v>
                </c:pt>
                <c:pt idx="78">
                  <c:v>62.706388198289083</c:v>
                </c:pt>
                <c:pt idx="79">
                  <c:v>62.869285243684729</c:v>
                </c:pt>
                <c:pt idx="80">
                  <c:v>63.070899540901145</c:v>
                </c:pt>
                <c:pt idx="81">
                  <c:v>63.302242592408845</c:v>
                </c:pt>
                <c:pt idx="82">
                  <c:v>63.494191196488714</c:v>
                </c:pt>
                <c:pt idx="83">
                  <c:v>63.703368505722075</c:v>
                </c:pt>
                <c:pt idx="84">
                  <c:v>63.919003814920124</c:v>
                </c:pt>
                <c:pt idx="85">
                  <c:v>64.2083929838291</c:v>
                </c:pt>
                <c:pt idx="86">
                  <c:v>64.421168487692086</c:v>
                </c:pt>
                <c:pt idx="87">
                  <c:v>64.669369677863017</c:v>
                </c:pt>
                <c:pt idx="88">
                  <c:v>64.900930276780741</c:v>
                </c:pt>
                <c:pt idx="89">
                  <c:v>65.15538096603612</c:v>
                </c:pt>
                <c:pt idx="90">
                  <c:v>65.376706121918232</c:v>
                </c:pt>
                <c:pt idx="91">
                  <c:v>65.627510102870559</c:v>
                </c:pt>
                <c:pt idx="92">
                  <c:v>65.846857323996133</c:v>
                </c:pt>
                <c:pt idx="93">
                  <c:v>66.082883244501929</c:v>
                </c:pt>
                <c:pt idx="94">
                  <c:v>66.322980882630858</c:v>
                </c:pt>
                <c:pt idx="95">
                  <c:v>66.542064337778726</c:v>
                </c:pt>
                <c:pt idx="96">
                  <c:v>66.768940659340302</c:v>
                </c:pt>
                <c:pt idx="97">
                  <c:v>67.050208176126787</c:v>
                </c:pt>
                <c:pt idx="98">
                  <c:v>67.302655275988997</c:v>
                </c:pt>
                <c:pt idx="99">
                  <c:v>67.529696057836901</c:v>
                </c:pt>
                <c:pt idx="100">
                  <c:v>67.786460033663985</c:v>
                </c:pt>
                <c:pt idx="101">
                  <c:v>68.029488176050648</c:v>
                </c:pt>
                <c:pt idx="102">
                  <c:v>68.283223534278534</c:v>
                </c:pt>
                <c:pt idx="103">
                  <c:v>68.538720155500542</c:v>
                </c:pt>
                <c:pt idx="104">
                  <c:v>68.814622793494252</c:v>
                </c:pt>
                <c:pt idx="105">
                  <c:v>69.058905125420566</c:v>
                </c:pt>
                <c:pt idx="106">
                  <c:v>69.310689184189343</c:v>
                </c:pt>
                <c:pt idx="107">
                  <c:v>69.549012554224802</c:v>
                </c:pt>
                <c:pt idx="108">
                  <c:v>69.763116914109034</c:v>
                </c:pt>
                <c:pt idx="109">
                  <c:v>70.047611330102981</c:v>
                </c:pt>
                <c:pt idx="110">
                  <c:v>70.28965636546522</c:v>
                </c:pt>
                <c:pt idx="111">
                  <c:v>70.488154698899393</c:v>
                </c:pt>
                <c:pt idx="112">
                  <c:v>70.695835129833441</c:v>
                </c:pt>
                <c:pt idx="113">
                  <c:v>70.955967541050256</c:v>
                </c:pt>
                <c:pt idx="114">
                  <c:v>71.16267769969582</c:v>
                </c:pt>
                <c:pt idx="115">
                  <c:v>71.434311534885424</c:v>
                </c:pt>
                <c:pt idx="116">
                  <c:v>71.669074843724189</c:v>
                </c:pt>
                <c:pt idx="117">
                  <c:v>71.879443597961</c:v>
                </c:pt>
                <c:pt idx="118">
                  <c:v>72.143340291940063</c:v>
                </c:pt>
                <c:pt idx="119">
                  <c:v>72.35788335245536</c:v>
                </c:pt>
                <c:pt idx="120">
                  <c:v>72.58140884559397</c:v>
                </c:pt>
                <c:pt idx="121">
                  <c:v>72.783484362759154</c:v>
                </c:pt>
                <c:pt idx="122">
                  <c:v>72.956364294027807</c:v>
                </c:pt>
                <c:pt idx="123">
                  <c:v>73.158252525840666</c:v>
                </c:pt>
                <c:pt idx="124">
                  <c:v>73.39393356243265</c:v>
                </c:pt>
                <c:pt idx="125">
                  <c:v>73.653823777139934</c:v>
                </c:pt>
                <c:pt idx="126">
                  <c:v>73.867944518981119</c:v>
                </c:pt>
                <c:pt idx="127">
                  <c:v>74.042161766773063</c:v>
                </c:pt>
                <c:pt idx="128">
                  <c:v>74.25164862724283</c:v>
                </c:pt>
                <c:pt idx="129">
                  <c:v>74.447696330652192</c:v>
                </c:pt>
                <c:pt idx="130">
                  <c:v>74.669771170655935</c:v>
                </c:pt>
                <c:pt idx="131">
                  <c:v>74.847681673399151</c:v>
                </c:pt>
                <c:pt idx="132">
                  <c:v>75.045459981425452</c:v>
                </c:pt>
                <c:pt idx="133">
                  <c:v>75.22222511587924</c:v>
                </c:pt>
                <c:pt idx="134">
                  <c:v>75.402269879757242</c:v>
                </c:pt>
                <c:pt idx="135">
                  <c:v>75.625022525963416</c:v>
                </c:pt>
                <c:pt idx="136">
                  <c:v>75.849134934473739</c:v>
                </c:pt>
                <c:pt idx="137">
                  <c:v>76.063897003115528</c:v>
                </c:pt>
                <c:pt idx="138">
                  <c:v>76.25610015639333</c:v>
                </c:pt>
                <c:pt idx="139">
                  <c:v>76.435683944574649</c:v>
                </c:pt>
                <c:pt idx="140">
                  <c:v>76.63646311895387</c:v>
                </c:pt>
                <c:pt idx="141">
                  <c:v>76.857041212574174</c:v>
                </c:pt>
                <c:pt idx="142">
                  <c:v>77.048277304160507</c:v>
                </c:pt>
                <c:pt idx="143">
                  <c:v>77.239451853180825</c:v>
                </c:pt>
                <c:pt idx="144">
                  <c:v>77.406413075105476</c:v>
                </c:pt>
                <c:pt idx="145">
                  <c:v>77.609416868826116</c:v>
                </c:pt>
                <c:pt idx="146">
                  <c:v>77.837682369724334</c:v>
                </c:pt>
                <c:pt idx="147">
                  <c:v>78.036920990430119</c:v>
                </c:pt>
                <c:pt idx="148">
                  <c:v>78.228828543018437</c:v>
                </c:pt>
                <c:pt idx="149">
                  <c:v>78.368273200653718</c:v>
                </c:pt>
                <c:pt idx="150">
                  <c:v>78.549327819300856</c:v>
                </c:pt>
                <c:pt idx="151">
                  <c:v>78.744252527338475</c:v>
                </c:pt>
                <c:pt idx="152">
                  <c:v>78.912836117483039</c:v>
                </c:pt>
                <c:pt idx="153">
                  <c:v>79.075582429397016</c:v>
                </c:pt>
                <c:pt idx="154">
                  <c:v>79.246739508690538</c:v>
                </c:pt>
                <c:pt idx="155">
                  <c:v>79.44662521979113</c:v>
                </c:pt>
                <c:pt idx="156">
                  <c:v>79.629563558364197</c:v>
                </c:pt>
                <c:pt idx="157">
                  <c:v>79.834619239028299</c:v>
                </c:pt>
                <c:pt idx="158">
                  <c:v>80.046083165722791</c:v>
                </c:pt>
                <c:pt idx="159">
                  <c:v>80.205667809322321</c:v>
                </c:pt>
                <c:pt idx="160">
                  <c:v>80.37373916939066</c:v>
                </c:pt>
                <c:pt idx="161">
                  <c:v>80.532746005892193</c:v>
                </c:pt>
                <c:pt idx="162">
                  <c:v>80.731290533837452</c:v>
                </c:pt>
                <c:pt idx="163">
                  <c:v>80.933041881351542</c:v>
                </c:pt>
                <c:pt idx="164">
                  <c:v>81.117371054209158</c:v>
                </c:pt>
                <c:pt idx="165">
                  <c:v>81.241402965186197</c:v>
                </c:pt>
                <c:pt idx="166">
                  <c:v>81.399399956972331</c:v>
                </c:pt>
                <c:pt idx="167">
                  <c:v>81.583516942179514</c:v>
                </c:pt>
                <c:pt idx="168">
                  <c:v>81.724798844501819</c:v>
                </c:pt>
                <c:pt idx="169">
                  <c:v>81.890839490881746</c:v>
                </c:pt>
                <c:pt idx="170">
                  <c:v>82.077866204705245</c:v>
                </c:pt>
                <c:pt idx="171">
                  <c:v>82.265003374997306</c:v>
                </c:pt>
                <c:pt idx="172">
                  <c:v>82.458445146776114</c:v>
                </c:pt>
                <c:pt idx="173">
                  <c:v>82.623280693911397</c:v>
                </c:pt>
                <c:pt idx="174">
                  <c:v>82.788259393471193</c:v>
                </c:pt>
                <c:pt idx="175">
                  <c:v>82.981576390728904</c:v>
                </c:pt>
                <c:pt idx="176">
                  <c:v>83.1302623022099</c:v>
                </c:pt>
                <c:pt idx="177">
                  <c:v>83.300004733581758</c:v>
                </c:pt>
                <c:pt idx="178">
                  <c:v>83.470464173650853</c:v>
                </c:pt>
                <c:pt idx="179">
                  <c:v>83.669377254234249</c:v>
                </c:pt>
                <c:pt idx="180">
                  <c:v>83.814178887147506</c:v>
                </c:pt>
                <c:pt idx="181">
                  <c:v>83.997041051129813</c:v>
                </c:pt>
                <c:pt idx="182">
                  <c:v>84.115890199117288</c:v>
                </c:pt>
                <c:pt idx="183">
                  <c:v>84.298719827015859</c:v>
                </c:pt>
                <c:pt idx="184">
                  <c:v>84.464754978158652</c:v>
                </c:pt>
                <c:pt idx="185">
                  <c:v>84.608363740618003</c:v>
                </c:pt>
                <c:pt idx="186">
                  <c:v>84.769430809499241</c:v>
                </c:pt>
                <c:pt idx="187">
                  <c:v>84.917828254948645</c:v>
                </c:pt>
                <c:pt idx="188">
                  <c:v>85.057968773778484</c:v>
                </c:pt>
                <c:pt idx="189">
                  <c:v>85.233746129212989</c:v>
                </c:pt>
                <c:pt idx="190">
                  <c:v>85.421860378438183</c:v>
                </c:pt>
                <c:pt idx="191">
                  <c:v>85.570675436067575</c:v>
                </c:pt>
                <c:pt idx="192">
                  <c:v>85.715688590445851</c:v>
                </c:pt>
                <c:pt idx="193">
                  <c:v>85.884283833820433</c:v>
                </c:pt>
                <c:pt idx="194">
                  <c:v>86.000069089665914</c:v>
                </c:pt>
                <c:pt idx="195">
                  <c:v>86.142758724817739</c:v>
                </c:pt>
                <c:pt idx="196">
                  <c:v>86.304540274898073</c:v>
                </c:pt>
                <c:pt idx="197">
                  <c:v>86.480955936078857</c:v>
                </c:pt>
                <c:pt idx="198">
                  <c:v>86.623204977453071</c:v>
                </c:pt>
                <c:pt idx="199">
                  <c:v>86.764405476338766</c:v>
                </c:pt>
                <c:pt idx="200">
                  <c:v>86.904594270221054</c:v>
                </c:pt>
                <c:pt idx="201">
                  <c:v>87.06330800322759</c:v>
                </c:pt>
                <c:pt idx="202">
                  <c:v>87.2520045298279</c:v>
                </c:pt>
                <c:pt idx="203">
                  <c:v>87.409082681428998</c:v>
                </c:pt>
                <c:pt idx="204">
                  <c:v>87.524497540768266</c:v>
                </c:pt>
                <c:pt idx="205">
                  <c:v>87.675000689417786</c:v>
                </c:pt>
                <c:pt idx="206">
                  <c:v>87.826924034948419</c:v>
                </c:pt>
                <c:pt idx="207">
                  <c:v>87.969129962553666</c:v>
                </c:pt>
                <c:pt idx="208">
                  <c:v>88.112512344598827</c:v>
                </c:pt>
                <c:pt idx="209">
                  <c:v>88.234600913207913</c:v>
                </c:pt>
                <c:pt idx="210">
                  <c:v>88.432796838601462</c:v>
                </c:pt>
                <c:pt idx="211">
                  <c:v>88.598340193793859</c:v>
                </c:pt>
                <c:pt idx="212">
                  <c:v>88.736360605058877</c:v>
                </c:pt>
                <c:pt idx="213">
                  <c:v>88.864314536510165</c:v>
                </c:pt>
                <c:pt idx="214">
                  <c:v>88.970771032272609</c:v>
                </c:pt>
                <c:pt idx="215">
                  <c:v>89.134018679961343</c:v>
                </c:pt>
                <c:pt idx="216">
                  <c:v>89.281824543235331</c:v>
                </c:pt>
                <c:pt idx="217">
                  <c:v>89.433516002136145</c:v>
                </c:pt>
                <c:pt idx="218">
                  <c:v>89.555606841957186</c:v>
                </c:pt>
                <c:pt idx="219">
                  <c:v>89.653584640526645</c:v>
                </c:pt>
                <c:pt idx="220">
                  <c:v>89.767065501581655</c:v>
                </c:pt>
                <c:pt idx="221">
                  <c:v>89.884400770109892</c:v>
                </c:pt>
                <c:pt idx="222">
                  <c:v>90.008025438008872</c:v>
                </c:pt>
                <c:pt idx="223">
                  <c:v>90.089487990484571</c:v>
                </c:pt>
                <c:pt idx="224">
                  <c:v>90.204024665541141</c:v>
                </c:pt>
                <c:pt idx="225">
                  <c:v>90.309230434348152</c:v>
                </c:pt>
                <c:pt idx="226">
                  <c:v>90.45665113537865</c:v>
                </c:pt>
                <c:pt idx="227">
                  <c:v>90.506015889891955</c:v>
                </c:pt>
                <c:pt idx="228">
                  <c:v>90.612295892628069</c:v>
                </c:pt>
                <c:pt idx="229">
                  <c:v>90.697652443796926</c:v>
                </c:pt>
                <c:pt idx="230">
                  <c:v>90.823195373973604</c:v>
                </c:pt>
                <c:pt idx="231">
                  <c:v>90.959447714959566</c:v>
                </c:pt>
                <c:pt idx="232">
                  <c:v>91.050658672769785</c:v>
                </c:pt>
                <c:pt idx="233">
                  <c:v>91.196990264226002</c:v>
                </c:pt>
                <c:pt idx="234">
                  <c:v>91.359794284288995</c:v>
                </c:pt>
                <c:pt idx="235">
                  <c:v>91.544721243903538</c:v>
                </c:pt>
                <c:pt idx="236">
                  <c:v>91.663745359609152</c:v>
                </c:pt>
                <c:pt idx="237">
                  <c:v>91.729098090314508</c:v>
                </c:pt>
                <c:pt idx="238">
                  <c:v>91.840472223793967</c:v>
                </c:pt>
                <c:pt idx="239">
                  <c:v>91.986076269917334</c:v>
                </c:pt>
                <c:pt idx="240">
                  <c:v>92.125723518132716</c:v>
                </c:pt>
                <c:pt idx="241">
                  <c:v>92.205791178086812</c:v>
                </c:pt>
                <c:pt idx="242">
                  <c:v>92.33096553616187</c:v>
                </c:pt>
                <c:pt idx="243">
                  <c:v>92.409657892059371</c:v>
                </c:pt>
                <c:pt idx="244">
                  <c:v>92.496687975104507</c:v>
                </c:pt>
                <c:pt idx="245">
                  <c:v>92.602574511921858</c:v>
                </c:pt>
                <c:pt idx="246">
                  <c:v>92.780212155694542</c:v>
                </c:pt>
                <c:pt idx="247">
                  <c:v>92.918487170622868</c:v>
                </c:pt>
                <c:pt idx="248">
                  <c:v>93.027287343109393</c:v>
                </c:pt>
                <c:pt idx="249">
                  <c:v>93.169952710209316</c:v>
                </c:pt>
                <c:pt idx="250">
                  <c:v>93.311273042865594</c:v>
                </c:pt>
                <c:pt idx="251">
                  <c:v>93.457790840449817</c:v>
                </c:pt>
                <c:pt idx="252">
                  <c:v>93.611826009900753</c:v>
                </c:pt>
                <c:pt idx="253">
                  <c:v>93.744195358750986</c:v>
                </c:pt>
                <c:pt idx="254">
                  <c:v>93.88838906780326</c:v>
                </c:pt>
                <c:pt idx="255">
                  <c:v>93.932357537330489</c:v>
                </c:pt>
                <c:pt idx="256">
                  <c:v>94.060482400384487</c:v>
                </c:pt>
                <c:pt idx="257">
                  <c:v>94.143416939825173</c:v>
                </c:pt>
                <c:pt idx="258">
                  <c:v>94.282708445544031</c:v>
                </c:pt>
                <c:pt idx="259">
                  <c:v>94.441587254528272</c:v>
                </c:pt>
                <c:pt idx="260">
                  <c:v>94.548380849686964</c:v>
                </c:pt>
                <c:pt idx="261">
                  <c:v>94.626146717649405</c:v>
                </c:pt>
                <c:pt idx="262">
                  <c:v>94.672257177318983</c:v>
                </c:pt>
                <c:pt idx="263">
                  <c:v>94.764736400933543</c:v>
                </c:pt>
                <c:pt idx="264">
                  <c:v>94.823882459333362</c:v>
                </c:pt>
                <c:pt idx="265">
                  <c:v>94.875077253229861</c:v>
                </c:pt>
                <c:pt idx="266">
                  <c:v>94.990747897206802</c:v>
                </c:pt>
                <c:pt idx="267">
                  <c:v>94.968902508542371</c:v>
                </c:pt>
                <c:pt idx="268">
                  <c:v>95.018788831163647</c:v>
                </c:pt>
                <c:pt idx="269">
                  <c:v>95.123694609675297</c:v>
                </c:pt>
                <c:pt idx="270">
                  <c:v>95.27063023307764</c:v>
                </c:pt>
                <c:pt idx="271">
                  <c:v>95.36021286469547</c:v>
                </c:pt>
                <c:pt idx="272">
                  <c:v>95.375033479249211</c:v>
                </c:pt>
                <c:pt idx="273">
                  <c:v>95.346622306933895</c:v>
                </c:pt>
                <c:pt idx="274">
                  <c:v>95.444287509888213</c:v>
                </c:pt>
                <c:pt idx="275">
                  <c:v>95.531348062054334</c:v>
                </c:pt>
                <c:pt idx="276">
                  <c:v>95.561310703973902</c:v>
                </c:pt>
                <c:pt idx="277">
                  <c:v>95.63967512753382</c:v>
                </c:pt>
                <c:pt idx="278">
                  <c:v>95.726684046750833</c:v>
                </c:pt>
                <c:pt idx="279">
                  <c:v>95.72100893754893</c:v>
                </c:pt>
                <c:pt idx="280">
                  <c:v>95.745084766338437</c:v>
                </c:pt>
                <c:pt idx="281">
                  <c:v>95.811334503825861</c:v>
                </c:pt>
                <c:pt idx="282">
                  <c:v>95.878260994754541</c:v>
                </c:pt>
                <c:pt idx="283">
                  <c:v>95.997890239414076</c:v>
                </c:pt>
                <c:pt idx="284">
                  <c:v>96.022256115586387</c:v>
                </c:pt>
                <c:pt idx="285">
                  <c:v>96.034405462458977</c:v>
                </c:pt>
                <c:pt idx="286">
                  <c:v>96.05982904831076</c:v>
                </c:pt>
                <c:pt idx="287">
                  <c:v>96.102941081909918</c:v>
                </c:pt>
                <c:pt idx="288">
                  <c:v>96.027129761798633</c:v>
                </c:pt>
                <c:pt idx="289">
                  <c:v>96.013757878954863</c:v>
                </c:pt>
                <c:pt idx="290">
                  <c:v>96.070986714967759</c:v>
                </c:pt>
                <c:pt idx="291">
                  <c:v>95.974024574231592</c:v>
                </c:pt>
                <c:pt idx="292">
                  <c:v>96.019979644680177</c:v>
                </c:pt>
                <c:pt idx="293">
                  <c:v>96.083805936024774</c:v>
                </c:pt>
                <c:pt idx="294">
                  <c:v>96.109078387259387</c:v>
                </c:pt>
                <c:pt idx="295">
                  <c:v>96.175691210339281</c:v>
                </c:pt>
                <c:pt idx="296">
                  <c:v>96.243707486555195</c:v>
                </c:pt>
                <c:pt idx="297">
                  <c:v>96.175053616880319</c:v>
                </c:pt>
                <c:pt idx="298">
                  <c:v>96.28834732114376</c:v>
                </c:pt>
                <c:pt idx="299">
                  <c:v>96.307211556028861</c:v>
                </c:pt>
                <c:pt idx="300">
                  <c:v>96.271144762423859</c:v>
                </c:pt>
                <c:pt idx="301">
                  <c:v>96.258205923603882</c:v>
                </c:pt>
                <c:pt idx="302">
                  <c:v>96.274438681608089</c:v>
                </c:pt>
                <c:pt idx="303">
                  <c:v>96.254790848179155</c:v>
                </c:pt>
                <c:pt idx="304">
                  <c:v>96.275977228337865</c:v>
                </c:pt>
                <c:pt idx="305">
                  <c:v>96.195529920651651</c:v>
                </c:pt>
                <c:pt idx="306">
                  <c:v>96.097656498646998</c:v>
                </c:pt>
                <c:pt idx="307">
                  <c:v>96.215917997987177</c:v>
                </c:pt>
                <c:pt idx="308">
                  <c:v>96.247389791434642</c:v>
                </c:pt>
                <c:pt idx="309">
                  <c:v>96.324340109889391</c:v>
                </c:pt>
                <c:pt idx="310">
                  <c:v>96.270500988171392</c:v>
                </c:pt>
                <c:pt idx="311">
                  <c:v>96.257755563124505</c:v>
                </c:pt>
                <c:pt idx="312">
                  <c:v>96.254553331558</c:v>
                </c:pt>
                <c:pt idx="313">
                  <c:v>96.118324250091192</c:v>
                </c:pt>
                <c:pt idx="314">
                  <c:v>96.076415699127708</c:v>
                </c:pt>
                <c:pt idx="315">
                  <c:v>96.040633821623956</c:v>
                </c:pt>
                <c:pt idx="316">
                  <c:v>95.963742294550912</c:v>
                </c:pt>
                <c:pt idx="317">
                  <c:v>95.830134257383591</c:v>
                </c:pt>
                <c:pt idx="318">
                  <c:v>95.947972649934002</c:v>
                </c:pt>
                <c:pt idx="319">
                  <c:v>95.943338511311367</c:v>
                </c:pt>
                <c:pt idx="320">
                  <c:v>96.148732017067601</c:v>
                </c:pt>
                <c:pt idx="321">
                  <c:v>96.259748865892291</c:v>
                </c:pt>
                <c:pt idx="322">
                  <c:v>96.20417559925481</c:v>
                </c:pt>
                <c:pt idx="323">
                  <c:v>96.208914578080055</c:v>
                </c:pt>
                <c:pt idx="324">
                  <c:v>96.192297529943318</c:v>
                </c:pt>
                <c:pt idx="325">
                  <c:v>96.213875055334569</c:v>
                </c:pt>
                <c:pt idx="326">
                  <c:v>96.296167163109715</c:v>
                </c:pt>
                <c:pt idx="327">
                  <c:v>96.476224273664926</c:v>
                </c:pt>
                <c:pt idx="328">
                  <c:v>96.716412297153909</c:v>
                </c:pt>
                <c:pt idx="329">
                  <c:v>96.722867316238393</c:v>
                </c:pt>
                <c:pt idx="330">
                  <c:v>96.770528678335381</c:v>
                </c:pt>
                <c:pt idx="331">
                  <c:v>96.759976457882487</c:v>
                </c:pt>
                <c:pt idx="332">
                  <c:v>96.996791398289702</c:v>
                </c:pt>
                <c:pt idx="333">
                  <c:v>97.054724143635752</c:v>
                </c:pt>
                <c:pt idx="334">
                  <c:v>96.981481189306194</c:v>
                </c:pt>
                <c:pt idx="335">
                  <c:v>97.005589234663162</c:v>
                </c:pt>
                <c:pt idx="336">
                  <c:v>96.975386927113973</c:v>
                </c:pt>
                <c:pt idx="337">
                  <c:v>96.677420944815182</c:v>
                </c:pt>
                <c:pt idx="338">
                  <c:v>96.827164580908402</c:v>
                </c:pt>
                <c:pt idx="339">
                  <c:v>96.904130758145911</c:v>
                </c:pt>
                <c:pt idx="340">
                  <c:v>96.735524391906893</c:v>
                </c:pt>
                <c:pt idx="341">
                  <c:v>96.624400302807416</c:v>
                </c:pt>
                <c:pt idx="342">
                  <c:v>96.83095275157531</c:v>
                </c:pt>
                <c:pt idx="343">
                  <c:v>96.906172805583836</c:v>
                </c:pt>
                <c:pt idx="344">
                  <c:v>96.961766197801282</c:v>
                </c:pt>
                <c:pt idx="345">
                  <c:v>97.144288101410822</c:v>
                </c:pt>
                <c:pt idx="346">
                  <c:v>97.168864735576037</c:v>
                </c:pt>
                <c:pt idx="347">
                  <c:v>97.484045772331655</c:v>
                </c:pt>
                <c:pt idx="348">
                  <c:v>97.565638510018559</c:v>
                </c:pt>
                <c:pt idx="349">
                  <c:v>97.843546822741615</c:v>
                </c:pt>
                <c:pt idx="350">
                  <c:v>98.091943704087853</c:v>
                </c:pt>
                <c:pt idx="351">
                  <c:v>98.429550231480576</c:v>
                </c:pt>
                <c:pt idx="352">
                  <c:v>98.682232494397851</c:v>
                </c:pt>
                <c:pt idx="353">
                  <c:v>98.608354543268305</c:v>
                </c:pt>
                <c:pt idx="354">
                  <c:v>98.60134287292729</c:v>
                </c:pt>
                <c:pt idx="355">
                  <c:v>98.479800517317983</c:v>
                </c:pt>
                <c:pt idx="356">
                  <c:v>98.2674804708615</c:v>
                </c:pt>
                <c:pt idx="357">
                  <c:v>98.49438721930153</c:v>
                </c:pt>
                <c:pt idx="358">
                  <c:v>98.849354426798158</c:v>
                </c:pt>
                <c:pt idx="359">
                  <c:v>98.964542064776467</c:v>
                </c:pt>
                <c:pt idx="360">
                  <c:v>98.992931417280474</c:v>
                </c:pt>
                <c:pt idx="361">
                  <c:v>99.203720409517629</c:v>
                </c:pt>
                <c:pt idx="362">
                  <c:v>99.235670011566441</c:v>
                </c:pt>
                <c:pt idx="363">
                  <c:v>99.574960769229847</c:v>
                </c:pt>
                <c:pt idx="364">
                  <c:v>99.387008428942991</c:v>
                </c:pt>
                <c:pt idx="365">
                  <c:v>99.760960260988099</c:v>
                </c:pt>
                <c:pt idx="366">
                  <c:v>100.03246721678222</c:v>
                </c:pt>
                <c:pt idx="367">
                  <c:v>100.20498358041861</c:v>
                </c:pt>
                <c:pt idx="368">
                  <c:v>100.56777938760177</c:v>
                </c:pt>
                <c:pt idx="369">
                  <c:v>100.11438476452022</c:v>
                </c:pt>
                <c:pt idx="370">
                  <c:v>100.12917014213951</c:v>
                </c:pt>
                <c:pt idx="371">
                  <c:v>100.26053899145198</c:v>
                </c:pt>
                <c:pt idx="372">
                  <c:v>100.51104045787447</c:v>
                </c:pt>
                <c:pt idx="373">
                  <c:v>100.58358786324693</c:v>
                </c:pt>
                <c:pt idx="374">
                  <c:v>100.71760011281947</c:v>
                </c:pt>
                <c:pt idx="375">
                  <c:v>100.51149349841837</c:v>
                </c:pt>
                <c:pt idx="376">
                  <c:v>99.634308539575372</c:v>
                </c:pt>
                <c:pt idx="377">
                  <c:v>99.884213938001324</c:v>
                </c:pt>
                <c:pt idx="378">
                  <c:v>99.39164897435802</c:v>
                </c:pt>
                <c:pt idx="379">
                  <c:v>99.43079472727176</c:v>
                </c:pt>
                <c:pt idx="380">
                  <c:v>100.03492969833991</c:v>
                </c:pt>
                <c:pt idx="381">
                  <c:v>100.07524540098103</c:v>
                </c:pt>
                <c:pt idx="382">
                  <c:v>100.74926870085372</c:v>
                </c:pt>
                <c:pt idx="383">
                  <c:v>100.47618010489408</c:v>
                </c:pt>
                <c:pt idx="384">
                  <c:v>100.45568086303848</c:v>
                </c:pt>
                <c:pt idx="385">
                  <c:v>101.47168900452391</c:v>
                </c:pt>
                <c:pt idx="386">
                  <c:v>101.5681235198125</c:v>
                </c:pt>
                <c:pt idx="387">
                  <c:v>101.7997975682372</c:v>
                </c:pt>
                <c:pt idx="388">
                  <c:v>102.57015512820418</c:v>
                </c:pt>
                <c:pt idx="389">
                  <c:v>102.18863831360844</c:v>
                </c:pt>
                <c:pt idx="390">
                  <c:v>103.63016140468132</c:v>
                </c:pt>
                <c:pt idx="391">
                  <c:v>103.7689525874115</c:v>
                </c:pt>
                <c:pt idx="392">
                  <c:v>103.92022811188707</c:v>
                </c:pt>
                <c:pt idx="393">
                  <c:v>104.42710666666565</c:v>
                </c:pt>
                <c:pt idx="394">
                  <c:v>104.98878661538349</c:v>
                </c:pt>
                <c:pt idx="395">
                  <c:v>106.50418064102455</c:v>
                </c:pt>
                <c:pt idx="396">
                  <c:v>106.81392596153734</c:v>
                </c:pt>
                <c:pt idx="397">
                  <c:v>106.28394789743489</c:v>
                </c:pt>
                <c:pt idx="398">
                  <c:v>106.45949866666555</c:v>
                </c:pt>
                <c:pt idx="399">
                  <c:v>106.61279712820404</c:v>
                </c:pt>
                <c:pt idx="400">
                  <c:v>105.41661934911136</c:v>
                </c:pt>
                <c:pt idx="401">
                  <c:v>106.18455279720173</c:v>
                </c:pt>
                <c:pt idx="402">
                  <c:v>106.3661723776213</c:v>
                </c:pt>
                <c:pt idx="403">
                  <c:v>108.94368153846037</c:v>
                </c:pt>
                <c:pt idx="404">
                  <c:v>109.78905471153726</c:v>
                </c:pt>
                <c:pt idx="405">
                  <c:v>109.9479162499988</c:v>
                </c:pt>
                <c:pt idx="406">
                  <c:v>111.20399296703184</c:v>
                </c:pt>
                <c:pt idx="407">
                  <c:v>111.39861714285598</c:v>
                </c:pt>
                <c:pt idx="408">
                  <c:v>115.37491538461427</c:v>
                </c:pt>
                <c:pt idx="409">
                  <c:v>115.56159230769106</c:v>
                </c:pt>
                <c:pt idx="410">
                  <c:v>115.74826923076803</c:v>
                </c:pt>
                <c:pt idx="411">
                  <c:v>115.93494615384498</c:v>
                </c:pt>
                <c:pt idx="412">
                  <c:v>116.06599230769092</c:v>
                </c:pt>
                <c:pt idx="413">
                  <c:v>116.19703846153739</c:v>
                </c:pt>
                <c:pt idx="414">
                  <c:v>116.38371538461411</c:v>
                </c:pt>
                <c:pt idx="415">
                  <c:v>117.77261430769086</c:v>
                </c:pt>
                <c:pt idx="416">
                  <c:v>111.07022846153734</c:v>
                </c:pt>
                <c:pt idx="417">
                  <c:v>111.3125361538449</c:v>
                </c:pt>
                <c:pt idx="418">
                  <c:v>111.44358230769126</c:v>
                </c:pt>
                <c:pt idx="419">
                  <c:v>111.57462846153726</c:v>
                </c:pt>
                <c:pt idx="420">
                  <c:v>102.99505230769125</c:v>
                </c:pt>
                <c:pt idx="421">
                  <c:v>103.2373599999991</c:v>
                </c:pt>
                <c:pt idx="422">
                  <c:v>103.47966769230645</c:v>
                </c:pt>
                <c:pt idx="423">
                  <c:v>103.7219753846143</c:v>
                </c:pt>
                <c:pt idx="424">
                  <c:v>103.79739076922985</c:v>
                </c:pt>
                <c:pt idx="425">
                  <c:v>104.0396984615372</c:v>
                </c:pt>
                <c:pt idx="426">
                  <c:v>108.490370769229</c:v>
                </c:pt>
                <c:pt idx="427">
                  <c:v>108.73267846153701</c:v>
                </c:pt>
                <c:pt idx="428">
                  <c:v>108.97498615384499</c:v>
                </c:pt>
                <c:pt idx="429">
                  <c:v>109.217293846153</c:v>
                </c:pt>
                <c:pt idx="430">
                  <c:v>109.45960153846001</c:v>
                </c:pt>
                <c:pt idx="431">
                  <c:v>109.368124615383</c:v>
                </c:pt>
                <c:pt idx="432">
                  <c:v>109.610432307691</c:v>
                </c:pt>
                <c:pt idx="433">
                  <c:v>109.852739999999</c:v>
                </c:pt>
              </c:numCache>
            </c:numRef>
          </c:val>
          <c:smooth val="0"/>
          <c:extLst xmlns:c16r2="http://schemas.microsoft.com/office/drawing/2015/06/chart">
            <c:ext xmlns:c16="http://schemas.microsoft.com/office/drawing/2014/chart" uri="{C3380CC4-5D6E-409C-BE32-E72D297353CC}">
              <c16:uniqueId val="{00000000-A27C-4862-871D-B50AE1217498}"/>
            </c:ext>
          </c:extLst>
        </c:ser>
        <c:ser>
          <c:idx val="1"/>
          <c:order val="1"/>
          <c:tx>
            <c:strRef>
              <c:f>'FEV trace'!$A$7</c:f>
              <c:strCache>
                <c:ptCount val="1"/>
                <c:pt idx="0">
                  <c:v>ppFEV1 control</c:v>
                </c:pt>
              </c:strCache>
            </c:strRef>
          </c:tx>
          <c:spPr>
            <a:ln w="12700" cap="rnd">
              <a:solidFill>
                <a:schemeClr val="accent2"/>
              </a:solidFill>
              <a:prstDash val="dash"/>
              <a:round/>
            </a:ln>
            <a:effectLst/>
          </c:spPr>
          <c:marker>
            <c:symbol val="none"/>
          </c:marker>
          <c:cat>
            <c:numRef>
              <c:f>'FEV trace'!$B$5:$PS$5</c:f>
              <c:numCache>
                <c:formatCode>General</c:formatCode>
                <c:ptCount val="434"/>
                <c:pt idx="0">
                  <c:v>0.23076923076923078</c:v>
                </c:pt>
                <c:pt idx="1">
                  <c:v>0.26923076923076927</c:v>
                </c:pt>
                <c:pt idx="2">
                  <c:v>0.5</c:v>
                </c:pt>
                <c:pt idx="3">
                  <c:v>0.73076923076923084</c:v>
                </c:pt>
                <c:pt idx="4">
                  <c:v>0.96153846153846168</c:v>
                </c:pt>
                <c:pt idx="5">
                  <c:v>1.1923076923076925</c:v>
                </c:pt>
                <c:pt idx="6">
                  <c:v>1.4230769230769234</c:v>
                </c:pt>
                <c:pt idx="7">
                  <c:v>1.6538461538461542</c:v>
                </c:pt>
                <c:pt idx="8">
                  <c:v>1.884615384615385</c:v>
                </c:pt>
                <c:pt idx="9">
                  <c:v>2.1153846153846159</c:v>
                </c:pt>
                <c:pt idx="10">
                  <c:v>2.3461538461538467</c:v>
                </c:pt>
                <c:pt idx="11">
                  <c:v>2.5769230769230775</c:v>
                </c:pt>
                <c:pt idx="12">
                  <c:v>2.8076923076923084</c:v>
                </c:pt>
                <c:pt idx="13">
                  <c:v>3.0384615384615392</c:v>
                </c:pt>
                <c:pt idx="14">
                  <c:v>3.2692307692307701</c:v>
                </c:pt>
                <c:pt idx="15">
                  <c:v>3.5000000000000009</c:v>
                </c:pt>
                <c:pt idx="16">
                  <c:v>3.7307692307692317</c:v>
                </c:pt>
                <c:pt idx="17">
                  <c:v>3.9615384615384626</c:v>
                </c:pt>
                <c:pt idx="18">
                  <c:v>4.1923076923076934</c:v>
                </c:pt>
                <c:pt idx="19">
                  <c:v>4.4230769230769242</c:v>
                </c:pt>
                <c:pt idx="20">
                  <c:v>4.6538461538461551</c:v>
                </c:pt>
                <c:pt idx="21">
                  <c:v>4.8846153846153859</c:v>
                </c:pt>
                <c:pt idx="22">
                  <c:v>5.1153846153846168</c:v>
                </c:pt>
                <c:pt idx="23">
                  <c:v>5.3461538461538476</c:v>
                </c:pt>
                <c:pt idx="24">
                  <c:v>5.5769230769230784</c:v>
                </c:pt>
                <c:pt idx="25">
                  <c:v>5.8076923076923093</c:v>
                </c:pt>
                <c:pt idx="26">
                  <c:v>6.0384615384615401</c:v>
                </c:pt>
                <c:pt idx="27">
                  <c:v>6.2692307692307709</c:v>
                </c:pt>
                <c:pt idx="28">
                  <c:v>6.5000000000000018</c:v>
                </c:pt>
                <c:pt idx="29">
                  <c:v>6.7307692307692326</c:v>
                </c:pt>
                <c:pt idx="30">
                  <c:v>6.9615384615384635</c:v>
                </c:pt>
                <c:pt idx="31">
                  <c:v>7.1923076923076943</c:v>
                </c:pt>
                <c:pt idx="32">
                  <c:v>7.4230769230769251</c:v>
                </c:pt>
                <c:pt idx="33">
                  <c:v>7.653846153846156</c:v>
                </c:pt>
                <c:pt idx="34">
                  <c:v>7.8846153846153868</c:v>
                </c:pt>
                <c:pt idx="35">
                  <c:v>8.1153846153846168</c:v>
                </c:pt>
                <c:pt idx="36">
                  <c:v>8.3461538461538467</c:v>
                </c:pt>
                <c:pt idx="37">
                  <c:v>8.5769230769230766</c:v>
                </c:pt>
                <c:pt idx="38">
                  <c:v>8.8076923076923066</c:v>
                </c:pt>
                <c:pt idx="39">
                  <c:v>9.0384615384615365</c:v>
                </c:pt>
                <c:pt idx="40">
                  <c:v>9.2692307692307665</c:v>
                </c:pt>
                <c:pt idx="41">
                  <c:v>9.4999999999999964</c:v>
                </c:pt>
                <c:pt idx="42">
                  <c:v>9.7307692307692264</c:v>
                </c:pt>
                <c:pt idx="43">
                  <c:v>9.9615384615384563</c:v>
                </c:pt>
                <c:pt idx="44">
                  <c:v>10.192307692307686</c:v>
                </c:pt>
                <c:pt idx="45">
                  <c:v>10.423076923076916</c:v>
                </c:pt>
                <c:pt idx="46">
                  <c:v>10.653846153846146</c:v>
                </c:pt>
                <c:pt idx="47">
                  <c:v>10.884615384615376</c:v>
                </c:pt>
                <c:pt idx="48">
                  <c:v>11.115384615384606</c:v>
                </c:pt>
                <c:pt idx="49">
                  <c:v>11.346153846153836</c:v>
                </c:pt>
                <c:pt idx="50">
                  <c:v>11.576923076923066</c:v>
                </c:pt>
                <c:pt idx="51">
                  <c:v>11.807692307692296</c:v>
                </c:pt>
                <c:pt idx="52">
                  <c:v>12.038461538461526</c:v>
                </c:pt>
                <c:pt idx="53">
                  <c:v>12.269230769230756</c:v>
                </c:pt>
                <c:pt idx="54">
                  <c:v>12.499999999999986</c:v>
                </c:pt>
                <c:pt idx="55">
                  <c:v>12.730769230769216</c:v>
                </c:pt>
                <c:pt idx="56">
                  <c:v>12.961538461538446</c:v>
                </c:pt>
                <c:pt idx="57">
                  <c:v>13.192307692307676</c:v>
                </c:pt>
                <c:pt idx="58">
                  <c:v>13.423076923076906</c:v>
                </c:pt>
                <c:pt idx="59">
                  <c:v>13.653846153846136</c:v>
                </c:pt>
                <c:pt idx="60">
                  <c:v>13.884615384615365</c:v>
                </c:pt>
                <c:pt idx="61">
                  <c:v>14.115384615384595</c:v>
                </c:pt>
                <c:pt idx="62">
                  <c:v>14.346153846153825</c:v>
                </c:pt>
                <c:pt idx="63">
                  <c:v>14.576923076923055</c:v>
                </c:pt>
                <c:pt idx="64">
                  <c:v>14.807692307692285</c:v>
                </c:pt>
                <c:pt idx="65">
                  <c:v>15.038461538461515</c:v>
                </c:pt>
                <c:pt idx="66">
                  <c:v>15.269230769230745</c:v>
                </c:pt>
                <c:pt idx="67">
                  <c:v>15.499999999999975</c:v>
                </c:pt>
                <c:pt idx="68">
                  <c:v>15.730769230769205</c:v>
                </c:pt>
                <c:pt idx="69">
                  <c:v>15.961538461538435</c:v>
                </c:pt>
                <c:pt idx="70">
                  <c:v>16.192307692307665</c:v>
                </c:pt>
                <c:pt idx="71">
                  <c:v>16.423076923076895</c:v>
                </c:pt>
                <c:pt idx="72">
                  <c:v>16.653846153846125</c:v>
                </c:pt>
                <c:pt idx="73">
                  <c:v>16.884615384615355</c:v>
                </c:pt>
                <c:pt idx="74">
                  <c:v>17.115384615384585</c:v>
                </c:pt>
                <c:pt idx="75">
                  <c:v>17.346153846153815</c:v>
                </c:pt>
                <c:pt idx="76">
                  <c:v>17.576923076923045</c:v>
                </c:pt>
                <c:pt idx="77">
                  <c:v>17.807692307692275</c:v>
                </c:pt>
                <c:pt idx="78">
                  <c:v>18.038461538461505</c:v>
                </c:pt>
                <c:pt idx="79">
                  <c:v>18.269230769230735</c:v>
                </c:pt>
                <c:pt idx="80">
                  <c:v>18.499999999999964</c:v>
                </c:pt>
                <c:pt idx="81">
                  <c:v>18.730769230769194</c:v>
                </c:pt>
                <c:pt idx="82">
                  <c:v>18.961538461538424</c:v>
                </c:pt>
                <c:pt idx="83">
                  <c:v>19.192307692307654</c:v>
                </c:pt>
                <c:pt idx="84">
                  <c:v>19.423076923076884</c:v>
                </c:pt>
                <c:pt idx="85">
                  <c:v>19.653846153846114</c:v>
                </c:pt>
                <c:pt idx="86">
                  <c:v>19.884615384615344</c:v>
                </c:pt>
                <c:pt idx="87">
                  <c:v>20.115384615384574</c:v>
                </c:pt>
                <c:pt idx="88">
                  <c:v>20.346153846153804</c:v>
                </c:pt>
                <c:pt idx="89">
                  <c:v>20.576923076923034</c:v>
                </c:pt>
                <c:pt idx="90">
                  <c:v>20.807692307692264</c:v>
                </c:pt>
                <c:pt idx="91">
                  <c:v>21.038461538461494</c:v>
                </c:pt>
                <c:pt idx="92">
                  <c:v>21.269230769230724</c:v>
                </c:pt>
                <c:pt idx="93">
                  <c:v>21.499999999999954</c:v>
                </c:pt>
                <c:pt idx="94">
                  <c:v>21.730769230769184</c:v>
                </c:pt>
                <c:pt idx="95">
                  <c:v>21.961538461538414</c:v>
                </c:pt>
                <c:pt idx="96">
                  <c:v>22.192307692307644</c:v>
                </c:pt>
                <c:pt idx="97">
                  <c:v>22.423076923076874</c:v>
                </c:pt>
                <c:pt idx="98">
                  <c:v>22.653846153846104</c:v>
                </c:pt>
                <c:pt idx="99">
                  <c:v>22.884615384615334</c:v>
                </c:pt>
                <c:pt idx="100">
                  <c:v>23.115384615384563</c:v>
                </c:pt>
                <c:pt idx="101">
                  <c:v>23.346153846153793</c:v>
                </c:pt>
                <c:pt idx="102">
                  <c:v>23.576923076923023</c:v>
                </c:pt>
                <c:pt idx="103">
                  <c:v>23.807692307692253</c:v>
                </c:pt>
                <c:pt idx="104">
                  <c:v>24.038461538461483</c:v>
                </c:pt>
                <c:pt idx="105">
                  <c:v>24.269230769230713</c:v>
                </c:pt>
                <c:pt idx="106">
                  <c:v>24.499999999999943</c:v>
                </c:pt>
                <c:pt idx="107">
                  <c:v>24.730769230769173</c:v>
                </c:pt>
                <c:pt idx="108">
                  <c:v>24.961538461538403</c:v>
                </c:pt>
                <c:pt idx="109">
                  <c:v>25.192307692307633</c:v>
                </c:pt>
                <c:pt idx="110">
                  <c:v>25.423076923076863</c:v>
                </c:pt>
                <c:pt idx="111">
                  <c:v>25.653846153846093</c:v>
                </c:pt>
                <c:pt idx="112">
                  <c:v>25.884615384615323</c:v>
                </c:pt>
                <c:pt idx="113">
                  <c:v>26.115384615384553</c:v>
                </c:pt>
                <c:pt idx="114">
                  <c:v>26.346153846153783</c:v>
                </c:pt>
                <c:pt idx="115">
                  <c:v>26.576923076923013</c:v>
                </c:pt>
                <c:pt idx="116">
                  <c:v>26.807692307692243</c:v>
                </c:pt>
                <c:pt idx="117">
                  <c:v>27.038461538461473</c:v>
                </c:pt>
                <c:pt idx="118">
                  <c:v>27.269230769230703</c:v>
                </c:pt>
                <c:pt idx="119">
                  <c:v>27.499999999999932</c:v>
                </c:pt>
                <c:pt idx="120">
                  <c:v>27.730769230769162</c:v>
                </c:pt>
                <c:pt idx="121">
                  <c:v>27.961538461538392</c:v>
                </c:pt>
                <c:pt idx="122">
                  <c:v>28.192307692307622</c:v>
                </c:pt>
                <c:pt idx="123">
                  <c:v>28.423076923076852</c:v>
                </c:pt>
                <c:pt idx="124">
                  <c:v>28.653846153846082</c:v>
                </c:pt>
                <c:pt idx="125">
                  <c:v>28.884615384615312</c:v>
                </c:pt>
                <c:pt idx="126">
                  <c:v>29.115384615384542</c:v>
                </c:pt>
                <c:pt idx="127">
                  <c:v>29.346153846153772</c:v>
                </c:pt>
                <c:pt idx="128">
                  <c:v>29.576923076923002</c:v>
                </c:pt>
                <c:pt idx="129">
                  <c:v>29.807692307692232</c:v>
                </c:pt>
                <c:pt idx="130">
                  <c:v>30.038461538461462</c:v>
                </c:pt>
                <c:pt idx="131">
                  <c:v>30.269230769230692</c:v>
                </c:pt>
                <c:pt idx="132">
                  <c:v>30.499999999999922</c:v>
                </c:pt>
                <c:pt idx="133">
                  <c:v>30.730769230769152</c:v>
                </c:pt>
                <c:pt idx="134">
                  <c:v>30.961538461538382</c:v>
                </c:pt>
                <c:pt idx="135">
                  <c:v>31.192307692307612</c:v>
                </c:pt>
                <c:pt idx="136">
                  <c:v>31.423076923076842</c:v>
                </c:pt>
                <c:pt idx="137">
                  <c:v>31.653846153846072</c:v>
                </c:pt>
                <c:pt idx="138">
                  <c:v>31.884615384615302</c:v>
                </c:pt>
                <c:pt idx="139">
                  <c:v>32.115384615384535</c:v>
                </c:pt>
                <c:pt idx="140">
                  <c:v>32.346153846153769</c:v>
                </c:pt>
                <c:pt idx="141">
                  <c:v>32.576923076923002</c:v>
                </c:pt>
                <c:pt idx="142">
                  <c:v>32.807692307692236</c:v>
                </c:pt>
                <c:pt idx="143">
                  <c:v>33.038461538461469</c:v>
                </c:pt>
                <c:pt idx="144">
                  <c:v>33.269230769230703</c:v>
                </c:pt>
                <c:pt idx="145">
                  <c:v>33.499999999999936</c:v>
                </c:pt>
                <c:pt idx="146">
                  <c:v>33.73076923076917</c:v>
                </c:pt>
                <c:pt idx="147">
                  <c:v>33.961538461538403</c:v>
                </c:pt>
                <c:pt idx="148">
                  <c:v>34.192307692307637</c:v>
                </c:pt>
                <c:pt idx="149">
                  <c:v>34.42307692307687</c:v>
                </c:pt>
                <c:pt idx="150">
                  <c:v>34.653846153846104</c:v>
                </c:pt>
                <c:pt idx="151">
                  <c:v>34.884615384615337</c:v>
                </c:pt>
                <c:pt idx="152">
                  <c:v>35.115384615384571</c:v>
                </c:pt>
                <c:pt idx="153">
                  <c:v>35.346153846153804</c:v>
                </c:pt>
                <c:pt idx="154">
                  <c:v>35.576923076923038</c:v>
                </c:pt>
                <c:pt idx="155">
                  <c:v>35.807692307692271</c:v>
                </c:pt>
                <c:pt idx="156">
                  <c:v>36.038461538461505</c:v>
                </c:pt>
                <c:pt idx="157">
                  <c:v>36.269230769230738</c:v>
                </c:pt>
                <c:pt idx="158">
                  <c:v>36.499999999999972</c:v>
                </c:pt>
                <c:pt idx="159">
                  <c:v>36.730769230769205</c:v>
                </c:pt>
                <c:pt idx="160">
                  <c:v>36.961538461538439</c:v>
                </c:pt>
                <c:pt idx="161">
                  <c:v>37.192307692307672</c:v>
                </c:pt>
                <c:pt idx="162">
                  <c:v>37.423076923076906</c:v>
                </c:pt>
                <c:pt idx="163">
                  <c:v>37.653846153846139</c:v>
                </c:pt>
                <c:pt idx="164">
                  <c:v>37.884615384615373</c:v>
                </c:pt>
                <c:pt idx="165">
                  <c:v>38.115384615384606</c:v>
                </c:pt>
                <c:pt idx="166">
                  <c:v>38.34615384615384</c:v>
                </c:pt>
                <c:pt idx="167">
                  <c:v>38.576923076923073</c:v>
                </c:pt>
                <c:pt idx="168">
                  <c:v>38.807692307692307</c:v>
                </c:pt>
                <c:pt idx="169">
                  <c:v>39.03846153846154</c:v>
                </c:pt>
                <c:pt idx="170">
                  <c:v>39.269230769230774</c:v>
                </c:pt>
                <c:pt idx="171">
                  <c:v>39.500000000000007</c:v>
                </c:pt>
                <c:pt idx="172">
                  <c:v>39.730769230769241</c:v>
                </c:pt>
                <c:pt idx="173">
                  <c:v>39.961538461538474</c:v>
                </c:pt>
                <c:pt idx="174">
                  <c:v>40.192307692307708</c:v>
                </c:pt>
                <c:pt idx="175">
                  <c:v>40.423076923076941</c:v>
                </c:pt>
                <c:pt idx="176">
                  <c:v>40.653846153846175</c:v>
                </c:pt>
                <c:pt idx="177">
                  <c:v>40.884615384615408</c:v>
                </c:pt>
                <c:pt idx="178">
                  <c:v>41.115384615384642</c:v>
                </c:pt>
                <c:pt idx="179">
                  <c:v>41.346153846153875</c:v>
                </c:pt>
                <c:pt idx="180">
                  <c:v>41.576923076923109</c:v>
                </c:pt>
                <c:pt idx="181">
                  <c:v>41.807692307692342</c:v>
                </c:pt>
                <c:pt idx="182">
                  <c:v>42.038461538461576</c:v>
                </c:pt>
                <c:pt idx="183">
                  <c:v>42.269230769230809</c:v>
                </c:pt>
                <c:pt idx="184">
                  <c:v>42.500000000000043</c:v>
                </c:pt>
                <c:pt idx="185">
                  <c:v>42.730769230769276</c:v>
                </c:pt>
                <c:pt idx="186">
                  <c:v>42.96153846153851</c:v>
                </c:pt>
                <c:pt idx="187">
                  <c:v>43.192307692307743</c:v>
                </c:pt>
                <c:pt idx="188">
                  <c:v>43.423076923076977</c:v>
                </c:pt>
                <c:pt idx="189">
                  <c:v>43.65384615384621</c:v>
                </c:pt>
                <c:pt idx="190">
                  <c:v>43.884615384615444</c:v>
                </c:pt>
                <c:pt idx="191">
                  <c:v>44.115384615384677</c:v>
                </c:pt>
                <c:pt idx="192">
                  <c:v>44.346153846153911</c:v>
                </c:pt>
                <c:pt idx="193">
                  <c:v>44.576923076923144</c:v>
                </c:pt>
                <c:pt idx="194">
                  <c:v>44.807692307692378</c:v>
                </c:pt>
                <c:pt idx="195">
                  <c:v>45.038461538461611</c:v>
                </c:pt>
                <c:pt idx="196">
                  <c:v>45.269230769230845</c:v>
                </c:pt>
                <c:pt idx="197">
                  <c:v>45.500000000000078</c:v>
                </c:pt>
                <c:pt idx="198">
                  <c:v>45.730769230769312</c:v>
                </c:pt>
                <c:pt idx="199">
                  <c:v>45.961538461538545</c:v>
                </c:pt>
                <c:pt idx="200">
                  <c:v>46.192307692307779</c:v>
                </c:pt>
                <c:pt idx="201">
                  <c:v>46.423076923077012</c:v>
                </c:pt>
                <c:pt idx="202">
                  <c:v>46.653846153846246</c:v>
                </c:pt>
                <c:pt idx="203">
                  <c:v>46.884615384615479</c:v>
                </c:pt>
                <c:pt idx="204">
                  <c:v>47.115384615384713</c:v>
                </c:pt>
                <c:pt idx="205">
                  <c:v>47.346153846153946</c:v>
                </c:pt>
                <c:pt idx="206">
                  <c:v>47.57692307692318</c:v>
                </c:pt>
                <c:pt idx="207">
                  <c:v>47.807692307692413</c:v>
                </c:pt>
                <c:pt idx="208">
                  <c:v>48.038461538461647</c:v>
                </c:pt>
                <c:pt idx="209">
                  <c:v>48.26923076923088</c:v>
                </c:pt>
                <c:pt idx="210">
                  <c:v>48.500000000000114</c:v>
                </c:pt>
                <c:pt idx="211">
                  <c:v>48.730769230769347</c:v>
                </c:pt>
                <c:pt idx="212">
                  <c:v>48.961538461538581</c:v>
                </c:pt>
                <c:pt idx="213">
                  <c:v>49.192307692307814</c:v>
                </c:pt>
                <c:pt idx="214">
                  <c:v>49.423076923077048</c:v>
                </c:pt>
                <c:pt idx="215">
                  <c:v>49.653846153846281</c:v>
                </c:pt>
                <c:pt idx="216">
                  <c:v>49.884615384615515</c:v>
                </c:pt>
                <c:pt idx="217">
                  <c:v>50.115384615384748</c:v>
                </c:pt>
                <c:pt idx="218">
                  <c:v>50.346153846153982</c:v>
                </c:pt>
                <c:pt idx="219">
                  <c:v>50.576923076923215</c:v>
                </c:pt>
                <c:pt idx="220">
                  <c:v>50.807692307692449</c:v>
                </c:pt>
                <c:pt idx="221">
                  <c:v>51.038461538461682</c:v>
                </c:pt>
                <c:pt idx="222">
                  <c:v>51.269230769230916</c:v>
                </c:pt>
                <c:pt idx="223">
                  <c:v>51.500000000000149</c:v>
                </c:pt>
                <c:pt idx="224">
                  <c:v>51.730769230769383</c:v>
                </c:pt>
                <c:pt idx="225">
                  <c:v>51.961538461538616</c:v>
                </c:pt>
                <c:pt idx="226">
                  <c:v>52.19230769230785</c:v>
                </c:pt>
                <c:pt idx="227">
                  <c:v>52.423076923077083</c:v>
                </c:pt>
                <c:pt idx="228">
                  <c:v>52.653846153846317</c:v>
                </c:pt>
                <c:pt idx="229">
                  <c:v>52.88461538461555</c:v>
                </c:pt>
                <c:pt idx="230">
                  <c:v>53.115384615384784</c:v>
                </c:pt>
                <c:pt idx="231">
                  <c:v>53.346153846154017</c:v>
                </c:pt>
                <c:pt idx="232">
                  <c:v>53.576923076923251</c:v>
                </c:pt>
                <c:pt idx="233">
                  <c:v>53.807692307692484</c:v>
                </c:pt>
                <c:pt idx="234">
                  <c:v>54.038461538461718</c:v>
                </c:pt>
                <c:pt idx="235">
                  <c:v>54.269230769230951</c:v>
                </c:pt>
                <c:pt idx="236">
                  <c:v>54.500000000000185</c:v>
                </c:pt>
                <c:pt idx="237">
                  <c:v>54.730769230769418</c:v>
                </c:pt>
                <c:pt idx="238">
                  <c:v>54.961538461538652</c:v>
                </c:pt>
                <c:pt idx="239">
                  <c:v>55.192307692307885</c:v>
                </c:pt>
                <c:pt idx="240">
                  <c:v>55.423076923077119</c:v>
                </c:pt>
                <c:pt idx="241">
                  <c:v>55.653846153846352</c:v>
                </c:pt>
                <c:pt idx="242">
                  <c:v>55.884615384615586</c:v>
                </c:pt>
                <c:pt idx="243">
                  <c:v>56.115384615384819</c:v>
                </c:pt>
                <c:pt idx="244">
                  <c:v>56.346153846154053</c:v>
                </c:pt>
                <c:pt idx="245">
                  <c:v>56.576923076923286</c:v>
                </c:pt>
                <c:pt idx="246">
                  <c:v>56.80769230769252</c:v>
                </c:pt>
                <c:pt idx="247">
                  <c:v>57.038461538461753</c:v>
                </c:pt>
                <c:pt idx="248">
                  <c:v>57.269230769230987</c:v>
                </c:pt>
                <c:pt idx="249">
                  <c:v>57.50000000000022</c:v>
                </c:pt>
                <c:pt idx="250">
                  <c:v>57.730769230769454</c:v>
                </c:pt>
                <c:pt idx="251">
                  <c:v>57.961538461538687</c:v>
                </c:pt>
                <c:pt idx="252">
                  <c:v>58.192307692307921</c:v>
                </c:pt>
                <c:pt idx="253">
                  <c:v>58.423076923077154</c:v>
                </c:pt>
                <c:pt idx="254">
                  <c:v>58.653846153846388</c:v>
                </c:pt>
                <c:pt idx="255">
                  <c:v>58.884615384615621</c:v>
                </c:pt>
                <c:pt idx="256">
                  <c:v>59.115384615384855</c:v>
                </c:pt>
                <c:pt idx="257">
                  <c:v>59.346153846154088</c:v>
                </c:pt>
                <c:pt idx="258">
                  <c:v>59.576923076923322</c:v>
                </c:pt>
                <c:pt idx="259">
                  <c:v>59.807692307692555</c:v>
                </c:pt>
                <c:pt idx="260">
                  <c:v>60.038461538461789</c:v>
                </c:pt>
                <c:pt idx="261">
                  <c:v>60.269230769231022</c:v>
                </c:pt>
                <c:pt idx="262">
                  <c:v>60.500000000000256</c:v>
                </c:pt>
                <c:pt idx="263">
                  <c:v>60.730769230769489</c:v>
                </c:pt>
                <c:pt idx="264">
                  <c:v>60.961538461538723</c:v>
                </c:pt>
                <c:pt idx="265">
                  <c:v>61.192307692307956</c:v>
                </c:pt>
                <c:pt idx="266">
                  <c:v>61.42307692307719</c:v>
                </c:pt>
                <c:pt idx="267">
                  <c:v>61.653846153846423</c:v>
                </c:pt>
                <c:pt idx="268">
                  <c:v>61.884615384615657</c:v>
                </c:pt>
                <c:pt idx="269">
                  <c:v>62.11538461538489</c:v>
                </c:pt>
                <c:pt idx="270">
                  <c:v>62.346153846154124</c:v>
                </c:pt>
                <c:pt idx="271">
                  <c:v>62.576923076923357</c:v>
                </c:pt>
                <c:pt idx="272">
                  <c:v>62.807692307692591</c:v>
                </c:pt>
                <c:pt idx="273">
                  <c:v>63.038461538461824</c:v>
                </c:pt>
                <c:pt idx="274">
                  <c:v>63.269230769231058</c:v>
                </c:pt>
                <c:pt idx="275">
                  <c:v>63.500000000000291</c:v>
                </c:pt>
                <c:pt idx="276">
                  <c:v>63.730769230769525</c:v>
                </c:pt>
                <c:pt idx="277">
                  <c:v>63.961538461538758</c:v>
                </c:pt>
                <c:pt idx="278">
                  <c:v>64.192307692307992</c:v>
                </c:pt>
                <c:pt idx="279">
                  <c:v>64.423076923077218</c:v>
                </c:pt>
                <c:pt idx="280">
                  <c:v>64.653846153846445</c:v>
                </c:pt>
                <c:pt idx="281">
                  <c:v>64.884615384615671</c:v>
                </c:pt>
                <c:pt idx="282">
                  <c:v>65.115384615384897</c:v>
                </c:pt>
                <c:pt idx="283">
                  <c:v>65.346153846154124</c:v>
                </c:pt>
                <c:pt idx="284">
                  <c:v>65.57692307692335</c:v>
                </c:pt>
                <c:pt idx="285">
                  <c:v>65.807692307692577</c:v>
                </c:pt>
                <c:pt idx="286">
                  <c:v>66.038461538461803</c:v>
                </c:pt>
                <c:pt idx="287">
                  <c:v>66.269230769231029</c:v>
                </c:pt>
                <c:pt idx="288">
                  <c:v>66.500000000000256</c:v>
                </c:pt>
                <c:pt idx="289">
                  <c:v>66.730769230769482</c:v>
                </c:pt>
                <c:pt idx="290">
                  <c:v>66.961538461538709</c:v>
                </c:pt>
                <c:pt idx="291">
                  <c:v>67.192307692307935</c:v>
                </c:pt>
                <c:pt idx="292">
                  <c:v>67.423076923077161</c:v>
                </c:pt>
                <c:pt idx="293">
                  <c:v>67.653846153846388</c:v>
                </c:pt>
                <c:pt idx="294">
                  <c:v>67.884615384615614</c:v>
                </c:pt>
                <c:pt idx="295">
                  <c:v>68.115384615384841</c:v>
                </c:pt>
                <c:pt idx="296">
                  <c:v>68.346153846154067</c:v>
                </c:pt>
                <c:pt idx="297">
                  <c:v>68.576923076923293</c:v>
                </c:pt>
                <c:pt idx="298">
                  <c:v>68.80769230769252</c:v>
                </c:pt>
                <c:pt idx="299">
                  <c:v>69.038461538461746</c:v>
                </c:pt>
                <c:pt idx="300">
                  <c:v>69.269230769230973</c:v>
                </c:pt>
                <c:pt idx="301">
                  <c:v>69.500000000000199</c:v>
                </c:pt>
                <c:pt idx="302">
                  <c:v>69.730769230769425</c:v>
                </c:pt>
                <c:pt idx="303">
                  <c:v>69.961538461538652</c:v>
                </c:pt>
                <c:pt idx="304">
                  <c:v>70.192307692307878</c:v>
                </c:pt>
                <c:pt idx="305">
                  <c:v>70.423076923077105</c:v>
                </c:pt>
                <c:pt idx="306">
                  <c:v>70.653846153846331</c:v>
                </c:pt>
                <c:pt idx="307">
                  <c:v>70.884615384615557</c:v>
                </c:pt>
                <c:pt idx="308">
                  <c:v>71.115384615384784</c:v>
                </c:pt>
                <c:pt idx="309">
                  <c:v>71.34615384615401</c:v>
                </c:pt>
                <c:pt idx="310">
                  <c:v>71.576923076923237</c:v>
                </c:pt>
                <c:pt idx="311">
                  <c:v>71.807692307692463</c:v>
                </c:pt>
                <c:pt idx="312">
                  <c:v>72.038461538461689</c:v>
                </c:pt>
                <c:pt idx="313">
                  <c:v>72.269230769230916</c:v>
                </c:pt>
                <c:pt idx="314">
                  <c:v>72.500000000000142</c:v>
                </c:pt>
                <c:pt idx="315">
                  <c:v>72.730769230769369</c:v>
                </c:pt>
                <c:pt idx="316">
                  <c:v>72.961538461538595</c:v>
                </c:pt>
                <c:pt idx="317">
                  <c:v>73.192307692307821</c:v>
                </c:pt>
                <c:pt idx="318">
                  <c:v>73.423076923077048</c:v>
                </c:pt>
                <c:pt idx="319">
                  <c:v>73.653846153846274</c:v>
                </c:pt>
                <c:pt idx="320">
                  <c:v>73.8846153846155</c:v>
                </c:pt>
                <c:pt idx="321">
                  <c:v>74.115384615384727</c:v>
                </c:pt>
                <c:pt idx="322">
                  <c:v>74.346153846153953</c:v>
                </c:pt>
                <c:pt idx="323">
                  <c:v>74.57692307692318</c:v>
                </c:pt>
                <c:pt idx="324">
                  <c:v>74.807692307692406</c:v>
                </c:pt>
                <c:pt idx="325">
                  <c:v>75.038461538461632</c:v>
                </c:pt>
                <c:pt idx="326">
                  <c:v>75.269230769230859</c:v>
                </c:pt>
                <c:pt idx="327">
                  <c:v>75.500000000000085</c:v>
                </c:pt>
                <c:pt idx="328">
                  <c:v>75.730769230769312</c:v>
                </c:pt>
                <c:pt idx="329">
                  <c:v>75.961538461538538</c:v>
                </c:pt>
                <c:pt idx="330">
                  <c:v>76.192307692307764</c:v>
                </c:pt>
                <c:pt idx="331">
                  <c:v>76.423076923076991</c:v>
                </c:pt>
                <c:pt idx="332">
                  <c:v>76.653846153846217</c:v>
                </c:pt>
                <c:pt idx="333">
                  <c:v>76.884615384615444</c:v>
                </c:pt>
                <c:pt idx="334">
                  <c:v>77.11538461538467</c:v>
                </c:pt>
                <c:pt idx="335">
                  <c:v>77.346153846153896</c:v>
                </c:pt>
                <c:pt idx="336">
                  <c:v>77.576923076923123</c:v>
                </c:pt>
                <c:pt idx="337">
                  <c:v>77.807692307692349</c:v>
                </c:pt>
                <c:pt idx="338">
                  <c:v>78.038461538461576</c:v>
                </c:pt>
                <c:pt idx="339">
                  <c:v>78.269230769230802</c:v>
                </c:pt>
                <c:pt idx="340">
                  <c:v>78.500000000000028</c:v>
                </c:pt>
                <c:pt idx="341">
                  <c:v>78.730769230769255</c:v>
                </c:pt>
                <c:pt idx="342">
                  <c:v>78.961538461538481</c:v>
                </c:pt>
                <c:pt idx="343">
                  <c:v>79.192307692307708</c:v>
                </c:pt>
                <c:pt idx="344">
                  <c:v>79.423076923076934</c:v>
                </c:pt>
                <c:pt idx="345">
                  <c:v>79.65384615384616</c:v>
                </c:pt>
                <c:pt idx="346">
                  <c:v>79.884615384615387</c:v>
                </c:pt>
                <c:pt idx="347">
                  <c:v>80.115384615384613</c:v>
                </c:pt>
                <c:pt idx="348">
                  <c:v>80.34615384615384</c:v>
                </c:pt>
                <c:pt idx="349">
                  <c:v>80.576923076923066</c:v>
                </c:pt>
                <c:pt idx="350">
                  <c:v>80.807692307692292</c:v>
                </c:pt>
                <c:pt idx="351">
                  <c:v>81.038461538461519</c:v>
                </c:pt>
                <c:pt idx="352">
                  <c:v>81.269230769230745</c:v>
                </c:pt>
                <c:pt idx="353">
                  <c:v>81.499999999999972</c:v>
                </c:pt>
                <c:pt idx="354">
                  <c:v>81.730769230769198</c:v>
                </c:pt>
                <c:pt idx="355">
                  <c:v>81.961538461538424</c:v>
                </c:pt>
                <c:pt idx="356">
                  <c:v>82.192307692307651</c:v>
                </c:pt>
                <c:pt idx="357">
                  <c:v>82.423076923076877</c:v>
                </c:pt>
                <c:pt idx="358">
                  <c:v>82.653846153846104</c:v>
                </c:pt>
                <c:pt idx="359">
                  <c:v>82.88461538461533</c:v>
                </c:pt>
                <c:pt idx="360">
                  <c:v>83.115384615384556</c:v>
                </c:pt>
                <c:pt idx="361">
                  <c:v>83.346153846153783</c:v>
                </c:pt>
                <c:pt idx="362">
                  <c:v>83.576923076923009</c:v>
                </c:pt>
                <c:pt idx="363">
                  <c:v>83.807692307692236</c:v>
                </c:pt>
                <c:pt idx="364">
                  <c:v>84.038461538461462</c:v>
                </c:pt>
                <c:pt idx="365">
                  <c:v>84.269230769230688</c:v>
                </c:pt>
                <c:pt idx="366">
                  <c:v>84.499999999999915</c:v>
                </c:pt>
                <c:pt idx="367">
                  <c:v>84.730769230769141</c:v>
                </c:pt>
                <c:pt idx="368">
                  <c:v>84.961538461538368</c:v>
                </c:pt>
                <c:pt idx="369">
                  <c:v>85.192307692307594</c:v>
                </c:pt>
                <c:pt idx="370">
                  <c:v>85.42307692307682</c:v>
                </c:pt>
                <c:pt idx="371">
                  <c:v>85.653846153846047</c:v>
                </c:pt>
                <c:pt idx="372">
                  <c:v>85.884615384615273</c:v>
                </c:pt>
                <c:pt idx="373">
                  <c:v>86.1153846153845</c:v>
                </c:pt>
                <c:pt idx="374">
                  <c:v>86.346153846153726</c:v>
                </c:pt>
                <c:pt idx="375">
                  <c:v>86.576923076922952</c:v>
                </c:pt>
                <c:pt idx="376">
                  <c:v>86.807692307692179</c:v>
                </c:pt>
                <c:pt idx="377">
                  <c:v>87.038461538461405</c:v>
                </c:pt>
                <c:pt idx="378">
                  <c:v>87.269230769230631</c:v>
                </c:pt>
                <c:pt idx="379">
                  <c:v>87.499999999999858</c:v>
                </c:pt>
                <c:pt idx="380">
                  <c:v>87.730769230769084</c:v>
                </c:pt>
                <c:pt idx="381">
                  <c:v>87.961538461538311</c:v>
                </c:pt>
                <c:pt idx="382">
                  <c:v>88.192307692307537</c:v>
                </c:pt>
                <c:pt idx="383">
                  <c:v>88.423076923076763</c:v>
                </c:pt>
                <c:pt idx="384">
                  <c:v>88.65384615384599</c:v>
                </c:pt>
                <c:pt idx="385">
                  <c:v>88.884615384615216</c:v>
                </c:pt>
                <c:pt idx="386">
                  <c:v>89.115384615384443</c:v>
                </c:pt>
                <c:pt idx="387">
                  <c:v>89.346153846153669</c:v>
                </c:pt>
                <c:pt idx="388">
                  <c:v>89.576923076922895</c:v>
                </c:pt>
                <c:pt idx="389">
                  <c:v>89.807692307692122</c:v>
                </c:pt>
                <c:pt idx="390">
                  <c:v>90.038461538461348</c:v>
                </c:pt>
                <c:pt idx="391">
                  <c:v>90.269230769230575</c:v>
                </c:pt>
                <c:pt idx="392">
                  <c:v>90.499999999999801</c:v>
                </c:pt>
                <c:pt idx="393">
                  <c:v>90.730769230769027</c:v>
                </c:pt>
                <c:pt idx="394">
                  <c:v>90.961538461538254</c:v>
                </c:pt>
                <c:pt idx="395">
                  <c:v>91.19230769230748</c:v>
                </c:pt>
                <c:pt idx="396">
                  <c:v>91.423076923076707</c:v>
                </c:pt>
                <c:pt idx="397">
                  <c:v>91.653846153845933</c:v>
                </c:pt>
                <c:pt idx="398">
                  <c:v>91.884615384615159</c:v>
                </c:pt>
                <c:pt idx="399">
                  <c:v>92.115384615384386</c:v>
                </c:pt>
                <c:pt idx="400">
                  <c:v>92.346153846153612</c:v>
                </c:pt>
                <c:pt idx="401">
                  <c:v>92.576923076922839</c:v>
                </c:pt>
                <c:pt idx="402">
                  <c:v>92.807692307692065</c:v>
                </c:pt>
                <c:pt idx="403">
                  <c:v>93.038461538461291</c:v>
                </c:pt>
                <c:pt idx="404">
                  <c:v>93.269230769230518</c:v>
                </c:pt>
                <c:pt idx="405">
                  <c:v>93.499999999999744</c:v>
                </c:pt>
                <c:pt idx="406">
                  <c:v>93.730769230768971</c:v>
                </c:pt>
                <c:pt idx="407">
                  <c:v>93.961538461538197</c:v>
                </c:pt>
                <c:pt idx="408">
                  <c:v>94.192307692307423</c:v>
                </c:pt>
                <c:pt idx="409">
                  <c:v>94.42307692307665</c:v>
                </c:pt>
                <c:pt idx="410">
                  <c:v>94.653846153845876</c:v>
                </c:pt>
                <c:pt idx="411">
                  <c:v>94.884615384615103</c:v>
                </c:pt>
                <c:pt idx="412">
                  <c:v>95.115384615384329</c:v>
                </c:pt>
                <c:pt idx="413">
                  <c:v>95.346153846153555</c:v>
                </c:pt>
                <c:pt idx="414">
                  <c:v>95.576923076922782</c:v>
                </c:pt>
                <c:pt idx="415">
                  <c:v>95.807692307692008</c:v>
                </c:pt>
                <c:pt idx="416">
                  <c:v>96.038461538461235</c:v>
                </c:pt>
                <c:pt idx="417">
                  <c:v>96.269230769230461</c:v>
                </c:pt>
                <c:pt idx="418">
                  <c:v>96.499999999999687</c:v>
                </c:pt>
                <c:pt idx="419">
                  <c:v>96.730769230768914</c:v>
                </c:pt>
                <c:pt idx="420">
                  <c:v>96.96153846153814</c:v>
                </c:pt>
                <c:pt idx="421">
                  <c:v>97.192307692307367</c:v>
                </c:pt>
                <c:pt idx="422">
                  <c:v>97.423076923076593</c:v>
                </c:pt>
                <c:pt idx="423">
                  <c:v>97.653846153845819</c:v>
                </c:pt>
                <c:pt idx="424">
                  <c:v>97.884615384615046</c:v>
                </c:pt>
                <c:pt idx="425">
                  <c:v>98.115384615384272</c:v>
                </c:pt>
                <c:pt idx="426">
                  <c:v>98.346153846153499</c:v>
                </c:pt>
                <c:pt idx="427">
                  <c:v>98.576923076922725</c:v>
                </c:pt>
                <c:pt idx="428">
                  <c:v>98.807692307691951</c:v>
                </c:pt>
                <c:pt idx="429">
                  <c:v>99.038461538461178</c:v>
                </c:pt>
                <c:pt idx="430">
                  <c:v>99.269230769230404</c:v>
                </c:pt>
                <c:pt idx="431">
                  <c:v>99.499999999999631</c:v>
                </c:pt>
                <c:pt idx="432">
                  <c:v>99.730769230768857</c:v>
                </c:pt>
                <c:pt idx="433">
                  <c:v>99.961538461538083</c:v>
                </c:pt>
              </c:numCache>
            </c:numRef>
          </c:cat>
          <c:val>
            <c:numRef>
              <c:f>'FEV trace'!$B$7:$PS$7</c:f>
              <c:numCache>
                <c:formatCode>General</c:formatCode>
                <c:ptCount val="434"/>
                <c:pt idx="0">
                  <c:v>63.060899999999997</c:v>
                </c:pt>
                <c:pt idx="1">
                  <c:v>63.149462257513321</c:v>
                </c:pt>
                <c:pt idx="2">
                  <c:v>63.196309739866912</c:v>
                </c:pt>
                <c:pt idx="3">
                  <c:v>61.903407876913789</c:v>
                </c:pt>
                <c:pt idx="4">
                  <c:v>61.680947047584041</c:v>
                </c:pt>
                <c:pt idx="5">
                  <c:v>61.472263338956701</c:v>
                </c:pt>
                <c:pt idx="6">
                  <c:v>61.229720259047653</c:v>
                </c:pt>
                <c:pt idx="7">
                  <c:v>60.991774469401321</c:v>
                </c:pt>
                <c:pt idx="8">
                  <c:v>60.80717404003915</c:v>
                </c:pt>
                <c:pt idx="9">
                  <c:v>60.593897546100571</c:v>
                </c:pt>
                <c:pt idx="10">
                  <c:v>60.38547155670129</c:v>
                </c:pt>
                <c:pt idx="11">
                  <c:v>60.173744952080114</c:v>
                </c:pt>
                <c:pt idx="12">
                  <c:v>60.004868177338814</c:v>
                </c:pt>
                <c:pt idx="13">
                  <c:v>59.809224492366347</c:v>
                </c:pt>
                <c:pt idx="14">
                  <c:v>59.618823970900337</c:v>
                </c:pt>
                <c:pt idx="15">
                  <c:v>59.408789394883733</c:v>
                </c:pt>
                <c:pt idx="16">
                  <c:v>59.230157571182609</c:v>
                </c:pt>
                <c:pt idx="17">
                  <c:v>59.064747188147379</c:v>
                </c:pt>
                <c:pt idx="18">
                  <c:v>58.904480168166792</c:v>
                </c:pt>
                <c:pt idx="19">
                  <c:v>58.756849795148391</c:v>
                </c:pt>
                <c:pt idx="20">
                  <c:v>58.61124771801699</c:v>
                </c:pt>
                <c:pt idx="21">
                  <c:v>58.443553733890624</c:v>
                </c:pt>
                <c:pt idx="22">
                  <c:v>58.300005764713823</c:v>
                </c:pt>
                <c:pt idx="23">
                  <c:v>58.129809165376258</c:v>
                </c:pt>
                <c:pt idx="24">
                  <c:v>58.005544309450194</c:v>
                </c:pt>
                <c:pt idx="25">
                  <c:v>57.894285780970336</c:v>
                </c:pt>
                <c:pt idx="26">
                  <c:v>57.760976126181554</c:v>
                </c:pt>
                <c:pt idx="27">
                  <c:v>57.655230089824727</c:v>
                </c:pt>
                <c:pt idx="28">
                  <c:v>57.53432172628758</c:v>
                </c:pt>
                <c:pt idx="29">
                  <c:v>57.420481025461484</c:v>
                </c:pt>
                <c:pt idx="30">
                  <c:v>57.303515353690685</c:v>
                </c:pt>
                <c:pt idx="31">
                  <c:v>57.213054480812048</c:v>
                </c:pt>
                <c:pt idx="32">
                  <c:v>57.1305617530601</c:v>
                </c:pt>
                <c:pt idx="33">
                  <c:v>57.031984943872544</c:v>
                </c:pt>
                <c:pt idx="34">
                  <c:v>56.960518017544821</c:v>
                </c:pt>
                <c:pt idx="35">
                  <c:v>56.898307821383192</c:v>
                </c:pt>
                <c:pt idx="36">
                  <c:v>56.816131189050189</c:v>
                </c:pt>
                <c:pt idx="37">
                  <c:v>56.778325494478537</c:v>
                </c:pt>
                <c:pt idx="38">
                  <c:v>56.74358219978506</c:v>
                </c:pt>
                <c:pt idx="39">
                  <c:v>56.671038385971862</c:v>
                </c:pt>
                <c:pt idx="40">
                  <c:v>56.626759818749932</c:v>
                </c:pt>
                <c:pt idx="41">
                  <c:v>56.676137558882459</c:v>
                </c:pt>
                <c:pt idx="42">
                  <c:v>56.704131288402898</c:v>
                </c:pt>
                <c:pt idx="43">
                  <c:v>56.747472001005036</c:v>
                </c:pt>
                <c:pt idx="44">
                  <c:v>56.772433209915683</c:v>
                </c:pt>
                <c:pt idx="45">
                  <c:v>56.789641306428216</c:v>
                </c:pt>
                <c:pt idx="46">
                  <c:v>56.830801259237262</c:v>
                </c:pt>
                <c:pt idx="47">
                  <c:v>56.848983942345583</c:v>
                </c:pt>
                <c:pt idx="48">
                  <c:v>56.932399532413989</c:v>
                </c:pt>
                <c:pt idx="49">
                  <c:v>56.960505623260246</c:v>
                </c:pt>
                <c:pt idx="50">
                  <c:v>57.036570353360148</c:v>
                </c:pt>
                <c:pt idx="51">
                  <c:v>57.099819612193755</c:v>
                </c:pt>
                <c:pt idx="52">
                  <c:v>57.144118843520566</c:v>
                </c:pt>
                <c:pt idx="53">
                  <c:v>57.247784726246223</c:v>
                </c:pt>
                <c:pt idx="54">
                  <c:v>57.31385123445142</c:v>
                </c:pt>
                <c:pt idx="55">
                  <c:v>57.395139982759808</c:v>
                </c:pt>
                <c:pt idx="56">
                  <c:v>57.455001176157438</c:v>
                </c:pt>
                <c:pt idx="57">
                  <c:v>57.552932744389118</c:v>
                </c:pt>
                <c:pt idx="58">
                  <c:v>57.650182053488578</c:v>
                </c:pt>
                <c:pt idx="59">
                  <c:v>57.769008963065751</c:v>
                </c:pt>
                <c:pt idx="60">
                  <c:v>57.875651328803301</c:v>
                </c:pt>
                <c:pt idx="61">
                  <c:v>57.981209049733671</c:v>
                </c:pt>
                <c:pt idx="62">
                  <c:v>58.064714845246066</c:v>
                </c:pt>
                <c:pt idx="63">
                  <c:v>58.245059334805831</c:v>
                </c:pt>
                <c:pt idx="64">
                  <c:v>58.370984447079394</c:v>
                </c:pt>
                <c:pt idx="65">
                  <c:v>58.488156425543615</c:v>
                </c:pt>
                <c:pt idx="66">
                  <c:v>58.631645543178422</c:v>
                </c:pt>
                <c:pt idx="67">
                  <c:v>58.757601342094574</c:v>
                </c:pt>
                <c:pt idx="68">
                  <c:v>58.902818093712213</c:v>
                </c:pt>
                <c:pt idx="69">
                  <c:v>59.026754031508979</c:v>
                </c:pt>
                <c:pt idx="70">
                  <c:v>59.206650479113939</c:v>
                </c:pt>
                <c:pt idx="71">
                  <c:v>59.380005825631216</c:v>
                </c:pt>
                <c:pt idx="72">
                  <c:v>59.557716514880894</c:v>
                </c:pt>
                <c:pt idx="73">
                  <c:v>59.78202018485181</c:v>
                </c:pt>
                <c:pt idx="74">
                  <c:v>59.97196232358057</c:v>
                </c:pt>
                <c:pt idx="75">
                  <c:v>60.143520906138022</c:v>
                </c:pt>
                <c:pt idx="76">
                  <c:v>60.374455232579734</c:v>
                </c:pt>
                <c:pt idx="77">
                  <c:v>60.577220823895487</c:v>
                </c:pt>
                <c:pt idx="78">
                  <c:v>60.773230908870929</c:v>
                </c:pt>
                <c:pt idx="79">
                  <c:v>61.019779648274451</c:v>
                </c:pt>
                <c:pt idx="80">
                  <c:v>61.266749968889641</c:v>
                </c:pt>
                <c:pt idx="81">
                  <c:v>61.461890328946332</c:v>
                </c:pt>
                <c:pt idx="82">
                  <c:v>61.697515116488653</c:v>
                </c:pt>
                <c:pt idx="83">
                  <c:v>61.937230113984121</c:v>
                </c:pt>
                <c:pt idx="84">
                  <c:v>62.177392482721942</c:v>
                </c:pt>
                <c:pt idx="85">
                  <c:v>62.499581084189067</c:v>
                </c:pt>
                <c:pt idx="86">
                  <c:v>62.723419376419088</c:v>
                </c:pt>
                <c:pt idx="87">
                  <c:v>62.974306958250608</c:v>
                </c:pt>
                <c:pt idx="88">
                  <c:v>63.232915591097182</c:v>
                </c:pt>
                <c:pt idx="89">
                  <c:v>63.547460284722362</c:v>
                </c:pt>
                <c:pt idx="90">
                  <c:v>63.794414075488667</c:v>
                </c:pt>
                <c:pt idx="91">
                  <c:v>64.011748093784021</c:v>
                </c:pt>
                <c:pt idx="92">
                  <c:v>64.326427110001802</c:v>
                </c:pt>
                <c:pt idx="93">
                  <c:v>64.559297832001647</c:v>
                </c:pt>
                <c:pt idx="94">
                  <c:v>64.818195838256827</c:v>
                </c:pt>
                <c:pt idx="95">
                  <c:v>65.045337735428561</c:v>
                </c:pt>
                <c:pt idx="96">
                  <c:v>65.271380785757813</c:v>
                </c:pt>
                <c:pt idx="97">
                  <c:v>65.511426216780251</c:v>
                </c:pt>
                <c:pt idx="98">
                  <c:v>65.772453370592672</c:v>
                </c:pt>
                <c:pt idx="99">
                  <c:v>66.056292914181455</c:v>
                </c:pt>
                <c:pt idx="100">
                  <c:v>66.331622791979584</c:v>
                </c:pt>
                <c:pt idx="101">
                  <c:v>66.560261156176907</c:v>
                </c:pt>
                <c:pt idx="102">
                  <c:v>66.787321820058423</c:v>
                </c:pt>
                <c:pt idx="103">
                  <c:v>67.084925433152989</c:v>
                </c:pt>
                <c:pt idx="104">
                  <c:v>67.345249855602333</c:v>
                </c:pt>
                <c:pt idx="105">
                  <c:v>67.643879762958093</c:v>
                </c:pt>
                <c:pt idx="106">
                  <c:v>67.889550512071537</c:v>
                </c:pt>
                <c:pt idx="107">
                  <c:v>68.133611445540225</c:v>
                </c:pt>
                <c:pt idx="108">
                  <c:v>68.359682938766625</c:v>
                </c:pt>
                <c:pt idx="109">
                  <c:v>68.590868250090793</c:v>
                </c:pt>
                <c:pt idx="110">
                  <c:v>68.814635220073598</c:v>
                </c:pt>
                <c:pt idx="111">
                  <c:v>69.052592891848292</c:v>
                </c:pt>
                <c:pt idx="112">
                  <c:v>69.30113257900453</c:v>
                </c:pt>
                <c:pt idx="113">
                  <c:v>69.511849709476849</c:v>
                </c:pt>
                <c:pt idx="114">
                  <c:v>69.751038928338943</c:v>
                </c:pt>
                <c:pt idx="115">
                  <c:v>69.986554079936496</c:v>
                </c:pt>
                <c:pt idx="116">
                  <c:v>70.238276529338918</c:v>
                </c:pt>
                <c:pt idx="117">
                  <c:v>70.510010726112</c:v>
                </c:pt>
                <c:pt idx="118">
                  <c:v>70.764512015191968</c:v>
                </c:pt>
                <c:pt idx="119">
                  <c:v>70.994176166508112</c:v>
                </c:pt>
                <c:pt idx="120">
                  <c:v>71.225286076557083</c:v>
                </c:pt>
                <c:pt idx="121">
                  <c:v>71.433034422956894</c:v>
                </c:pt>
                <c:pt idx="122">
                  <c:v>71.64665501933095</c:v>
                </c:pt>
                <c:pt idx="123">
                  <c:v>71.844647034944316</c:v>
                </c:pt>
                <c:pt idx="124">
                  <c:v>72.042612984226722</c:v>
                </c:pt>
                <c:pt idx="125">
                  <c:v>72.239083280231995</c:v>
                </c:pt>
                <c:pt idx="126">
                  <c:v>72.46318940802071</c:v>
                </c:pt>
                <c:pt idx="127">
                  <c:v>72.653032865694129</c:v>
                </c:pt>
                <c:pt idx="128">
                  <c:v>72.828792406688976</c:v>
                </c:pt>
                <c:pt idx="129">
                  <c:v>73.030923632688442</c:v>
                </c:pt>
                <c:pt idx="130">
                  <c:v>73.242529498062225</c:v>
                </c:pt>
                <c:pt idx="131">
                  <c:v>73.444851738454474</c:v>
                </c:pt>
                <c:pt idx="132">
                  <c:v>73.654299756368289</c:v>
                </c:pt>
                <c:pt idx="133">
                  <c:v>73.875667970029511</c:v>
                </c:pt>
                <c:pt idx="134">
                  <c:v>74.085704922340938</c:v>
                </c:pt>
                <c:pt idx="135">
                  <c:v>74.316291668569178</c:v>
                </c:pt>
                <c:pt idx="136">
                  <c:v>74.532601576333633</c:v>
                </c:pt>
                <c:pt idx="137">
                  <c:v>74.746688641678986</c:v>
                </c:pt>
                <c:pt idx="138">
                  <c:v>74.92322126649897</c:v>
                </c:pt>
                <c:pt idx="139">
                  <c:v>75.156917028443388</c:v>
                </c:pt>
                <c:pt idx="140">
                  <c:v>75.367500439291476</c:v>
                </c:pt>
                <c:pt idx="141">
                  <c:v>75.547602822745077</c:v>
                </c:pt>
                <c:pt idx="142">
                  <c:v>75.729310914365115</c:v>
                </c:pt>
                <c:pt idx="143">
                  <c:v>75.901855079271499</c:v>
                </c:pt>
                <c:pt idx="144">
                  <c:v>76.083865501118098</c:v>
                </c:pt>
                <c:pt idx="145">
                  <c:v>76.236955710259565</c:v>
                </c:pt>
                <c:pt idx="146">
                  <c:v>76.439632698769756</c:v>
                </c:pt>
                <c:pt idx="147">
                  <c:v>76.641125376198133</c:v>
                </c:pt>
                <c:pt idx="148">
                  <c:v>76.78071709796582</c:v>
                </c:pt>
                <c:pt idx="149">
                  <c:v>76.984489200409072</c:v>
                </c:pt>
                <c:pt idx="150">
                  <c:v>77.186382351450732</c:v>
                </c:pt>
                <c:pt idx="151">
                  <c:v>77.387705475394881</c:v>
                </c:pt>
                <c:pt idx="152">
                  <c:v>77.581443375374675</c:v>
                </c:pt>
                <c:pt idx="153">
                  <c:v>77.750822395250751</c:v>
                </c:pt>
                <c:pt idx="154">
                  <c:v>77.920607148453712</c:v>
                </c:pt>
                <c:pt idx="155">
                  <c:v>78.072213117493831</c:v>
                </c:pt>
                <c:pt idx="156">
                  <c:v>78.249046170154713</c:v>
                </c:pt>
                <c:pt idx="157">
                  <c:v>78.432695787146955</c:v>
                </c:pt>
                <c:pt idx="158">
                  <c:v>78.640445455109528</c:v>
                </c:pt>
                <c:pt idx="159">
                  <c:v>78.849579704663597</c:v>
                </c:pt>
                <c:pt idx="160">
                  <c:v>79.034286815237024</c:v>
                </c:pt>
                <c:pt idx="161">
                  <c:v>79.201417112285952</c:v>
                </c:pt>
                <c:pt idx="162">
                  <c:v>79.373732152916716</c:v>
                </c:pt>
                <c:pt idx="163">
                  <c:v>79.508500017719498</c:v>
                </c:pt>
                <c:pt idx="164">
                  <c:v>79.68461922216153</c:v>
                </c:pt>
                <c:pt idx="165">
                  <c:v>79.878729399431791</c:v>
                </c:pt>
                <c:pt idx="166">
                  <c:v>80.063935124358991</c:v>
                </c:pt>
                <c:pt idx="167">
                  <c:v>80.222698798716806</c:v>
                </c:pt>
                <c:pt idx="168">
                  <c:v>80.405810763516698</c:v>
                </c:pt>
                <c:pt idx="169">
                  <c:v>80.58877295174338</c:v>
                </c:pt>
                <c:pt idx="170">
                  <c:v>80.766470883119197</c:v>
                </c:pt>
                <c:pt idx="171">
                  <c:v>80.945345840098369</c:v>
                </c:pt>
                <c:pt idx="172">
                  <c:v>81.108223165188889</c:v>
                </c:pt>
                <c:pt idx="173">
                  <c:v>81.24648006641641</c:v>
                </c:pt>
                <c:pt idx="174">
                  <c:v>81.423313878537769</c:v>
                </c:pt>
                <c:pt idx="175">
                  <c:v>81.547547863007779</c:v>
                </c:pt>
                <c:pt idx="176">
                  <c:v>81.705832819527899</c:v>
                </c:pt>
                <c:pt idx="177">
                  <c:v>81.854328028610922</c:v>
                </c:pt>
                <c:pt idx="178">
                  <c:v>81.994082881237475</c:v>
                </c:pt>
                <c:pt idx="179">
                  <c:v>82.157286149464952</c:v>
                </c:pt>
                <c:pt idx="180">
                  <c:v>82.330460614944514</c:v>
                </c:pt>
                <c:pt idx="181">
                  <c:v>82.441203040742366</c:v>
                </c:pt>
                <c:pt idx="182">
                  <c:v>82.589681088514567</c:v>
                </c:pt>
                <c:pt idx="183">
                  <c:v>82.735711486106055</c:v>
                </c:pt>
                <c:pt idx="184">
                  <c:v>82.93225791399172</c:v>
                </c:pt>
                <c:pt idx="185">
                  <c:v>83.084513955542207</c:v>
                </c:pt>
                <c:pt idx="186">
                  <c:v>83.195884924364805</c:v>
                </c:pt>
                <c:pt idx="187">
                  <c:v>83.364839399318583</c:v>
                </c:pt>
                <c:pt idx="188">
                  <c:v>83.520065476620061</c:v>
                </c:pt>
                <c:pt idx="189">
                  <c:v>83.633480244226632</c:v>
                </c:pt>
                <c:pt idx="190">
                  <c:v>83.781317665540044</c:v>
                </c:pt>
                <c:pt idx="191">
                  <c:v>83.931789684751422</c:v>
                </c:pt>
                <c:pt idx="192">
                  <c:v>84.048803362483611</c:v>
                </c:pt>
                <c:pt idx="193">
                  <c:v>84.226294939464239</c:v>
                </c:pt>
                <c:pt idx="194">
                  <c:v>84.330690573382626</c:v>
                </c:pt>
                <c:pt idx="195">
                  <c:v>84.480765982734823</c:v>
                </c:pt>
                <c:pt idx="196">
                  <c:v>84.574028900025922</c:v>
                </c:pt>
                <c:pt idx="197">
                  <c:v>84.715309283604626</c:v>
                </c:pt>
                <c:pt idx="198">
                  <c:v>84.884376915042708</c:v>
                </c:pt>
                <c:pt idx="199">
                  <c:v>85.048009667413723</c:v>
                </c:pt>
                <c:pt idx="200">
                  <c:v>85.163622469480714</c:v>
                </c:pt>
                <c:pt idx="201">
                  <c:v>85.331111110505631</c:v>
                </c:pt>
                <c:pt idx="202">
                  <c:v>85.449210393739904</c:v>
                </c:pt>
                <c:pt idx="203">
                  <c:v>85.53485244956174</c:v>
                </c:pt>
                <c:pt idx="204">
                  <c:v>85.66249208533057</c:v>
                </c:pt>
                <c:pt idx="205">
                  <c:v>85.793391616175327</c:v>
                </c:pt>
                <c:pt idx="206">
                  <c:v>85.944209698455509</c:v>
                </c:pt>
                <c:pt idx="207">
                  <c:v>86.09379597098787</c:v>
                </c:pt>
                <c:pt idx="208">
                  <c:v>86.271164287507347</c:v>
                </c:pt>
                <c:pt idx="209">
                  <c:v>86.340637582417017</c:v>
                </c:pt>
                <c:pt idx="210">
                  <c:v>86.496583229085914</c:v>
                </c:pt>
                <c:pt idx="211">
                  <c:v>86.602934678029584</c:v>
                </c:pt>
                <c:pt idx="212">
                  <c:v>86.729889841851346</c:v>
                </c:pt>
                <c:pt idx="213">
                  <c:v>86.898273503015062</c:v>
                </c:pt>
                <c:pt idx="214">
                  <c:v>87.012093235688155</c:v>
                </c:pt>
                <c:pt idx="215">
                  <c:v>87.18151823549978</c:v>
                </c:pt>
                <c:pt idx="216">
                  <c:v>87.332033075914211</c:v>
                </c:pt>
                <c:pt idx="217">
                  <c:v>87.477666370548093</c:v>
                </c:pt>
                <c:pt idx="218">
                  <c:v>87.556882771834282</c:v>
                </c:pt>
                <c:pt idx="219">
                  <c:v>87.642828353046639</c:v>
                </c:pt>
                <c:pt idx="220">
                  <c:v>87.819627478588501</c:v>
                </c:pt>
                <c:pt idx="221">
                  <c:v>87.99358294614548</c:v>
                </c:pt>
                <c:pt idx="222">
                  <c:v>88.064981183410993</c:v>
                </c:pt>
                <c:pt idx="223">
                  <c:v>88.150126674191796</c:v>
                </c:pt>
                <c:pt idx="224">
                  <c:v>88.270766531516614</c:v>
                </c:pt>
                <c:pt idx="225">
                  <c:v>88.387765957767229</c:v>
                </c:pt>
                <c:pt idx="226">
                  <c:v>88.480512750311036</c:v>
                </c:pt>
                <c:pt idx="227">
                  <c:v>88.621082111827818</c:v>
                </c:pt>
                <c:pt idx="228">
                  <c:v>88.740157594013468</c:v>
                </c:pt>
                <c:pt idx="229">
                  <c:v>88.888274090225423</c:v>
                </c:pt>
                <c:pt idx="230">
                  <c:v>88.993757443001044</c:v>
                </c:pt>
                <c:pt idx="231">
                  <c:v>89.095374487697754</c:v>
                </c:pt>
                <c:pt idx="232">
                  <c:v>89.207602825547596</c:v>
                </c:pt>
                <c:pt idx="233">
                  <c:v>89.33567424746613</c:v>
                </c:pt>
                <c:pt idx="234">
                  <c:v>89.481673531902999</c:v>
                </c:pt>
                <c:pt idx="235">
                  <c:v>89.560378656921273</c:v>
                </c:pt>
                <c:pt idx="236">
                  <c:v>89.675305018891038</c:v>
                </c:pt>
                <c:pt idx="237">
                  <c:v>89.818275664713411</c:v>
                </c:pt>
                <c:pt idx="238">
                  <c:v>89.900323090112622</c:v>
                </c:pt>
                <c:pt idx="239">
                  <c:v>90.056825978512876</c:v>
                </c:pt>
                <c:pt idx="240">
                  <c:v>90.137808017458553</c:v>
                </c:pt>
                <c:pt idx="241">
                  <c:v>90.261853737270826</c:v>
                </c:pt>
                <c:pt idx="242">
                  <c:v>90.327643006370607</c:v>
                </c:pt>
                <c:pt idx="243">
                  <c:v>90.454824607250671</c:v>
                </c:pt>
                <c:pt idx="244">
                  <c:v>90.589683289506524</c:v>
                </c:pt>
                <c:pt idx="245">
                  <c:v>90.697978624407298</c:v>
                </c:pt>
                <c:pt idx="246">
                  <c:v>90.783407368880304</c:v>
                </c:pt>
                <c:pt idx="247">
                  <c:v>90.870874806050878</c:v>
                </c:pt>
                <c:pt idx="248">
                  <c:v>90.930684559536843</c:v>
                </c:pt>
                <c:pt idx="249">
                  <c:v>91.021427599838205</c:v>
                </c:pt>
                <c:pt idx="250">
                  <c:v>91.058761106427042</c:v>
                </c:pt>
                <c:pt idx="251">
                  <c:v>91.112425795329187</c:v>
                </c:pt>
                <c:pt idx="252">
                  <c:v>91.138255079562867</c:v>
                </c:pt>
                <c:pt idx="253">
                  <c:v>91.218653828550558</c:v>
                </c:pt>
                <c:pt idx="254">
                  <c:v>91.269135066694545</c:v>
                </c:pt>
                <c:pt idx="255">
                  <c:v>91.347022718262949</c:v>
                </c:pt>
                <c:pt idx="256">
                  <c:v>91.459875872688329</c:v>
                </c:pt>
                <c:pt idx="257">
                  <c:v>91.49168186450737</c:v>
                </c:pt>
                <c:pt idx="258">
                  <c:v>91.609726819330135</c:v>
                </c:pt>
                <c:pt idx="259">
                  <c:v>91.64321718357273</c:v>
                </c:pt>
                <c:pt idx="260">
                  <c:v>91.745398491331855</c:v>
                </c:pt>
                <c:pt idx="261">
                  <c:v>91.892010570655799</c:v>
                </c:pt>
                <c:pt idx="262">
                  <c:v>91.974396491227409</c:v>
                </c:pt>
                <c:pt idx="263">
                  <c:v>92.084305151720912</c:v>
                </c:pt>
                <c:pt idx="264">
                  <c:v>92.150712041779514</c:v>
                </c:pt>
                <c:pt idx="265">
                  <c:v>92.24121149597795</c:v>
                </c:pt>
                <c:pt idx="266">
                  <c:v>92.303140211349344</c:v>
                </c:pt>
                <c:pt idx="267">
                  <c:v>92.414530097746692</c:v>
                </c:pt>
                <c:pt idx="268">
                  <c:v>92.530633245191595</c:v>
                </c:pt>
                <c:pt idx="269">
                  <c:v>92.579390398762911</c:v>
                </c:pt>
                <c:pt idx="270">
                  <c:v>92.634443426170876</c:v>
                </c:pt>
                <c:pt idx="271">
                  <c:v>92.743416103102277</c:v>
                </c:pt>
                <c:pt idx="272">
                  <c:v>92.908001303112997</c:v>
                </c:pt>
                <c:pt idx="273">
                  <c:v>92.931792789964945</c:v>
                </c:pt>
                <c:pt idx="274">
                  <c:v>92.923007247558616</c:v>
                </c:pt>
                <c:pt idx="275">
                  <c:v>92.994721098218193</c:v>
                </c:pt>
                <c:pt idx="276">
                  <c:v>93.092978070871268</c:v>
                </c:pt>
                <c:pt idx="277">
                  <c:v>93.193320123625639</c:v>
                </c:pt>
                <c:pt idx="278">
                  <c:v>93.238821618641254</c:v>
                </c:pt>
                <c:pt idx="279">
                  <c:v>93.334951250190841</c:v>
                </c:pt>
                <c:pt idx="280">
                  <c:v>93.4623539995833</c:v>
                </c:pt>
                <c:pt idx="281">
                  <c:v>93.433317069495203</c:v>
                </c:pt>
                <c:pt idx="282">
                  <c:v>93.540079128958581</c:v>
                </c:pt>
                <c:pt idx="283">
                  <c:v>93.56469136014411</c:v>
                </c:pt>
                <c:pt idx="284">
                  <c:v>93.620451287466253</c:v>
                </c:pt>
                <c:pt idx="285">
                  <c:v>93.598368126421704</c:v>
                </c:pt>
                <c:pt idx="286">
                  <c:v>93.573244319659835</c:v>
                </c:pt>
                <c:pt idx="287">
                  <c:v>93.760437794396196</c:v>
                </c:pt>
                <c:pt idx="288">
                  <c:v>93.733458152390583</c:v>
                </c:pt>
                <c:pt idx="289">
                  <c:v>93.885118958730899</c:v>
                </c:pt>
                <c:pt idx="290">
                  <c:v>93.86437777813039</c:v>
                </c:pt>
                <c:pt idx="291">
                  <c:v>93.857651263219381</c:v>
                </c:pt>
                <c:pt idx="292">
                  <c:v>93.921094208262645</c:v>
                </c:pt>
                <c:pt idx="293">
                  <c:v>93.972669332921257</c:v>
                </c:pt>
                <c:pt idx="294">
                  <c:v>93.980037782680938</c:v>
                </c:pt>
                <c:pt idx="295">
                  <c:v>94.042730173076265</c:v>
                </c:pt>
                <c:pt idx="296">
                  <c:v>94.047085075613566</c:v>
                </c:pt>
                <c:pt idx="297">
                  <c:v>94.080504645767732</c:v>
                </c:pt>
                <c:pt idx="298">
                  <c:v>94.098064225489466</c:v>
                </c:pt>
                <c:pt idx="299">
                  <c:v>94.1709346122977</c:v>
                </c:pt>
                <c:pt idx="300">
                  <c:v>94.195135981594362</c:v>
                </c:pt>
                <c:pt idx="301">
                  <c:v>94.263843386559884</c:v>
                </c:pt>
                <c:pt idx="302">
                  <c:v>94.318851164667961</c:v>
                </c:pt>
                <c:pt idx="303">
                  <c:v>94.136757386166792</c:v>
                </c:pt>
                <c:pt idx="304">
                  <c:v>94.10339992281007</c:v>
                </c:pt>
                <c:pt idx="305">
                  <c:v>94.148897709380932</c:v>
                </c:pt>
                <c:pt idx="306">
                  <c:v>94.02457088679003</c:v>
                </c:pt>
                <c:pt idx="307">
                  <c:v>94.318565086418829</c:v>
                </c:pt>
                <c:pt idx="308">
                  <c:v>94.380590360788943</c:v>
                </c:pt>
                <c:pt idx="309">
                  <c:v>94.292212158257968</c:v>
                </c:pt>
                <c:pt idx="310">
                  <c:v>94.367683614766776</c:v>
                </c:pt>
                <c:pt idx="311">
                  <c:v>94.510040696121081</c:v>
                </c:pt>
                <c:pt idx="312">
                  <c:v>94.494192128421517</c:v>
                </c:pt>
                <c:pt idx="313">
                  <c:v>94.40989202684321</c:v>
                </c:pt>
                <c:pt idx="314">
                  <c:v>94.30281639249219</c:v>
                </c:pt>
                <c:pt idx="315">
                  <c:v>94.305772257524168</c:v>
                </c:pt>
                <c:pt idx="316">
                  <c:v>94.424208178786728</c:v>
                </c:pt>
                <c:pt idx="317">
                  <c:v>94.477480435602885</c:v>
                </c:pt>
                <c:pt idx="318">
                  <c:v>94.677236947764271</c:v>
                </c:pt>
                <c:pt idx="319">
                  <c:v>94.726223423076192</c:v>
                </c:pt>
                <c:pt idx="320">
                  <c:v>94.787860921994564</c:v>
                </c:pt>
                <c:pt idx="321">
                  <c:v>95.054714332866311</c:v>
                </c:pt>
                <c:pt idx="322">
                  <c:v>94.934420807397814</c:v>
                </c:pt>
                <c:pt idx="323">
                  <c:v>94.965438221247354</c:v>
                </c:pt>
                <c:pt idx="324">
                  <c:v>94.985413971231097</c:v>
                </c:pt>
                <c:pt idx="325">
                  <c:v>94.986067270365965</c:v>
                </c:pt>
                <c:pt idx="326">
                  <c:v>95.025413642240636</c:v>
                </c:pt>
                <c:pt idx="327">
                  <c:v>95.017700389765693</c:v>
                </c:pt>
                <c:pt idx="328">
                  <c:v>95.164067491713894</c:v>
                </c:pt>
                <c:pt idx="329">
                  <c:v>94.846496850163248</c:v>
                </c:pt>
                <c:pt idx="330">
                  <c:v>94.785470106361942</c:v>
                </c:pt>
                <c:pt idx="331">
                  <c:v>94.927220445238703</c:v>
                </c:pt>
                <c:pt idx="332">
                  <c:v>94.853189997936894</c:v>
                </c:pt>
                <c:pt idx="333">
                  <c:v>94.850431631444678</c:v>
                </c:pt>
                <c:pt idx="334">
                  <c:v>95.010197783830137</c:v>
                </c:pt>
                <c:pt idx="335">
                  <c:v>95.111733672963609</c:v>
                </c:pt>
                <c:pt idx="336">
                  <c:v>95.066538449811532</c:v>
                </c:pt>
                <c:pt idx="337">
                  <c:v>95.259854432938056</c:v>
                </c:pt>
                <c:pt idx="338">
                  <c:v>95.31882326478717</c:v>
                </c:pt>
                <c:pt idx="339">
                  <c:v>95.32707825320432</c:v>
                </c:pt>
                <c:pt idx="340">
                  <c:v>95.510284607142111</c:v>
                </c:pt>
                <c:pt idx="341">
                  <c:v>95.617203331447101</c:v>
                </c:pt>
                <c:pt idx="342">
                  <c:v>95.807511046270918</c:v>
                </c:pt>
                <c:pt idx="343">
                  <c:v>95.851395231393809</c:v>
                </c:pt>
                <c:pt idx="344">
                  <c:v>96.162740009989122</c:v>
                </c:pt>
                <c:pt idx="345">
                  <c:v>96.531751340955452</c:v>
                </c:pt>
                <c:pt idx="346">
                  <c:v>96.552207485485241</c:v>
                </c:pt>
                <c:pt idx="347">
                  <c:v>96.532965143287143</c:v>
                </c:pt>
                <c:pt idx="348">
                  <c:v>96.893081372244936</c:v>
                </c:pt>
                <c:pt idx="349">
                  <c:v>96.956524317616953</c:v>
                </c:pt>
                <c:pt idx="350">
                  <c:v>96.804917448934376</c:v>
                </c:pt>
                <c:pt idx="351">
                  <c:v>96.644259371039809</c:v>
                </c:pt>
                <c:pt idx="352">
                  <c:v>96.915272321593164</c:v>
                </c:pt>
                <c:pt idx="353">
                  <c:v>96.849052858498652</c:v>
                </c:pt>
                <c:pt idx="354">
                  <c:v>96.961712516128102</c:v>
                </c:pt>
                <c:pt idx="355">
                  <c:v>96.667338472371767</c:v>
                </c:pt>
                <c:pt idx="356">
                  <c:v>97.095207256786352</c:v>
                </c:pt>
                <c:pt idx="357">
                  <c:v>97.199450987279434</c:v>
                </c:pt>
                <c:pt idx="358">
                  <c:v>97.537266408136389</c:v>
                </c:pt>
                <c:pt idx="359">
                  <c:v>97.458683516482552</c:v>
                </c:pt>
                <c:pt idx="360">
                  <c:v>97.416579210163874</c:v>
                </c:pt>
                <c:pt idx="361">
                  <c:v>97.916986534797601</c:v>
                </c:pt>
                <c:pt idx="362">
                  <c:v>98.11195020911029</c:v>
                </c:pt>
                <c:pt idx="363">
                  <c:v>97.751757527471625</c:v>
                </c:pt>
                <c:pt idx="364">
                  <c:v>98.301519511992453</c:v>
                </c:pt>
                <c:pt idx="365">
                  <c:v>98.22536269230676</c:v>
                </c:pt>
                <c:pt idx="366">
                  <c:v>98.591559765477456</c:v>
                </c:pt>
                <c:pt idx="367">
                  <c:v>99.167235384614457</c:v>
                </c:pt>
                <c:pt idx="368">
                  <c:v>98.938672948717013</c:v>
                </c:pt>
                <c:pt idx="369">
                  <c:v>99.237059573963506</c:v>
                </c:pt>
                <c:pt idx="370">
                  <c:v>99.198049179486233</c:v>
                </c:pt>
                <c:pt idx="371">
                  <c:v>99.783121538460563</c:v>
                </c:pt>
                <c:pt idx="372">
                  <c:v>99.780019319525707</c:v>
                </c:pt>
                <c:pt idx="373">
                  <c:v>99.757629107691358</c:v>
                </c:pt>
                <c:pt idx="374">
                  <c:v>100.03816122448875</c:v>
                </c:pt>
                <c:pt idx="375">
                  <c:v>100.71588296235579</c:v>
                </c:pt>
                <c:pt idx="376">
                  <c:v>100.94383789377187</c:v>
                </c:pt>
                <c:pt idx="377">
                  <c:v>102.04676116370702</c:v>
                </c:pt>
                <c:pt idx="378">
                  <c:v>102.27294763157789</c:v>
                </c:pt>
                <c:pt idx="379">
                  <c:v>102.51437256410156</c:v>
                </c:pt>
                <c:pt idx="380">
                  <c:v>103.46056054590467</c:v>
                </c:pt>
                <c:pt idx="381">
                  <c:v>103.2938982758611</c:v>
                </c:pt>
                <c:pt idx="382">
                  <c:v>103.45563726790347</c:v>
                </c:pt>
                <c:pt idx="383">
                  <c:v>104.19856809116712</c:v>
                </c:pt>
                <c:pt idx="384">
                  <c:v>104.60714522435786</c:v>
                </c:pt>
                <c:pt idx="385">
                  <c:v>104.7242836858964</c:v>
                </c:pt>
                <c:pt idx="386">
                  <c:v>104.90547120401231</c:v>
                </c:pt>
                <c:pt idx="387">
                  <c:v>106.66280153846037</c:v>
                </c:pt>
                <c:pt idx="388">
                  <c:v>107.40376991902733</c:v>
                </c:pt>
                <c:pt idx="389">
                  <c:v>107.61094238866281</c:v>
                </c:pt>
                <c:pt idx="390">
                  <c:v>107.78297963562639</c:v>
                </c:pt>
                <c:pt idx="391">
                  <c:v>107.99015210526208</c:v>
                </c:pt>
                <c:pt idx="392">
                  <c:v>108.16218935222562</c:v>
                </c:pt>
                <c:pt idx="393">
                  <c:v>109.16921644230651</c:v>
                </c:pt>
                <c:pt idx="394">
                  <c:v>108.42265143589621</c:v>
                </c:pt>
                <c:pt idx="395">
                  <c:v>107.65599653846047</c:v>
                </c:pt>
                <c:pt idx="396">
                  <c:v>111.07492207692187</c:v>
                </c:pt>
                <c:pt idx="397">
                  <c:v>111.28385130769111</c:v>
                </c:pt>
                <c:pt idx="398">
                  <c:v>111.42602361538347</c:v>
                </c:pt>
                <c:pt idx="399">
                  <c:v>111.60157438461412</c:v>
                </c:pt>
                <c:pt idx="400">
                  <c:v>111.84388207692184</c:v>
                </c:pt>
                <c:pt idx="401">
                  <c:v>112.59529196581092</c:v>
                </c:pt>
                <c:pt idx="402">
                  <c:v>112.80051247863129</c:v>
                </c:pt>
                <c:pt idx="403">
                  <c:v>112.93155863247739</c:v>
                </c:pt>
                <c:pt idx="404">
                  <c:v>113.09969196581082</c:v>
                </c:pt>
                <c:pt idx="405">
                  <c:v>114.58972288461419</c:v>
                </c:pt>
                <c:pt idx="406">
                  <c:v>114.79030749999866</c:v>
                </c:pt>
                <c:pt idx="407">
                  <c:v>117.22257967032829</c:v>
                </c:pt>
                <c:pt idx="408">
                  <c:v>117.41720384615272</c:v>
                </c:pt>
                <c:pt idx="409">
                  <c:v>114.0915058461524</c:v>
                </c:pt>
                <c:pt idx="410">
                  <c:v>114.2002996923062</c:v>
                </c:pt>
                <c:pt idx="411">
                  <c:v>114.44260738461401</c:v>
                </c:pt>
                <c:pt idx="412">
                  <c:v>114.86683499999876</c:v>
                </c:pt>
                <c:pt idx="413">
                  <c:v>114.94225038461374</c:v>
                </c:pt>
                <c:pt idx="414">
                  <c:v>115.18455807692175</c:v>
                </c:pt>
                <c:pt idx="415">
                  <c:v>115.34341961538351</c:v>
                </c:pt>
                <c:pt idx="416">
                  <c:v>115.58572730769075</c:v>
                </c:pt>
                <c:pt idx="417">
                  <c:v>115.74458884615251</c:v>
                </c:pt>
                <c:pt idx="418">
                  <c:v>115.90345038461426</c:v>
                </c:pt>
                <c:pt idx="419">
                  <c:v>116.0623119230755</c:v>
                </c:pt>
                <c:pt idx="420">
                  <c:v>116.30461961538325</c:v>
                </c:pt>
                <c:pt idx="421">
                  <c:v>116.54692730769099</c:v>
                </c:pt>
                <c:pt idx="422">
                  <c:v>116.78923499999874</c:v>
                </c:pt>
                <c:pt idx="423">
                  <c:v>116.94809653846025</c:v>
                </c:pt>
                <c:pt idx="424">
                  <c:v>117.1069580769215</c:v>
                </c:pt>
                <c:pt idx="425">
                  <c:v>114.35650794871667</c:v>
                </c:pt>
                <c:pt idx="426">
                  <c:v>114.37629256410133</c:v>
                </c:pt>
                <c:pt idx="427">
                  <c:v>110.74657884615249</c:v>
                </c:pt>
                <c:pt idx="428">
                  <c:v>110.821994230768</c:v>
                </c:pt>
                <c:pt idx="429">
                  <c:v>111.0643019230755</c:v>
                </c:pt>
                <c:pt idx="430">
                  <c:v>111.139717307691</c:v>
                </c:pt>
                <c:pt idx="431">
                  <c:v>111.382024999999</c:v>
                </c:pt>
                <c:pt idx="432">
                  <c:v>104.931944615383</c:v>
                </c:pt>
                <c:pt idx="433">
                  <c:v>105.17425230769101</c:v>
                </c:pt>
              </c:numCache>
            </c:numRef>
          </c:val>
          <c:smooth val="0"/>
          <c:extLst xmlns:c16r2="http://schemas.microsoft.com/office/drawing/2015/06/chart">
            <c:ext xmlns:c16="http://schemas.microsoft.com/office/drawing/2014/chart" uri="{C3380CC4-5D6E-409C-BE32-E72D297353CC}">
              <c16:uniqueId val="{00000001-A27C-4862-871D-B50AE1217498}"/>
            </c:ext>
          </c:extLst>
        </c:ser>
        <c:dLbls>
          <c:showLegendKey val="0"/>
          <c:showVal val="0"/>
          <c:showCatName val="0"/>
          <c:showSerName val="0"/>
          <c:showPercent val="0"/>
          <c:showBubbleSize val="0"/>
        </c:dLbls>
        <c:marker val="1"/>
        <c:smooth val="0"/>
        <c:axId val="399211904"/>
        <c:axId val="399214080"/>
      </c:lineChart>
      <c:lineChart>
        <c:grouping val="standard"/>
        <c:varyColors val="0"/>
        <c:ser>
          <c:idx val="2"/>
          <c:order val="2"/>
          <c:tx>
            <c:strRef>
              <c:f>'FEV trace'!$A$8</c:f>
              <c:strCache>
                <c:ptCount val="1"/>
                <c:pt idx="0">
                  <c:v>Patients on mannitol</c:v>
                </c:pt>
              </c:strCache>
            </c:strRef>
          </c:tx>
          <c:spPr>
            <a:ln w="28575" cap="rnd">
              <a:solidFill>
                <a:schemeClr val="accent3"/>
              </a:solidFill>
              <a:prstDash val="sysDot"/>
              <a:round/>
            </a:ln>
            <a:effectLst/>
          </c:spPr>
          <c:marker>
            <c:symbol val="none"/>
          </c:marker>
          <c:val>
            <c:numRef>
              <c:f>'FEV trace'!$B$8:$PS$8</c:f>
              <c:numCache>
                <c:formatCode>General</c:formatCode>
                <c:ptCount val="434"/>
                <c:pt idx="0">
                  <c:v>0.996</c:v>
                </c:pt>
                <c:pt idx="1">
                  <c:v>0.4708</c:v>
                </c:pt>
                <c:pt idx="2">
                  <c:v>0.46300000000000002</c:v>
                </c:pt>
                <c:pt idx="3">
                  <c:v>0.4269</c:v>
                </c:pt>
                <c:pt idx="4">
                  <c:v>0.39610000000000001</c:v>
                </c:pt>
                <c:pt idx="5">
                  <c:v>0.36680000000000001</c:v>
                </c:pt>
                <c:pt idx="6">
                  <c:v>0.33689999999999998</c:v>
                </c:pt>
                <c:pt idx="7">
                  <c:v>0.308</c:v>
                </c:pt>
                <c:pt idx="8">
                  <c:v>0.28410000000000002</c:v>
                </c:pt>
                <c:pt idx="9">
                  <c:v>0.26300000000000001</c:v>
                </c:pt>
                <c:pt idx="10">
                  <c:v>0.2437</c:v>
                </c:pt>
                <c:pt idx="11">
                  <c:v>0.2253</c:v>
                </c:pt>
                <c:pt idx="12">
                  <c:v>0.20960000000000001</c:v>
                </c:pt>
                <c:pt idx="13">
                  <c:v>0.19409999999999999</c:v>
                </c:pt>
                <c:pt idx="14">
                  <c:v>0.17960000000000001</c:v>
                </c:pt>
                <c:pt idx="15">
                  <c:v>0.1656</c:v>
                </c:pt>
                <c:pt idx="16">
                  <c:v>0.1532</c:v>
                </c:pt>
                <c:pt idx="17">
                  <c:v>0.14280000000000001</c:v>
                </c:pt>
                <c:pt idx="18">
                  <c:v>0.13159999999999999</c:v>
                </c:pt>
                <c:pt idx="19">
                  <c:v>0.1225</c:v>
                </c:pt>
                <c:pt idx="20">
                  <c:v>0.112</c:v>
                </c:pt>
                <c:pt idx="21">
                  <c:v>0.10349999999999999</c:v>
                </c:pt>
                <c:pt idx="22">
                  <c:v>9.6000000000000002E-2</c:v>
                </c:pt>
                <c:pt idx="23">
                  <c:v>8.8900000000000007E-2</c:v>
                </c:pt>
                <c:pt idx="24">
                  <c:v>8.1500000000000003E-2</c:v>
                </c:pt>
                <c:pt idx="25">
                  <c:v>7.4099999999999999E-2</c:v>
                </c:pt>
                <c:pt idx="26">
                  <c:v>6.88E-2</c:v>
                </c:pt>
                <c:pt idx="27">
                  <c:v>6.2799999999999995E-2</c:v>
                </c:pt>
                <c:pt idx="28">
                  <c:v>5.7700000000000001E-2</c:v>
                </c:pt>
                <c:pt idx="29">
                  <c:v>5.3600000000000002E-2</c:v>
                </c:pt>
                <c:pt idx="30">
                  <c:v>4.9099999999999998E-2</c:v>
                </c:pt>
                <c:pt idx="31">
                  <c:v>4.58E-2</c:v>
                </c:pt>
                <c:pt idx="32">
                  <c:v>4.1700000000000001E-2</c:v>
                </c:pt>
                <c:pt idx="33">
                  <c:v>3.9100000000000003E-2</c:v>
                </c:pt>
                <c:pt idx="34">
                  <c:v>3.6299999999999999E-2</c:v>
                </c:pt>
                <c:pt idx="35">
                  <c:v>3.2399999999999998E-2</c:v>
                </c:pt>
                <c:pt idx="36">
                  <c:v>2.9399999999999999E-2</c:v>
                </c:pt>
                <c:pt idx="37">
                  <c:v>2.6499999999999999E-2</c:v>
                </c:pt>
                <c:pt idx="38">
                  <c:v>2.4E-2</c:v>
                </c:pt>
                <c:pt idx="39">
                  <c:v>2.2100000000000002E-2</c:v>
                </c:pt>
                <c:pt idx="40">
                  <c:v>0.02</c:v>
                </c:pt>
                <c:pt idx="41">
                  <c:v>1.8599999999999998E-2</c:v>
                </c:pt>
                <c:pt idx="42">
                  <c:v>1.7299999999999999E-2</c:v>
                </c:pt>
                <c:pt idx="43">
                  <c:v>1.61E-2</c:v>
                </c:pt>
                <c:pt idx="44">
                  <c:v>1.4500000000000001E-2</c:v>
                </c:pt>
                <c:pt idx="45">
                  <c:v>1.34E-2</c:v>
                </c:pt>
                <c:pt idx="46">
                  <c:v>1.18E-2</c:v>
                </c:pt>
                <c:pt idx="47">
                  <c:v>1.06E-2</c:v>
                </c:pt>
                <c:pt idx="48">
                  <c:v>9.9000000000000008E-3</c:v>
                </c:pt>
                <c:pt idx="49">
                  <c:v>8.5000000000000006E-3</c:v>
                </c:pt>
                <c:pt idx="50">
                  <c:v>8.0000000000000002E-3</c:v>
                </c:pt>
                <c:pt idx="51">
                  <c:v>7.0000000000000001E-3</c:v>
                </c:pt>
                <c:pt idx="52">
                  <c:v>6.6E-3</c:v>
                </c:pt>
                <c:pt idx="53">
                  <c:v>6.0000000000000001E-3</c:v>
                </c:pt>
                <c:pt idx="54">
                  <c:v>5.4999999999999997E-3</c:v>
                </c:pt>
                <c:pt idx="55">
                  <c:v>5.1999999999999998E-3</c:v>
                </c:pt>
                <c:pt idx="56">
                  <c:v>4.8999999999999998E-3</c:v>
                </c:pt>
                <c:pt idx="57">
                  <c:v>4.1000000000000003E-3</c:v>
                </c:pt>
                <c:pt idx="58">
                  <c:v>3.5000000000000001E-3</c:v>
                </c:pt>
                <c:pt idx="59">
                  <c:v>3.0999999999999999E-3</c:v>
                </c:pt>
                <c:pt idx="60">
                  <c:v>2.8999999999999998E-3</c:v>
                </c:pt>
                <c:pt idx="61">
                  <c:v>2.5999999999999999E-3</c:v>
                </c:pt>
                <c:pt idx="62">
                  <c:v>2.3E-3</c:v>
                </c:pt>
                <c:pt idx="63">
                  <c:v>1.8E-3</c:v>
                </c:pt>
                <c:pt idx="64">
                  <c:v>1.6000000000000001E-3</c:v>
                </c:pt>
                <c:pt idx="65">
                  <c:v>1.4E-3</c:v>
                </c:pt>
                <c:pt idx="66">
                  <c:v>1.1999999999999999E-3</c:v>
                </c:pt>
                <c:pt idx="67">
                  <c:v>1.1000000000000001E-3</c:v>
                </c:pt>
                <c:pt idx="68">
                  <c:v>1E-3</c:v>
                </c:pt>
                <c:pt idx="69">
                  <c:v>8.9999999999999998E-4</c:v>
                </c:pt>
                <c:pt idx="70">
                  <c:v>8.9999999999999998E-4</c:v>
                </c:pt>
                <c:pt idx="71">
                  <c:v>8.9999999999999998E-4</c:v>
                </c:pt>
                <c:pt idx="72">
                  <c:v>8.9999999999999998E-4</c:v>
                </c:pt>
                <c:pt idx="73">
                  <c:v>8.9999999999999998E-4</c:v>
                </c:pt>
                <c:pt idx="74">
                  <c:v>6.9999999999999999E-4</c:v>
                </c:pt>
                <c:pt idx="75">
                  <c:v>5.9999999999999995E-4</c:v>
                </c:pt>
                <c:pt idx="76">
                  <c:v>5.9999999999999995E-4</c:v>
                </c:pt>
                <c:pt idx="77">
                  <c:v>5.0000000000000001E-4</c:v>
                </c:pt>
                <c:pt idx="78">
                  <c:v>5.0000000000000001E-4</c:v>
                </c:pt>
                <c:pt idx="79">
                  <c:v>2.9999999999999997E-4</c:v>
                </c:pt>
                <c:pt idx="80">
                  <c:v>2.9999999999999997E-4</c:v>
                </c:pt>
                <c:pt idx="81">
                  <c:v>2.0000000000000001E-4</c:v>
                </c:pt>
                <c:pt idx="82">
                  <c:v>2.0000000000000001E-4</c:v>
                </c:pt>
                <c:pt idx="83">
                  <c:v>2.0000000000000001E-4</c:v>
                </c:pt>
                <c:pt idx="84">
                  <c:v>2.0000000000000001E-4</c:v>
                </c:pt>
                <c:pt idx="85">
                  <c:v>2.0000000000000001E-4</c:v>
                </c:pt>
                <c:pt idx="86">
                  <c:v>1E-4</c:v>
                </c:pt>
                <c:pt idx="87">
                  <c:v>1E-4</c:v>
                </c:pt>
                <c:pt idx="88">
                  <c:v>1E-4</c:v>
                </c:pt>
                <c:pt idx="89">
                  <c:v>1E-4</c:v>
                </c:pt>
                <c:pt idx="90">
                  <c:v>1E-4</c:v>
                </c:pt>
                <c:pt idx="91">
                  <c:v>1E-4</c:v>
                </c:pt>
                <c:pt idx="92">
                  <c:v>1E-4</c:v>
                </c:pt>
                <c:pt idx="93">
                  <c:v>1E-4</c:v>
                </c:pt>
                <c:pt idx="94">
                  <c:v>1E-4</c:v>
                </c:pt>
                <c:pt idx="95">
                  <c:v>1E-4</c:v>
                </c:pt>
                <c:pt idx="96">
                  <c:v>1E-4</c:v>
                </c:pt>
                <c:pt idx="97">
                  <c:v>1E-4</c:v>
                </c:pt>
                <c:pt idx="98">
                  <c:v>1E-4</c:v>
                </c:pt>
                <c:pt idx="99">
                  <c:v>1E-4</c:v>
                </c:pt>
                <c:pt idx="100">
                  <c:v>1E-4</c:v>
                </c:pt>
                <c:pt idx="101">
                  <c:v>1E-4</c:v>
                </c:pt>
                <c:pt idx="102">
                  <c:v>1E-4</c:v>
                </c:pt>
                <c:pt idx="103">
                  <c:v>1E-4</c:v>
                </c:pt>
                <c:pt idx="104">
                  <c:v>1E-4</c:v>
                </c:pt>
                <c:pt idx="105">
                  <c:v>1E-4</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pt idx="401">
                  <c:v>0</c:v>
                </c:pt>
                <c:pt idx="402">
                  <c:v>0</c:v>
                </c:pt>
                <c:pt idx="403">
                  <c:v>0</c:v>
                </c:pt>
                <c:pt idx="404">
                  <c:v>0</c:v>
                </c:pt>
                <c:pt idx="405">
                  <c:v>0</c:v>
                </c:pt>
                <c:pt idx="406">
                  <c:v>0</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0</c:v>
                </c:pt>
                <c:pt idx="427">
                  <c:v>0</c:v>
                </c:pt>
                <c:pt idx="428">
                  <c:v>0</c:v>
                </c:pt>
                <c:pt idx="429">
                  <c:v>0</c:v>
                </c:pt>
                <c:pt idx="430">
                  <c:v>0</c:v>
                </c:pt>
                <c:pt idx="431">
                  <c:v>0</c:v>
                </c:pt>
                <c:pt idx="432">
                  <c:v>0</c:v>
                </c:pt>
                <c:pt idx="433">
                  <c:v>0</c:v>
                </c:pt>
              </c:numCache>
            </c:numRef>
          </c:val>
          <c:smooth val="0"/>
          <c:extLst xmlns:c16r2="http://schemas.microsoft.com/office/drawing/2015/06/chart">
            <c:ext xmlns:c16="http://schemas.microsoft.com/office/drawing/2014/chart" uri="{C3380CC4-5D6E-409C-BE32-E72D297353CC}">
              <c16:uniqueId val="{00000002-A27C-4862-871D-B50AE1217498}"/>
            </c:ext>
          </c:extLst>
        </c:ser>
        <c:dLbls>
          <c:showLegendKey val="0"/>
          <c:showVal val="0"/>
          <c:showCatName val="0"/>
          <c:showSerName val="0"/>
          <c:showPercent val="0"/>
          <c:showBubbleSize val="0"/>
        </c:dLbls>
        <c:marker val="1"/>
        <c:smooth val="0"/>
        <c:axId val="399222272"/>
        <c:axId val="399216000"/>
      </c:lineChart>
      <c:catAx>
        <c:axId val="399211904"/>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AU" sz="800"/>
                  <a:t>Years</a:t>
                </a:r>
                <a:r>
                  <a:rPr lang="en-AU" sz="800" baseline="0"/>
                  <a:t> in model</a:t>
                </a:r>
                <a:endParaRPr lang="en-AU" sz="800"/>
              </a:p>
            </c:rich>
          </c:tx>
          <c:layout/>
          <c:overlay val="0"/>
          <c:spPr>
            <a:noFill/>
            <a:ln>
              <a:noFill/>
            </a:ln>
            <a:effectLst/>
          </c:spPr>
        </c:title>
        <c:numFmt formatCode="#,##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214080"/>
        <c:crosses val="autoZero"/>
        <c:auto val="1"/>
        <c:lblAlgn val="ctr"/>
        <c:lblOffset val="100"/>
        <c:tickLblSkip val="72"/>
        <c:tickMarkSkip val="72"/>
        <c:noMultiLvlLbl val="0"/>
      </c:catAx>
      <c:valAx>
        <c:axId val="399214080"/>
        <c:scaling>
          <c:orientation val="minMax"/>
          <c:max val="120"/>
          <c:min val="5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AU" sz="800"/>
                  <a:t>Average ppFEV1</a:t>
                </a:r>
                <a:r>
                  <a:rPr lang="en-AU" sz="800" baseline="0"/>
                  <a:t> (in CF health state)</a:t>
                </a:r>
                <a:endParaRPr lang="en-AU" sz="800"/>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211904"/>
        <c:crosses val="autoZero"/>
        <c:crossBetween val="midCat"/>
      </c:valAx>
      <c:valAx>
        <c:axId val="399216000"/>
        <c:scaling>
          <c:orientation val="minMax"/>
          <c:max val="1"/>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Proportion on</a:t>
                </a:r>
                <a:r>
                  <a:rPr lang="en-AU" baseline="0"/>
                  <a:t> mannitol in manniotl arm</a:t>
                </a:r>
                <a:endParaRPr lang="en-AU"/>
              </a:p>
            </c:rich>
          </c:tx>
          <c:layout>
            <c:manualLayout>
              <c:xMode val="edge"/>
              <c:yMode val="edge"/>
              <c:x val="0.69552635057308476"/>
              <c:y val="8.0394950631171094E-2"/>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222272"/>
        <c:crosses val="max"/>
        <c:crossBetween val="between"/>
      </c:valAx>
      <c:catAx>
        <c:axId val="399222272"/>
        <c:scaling>
          <c:orientation val="minMax"/>
        </c:scaling>
        <c:delete val="1"/>
        <c:axPos val="b"/>
        <c:majorTickMark val="out"/>
        <c:minorTickMark val="none"/>
        <c:tickLblPos val="nextTo"/>
        <c:crossAx val="399216000"/>
        <c:crossesAt val="1.2"/>
        <c:auto val="1"/>
        <c:lblAlgn val="ctr"/>
        <c:lblOffset val="100"/>
        <c:noMultiLvlLbl val="0"/>
      </c:cat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Mortality!$A$6</c:f>
              <c:strCache>
                <c:ptCount val="1"/>
                <c:pt idx="0">
                  <c:v>control</c:v>
                </c:pt>
              </c:strCache>
            </c:strRef>
          </c:tx>
          <c:spPr>
            <a:ln w="28575" cap="rnd">
              <a:solidFill>
                <a:schemeClr val="tx1"/>
              </a:solidFill>
              <a:prstDash val="dash"/>
              <a:round/>
            </a:ln>
            <a:effectLst/>
          </c:spPr>
          <c:marker>
            <c:symbol val="none"/>
          </c:marker>
          <c:cat>
            <c:numRef>
              <c:f>Mortality!$B$5:$PU$5</c:f>
              <c:numCache>
                <c:formatCode>General</c:formatCode>
                <c:ptCount val="436"/>
                <c:pt idx="0">
                  <c:v>0.23076923076923078</c:v>
                </c:pt>
                <c:pt idx="1">
                  <c:v>0.26923076923076927</c:v>
                </c:pt>
                <c:pt idx="2">
                  <c:v>0.5</c:v>
                </c:pt>
                <c:pt idx="3">
                  <c:v>0.73076923076923084</c:v>
                </c:pt>
                <c:pt idx="4">
                  <c:v>0.96153846153846168</c:v>
                </c:pt>
                <c:pt idx="5">
                  <c:v>1.1923076923076925</c:v>
                </c:pt>
                <c:pt idx="6">
                  <c:v>1.4230769230769234</c:v>
                </c:pt>
                <c:pt idx="7">
                  <c:v>1.6538461538461542</c:v>
                </c:pt>
                <c:pt idx="8">
                  <c:v>1.884615384615385</c:v>
                </c:pt>
                <c:pt idx="9">
                  <c:v>2.1153846153846159</c:v>
                </c:pt>
                <c:pt idx="10">
                  <c:v>2.3461538461538467</c:v>
                </c:pt>
                <c:pt idx="11">
                  <c:v>2.5769230769230775</c:v>
                </c:pt>
                <c:pt idx="12">
                  <c:v>2.8076923076923084</c:v>
                </c:pt>
                <c:pt idx="13">
                  <c:v>3.0384615384615392</c:v>
                </c:pt>
                <c:pt idx="14">
                  <c:v>3.2692307692307701</c:v>
                </c:pt>
                <c:pt idx="15">
                  <c:v>3.5000000000000009</c:v>
                </c:pt>
                <c:pt idx="16">
                  <c:v>3.7307692307692317</c:v>
                </c:pt>
                <c:pt idx="17">
                  <c:v>3.9615384615384626</c:v>
                </c:pt>
                <c:pt idx="18">
                  <c:v>4.1923076923076934</c:v>
                </c:pt>
                <c:pt idx="19">
                  <c:v>4.4230769230769242</c:v>
                </c:pt>
                <c:pt idx="20">
                  <c:v>4.6538461538461551</c:v>
                </c:pt>
                <c:pt idx="21">
                  <c:v>4.8846153846153859</c:v>
                </c:pt>
                <c:pt idx="22">
                  <c:v>5.1153846153846168</c:v>
                </c:pt>
                <c:pt idx="23">
                  <c:v>5.3461538461538476</c:v>
                </c:pt>
                <c:pt idx="24">
                  <c:v>5.5769230769230784</c:v>
                </c:pt>
                <c:pt idx="25">
                  <c:v>5.8076923076923093</c:v>
                </c:pt>
                <c:pt idx="26">
                  <c:v>6.0384615384615401</c:v>
                </c:pt>
                <c:pt idx="27">
                  <c:v>6.2692307692307709</c:v>
                </c:pt>
                <c:pt idx="28">
                  <c:v>6.5000000000000018</c:v>
                </c:pt>
                <c:pt idx="29">
                  <c:v>6.7307692307692326</c:v>
                </c:pt>
                <c:pt idx="30">
                  <c:v>6.9615384615384635</c:v>
                </c:pt>
                <c:pt idx="31">
                  <c:v>7.1923076923076943</c:v>
                </c:pt>
                <c:pt idx="32">
                  <c:v>7.4230769230769251</c:v>
                </c:pt>
                <c:pt idx="33">
                  <c:v>7.653846153846156</c:v>
                </c:pt>
                <c:pt idx="34">
                  <c:v>7.8846153846153868</c:v>
                </c:pt>
                <c:pt idx="35">
                  <c:v>8.1153846153846168</c:v>
                </c:pt>
                <c:pt idx="36">
                  <c:v>8.3461538461538467</c:v>
                </c:pt>
                <c:pt idx="37">
                  <c:v>8.5769230769230766</c:v>
                </c:pt>
                <c:pt idx="38">
                  <c:v>8.8076923076923066</c:v>
                </c:pt>
                <c:pt idx="39">
                  <c:v>9.0384615384615365</c:v>
                </c:pt>
                <c:pt idx="40">
                  <c:v>9.2692307692307665</c:v>
                </c:pt>
                <c:pt idx="41">
                  <c:v>9.4999999999999964</c:v>
                </c:pt>
                <c:pt idx="42">
                  <c:v>9.7307692307692264</c:v>
                </c:pt>
                <c:pt idx="43">
                  <c:v>9.9615384615384563</c:v>
                </c:pt>
                <c:pt idx="44">
                  <c:v>10.192307692307686</c:v>
                </c:pt>
                <c:pt idx="45">
                  <c:v>10.423076923076916</c:v>
                </c:pt>
                <c:pt idx="46">
                  <c:v>10.653846153846146</c:v>
                </c:pt>
                <c:pt idx="47">
                  <c:v>10.884615384615376</c:v>
                </c:pt>
                <c:pt idx="48">
                  <c:v>11.115384615384606</c:v>
                </c:pt>
                <c:pt idx="49">
                  <c:v>11.346153846153836</c:v>
                </c:pt>
                <c:pt idx="50">
                  <c:v>11.576923076923066</c:v>
                </c:pt>
                <c:pt idx="51">
                  <c:v>11.807692307692296</c:v>
                </c:pt>
                <c:pt idx="52">
                  <c:v>12.038461538461526</c:v>
                </c:pt>
                <c:pt idx="53">
                  <c:v>12.269230769230756</c:v>
                </c:pt>
                <c:pt idx="54">
                  <c:v>12.499999999999986</c:v>
                </c:pt>
                <c:pt idx="55">
                  <c:v>12.730769230769216</c:v>
                </c:pt>
                <c:pt idx="56">
                  <c:v>12.961538461538446</c:v>
                </c:pt>
                <c:pt idx="57">
                  <c:v>13.192307692307676</c:v>
                </c:pt>
                <c:pt idx="58">
                  <c:v>13.423076923076906</c:v>
                </c:pt>
                <c:pt idx="59">
                  <c:v>13.653846153846136</c:v>
                </c:pt>
                <c:pt idx="60">
                  <c:v>13.884615384615365</c:v>
                </c:pt>
                <c:pt idx="61">
                  <c:v>14.115384615384595</c:v>
                </c:pt>
                <c:pt idx="62">
                  <c:v>14.346153846153825</c:v>
                </c:pt>
                <c:pt idx="63">
                  <c:v>14.576923076923055</c:v>
                </c:pt>
                <c:pt idx="64">
                  <c:v>14.807692307692285</c:v>
                </c:pt>
                <c:pt idx="65">
                  <c:v>15.038461538461515</c:v>
                </c:pt>
                <c:pt idx="66">
                  <c:v>15.269230769230745</c:v>
                </c:pt>
                <c:pt idx="67">
                  <c:v>15.499999999999975</c:v>
                </c:pt>
                <c:pt idx="68">
                  <c:v>15.730769230769205</c:v>
                </c:pt>
                <c:pt idx="69">
                  <c:v>15.961538461538435</c:v>
                </c:pt>
                <c:pt idx="70">
                  <c:v>16.192307692307665</c:v>
                </c:pt>
                <c:pt idx="71">
                  <c:v>16.423076923076895</c:v>
                </c:pt>
                <c:pt idx="72">
                  <c:v>16.653846153846125</c:v>
                </c:pt>
                <c:pt idx="73">
                  <c:v>16.884615384615355</c:v>
                </c:pt>
                <c:pt idx="74">
                  <c:v>17.115384615384585</c:v>
                </c:pt>
                <c:pt idx="75">
                  <c:v>17.346153846153815</c:v>
                </c:pt>
                <c:pt idx="76">
                  <c:v>17.576923076923045</c:v>
                </c:pt>
                <c:pt idx="77">
                  <c:v>17.807692307692275</c:v>
                </c:pt>
                <c:pt idx="78">
                  <c:v>18.038461538461505</c:v>
                </c:pt>
                <c:pt idx="79">
                  <c:v>18.269230769230735</c:v>
                </c:pt>
                <c:pt idx="80">
                  <c:v>18.499999999999964</c:v>
                </c:pt>
                <c:pt idx="81">
                  <c:v>18.730769230769194</c:v>
                </c:pt>
                <c:pt idx="82">
                  <c:v>18.961538461538424</c:v>
                </c:pt>
                <c:pt idx="83">
                  <c:v>19.192307692307654</c:v>
                </c:pt>
                <c:pt idx="84">
                  <c:v>19.423076923076884</c:v>
                </c:pt>
                <c:pt idx="85">
                  <c:v>19.653846153846114</c:v>
                </c:pt>
                <c:pt idx="86">
                  <c:v>19.884615384615344</c:v>
                </c:pt>
                <c:pt idx="87">
                  <c:v>20.115384615384574</c:v>
                </c:pt>
                <c:pt idx="88">
                  <c:v>20.346153846153804</c:v>
                </c:pt>
                <c:pt idx="89">
                  <c:v>20.576923076923034</c:v>
                </c:pt>
                <c:pt idx="90">
                  <c:v>20.807692307692264</c:v>
                </c:pt>
                <c:pt idx="91">
                  <c:v>21.038461538461494</c:v>
                </c:pt>
                <c:pt idx="92">
                  <c:v>21.269230769230724</c:v>
                </c:pt>
                <c:pt idx="93">
                  <c:v>21.499999999999954</c:v>
                </c:pt>
                <c:pt idx="94">
                  <c:v>21.730769230769184</c:v>
                </c:pt>
                <c:pt idx="95">
                  <c:v>21.961538461538414</c:v>
                </c:pt>
                <c:pt idx="96">
                  <c:v>22.192307692307644</c:v>
                </c:pt>
                <c:pt idx="97">
                  <c:v>22.423076923076874</c:v>
                </c:pt>
                <c:pt idx="98">
                  <c:v>22.653846153846104</c:v>
                </c:pt>
                <c:pt idx="99">
                  <c:v>22.884615384615334</c:v>
                </c:pt>
                <c:pt idx="100">
                  <c:v>23.115384615384563</c:v>
                </c:pt>
                <c:pt idx="101">
                  <c:v>23.346153846153793</c:v>
                </c:pt>
                <c:pt idx="102">
                  <c:v>23.576923076923023</c:v>
                </c:pt>
                <c:pt idx="103">
                  <c:v>23.807692307692253</c:v>
                </c:pt>
                <c:pt idx="104">
                  <c:v>24.038461538461483</c:v>
                </c:pt>
                <c:pt idx="105">
                  <c:v>24.269230769230713</c:v>
                </c:pt>
                <c:pt idx="106">
                  <c:v>24.499999999999943</c:v>
                </c:pt>
                <c:pt idx="107">
                  <c:v>24.730769230769173</c:v>
                </c:pt>
                <c:pt idx="108">
                  <c:v>24.961538461538403</c:v>
                </c:pt>
                <c:pt idx="109">
                  <c:v>25.192307692307633</c:v>
                </c:pt>
                <c:pt idx="110">
                  <c:v>25.423076923076863</c:v>
                </c:pt>
                <c:pt idx="111">
                  <c:v>25.653846153846093</c:v>
                </c:pt>
                <c:pt idx="112">
                  <c:v>25.884615384615323</c:v>
                </c:pt>
                <c:pt idx="113">
                  <c:v>26.115384615384553</c:v>
                </c:pt>
                <c:pt idx="114">
                  <c:v>26.346153846153783</c:v>
                </c:pt>
                <c:pt idx="115">
                  <c:v>26.576923076923013</c:v>
                </c:pt>
                <c:pt idx="116">
                  <c:v>26.807692307692243</c:v>
                </c:pt>
                <c:pt idx="117">
                  <c:v>27.038461538461473</c:v>
                </c:pt>
                <c:pt idx="118">
                  <c:v>27.269230769230703</c:v>
                </c:pt>
                <c:pt idx="119">
                  <c:v>27.499999999999932</c:v>
                </c:pt>
                <c:pt idx="120">
                  <c:v>27.730769230769162</c:v>
                </c:pt>
                <c:pt idx="121">
                  <c:v>27.961538461538392</c:v>
                </c:pt>
                <c:pt idx="122">
                  <c:v>28.192307692307622</c:v>
                </c:pt>
                <c:pt idx="123">
                  <c:v>28.423076923076852</c:v>
                </c:pt>
                <c:pt idx="124">
                  <c:v>28.653846153846082</c:v>
                </c:pt>
                <c:pt idx="125">
                  <c:v>28.884615384615312</c:v>
                </c:pt>
                <c:pt idx="126">
                  <c:v>29.115384615384542</c:v>
                </c:pt>
                <c:pt idx="127">
                  <c:v>29.346153846153772</c:v>
                </c:pt>
                <c:pt idx="128">
                  <c:v>29.576923076923002</c:v>
                </c:pt>
                <c:pt idx="129">
                  <c:v>29.807692307692232</c:v>
                </c:pt>
                <c:pt idx="130">
                  <c:v>30.038461538461462</c:v>
                </c:pt>
                <c:pt idx="131">
                  <c:v>30.269230769230692</c:v>
                </c:pt>
                <c:pt idx="132">
                  <c:v>30.499999999999922</c:v>
                </c:pt>
                <c:pt idx="133">
                  <c:v>30.730769230769152</c:v>
                </c:pt>
                <c:pt idx="134">
                  <c:v>30.961538461538382</c:v>
                </c:pt>
                <c:pt idx="135">
                  <c:v>31.192307692307612</c:v>
                </c:pt>
                <c:pt idx="136">
                  <c:v>31.423076923076842</c:v>
                </c:pt>
                <c:pt idx="137">
                  <c:v>31.653846153846072</c:v>
                </c:pt>
                <c:pt idx="138">
                  <c:v>31.884615384615302</c:v>
                </c:pt>
                <c:pt idx="139">
                  <c:v>32.115384615384535</c:v>
                </c:pt>
                <c:pt idx="140">
                  <c:v>32.346153846153769</c:v>
                </c:pt>
                <c:pt idx="141">
                  <c:v>32.576923076923002</c:v>
                </c:pt>
                <c:pt idx="142">
                  <c:v>32.807692307692236</c:v>
                </c:pt>
                <c:pt idx="143">
                  <c:v>33.038461538461469</c:v>
                </c:pt>
                <c:pt idx="144">
                  <c:v>33.269230769230703</c:v>
                </c:pt>
                <c:pt idx="145">
                  <c:v>33.499999999999936</c:v>
                </c:pt>
                <c:pt idx="146">
                  <c:v>33.73076923076917</c:v>
                </c:pt>
                <c:pt idx="147">
                  <c:v>33.961538461538403</c:v>
                </c:pt>
                <c:pt idx="148">
                  <c:v>34.192307692307637</c:v>
                </c:pt>
                <c:pt idx="149">
                  <c:v>34.42307692307687</c:v>
                </c:pt>
                <c:pt idx="150">
                  <c:v>34.653846153846104</c:v>
                </c:pt>
                <c:pt idx="151">
                  <c:v>34.884615384615337</c:v>
                </c:pt>
                <c:pt idx="152">
                  <c:v>35.115384615384571</c:v>
                </c:pt>
                <c:pt idx="153">
                  <c:v>35.346153846153804</c:v>
                </c:pt>
                <c:pt idx="154">
                  <c:v>35.576923076923038</c:v>
                </c:pt>
                <c:pt idx="155">
                  <c:v>35.807692307692271</c:v>
                </c:pt>
                <c:pt idx="156">
                  <c:v>36.038461538461505</c:v>
                </c:pt>
                <c:pt idx="157">
                  <c:v>36.269230769230738</c:v>
                </c:pt>
                <c:pt idx="158">
                  <c:v>36.499999999999972</c:v>
                </c:pt>
                <c:pt idx="159">
                  <c:v>36.730769230769205</c:v>
                </c:pt>
                <c:pt idx="160">
                  <c:v>36.961538461538439</c:v>
                </c:pt>
                <c:pt idx="161">
                  <c:v>37.192307692307672</c:v>
                </c:pt>
                <c:pt idx="162">
                  <c:v>37.423076923076906</c:v>
                </c:pt>
                <c:pt idx="163">
                  <c:v>37.653846153846139</c:v>
                </c:pt>
                <c:pt idx="164">
                  <c:v>37.884615384615373</c:v>
                </c:pt>
                <c:pt idx="165">
                  <c:v>38.115384615384606</c:v>
                </c:pt>
                <c:pt idx="166">
                  <c:v>38.34615384615384</c:v>
                </c:pt>
                <c:pt idx="167">
                  <c:v>38.576923076923073</c:v>
                </c:pt>
                <c:pt idx="168">
                  <c:v>38.807692307692307</c:v>
                </c:pt>
                <c:pt idx="169">
                  <c:v>39.03846153846154</c:v>
                </c:pt>
                <c:pt idx="170">
                  <c:v>39.269230769230774</c:v>
                </c:pt>
                <c:pt idx="171">
                  <c:v>39.500000000000007</c:v>
                </c:pt>
                <c:pt idx="172">
                  <c:v>39.730769230769241</c:v>
                </c:pt>
                <c:pt idx="173">
                  <c:v>39.961538461538474</c:v>
                </c:pt>
                <c:pt idx="174">
                  <c:v>40.192307692307708</c:v>
                </c:pt>
                <c:pt idx="175">
                  <c:v>40.423076923076941</c:v>
                </c:pt>
                <c:pt idx="176">
                  <c:v>40.653846153846175</c:v>
                </c:pt>
                <c:pt idx="177">
                  <c:v>40.884615384615408</c:v>
                </c:pt>
                <c:pt idx="178">
                  <c:v>41.115384615384642</c:v>
                </c:pt>
                <c:pt idx="179">
                  <c:v>41.346153846153875</c:v>
                </c:pt>
                <c:pt idx="180">
                  <c:v>41.576923076923109</c:v>
                </c:pt>
                <c:pt idx="181">
                  <c:v>41.807692307692342</c:v>
                </c:pt>
                <c:pt idx="182">
                  <c:v>42.038461538461576</c:v>
                </c:pt>
                <c:pt idx="183">
                  <c:v>42.269230769230809</c:v>
                </c:pt>
                <c:pt idx="184">
                  <c:v>42.500000000000043</c:v>
                </c:pt>
                <c:pt idx="185">
                  <c:v>42.730769230769276</c:v>
                </c:pt>
                <c:pt idx="186">
                  <c:v>42.96153846153851</c:v>
                </c:pt>
                <c:pt idx="187">
                  <c:v>43.192307692307743</c:v>
                </c:pt>
                <c:pt idx="188">
                  <c:v>43.423076923076977</c:v>
                </c:pt>
                <c:pt idx="189">
                  <c:v>43.65384615384621</c:v>
                </c:pt>
                <c:pt idx="190">
                  <c:v>43.884615384615444</c:v>
                </c:pt>
                <c:pt idx="191">
                  <c:v>44.115384615384677</c:v>
                </c:pt>
                <c:pt idx="192">
                  <c:v>44.346153846153911</c:v>
                </c:pt>
                <c:pt idx="193">
                  <c:v>44.576923076923144</c:v>
                </c:pt>
                <c:pt idx="194">
                  <c:v>44.807692307692378</c:v>
                </c:pt>
                <c:pt idx="195">
                  <c:v>45.038461538461611</c:v>
                </c:pt>
                <c:pt idx="196">
                  <c:v>45.269230769230845</c:v>
                </c:pt>
                <c:pt idx="197">
                  <c:v>45.500000000000078</c:v>
                </c:pt>
                <c:pt idx="198">
                  <c:v>45.730769230769312</c:v>
                </c:pt>
                <c:pt idx="199">
                  <c:v>45.961538461538545</c:v>
                </c:pt>
                <c:pt idx="200">
                  <c:v>46.192307692307779</c:v>
                </c:pt>
                <c:pt idx="201">
                  <c:v>46.423076923077012</c:v>
                </c:pt>
                <c:pt idx="202">
                  <c:v>46.653846153846246</c:v>
                </c:pt>
                <c:pt idx="203">
                  <c:v>46.884615384615479</c:v>
                </c:pt>
                <c:pt idx="204">
                  <c:v>47.115384615384713</c:v>
                </c:pt>
                <c:pt idx="205">
                  <c:v>47.346153846153946</c:v>
                </c:pt>
                <c:pt idx="206">
                  <c:v>47.57692307692318</c:v>
                </c:pt>
                <c:pt idx="207">
                  <c:v>47.807692307692413</c:v>
                </c:pt>
                <c:pt idx="208">
                  <c:v>48.038461538461647</c:v>
                </c:pt>
                <c:pt idx="209">
                  <c:v>48.26923076923088</c:v>
                </c:pt>
                <c:pt idx="210">
                  <c:v>48.500000000000114</c:v>
                </c:pt>
                <c:pt idx="211">
                  <c:v>48.730769230769347</c:v>
                </c:pt>
                <c:pt idx="212">
                  <c:v>48.961538461538581</c:v>
                </c:pt>
                <c:pt idx="213">
                  <c:v>49.192307692307814</c:v>
                </c:pt>
                <c:pt idx="214">
                  <c:v>49.423076923077048</c:v>
                </c:pt>
                <c:pt idx="215">
                  <c:v>49.653846153846281</c:v>
                </c:pt>
                <c:pt idx="216">
                  <c:v>49.884615384615515</c:v>
                </c:pt>
                <c:pt idx="217">
                  <c:v>50.115384615384748</c:v>
                </c:pt>
                <c:pt idx="218">
                  <c:v>50.346153846153982</c:v>
                </c:pt>
                <c:pt idx="219">
                  <c:v>50.576923076923215</c:v>
                </c:pt>
                <c:pt idx="220">
                  <c:v>50.807692307692449</c:v>
                </c:pt>
                <c:pt idx="221">
                  <c:v>51.038461538461682</c:v>
                </c:pt>
                <c:pt idx="222">
                  <c:v>51.269230769230916</c:v>
                </c:pt>
                <c:pt idx="223">
                  <c:v>51.500000000000149</c:v>
                </c:pt>
                <c:pt idx="224">
                  <c:v>51.730769230769383</c:v>
                </c:pt>
                <c:pt idx="225">
                  <c:v>51.961538461538616</c:v>
                </c:pt>
                <c:pt idx="226">
                  <c:v>52.19230769230785</c:v>
                </c:pt>
                <c:pt idx="227">
                  <c:v>52.423076923077083</c:v>
                </c:pt>
                <c:pt idx="228">
                  <c:v>52.653846153846317</c:v>
                </c:pt>
                <c:pt idx="229">
                  <c:v>52.88461538461555</c:v>
                </c:pt>
                <c:pt idx="230">
                  <c:v>53.115384615384784</c:v>
                </c:pt>
                <c:pt idx="231">
                  <c:v>53.346153846154017</c:v>
                </c:pt>
                <c:pt idx="232">
                  <c:v>53.576923076923251</c:v>
                </c:pt>
                <c:pt idx="233">
                  <c:v>53.807692307692484</c:v>
                </c:pt>
                <c:pt idx="234">
                  <c:v>54.038461538461718</c:v>
                </c:pt>
                <c:pt idx="235">
                  <c:v>54.269230769230951</c:v>
                </c:pt>
                <c:pt idx="236">
                  <c:v>54.500000000000185</c:v>
                </c:pt>
                <c:pt idx="237">
                  <c:v>54.730769230769418</c:v>
                </c:pt>
                <c:pt idx="238">
                  <c:v>54.961538461538652</c:v>
                </c:pt>
                <c:pt idx="239">
                  <c:v>55.192307692307885</c:v>
                </c:pt>
                <c:pt idx="240">
                  <c:v>55.423076923077119</c:v>
                </c:pt>
                <c:pt idx="241">
                  <c:v>55.653846153846352</c:v>
                </c:pt>
                <c:pt idx="242">
                  <c:v>55.884615384615586</c:v>
                </c:pt>
                <c:pt idx="243">
                  <c:v>56.115384615384819</c:v>
                </c:pt>
                <c:pt idx="244">
                  <c:v>56.346153846154053</c:v>
                </c:pt>
                <c:pt idx="245">
                  <c:v>56.576923076923286</c:v>
                </c:pt>
                <c:pt idx="246">
                  <c:v>56.80769230769252</c:v>
                </c:pt>
                <c:pt idx="247">
                  <c:v>57.038461538461753</c:v>
                </c:pt>
                <c:pt idx="248">
                  <c:v>57.269230769230987</c:v>
                </c:pt>
                <c:pt idx="249">
                  <c:v>57.50000000000022</c:v>
                </c:pt>
                <c:pt idx="250">
                  <c:v>57.730769230769454</c:v>
                </c:pt>
                <c:pt idx="251">
                  <c:v>57.961538461538687</c:v>
                </c:pt>
                <c:pt idx="252">
                  <c:v>58.192307692307921</c:v>
                </c:pt>
                <c:pt idx="253">
                  <c:v>58.423076923077154</c:v>
                </c:pt>
                <c:pt idx="254">
                  <c:v>58.653846153846388</c:v>
                </c:pt>
                <c:pt idx="255">
                  <c:v>58.884615384615621</c:v>
                </c:pt>
                <c:pt idx="256">
                  <c:v>59.115384615384855</c:v>
                </c:pt>
                <c:pt idx="257">
                  <c:v>59.346153846154088</c:v>
                </c:pt>
                <c:pt idx="258">
                  <c:v>59.576923076923322</c:v>
                </c:pt>
                <c:pt idx="259">
                  <c:v>59.807692307692555</c:v>
                </c:pt>
                <c:pt idx="260">
                  <c:v>60.038461538461789</c:v>
                </c:pt>
                <c:pt idx="261">
                  <c:v>60.269230769231022</c:v>
                </c:pt>
                <c:pt idx="262">
                  <c:v>60.500000000000256</c:v>
                </c:pt>
                <c:pt idx="263">
                  <c:v>60.730769230769489</c:v>
                </c:pt>
                <c:pt idx="264">
                  <c:v>60.961538461538723</c:v>
                </c:pt>
                <c:pt idx="265">
                  <c:v>61.192307692307956</c:v>
                </c:pt>
                <c:pt idx="266">
                  <c:v>61.42307692307719</c:v>
                </c:pt>
                <c:pt idx="267">
                  <c:v>61.653846153846423</c:v>
                </c:pt>
                <c:pt idx="268">
                  <c:v>61.884615384615657</c:v>
                </c:pt>
                <c:pt idx="269">
                  <c:v>62.11538461538489</c:v>
                </c:pt>
                <c:pt idx="270">
                  <c:v>62.346153846154124</c:v>
                </c:pt>
                <c:pt idx="271">
                  <c:v>62.576923076923357</c:v>
                </c:pt>
                <c:pt idx="272">
                  <c:v>62.807692307692591</c:v>
                </c:pt>
                <c:pt idx="273">
                  <c:v>63.038461538461824</c:v>
                </c:pt>
                <c:pt idx="274">
                  <c:v>63.269230769231058</c:v>
                </c:pt>
                <c:pt idx="275">
                  <c:v>63.500000000000291</c:v>
                </c:pt>
                <c:pt idx="276">
                  <c:v>63.730769230769525</c:v>
                </c:pt>
                <c:pt idx="277">
                  <c:v>63.961538461538758</c:v>
                </c:pt>
                <c:pt idx="278">
                  <c:v>64.192307692307992</c:v>
                </c:pt>
                <c:pt idx="279">
                  <c:v>64.423076923077218</c:v>
                </c:pt>
                <c:pt idx="280">
                  <c:v>64.653846153846445</c:v>
                </c:pt>
                <c:pt idx="281">
                  <c:v>64.884615384615671</c:v>
                </c:pt>
                <c:pt idx="282">
                  <c:v>65.115384615384897</c:v>
                </c:pt>
                <c:pt idx="283">
                  <c:v>65.346153846154124</c:v>
                </c:pt>
                <c:pt idx="284">
                  <c:v>65.57692307692335</c:v>
                </c:pt>
                <c:pt idx="285">
                  <c:v>65.807692307692577</c:v>
                </c:pt>
                <c:pt idx="286">
                  <c:v>66.038461538461803</c:v>
                </c:pt>
                <c:pt idx="287">
                  <c:v>66.269230769231029</c:v>
                </c:pt>
                <c:pt idx="288">
                  <c:v>66.500000000000256</c:v>
                </c:pt>
                <c:pt idx="289">
                  <c:v>66.730769230769482</c:v>
                </c:pt>
                <c:pt idx="290">
                  <c:v>66.961538461538709</c:v>
                </c:pt>
                <c:pt idx="291">
                  <c:v>67.192307692307935</c:v>
                </c:pt>
                <c:pt idx="292">
                  <c:v>67.423076923077161</c:v>
                </c:pt>
                <c:pt idx="293">
                  <c:v>67.653846153846388</c:v>
                </c:pt>
                <c:pt idx="294">
                  <c:v>67.884615384615614</c:v>
                </c:pt>
                <c:pt idx="295">
                  <c:v>68.115384615384841</c:v>
                </c:pt>
                <c:pt idx="296">
                  <c:v>68.346153846154067</c:v>
                </c:pt>
                <c:pt idx="297">
                  <c:v>68.576923076923293</c:v>
                </c:pt>
                <c:pt idx="298">
                  <c:v>68.80769230769252</c:v>
                </c:pt>
                <c:pt idx="299">
                  <c:v>69.038461538461746</c:v>
                </c:pt>
                <c:pt idx="300">
                  <c:v>69.269230769230973</c:v>
                </c:pt>
                <c:pt idx="301">
                  <c:v>69.500000000000199</c:v>
                </c:pt>
                <c:pt idx="302">
                  <c:v>69.730769230769425</c:v>
                </c:pt>
                <c:pt idx="303">
                  <c:v>69.961538461538652</c:v>
                </c:pt>
                <c:pt idx="304">
                  <c:v>70.192307692307878</c:v>
                </c:pt>
                <c:pt idx="305">
                  <c:v>70.423076923077105</c:v>
                </c:pt>
                <c:pt idx="306">
                  <c:v>70.653846153846331</c:v>
                </c:pt>
                <c:pt idx="307">
                  <c:v>70.884615384615557</c:v>
                </c:pt>
                <c:pt idx="308">
                  <c:v>71.115384615384784</c:v>
                </c:pt>
                <c:pt idx="309">
                  <c:v>71.34615384615401</c:v>
                </c:pt>
                <c:pt idx="310">
                  <c:v>71.576923076923237</c:v>
                </c:pt>
                <c:pt idx="311">
                  <c:v>71.807692307692463</c:v>
                </c:pt>
                <c:pt idx="312">
                  <c:v>72.038461538461689</c:v>
                </c:pt>
                <c:pt idx="313">
                  <c:v>72.269230769230916</c:v>
                </c:pt>
                <c:pt idx="314">
                  <c:v>72.500000000000142</c:v>
                </c:pt>
                <c:pt idx="315">
                  <c:v>72.730769230769369</c:v>
                </c:pt>
                <c:pt idx="316">
                  <c:v>72.961538461538595</c:v>
                </c:pt>
                <c:pt idx="317">
                  <c:v>73.192307692307821</c:v>
                </c:pt>
                <c:pt idx="318">
                  <c:v>73.423076923077048</c:v>
                </c:pt>
                <c:pt idx="319">
                  <c:v>73.653846153846274</c:v>
                </c:pt>
                <c:pt idx="320">
                  <c:v>73.8846153846155</c:v>
                </c:pt>
                <c:pt idx="321">
                  <c:v>74.115384615384727</c:v>
                </c:pt>
                <c:pt idx="322">
                  <c:v>74.346153846153953</c:v>
                </c:pt>
                <c:pt idx="323">
                  <c:v>74.57692307692318</c:v>
                </c:pt>
                <c:pt idx="324">
                  <c:v>74.807692307692406</c:v>
                </c:pt>
                <c:pt idx="325">
                  <c:v>75.038461538461632</c:v>
                </c:pt>
                <c:pt idx="326">
                  <c:v>75.269230769230859</c:v>
                </c:pt>
                <c:pt idx="327">
                  <c:v>75.500000000000085</c:v>
                </c:pt>
                <c:pt idx="328">
                  <c:v>75.730769230769312</c:v>
                </c:pt>
                <c:pt idx="329">
                  <c:v>75.961538461538538</c:v>
                </c:pt>
                <c:pt idx="330">
                  <c:v>76.192307692307764</c:v>
                </c:pt>
                <c:pt idx="331">
                  <c:v>76.423076923076991</c:v>
                </c:pt>
                <c:pt idx="332">
                  <c:v>76.653846153846217</c:v>
                </c:pt>
                <c:pt idx="333">
                  <c:v>76.884615384615444</c:v>
                </c:pt>
                <c:pt idx="334">
                  <c:v>77.11538461538467</c:v>
                </c:pt>
                <c:pt idx="335">
                  <c:v>77.346153846153896</c:v>
                </c:pt>
                <c:pt idx="336">
                  <c:v>77.576923076923123</c:v>
                </c:pt>
                <c:pt idx="337">
                  <c:v>77.807692307692349</c:v>
                </c:pt>
                <c:pt idx="338">
                  <c:v>78.038461538461576</c:v>
                </c:pt>
                <c:pt idx="339">
                  <c:v>78.269230769230802</c:v>
                </c:pt>
                <c:pt idx="340">
                  <c:v>78.500000000000028</c:v>
                </c:pt>
                <c:pt idx="341">
                  <c:v>78.730769230769255</c:v>
                </c:pt>
                <c:pt idx="342">
                  <c:v>78.961538461538481</c:v>
                </c:pt>
                <c:pt idx="343">
                  <c:v>79.192307692307708</c:v>
                </c:pt>
                <c:pt idx="344">
                  <c:v>79.423076923076934</c:v>
                </c:pt>
                <c:pt idx="345">
                  <c:v>79.65384615384616</c:v>
                </c:pt>
                <c:pt idx="346">
                  <c:v>79.884615384615387</c:v>
                </c:pt>
                <c:pt idx="347">
                  <c:v>80.115384615384613</c:v>
                </c:pt>
                <c:pt idx="348">
                  <c:v>80.34615384615384</c:v>
                </c:pt>
                <c:pt idx="349">
                  <c:v>80.576923076923066</c:v>
                </c:pt>
                <c:pt idx="350">
                  <c:v>80.807692307692292</c:v>
                </c:pt>
                <c:pt idx="351">
                  <c:v>81.038461538461519</c:v>
                </c:pt>
                <c:pt idx="352">
                  <c:v>81.269230769230745</c:v>
                </c:pt>
                <c:pt idx="353">
                  <c:v>81.499999999999972</c:v>
                </c:pt>
                <c:pt idx="354">
                  <c:v>81.730769230769198</c:v>
                </c:pt>
                <c:pt idx="355">
                  <c:v>81.961538461538424</c:v>
                </c:pt>
                <c:pt idx="356">
                  <c:v>82.192307692307651</c:v>
                </c:pt>
                <c:pt idx="357">
                  <c:v>82.423076923076877</c:v>
                </c:pt>
                <c:pt idx="358">
                  <c:v>82.653846153846104</c:v>
                </c:pt>
                <c:pt idx="359">
                  <c:v>82.88461538461533</c:v>
                </c:pt>
                <c:pt idx="360">
                  <c:v>83.115384615384556</c:v>
                </c:pt>
                <c:pt idx="361">
                  <c:v>83.346153846153783</c:v>
                </c:pt>
                <c:pt idx="362">
                  <c:v>83.576923076923009</c:v>
                </c:pt>
                <c:pt idx="363">
                  <c:v>83.807692307692236</c:v>
                </c:pt>
                <c:pt idx="364">
                  <c:v>84.038461538461462</c:v>
                </c:pt>
                <c:pt idx="365">
                  <c:v>84.269230769230688</c:v>
                </c:pt>
                <c:pt idx="366">
                  <c:v>84.499999999999915</c:v>
                </c:pt>
                <c:pt idx="367">
                  <c:v>84.730769230769141</c:v>
                </c:pt>
                <c:pt idx="368">
                  <c:v>84.961538461538368</c:v>
                </c:pt>
                <c:pt idx="369">
                  <c:v>85.192307692307594</c:v>
                </c:pt>
                <c:pt idx="370">
                  <c:v>85.42307692307682</c:v>
                </c:pt>
                <c:pt idx="371">
                  <c:v>85.653846153846047</c:v>
                </c:pt>
                <c:pt idx="372">
                  <c:v>85.884615384615273</c:v>
                </c:pt>
                <c:pt idx="373">
                  <c:v>86.1153846153845</c:v>
                </c:pt>
                <c:pt idx="374">
                  <c:v>86.346153846153726</c:v>
                </c:pt>
                <c:pt idx="375">
                  <c:v>86.576923076922952</c:v>
                </c:pt>
                <c:pt idx="376">
                  <c:v>86.807692307692179</c:v>
                </c:pt>
                <c:pt idx="377">
                  <c:v>87.038461538461405</c:v>
                </c:pt>
                <c:pt idx="378">
                  <c:v>87.269230769230631</c:v>
                </c:pt>
                <c:pt idx="379">
                  <c:v>87.499999999999858</c:v>
                </c:pt>
                <c:pt idx="380">
                  <c:v>87.730769230769084</c:v>
                </c:pt>
                <c:pt idx="381">
                  <c:v>87.961538461538311</c:v>
                </c:pt>
                <c:pt idx="382">
                  <c:v>88.192307692307537</c:v>
                </c:pt>
                <c:pt idx="383">
                  <c:v>88.423076923076763</c:v>
                </c:pt>
                <c:pt idx="384">
                  <c:v>88.65384615384599</c:v>
                </c:pt>
                <c:pt idx="385">
                  <c:v>88.884615384615216</c:v>
                </c:pt>
                <c:pt idx="386">
                  <c:v>89.115384615384443</c:v>
                </c:pt>
                <c:pt idx="387">
                  <c:v>89.346153846153669</c:v>
                </c:pt>
                <c:pt idx="388">
                  <c:v>89.576923076922895</c:v>
                </c:pt>
                <c:pt idx="389">
                  <c:v>89.807692307692122</c:v>
                </c:pt>
                <c:pt idx="390">
                  <c:v>90.038461538461348</c:v>
                </c:pt>
                <c:pt idx="391">
                  <c:v>90.269230769230575</c:v>
                </c:pt>
                <c:pt idx="392">
                  <c:v>90.499999999999801</c:v>
                </c:pt>
                <c:pt idx="393">
                  <c:v>90.730769230769027</c:v>
                </c:pt>
                <c:pt idx="394">
                  <c:v>90.961538461538254</c:v>
                </c:pt>
                <c:pt idx="395">
                  <c:v>91.19230769230748</c:v>
                </c:pt>
                <c:pt idx="396">
                  <c:v>91.423076923076707</c:v>
                </c:pt>
                <c:pt idx="397">
                  <c:v>91.653846153845933</c:v>
                </c:pt>
                <c:pt idx="398">
                  <c:v>91.884615384615159</c:v>
                </c:pt>
                <c:pt idx="399">
                  <c:v>92.115384615384386</c:v>
                </c:pt>
                <c:pt idx="400">
                  <c:v>92.346153846153612</c:v>
                </c:pt>
                <c:pt idx="401">
                  <c:v>92.576923076922839</c:v>
                </c:pt>
                <c:pt idx="402">
                  <c:v>92.807692307692065</c:v>
                </c:pt>
                <c:pt idx="403">
                  <c:v>93.038461538461291</c:v>
                </c:pt>
                <c:pt idx="404">
                  <c:v>93.269230769230518</c:v>
                </c:pt>
                <c:pt idx="405">
                  <c:v>93.499999999999744</c:v>
                </c:pt>
                <c:pt idx="406">
                  <c:v>93.730769230768971</c:v>
                </c:pt>
                <c:pt idx="407">
                  <c:v>93.961538461538197</c:v>
                </c:pt>
                <c:pt idx="408">
                  <c:v>94.192307692307423</c:v>
                </c:pt>
                <c:pt idx="409">
                  <c:v>94.42307692307665</c:v>
                </c:pt>
                <c:pt idx="410">
                  <c:v>94.653846153845876</c:v>
                </c:pt>
                <c:pt idx="411">
                  <c:v>94.884615384615103</c:v>
                </c:pt>
                <c:pt idx="412">
                  <c:v>95.115384615384329</c:v>
                </c:pt>
                <c:pt idx="413">
                  <c:v>95.346153846153555</c:v>
                </c:pt>
                <c:pt idx="414">
                  <c:v>95.576923076922782</c:v>
                </c:pt>
                <c:pt idx="415">
                  <c:v>95.807692307692008</c:v>
                </c:pt>
                <c:pt idx="416">
                  <c:v>96.038461538461235</c:v>
                </c:pt>
                <c:pt idx="417">
                  <c:v>96.269230769230461</c:v>
                </c:pt>
                <c:pt idx="418">
                  <c:v>96.499999999999687</c:v>
                </c:pt>
                <c:pt idx="419">
                  <c:v>96.730769230768914</c:v>
                </c:pt>
                <c:pt idx="420">
                  <c:v>96.96153846153814</c:v>
                </c:pt>
                <c:pt idx="421">
                  <c:v>97.192307692307367</c:v>
                </c:pt>
                <c:pt idx="422">
                  <c:v>97.423076923076593</c:v>
                </c:pt>
                <c:pt idx="423">
                  <c:v>97.653846153845819</c:v>
                </c:pt>
                <c:pt idx="424">
                  <c:v>97.884615384615046</c:v>
                </c:pt>
                <c:pt idx="425">
                  <c:v>98.115384615384272</c:v>
                </c:pt>
                <c:pt idx="426">
                  <c:v>98.346153846153499</c:v>
                </c:pt>
                <c:pt idx="427">
                  <c:v>98.576923076922725</c:v>
                </c:pt>
                <c:pt idx="428">
                  <c:v>98.807692307691951</c:v>
                </c:pt>
                <c:pt idx="429">
                  <c:v>99.038461538461178</c:v>
                </c:pt>
                <c:pt idx="430">
                  <c:v>99.269230769230404</c:v>
                </c:pt>
                <c:pt idx="431">
                  <c:v>99.499999999999631</c:v>
                </c:pt>
                <c:pt idx="432">
                  <c:v>99.730769230768857</c:v>
                </c:pt>
                <c:pt idx="433">
                  <c:v>99.961538461538083</c:v>
                </c:pt>
                <c:pt idx="434">
                  <c:v>100.19230769230731</c:v>
                </c:pt>
                <c:pt idx="435">
                  <c:v>100.42307692307654</c:v>
                </c:pt>
              </c:numCache>
            </c:numRef>
          </c:cat>
          <c:val>
            <c:numRef>
              <c:f>Mortality!$B$6:$PU$6</c:f>
              <c:numCache>
                <c:formatCode>0.0000</c:formatCode>
                <c:ptCount val="436"/>
                <c:pt idx="0">
                  <c:v>1</c:v>
                </c:pt>
                <c:pt idx="1">
                  <c:v>1</c:v>
                </c:pt>
                <c:pt idx="2">
                  <c:v>0.995</c:v>
                </c:pt>
                <c:pt idx="3">
                  <c:v>0.9919</c:v>
                </c:pt>
                <c:pt idx="4">
                  <c:v>0.98650000000000004</c:v>
                </c:pt>
                <c:pt idx="5">
                  <c:v>0.98180000000000001</c:v>
                </c:pt>
                <c:pt idx="6">
                  <c:v>0.97709999999999997</c:v>
                </c:pt>
                <c:pt idx="7">
                  <c:v>0.97360000000000002</c:v>
                </c:pt>
                <c:pt idx="8">
                  <c:v>0.97009999999999996</c:v>
                </c:pt>
                <c:pt idx="9">
                  <c:v>0.96509999999999996</c:v>
                </c:pt>
                <c:pt idx="10">
                  <c:v>0.96109999999999995</c:v>
                </c:pt>
                <c:pt idx="11">
                  <c:v>0.95609999999999995</c:v>
                </c:pt>
                <c:pt idx="12">
                  <c:v>0.95089999999999997</c:v>
                </c:pt>
                <c:pt idx="13">
                  <c:v>0.94689999999999996</c:v>
                </c:pt>
                <c:pt idx="14">
                  <c:v>0.94330000000000003</c:v>
                </c:pt>
                <c:pt idx="15">
                  <c:v>0.9385</c:v>
                </c:pt>
                <c:pt idx="16">
                  <c:v>0.93510000000000004</c:v>
                </c:pt>
                <c:pt idx="17">
                  <c:v>0.93030000000000002</c:v>
                </c:pt>
                <c:pt idx="18">
                  <c:v>0.92630000000000001</c:v>
                </c:pt>
                <c:pt idx="19">
                  <c:v>0.92149999999999999</c:v>
                </c:pt>
                <c:pt idx="20">
                  <c:v>0.91620000000000001</c:v>
                </c:pt>
                <c:pt idx="21">
                  <c:v>0.91120000000000001</c:v>
                </c:pt>
                <c:pt idx="22">
                  <c:v>0.90639999999999998</c:v>
                </c:pt>
                <c:pt idx="23">
                  <c:v>0.90280000000000005</c:v>
                </c:pt>
                <c:pt idx="24">
                  <c:v>0.89849999999999997</c:v>
                </c:pt>
                <c:pt idx="25">
                  <c:v>0.89339999999999997</c:v>
                </c:pt>
                <c:pt idx="26">
                  <c:v>0.88819999999999999</c:v>
                </c:pt>
                <c:pt idx="27">
                  <c:v>0.88370000000000004</c:v>
                </c:pt>
                <c:pt idx="28">
                  <c:v>0.87849999999999995</c:v>
                </c:pt>
                <c:pt idx="29">
                  <c:v>0.87409999999999999</c:v>
                </c:pt>
                <c:pt idx="30">
                  <c:v>0.86939999999999995</c:v>
                </c:pt>
                <c:pt idx="31">
                  <c:v>0.86550000000000005</c:v>
                </c:pt>
                <c:pt idx="32">
                  <c:v>0.86050000000000004</c:v>
                </c:pt>
                <c:pt idx="33">
                  <c:v>0.85529999999999995</c:v>
                </c:pt>
                <c:pt idx="34">
                  <c:v>0.85029999999999994</c:v>
                </c:pt>
                <c:pt idx="35">
                  <c:v>0.84370000000000001</c:v>
                </c:pt>
                <c:pt idx="36">
                  <c:v>0.83879999999999999</c:v>
                </c:pt>
                <c:pt idx="37">
                  <c:v>0.83409999999999995</c:v>
                </c:pt>
                <c:pt idx="38">
                  <c:v>0.83030000000000004</c:v>
                </c:pt>
                <c:pt idx="39">
                  <c:v>0.82620000000000005</c:v>
                </c:pt>
                <c:pt idx="40">
                  <c:v>0.82230000000000003</c:v>
                </c:pt>
                <c:pt idx="41">
                  <c:v>0.81730000000000003</c:v>
                </c:pt>
                <c:pt idx="42">
                  <c:v>0.81210000000000004</c:v>
                </c:pt>
                <c:pt idx="43">
                  <c:v>0.80649999999999999</c:v>
                </c:pt>
                <c:pt idx="44">
                  <c:v>0.80120000000000002</c:v>
                </c:pt>
                <c:pt idx="45">
                  <c:v>0.79500000000000004</c:v>
                </c:pt>
                <c:pt idx="46">
                  <c:v>0.78849999999999998</c:v>
                </c:pt>
                <c:pt idx="47">
                  <c:v>0.78369999999999995</c:v>
                </c:pt>
                <c:pt idx="48">
                  <c:v>0.77980000000000005</c:v>
                </c:pt>
                <c:pt idx="49">
                  <c:v>0.77459999999999996</c:v>
                </c:pt>
                <c:pt idx="50">
                  <c:v>0.77039999999999997</c:v>
                </c:pt>
                <c:pt idx="51">
                  <c:v>0.76600000000000001</c:v>
                </c:pt>
                <c:pt idx="52">
                  <c:v>0.76100000000000001</c:v>
                </c:pt>
                <c:pt idx="53">
                  <c:v>0.75649999999999995</c:v>
                </c:pt>
                <c:pt idx="54">
                  <c:v>0.75080000000000002</c:v>
                </c:pt>
                <c:pt idx="55">
                  <c:v>0.74660000000000004</c:v>
                </c:pt>
                <c:pt idx="56">
                  <c:v>0.74239999999999995</c:v>
                </c:pt>
                <c:pt idx="57">
                  <c:v>0.73780000000000001</c:v>
                </c:pt>
                <c:pt idx="58">
                  <c:v>0.73250000000000004</c:v>
                </c:pt>
                <c:pt idx="59">
                  <c:v>0.72829999999999995</c:v>
                </c:pt>
                <c:pt idx="60">
                  <c:v>0.72430000000000005</c:v>
                </c:pt>
                <c:pt idx="61">
                  <c:v>0.71879999999999999</c:v>
                </c:pt>
                <c:pt idx="62">
                  <c:v>0.71489999999999998</c:v>
                </c:pt>
                <c:pt idx="63">
                  <c:v>0.71089999999999998</c:v>
                </c:pt>
                <c:pt idx="64">
                  <c:v>0.70650000000000002</c:v>
                </c:pt>
                <c:pt idx="65">
                  <c:v>0.70299999999999996</c:v>
                </c:pt>
                <c:pt idx="66">
                  <c:v>0.69869999999999999</c:v>
                </c:pt>
                <c:pt idx="67">
                  <c:v>0.69340000000000002</c:v>
                </c:pt>
                <c:pt idx="68">
                  <c:v>0.6885</c:v>
                </c:pt>
                <c:pt idx="69">
                  <c:v>0.68369999999999997</c:v>
                </c:pt>
                <c:pt idx="70">
                  <c:v>0.67979999999999996</c:v>
                </c:pt>
                <c:pt idx="71">
                  <c:v>0.67510000000000003</c:v>
                </c:pt>
                <c:pt idx="72">
                  <c:v>0.6704</c:v>
                </c:pt>
                <c:pt idx="73">
                  <c:v>0.66620000000000001</c:v>
                </c:pt>
                <c:pt idx="74">
                  <c:v>0.66110000000000002</c:v>
                </c:pt>
                <c:pt idx="75">
                  <c:v>0.65710000000000002</c:v>
                </c:pt>
                <c:pt idx="76">
                  <c:v>0.65300000000000002</c:v>
                </c:pt>
                <c:pt idx="77">
                  <c:v>0.64890000000000003</c:v>
                </c:pt>
                <c:pt idx="78">
                  <c:v>0.64529999999999998</c:v>
                </c:pt>
                <c:pt idx="79">
                  <c:v>0.64229999999999998</c:v>
                </c:pt>
                <c:pt idx="80">
                  <c:v>0.63790000000000002</c:v>
                </c:pt>
                <c:pt idx="81">
                  <c:v>0.63419999999999999</c:v>
                </c:pt>
                <c:pt idx="82">
                  <c:v>0.63019999999999998</c:v>
                </c:pt>
                <c:pt idx="83">
                  <c:v>0.62729999999999997</c:v>
                </c:pt>
                <c:pt idx="84">
                  <c:v>0.62319999999999998</c:v>
                </c:pt>
                <c:pt idx="85">
                  <c:v>0.61899999999999999</c:v>
                </c:pt>
                <c:pt idx="86">
                  <c:v>0.61470000000000002</c:v>
                </c:pt>
                <c:pt idx="87">
                  <c:v>0.61080000000000001</c:v>
                </c:pt>
                <c:pt idx="88">
                  <c:v>0.60709999999999997</c:v>
                </c:pt>
                <c:pt idx="89">
                  <c:v>0.60299999999999998</c:v>
                </c:pt>
                <c:pt idx="90">
                  <c:v>0.59989999999999999</c:v>
                </c:pt>
                <c:pt idx="91">
                  <c:v>0.59730000000000005</c:v>
                </c:pt>
                <c:pt idx="92">
                  <c:v>0.59340000000000004</c:v>
                </c:pt>
                <c:pt idx="93">
                  <c:v>0.58879999999999999</c:v>
                </c:pt>
                <c:pt idx="94">
                  <c:v>0.58660000000000001</c:v>
                </c:pt>
                <c:pt idx="95">
                  <c:v>0.58460000000000001</c:v>
                </c:pt>
                <c:pt idx="96">
                  <c:v>0.58099999999999996</c:v>
                </c:pt>
                <c:pt idx="97">
                  <c:v>0.57799999999999996</c:v>
                </c:pt>
                <c:pt idx="98">
                  <c:v>0.57509999999999994</c:v>
                </c:pt>
                <c:pt idx="99">
                  <c:v>0.57250000000000001</c:v>
                </c:pt>
                <c:pt idx="100">
                  <c:v>0.56950000000000001</c:v>
                </c:pt>
                <c:pt idx="101">
                  <c:v>0.56679999999999997</c:v>
                </c:pt>
                <c:pt idx="102">
                  <c:v>0.56369999999999998</c:v>
                </c:pt>
                <c:pt idx="103">
                  <c:v>0.56059999999999999</c:v>
                </c:pt>
                <c:pt idx="104">
                  <c:v>0.55700000000000005</c:v>
                </c:pt>
                <c:pt idx="105">
                  <c:v>0.55479999999999996</c:v>
                </c:pt>
                <c:pt idx="106">
                  <c:v>0.5514</c:v>
                </c:pt>
                <c:pt idx="107">
                  <c:v>0.54820000000000002</c:v>
                </c:pt>
                <c:pt idx="108">
                  <c:v>0.54620000000000002</c:v>
                </c:pt>
                <c:pt idx="109">
                  <c:v>0.54339999999999999</c:v>
                </c:pt>
                <c:pt idx="110">
                  <c:v>0.54010000000000002</c:v>
                </c:pt>
                <c:pt idx="111">
                  <c:v>0.53820000000000001</c:v>
                </c:pt>
                <c:pt idx="112">
                  <c:v>0.53500000000000003</c:v>
                </c:pt>
                <c:pt idx="113">
                  <c:v>0.5333</c:v>
                </c:pt>
                <c:pt idx="114">
                  <c:v>0.53100000000000003</c:v>
                </c:pt>
                <c:pt idx="115">
                  <c:v>0.52849999999999997</c:v>
                </c:pt>
                <c:pt idx="116">
                  <c:v>0.52600000000000002</c:v>
                </c:pt>
                <c:pt idx="117">
                  <c:v>0.52400000000000002</c:v>
                </c:pt>
                <c:pt idx="118">
                  <c:v>0.5212</c:v>
                </c:pt>
                <c:pt idx="119">
                  <c:v>0.51829999999999998</c:v>
                </c:pt>
                <c:pt idx="120">
                  <c:v>0.51539999999999997</c:v>
                </c:pt>
                <c:pt idx="121">
                  <c:v>0.51259999999999994</c:v>
                </c:pt>
                <c:pt idx="122">
                  <c:v>0.51029999999999998</c:v>
                </c:pt>
                <c:pt idx="123">
                  <c:v>0.50749999999999995</c:v>
                </c:pt>
                <c:pt idx="124">
                  <c:v>0.50539999999999996</c:v>
                </c:pt>
                <c:pt idx="125">
                  <c:v>0.50260000000000005</c:v>
                </c:pt>
                <c:pt idx="126">
                  <c:v>0.50029999999999997</c:v>
                </c:pt>
                <c:pt idx="127">
                  <c:v>0.49930000000000002</c:v>
                </c:pt>
                <c:pt idx="128">
                  <c:v>0.49790000000000001</c:v>
                </c:pt>
                <c:pt idx="129">
                  <c:v>0.49580000000000002</c:v>
                </c:pt>
                <c:pt idx="130">
                  <c:v>0.49359999999999998</c:v>
                </c:pt>
                <c:pt idx="131">
                  <c:v>0.49159999999999998</c:v>
                </c:pt>
                <c:pt idx="132">
                  <c:v>0.49049999999999999</c:v>
                </c:pt>
                <c:pt idx="133">
                  <c:v>0.48859999999999998</c:v>
                </c:pt>
                <c:pt idx="134">
                  <c:v>0.48670000000000002</c:v>
                </c:pt>
                <c:pt idx="135">
                  <c:v>0.48420000000000002</c:v>
                </c:pt>
                <c:pt idx="136">
                  <c:v>0.48209999999999997</c:v>
                </c:pt>
                <c:pt idx="137">
                  <c:v>0.48080000000000001</c:v>
                </c:pt>
                <c:pt idx="138">
                  <c:v>0.47860000000000003</c:v>
                </c:pt>
                <c:pt idx="139">
                  <c:v>0.47689999999999999</c:v>
                </c:pt>
                <c:pt idx="140">
                  <c:v>0.47520000000000001</c:v>
                </c:pt>
                <c:pt idx="141">
                  <c:v>0.47310000000000002</c:v>
                </c:pt>
                <c:pt idx="142">
                  <c:v>0.47089999999999999</c:v>
                </c:pt>
                <c:pt idx="143">
                  <c:v>0.46920000000000001</c:v>
                </c:pt>
                <c:pt idx="144">
                  <c:v>0.46750000000000003</c:v>
                </c:pt>
                <c:pt idx="145">
                  <c:v>0.46550000000000002</c:v>
                </c:pt>
                <c:pt idx="146">
                  <c:v>0.46379999999999999</c:v>
                </c:pt>
                <c:pt idx="147">
                  <c:v>0.4617</c:v>
                </c:pt>
                <c:pt idx="148">
                  <c:v>0.4592</c:v>
                </c:pt>
                <c:pt idx="149">
                  <c:v>0.45729999999999998</c:v>
                </c:pt>
                <c:pt idx="150">
                  <c:v>0.45540000000000003</c:v>
                </c:pt>
                <c:pt idx="151">
                  <c:v>0.45329999999999998</c:v>
                </c:pt>
                <c:pt idx="152">
                  <c:v>0.45190000000000002</c:v>
                </c:pt>
                <c:pt idx="153">
                  <c:v>0.44969999999999999</c:v>
                </c:pt>
                <c:pt idx="154">
                  <c:v>0.44779999999999998</c:v>
                </c:pt>
                <c:pt idx="155">
                  <c:v>0.44590000000000002</c:v>
                </c:pt>
                <c:pt idx="156">
                  <c:v>0.44419999999999998</c:v>
                </c:pt>
                <c:pt idx="157">
                  <c:v>0.442</c:v>
                </c:pt>
                <c:pt idx="158">
                  <c:v>0.44009999999999999</c:v>
                </c:pt>
                <c:pt idx="159">
                  <c:v>0.43790000000000001</c:v>
                </c:pt>
                <c:pt idx="160">
                  <c:v>0.436</c:v>
                </c:pt>
                <c:pt idx="161">
                  <c:v>0.43419999999999997</c:v>
                </c:pt>
                <c:pt idx="162">
                  <c:v>0.432</c:v>
                </c:pt>
                <c:pt idx="163">
                  <c:v>0.42970000000000003</c:v>
                </c:pt>
                <c:pt idx="164">
                  <c:v>0.42770000000000002</c:v>
                </c:pt>
                <c:pt idx="165">
                  <c:v>0.42609999999999998</c:v>
                </c:pt>
                <c:pt idx="166">
                  <c:v>0.42399999999999999</c:v>
                </c:pt>
                <c:pt idx="167">
                  <c:v>0.42120000000000002</c:v>
                </c:pt>
                <c:pt idx="168">
                  <c:v>0.41959999999999997</c:v>
                </c:pt>
                <c:pt idx="169">
                  <c:v>0.41789999999999999</c:v>
                </c:pt>
                <c:pt idx="170">
                  <c:v>0.41639999999999999</c:v>
                </c:pt>
                <c:pt idx="171">
                  <c:v>0.41470000000000001</c:v>
                </c:pt>
                <c:pt idx="172">
                  <c:v>0.41199999999999998</c:v>
                </c:pt>
                <c:pt idx="173">
                  <c:v>0.41039999999999999</c:v>
                </c:pt>
                <c:pt idx="174">
                  <c:v>0.40889999999999999</c:v>
                </c:pt>
                <c:pt idx="175">
                  <c:v>0.40699999999999997</c:v>
                </c:pt>
                <c:pt idx="176">
                  <c:v>0.40479999999999999</c:v>
                </c:pt>
                <c:pt idx="177">
                  <c:v>0.40239999999999998</c:v>
                </c:pt>
                <c:pt idx="178">
                  <c:v>0.40110000000000001</c:v>
                </c:pt>
                <c:pt idx="179">
                  <c:v>0.39860000000000001</c:v>
                </c:pt>
                <c:pt idx="180">
                  <c:v>0.39760000000000001</c:v>
                </c:pt>
                <c:pt idx="181">
                  <c:v>0.39610000000000001</c:v>
                </c:pt>
                <c:pt idx="182">
                  <c:v>0.39369999999999999</c:v>
                </c:pt>
                <c:pt idx="183">
                  <c:v>0.39140000000000003</c:v>
                </c:pt>
                <c:pt idx="184">
                  <c:v>0.38779999999999998</c:v>
                </c:pt>
                <c:pt idx="185">
                  <c:v>0.38529999999999998</c:v>
                </c:pt>
                <c:pt idx="186">
                  <c:v>0.3826</c:v>
                </c:pt>
                <c:pt idx="187">
                  <c:v>0.37990000000000002</c:v>
                </c:pt>
                <c:pt idx="188">
                  <c:v>0.37780000000000002</c:v>
                </c:pt>
                <c:pt idx="189">
                  <c:v>0.37559999999999999</c:v>
                </c:pt>
                <c:pt idx="190">
                  <c:v>0.37319999999999998</c:v>
                </c:pt>
                <c:pt idx="191">
                  <c:v>0.37119999999999997</c:v>
                </c:pt>
                <c:pt idx="192">
                  <c:v>0.36930000000000002</c:v>
                </c:pt>
                <c:pt idx="193">
                  <c:v>0.36680000000000001</c:v>
                </c:pt>
                <c:pt idx="194">
                  <c:v>0.36449999999999999</c:v>
                </c:pt>
                <c:pt idx="195">
                  <c:v>0.36159999999999998</c:v>
                </c:pt>
                <c:pt idx="196">
                  <c:v>0.35959999999999998</c:v>
                </c:pt>
                <c:pt idx="197">
                  <c:v>0.35670000000000002</c:v>
                </c:pt>
                <c:pt idx="198">
                  <c:v>0.35449999999999998</c:v>
                </c:pt>
                <c:pt idx="199">
                  <c:v>0.35260000000000002</c:v>
                </c:pt>
                <c:pt idx="200">
                  <c:v>0.3508</c:v>
                </c:pt>
                <c:pt idx="201">
                  <c:v>0.34870000000000001</c:v>
                </c:pt>
                <c:pt idx="202">
                  <c:v>0.34649999999999997</c:v>
                </c:pt>
                <c:pt idx="203">
                  <c:v>0.34439999999999998</c:v>
                </c:pt>
                <c:pt idx="204">
                  <c:v>0.34100000000000003</c:v>
                </c:pt>
                <c:pt idx="205">
                  <c:v>0.33910000000000001</c:v>
                </c:pt>
                <c:pt idx="206">
                  <c:v>0.33729999999999999</c:v>
                </c:pt>
                <c:pt idx="207">
                  <c:v>0.33439999999999998</c:v>
                </c:pt>
                <c:pt idx="208">
                  <c:v>0.33200000000000002</c:v>
                </c:pt>
                <c:pt idx="209">
                  <c:v>0.33090000000000003</c:v>
                </c:pt>
                <c:pt idx="210">
                  <c:v>0.3281</c:v>
                </c:pt>
                <c:pt idx="211">
                  <c:v>0.32540000000000002</c:v>
                </c:pt>
                <c:pt idx="212">
                  <c:v>0.32200000000000001</c:v>
                </c:pt>
                <c:pt idx="213">
                  <c:v>0.31979999999999997</c:v>
                </c:pt>
                <c:pt idx="214">
                  <c:v>0.31740000000000002</c:v>
                </c:pt>
                <c:pt idx="215">
                  <c:v>0.31419999999999998</c:v>
                </c:pt>
                <c:pt idx="216">
                  <c:v>0.31180000000000002</c:v>
                </c:pt>
                <c:pt idx="217">
                  <c:v>0.30959999999999999</c:v>
                </c:pt>
                <c:pt idx="218">
                  <c:v>0.30790000000000001</c:v>
                </c:pt>
                <c:pt idx="219">
                  <c:v>0.30570000000000003</c:v>
                </c:pt>
                <c:pt idx="220">
                  <c:v>0.30270000000000002</c:v>
                </c:pt>
                <c:pt idx="221">
                  <c:v>0.29949999999999999</c:v>
                </c:pt>
                <c:pt idx="222">
                  <c:v>0.29799999999999999</c:v>
                </c:pt>
                <c:pt idx="223">
                  <c:v>0.29520000000000002</c:v>
                </c:pt>
                <c:pt idx="224">
                  <c:v>0.29339999999999999</c:v>
                </c:pt>
                <c:pt idx="225">
                  <c:v>0.2918</c:v>
                </c:pt>
                <c:pt idx="226">
                  <c:v>0.28939999999999999</c:v>
                </c:pt>
                <c:pt idx="227">
                  <c:v>0.28749999999999998</c:v>
                </c:pt>
                <c:pt idx="228">
                  <c:v>0.28470000000000001</c:v>
                </c:pt>
                <c:pt idx="229">
                  <c:v>0.28199999999999997</c:v>
                </c:pt>
                <c:pt idx="230">
                  <c:v>0.27979999999999999</c:v>
                </c:pt>
                <c:pt idx="231">
                  <c:v>0.2777</c:v>
                </c:pt>
                <c:pt idx="232">
                  <c:v>0.27510000000000001</c:v>
                </c:pt>
                <c:pt idx="233">
                  <c:v>0.2732</c:v>
                </c:pt>
                <c:pt idx="234">
                  <c:v>0.27050000000000002</c:v>
                </c:pt>
                <c:pt idx="235">
                  <c:v>0.26829999999999998</c:v>
                </c:pt>
                <c:pt idx="236">
                  <c:v>0.2656</c:v>
                </c:pt>
                <c:pt idx="237">
                  <c:v>0.26350000000000001</c:v>
                </c:pt>
                <c:pt idx="238">
                  <c:v>0.2616</c:v>
                </c:pt>
                <c:pt idx="239">
                  <c:v>0.25929999999999997</c:v>
                </c:pt>
                <c:pt idx="240">
                  <c:v>0.2576</c:v>
                </c:pt>
                <c:pt idx="241">
                  <c:v>0.2555</c:v>
                </c:pt>
                <c:pt idx="242">
                  <c:v>0.25319999999999998</c:v>
                </c:pt>
                <c:pt idx="243">
                  <c:v>0.24970000000000001</c:v>
                </c:pt>
                <c:pt idx="244">
                  <c:v>0.248</c:v>
                </c:pt>
                <c:pt idx="245">
                  <c:v>0.24460000000000001</c:v>
                </c:pt>
                <c:pt idx="246">
                  <c:v>0.2422</c:v>
                </c:pt>
                <c:pt idx="247">
                  <c:v>0.2394</c:v>
                </c:pt>
                <c:pt idx="248">
                  <c:v>0.23619999999999999</c:v>
                </c:pt>
                <c:pt idx="249">
                  <c:v>0.23319999999999999</c:v>
                </c:pt>
                <c:pt idx="250">
                  <c:v>0.23139999999999999</c:v>
                </c:pt>
                <c:pt idx="251">
                  <c:v>0.2281</c:v>
                </c:pt>
                <c:pt idx="252">
                  <c:v>0.22570000000000001</c:v>
                </c:pt>
                <c:pt idx="253">
                  <c:v>0.22309999999999999</c:v>
                </c:pt>
                <c:pt idx="254">
                  <c:v>0.22020000000000001</c:v>
                </c:pt>
                <c:pt idx="255">
                  <c:v>0.21679999999999999</c:v>
                </c:pt>
                <c:pt idx="256">
                  <c:v>0.21360000000000001</c:v>
                </c:pt>
                <c:pt idx="257">
                  <c:v>0.2109</c:v>
                </c:pt>
                <c:pt idx="258">
                  <c:v>0.20780000000000001</c:v>
                </c:pt>
                <c:pt idx="259">
                  <c:v>0.20549999999999999</c:v>
                </c:pt>
                <c:pt idx="260">
                  <c:v>0.2024</c:v>
                </c:pt>
                <c:pt idx="261">
                  <c:v>0.20039999999999999</c:v>
                </c:pt>
                <c:pt idx="262">
                  <c:v>0.19800000000000001</c:v>
                </c:pt>
                <c:pt idx="263">
                  <c:v>0.1953</c:v>
                </c:pt>
                <c:pt idx="264">
                  <c:v>0.19339999999999999</c:v>
                </c:pt>
                <c:pt idx="265">
                  <c:v>0.19040000000000001</c:v>
                </c:pt>
                <c:pt idx="266">
                  <c:v>0.188</c:v>
                </c:pt>
                <c:pt idx="267">
                  <c:v>0.1852</c:v>
                </c:pt>
                <c:pt idx="268">
                  <c:v>0.18240000000000001</c:v>
                </c:pt>
                <c:pt idx="269">
                  <c:v>0.18060000000000001</c:v>
                </c:pt>
                <c:pt idx="270">
                  <c:v>0.17810000000000001</c:v>
                </c:pt>
                <c:pt idx="271">
                  <c:v>0.1754</c:v>
                </c:pt>
                <c:pt idx="272">
                  <c:v>0.17269999999999999</c:v>
                </c:pt>
                <c:pt idx="273">
                  <c:v>0.1694</c:v>
                </c:pt>
                <c:pt idx="274">
                  <c:v>0.1676</c:v>
                </c:pt>
                <c:pt idx="275">
                  <c:v>0.16450000000000001</c:v>
                </c:pt>
                <c:pt idx="276">
                  <c:v>0.16250000000000001</c:v>
                </c:pt>
                <c:pt idx="277">
                  <c:v>0.1603</c:v>
                </c:pt>
                <c:pt idx="278">
                  <c:v>0.15820000000000001</c:v>
                </c:pt>
                <c:pt idx="279">
                  <c:v>0.15490000000000001</c:v>
                </c:pt>
                <c:pt idx="280">
                  <c:v>0.15190000000000001</c:v>
                </c:pt>
                <c:pt idx="281">
                  <c:v>0.14929999999999999</c:v>
                </c:pt>
                <c:pt idx="282">
                  <c:v>0.1464</c:v>
                </c:pt>
                <c:pt idx="283">
                  <c:v>0.14410000000000001</c:v>
                </c:pt>
                <c:pt idx="284">
                  <c:v>0.14149999999999999</c:v>
                </c:pt>
                <c:pt idx="285">
                  <c:v>0.13850000000000001</c:v>
                </c:pt>
                <c:pt idx="286">
                  <c:v>0.1363</c:v>
                </c:pt>
                <c:pt idx="287">
                  <c:v>0.13350000000000001</c:v>
                </c:pt>
                <c:pt idx="288">
                  <c:v>0.13070000000000001</c:v>
                </c:pt>
                <c:pt idx="289">
                  <c:v>0.128</c:v>
                </c:pt>
                <c:pt idx="290">
                  <c:v>0.12570000000000001</c:v>
                </c:pt>
                <c:pt idx="291">
                  <c:v>0.122</c:v>
                </c:pt>
                <c:pt idx="292">
                  <c:v>0.1181</c:v>
                </c:pt>
                <c:pt idx="293">
                  <c:v>0.11550000000000001</c:v>
                </c:pt>
                <c:pt idx="294">
                  <c:v>0.11310000000000001</c:v>
                </c:pt>
                <c:pt idx="295">
                  <c:v>0.11070000000000001</c:v>
                </c:pt>
                <c:pt idx="296">
                  <c:v>0.1089</c:v>
                </c:pt>
                <c:pt idx="297">
                  <c:v>0.1067</c:v>
                </c:pt>
                <c:pt idx="298">
                  <c:v>0.1047</c:v>
                </c:pt>
                <c:pt idx="299">
                  <c:v>0.10290000000000001</c:v>
                </c:pt>
                <c:pt idx="300">
                  <c:v>0.10059999999999999</c:v>
                </c:pt>
                <c:pt idx="301">
                  <c:v>9.8699999999999996E-2</c:v>
                </c:pt>
                <c:pt idx="302">
                  <c:v>9.5799999999999996E-2</c:v>
                </c:pt>
                <c:pt idx="303">
                  <c:v>9.3200000000000005E-2</c:v>
                </c:pt>
                <c:pt idx="304">
                  <c:v>0.09</c:v>
                </c:pt>
                <c:pt idx="305">
                  <c:v>8.7499999999999994E-2</c:v>
                </c:pt>
                <c:pt idx="306">
                  <c:v>8.6400000000000005E-2</c:v>
                </c:pt>
                <c:pt idx="307">
                  <c:v>8.3900000000000002E-2</c:v>
                </c:pt>
                <c:pt idx="308">
                  <c:v>8.1699999999999995E-2</c:v>
                </c:pt>
                <c:pt idx="309">
                  <c:v>7.9799999999999996E-2</c:v>
                </c:pt>
                <c:pt idx="310">
                  <c:v>7.7399999999999997E-2</c:v>
                </c:pt>
                <c:pt idx="311">
                  <c:v>7.5499999999999998E-2</c:v>
                </c:pt>
                <c:pt idx="312">
                  <c:v>7.3300000000000004E-2</c:v>
                </c:pt>
                <c:pt idx="313">
                  <c:v>7.1499999999999994E-2</c:v>
                </c:pt>
                <c:pt idx="314">
                  <c:v>6.8900000000000003E-2</c:v>
                </c:pt>
                <c:pt idx="315">
                  <c:v>6.7000000000000004E-2</c:v>
                </c:pt>
                <c:pt idx="316">
                  <c:v>6.5000000000000002E-2</c:v>
                </c:pt>
                <c:pt idx="317">
                  <c:v>6.2899999999999998E-2</c:v>
                </c:pt>
                <c:pt idx="318">
                  <c:v>6.1699999999999998E-2</c:v>
                </c:pt>
                <c:pt idx="319">
                  <c:v>5.9799999999999999E-2</c:v>
                </c:pt>
                <c:pt idx="320">
                  <c:v>5.8599999999999999E-2</c:v>
                </c:pt>
                <c:pt idx="321">
                  <c:v>5.7500000000000002E-2</c:v>
                </c:pt>
                <c:pt idx="322">
                  <c:v>5.5599999999999997E-2</c:v>
                </c:pt>
                <c:pt idx="323">
                  <c:v>5.2999999999999999E-2</c:v>
                </c:pt>
                <c:pt idx="324">
                  <c:v>5.1499999999999997E-2</c:v>
                </c:pt>
                <c:pt idx="325">
                  <c:v>4.9799999999999997E-2</c:v>
                </c:pt>
                <c:pt idx="326">
                  <c:v>4.7899999999999998E-2</c:v>
                </c:pt>
                <c:pt idx="327">
                  <c:v>4.6899999999999997E-2</c:v>
                </c:pt>
                <c:pt idx="328">
                  <c:v>4.53E-2</c:v>
                </c:pt>
                <c:pt idx="329">
                  <c:v>4.4600000000000001E-2</c:v>
                </c:pt>
                <c:pt idx="330">
                  <c:v>4.2700000000000002E-2</c:v>
                </c:pt>
                <c:pt idx="331">
                  <c:v>4.1000000000000002E-2</c:v>
                </c:pt>
                <c:pt idx="332">
                  <c:v>3.9199999999999999E-2</c:v>
                </c:pt>
                <c:pt idx="333">
                  <c:v>3.78E-2</c:v>
                </c:pt>
                <c:pt idx="334">
                  <c:v>3.6799999999999999E-2</c:v>
                </c:pt>
                <c:pt idx="335">
                  <c:v>3.5700000000000003E-2</c:v>
                </c:pt>
                <c:pt idx="336">
                  <c:v>3.4599999999999999E-2</c:v>
                </c:pt>
                <c:pt idx="337">
                  <c:v>3.3099999999999997E-2</c:v>
                </c:pt>
                <c:pt idx="338">
                  <c:v>3.15E-2</c:v>
                </c:pt>
                <c:pt idx="339">
                  <c:v>3.0599999999999999E-2</c:v>
                </c:pt>
                <c:pt idx="340">
                  <c:v>2.9100000000000001E-2</c:v>
                </c:pt>
                <c:pt idx="341">
                  <c:v>2.8299999999999999E-2</c:v>
                </c:pt>
                <c:pt idx="342">
                  <c:v>2.75E-2</c:v>
                </c:pt>
                <c:pt idx="343">
                  <c:v>2.64E-2</c:v>
                </c:pt>
                <c:pt idx="344">
                  <c:v>2.4799999999999999E-2</c:v>
                </c:pt>
                <c:pt idx="345">
                  <c:v>2.3300000000000001E-2</c:v>
                </c:pt>
                <c:pt idx="346">
                  <c:v>2.24E-2</c:v>
                </c:pt>
                <c:pt idx="347">
                  <c:v>2.1399999999999999E-2</c:v>
                </c:pt>
                <c:pt idx="348">
                  <c:v>2.06E-2</c:v>
                </c:pt>
                <c:pt idx="349">
                  <c:v>2.01E-2</c:v>
                </c:pt>
                <c:pt idx="350">
                  <c:v>1.8800000000000001E-2</c:v>
                </c:pt>
                <c:pt idx="351">
                  <c:v>1.7899999999999999E-2</c:v>
                </c:pt>
                <c:pt idx="352">
                  <c:v>1.72E-2</c:v>
                </c:pt>
                <c:pt idx="353">
                  <c:v>1.6799999999999999E-2</c:v>
                </c:pt>
                <c:pt idx="354">
                  <c:v>1.6400000000000001E-2</c:v>
                </c:pt>
                <c:pt idx="355">
                  <c:v>1.5599999999999999E-2</c:v>
                </c:pt>
                <c:pt idx="356">
                  <c:v>1.43E-2</c:v>
                </c:pt>
                <c:pt idx="357">
                  <c:v>1.37E-2</c:v>
                </c:pt>
                <c:pt idx="358">
                  <c:v>1.2800000000000001E-2</c:v>
                </c:pt>
                <c:pt idx="359">
                  <c:v>1.2200000000000001E-2</c:v>
                </c:pt>
                <c:pt idx="360">
                  <c:v>1.2E-2</c:v>
                </c:pt>
                <c:pt idx="361">
                  <c:v>1.1299999999999999E-2</c:v>
                </c:pt>
                <c:pt idx="362">
                  <c:v>1.06E-2</c:v>
                </c:pt>
                <c:pt idx="363">
                  <c:v>1.04E-2</c:v>
                </c:pt>
                <c:pt idx="364">
                  <c:v>9.9000000000000008E-3</c:v>
                </c:pt>
                <c:pt idx="365">
                  <c:v>9.4000000000000004E-3</c:v>
                </c:pt>
                <c:pt idx="366">
                  <c:v>8.8999999999999999E-3</c:v>
                </c:pt>
                <c:pt idx="367">
                  <c:v>8.3000000000000001E-3</c:v>
                </c:pt>
                <c:pt idx="368">
                  <c:v>7.7000000000000002E-3</c:v>
                </c:pt>
                <c:pt idx="369">
                  <c:v>7.1999999999999998E-3</c:v>
                </c:pt>
                <c:pt idx="370">
                  <c:v>6.4999999999999997E-3</c:v>
                </c:pt>
                <c:pt idx="371">
                  <c:v>6.0000000000000001E-3</c:v>
                </c:pt>
                <c:pt idx="372">
                  <c:v>5.4000000000000003E-3</c:v>
                </c:pt>
                <c:pt idx="373">
                  <c:v>5.1999999999999998E-3</c:v>
                </c:pt>
                <c:pt idx="374">
                  <c:v>5.0000000000000001E-3</c:v>
                </c:pt>
                <c:pt idx="375">
                  <c:v>4.8999999999999998E-3</c:v>
                </c:pt>
                <c:pt idx="376">
                  <c:v>4.7000000000000002E-3</c:v>
                </c:pt>
                <c:pt idx="377">
                  <c:v>4.1999999999999997E-3</c:v>
                </c:pt>
                <c:pt idx="378">
                  <c:v>3.8999999999999998E-3</c:v>
                </c:pt>
                <c:pt idx="379">
                  <c:v>3.8E-3</c:v>
                </c:pt>
                <c:pt idx="380">
                  <c:v>3.5999999999999999E-3</c:v>
                </c:pt>
                <c:pt idx="381">
                  <c:v>3.0999999999999999E-3</c:v>
                </c:pt>
                <c:pt idx="382">
                  <c:v>2.8999999999999998E-3</c:v>
                </c:pt>
                <c:pt idx="383">
                  <c:v>2.8999999999999998E-3</c:v>
                </c:pt>
                <c:pt idx="384">
                  <c:v>2.7000000000000001E-3</c:v>
                </c:pt>
                <c:pt idx="385">
                  <c:v>2.3999999999999998E-3</c:v>
                </c:pt>
                <c:pt idx="386">
                  <c:v>2.3999999999999998E-3</c:v>
                </c:pt>
                <c:pt idx="387">
                  <c:v>2.3E-3</c:v>
                </c:pt>
                <c:pt idx="388">
                  <c:v>2.0999999999999999E-3</c:v>
                </c:pt>
                <c:pt idx="389">
                  <c:v>1.9E-3</c:v>
                </c:pt>
                <c:pt idx="390">
                  <c:v>1.9E-3</c:v>
                </c:pt>
                <c:pt idx="391">
                  <c:v>1.9E-3</c:v>
                </c:pt>
                <c:pt idx="392">
                  <c:v>1.9E-3</c:v>
                </c:pt>
                <c:pt idx="393">
                  <c:v>1.9E-3</c:v>
                </c:pt>
                <c:pt idx="394">
                  <c:v>1.6000000000000001E-3</c:v>
                </c:pt>
                <c:pt idx="395">
                  <c:v>1.5E-3</c:v>
                </c:pt>
                <c:pt idx="396">
                  <c:v>1.4E-3</c:v>
                </c:pt>
                <c:pt idx="397">
                  <c:v>1E-3</c:v>
                </c:pt>
                <c:pt idx="398">
                  <c:v>1E-3</c:v>
                </c:pt>
                <c:pt idx="399">
                  <c:v>1E-3</c:v>
                </c:pt>
                <c:pt idx="400">
                  <c:v>1E-3</c:v>
                </c:pt>
                <c:pt idx="401">
                  <c:v>1E-3</c:v>
                </c:pt>
                <c:pt idx="402">
                  <c:v>8.9999999999999998E-4</c:v>
                </c:pt>
                <c:pt idx="403">
                  <c:v>8.9999999999999998E-4</c:v>
                </c:pt>
                <c:pt idx="404">
                  <c:v>8.9999999999999998E-4</c:v>
                </c:pt>
                <c:pt idx="405">
                  <c:v>8.9999999999999998E-4</c:v>
                </c:pt>
                <c:pt idx="406">
                  <c:v>8.0000000000000004E-4</c:v>
                </c:pt>
                <c:pt idx="407">
                  <c:v>8.0000000000000004E-4</c:v>
                </c:pt>
                <c:pt idx="408">
                  <c:v>6.9999999999999999E-4</c:v>
                </c:pt>
                <c:pt idx="409">
                  <c:v>6.9999999999999999E-4</c:v>
                </c:pt>
                <c:pt idx="410">
                  <c:v>5.0000000000000001E-4</c:v>
                </c:pt>
                <c:pt idx="411">
                  <c:v>5.0000000000000001E-4</c:v>
                </c:pt>
                <c:pt idx="412">
                  <c:v>5.0000000000000001E-4</c:v>
                </c:pt>
                <c:pt idx="413">
                  <c:v>4.0000000000000002E-4</c:v>
                </c:pt>
                <c:pt idx="414">
                  <c:v>4.0000000000000002E-4</c:v>
                </c:pt>
                <c:pt idx="415">
                  <c:v>4.0000000000000002E-4</c:v>
                </c:pt>
                <c:pt idx="416">
                  <c:v>4.0000000000000002E-4</c:v>
                </c:pt>
                <c:pt idx="417">
                  <c:v>4.0000000000000002E-4</c:v>
                </c:pt>
                <c:pt idx="418">
                  <c:v>4.0000000000000002E-4</c:v>
                </c:pt>
                <c:pt idx="419">
                  <c:v>4.0000000000000002E-4</c:v>
                </c:pt>
                <c:pt idx="420">
                  <c:v>4.0000000000000002E-4</c:v>
                </c:pt>
                <c:pt idx="421">
                  <c:v>4.0000000000000002E-4</c:v>
                </c:pt>
                <c:pt idx="422">
                  <c:v>4.0000000000000002E-4</c:v>
                </c:pt>
                <c:pt idx="423">
                  <c:v>4.0000000000000002E-4</c:v>
                </c:pt>
                <c:pt idx="424">
                  <c:v>4.0000000000000002E-4</c:v>
                </c:pt>
                <c:pt idx="425">
                  <c:v>4.0000000000000002E-4</c:v>
                </c:pt>
                <c:pt idx="426">
                  <c:v>2.9999999999999997E-4</c:v>
                </c:pt>
                <c:pt idx="427">
                  <c:v>2.9999999999999997E-4</c:v>
                </c:pt>
                <c:pt idx="428">
                  <c:v>2.0000000000000001E-4</c:v>
                </c:pt>
                <c:pt idx="429">
                  <c:v>2.0000000000000001E-4</c:v>
                </c:pt>
                <c:pt idx="430">
                  <c:v>2.0000000000000001E-4</c:v>
                </c:pt>
                <c:pt idx="431">
                  <c:v>2.0000000000000001E-4</c:v>
                </c:pt>
                <c:pt idx="432">
                  <c:v>2.0000000000000001E-4</c:v>
                </c:pt>
                <c:pt idx="433">
                  <c:v>1E-4</c:v>
                </c:pt>
                <c:pt idx="434">
                  <c:v>1E-4</c:v>
                </c:pt>
                <c:pt idx="435">
                  <c:v>1E-4</c:v>
                </c:pt>
              </c:numCache>
            </c:numRef>
          </c:val>
          <c:smooth val="0"/>
          <c:extLst xmlns:c16r2="http://schemas.microsoft.com/office/drawing/2015/06/chart">
            <c:ext xmlns:c16="http://schemas.microsoft.com/office/drawing/2014/chart" uri="{C3380CC4-5D6E-409C-BE32-E72D297353CC}">
              <c16:uniqueId val="{00000000-8780-4276-8492-1103B8572D45}"/>
            </c:ext>
          </c:extLst>
        </c:ser>
        <c:ser>
          <c:idx val="1"/>
          <c:order val="1"/>
          <c:tx>
            <c:strRef>
              <c:f>Mortality!$A$7</c:f>
              <c:strCache>
                <c:ptCount val="1"/>
                <c:pt idx="0">
                  <c:v>mannitol</c:v>
                </c:pt>
              </c:strCache>
            </c:strRef>
          </c:tx>
          <c:spPr>
            <a:ln w="28575" cap="rnd">
              <a:solidFill>
                <a:schemeClr val="tx1"/>
              </a:solidFill>
              <a:round/>
            </a:ln>
            <a:effectLst/>
          </c:spPr>
          <c:marker>
            <c:symbol val="none"/>
          </c:marker>
          <c:cat>
            <c:numRef>
              <c:f>Mortality!$B$5:$PU$5</c:f>
              <c:numCache>
                <c:formatCode>General</c:formatCode>
                <c:ptCount val="436"/>
                <c:pt idx="0">
                  <c:v>0.23076923076923078</c:v>
                </c:pt>
                <c:pt idx="1">
                  <c:v>0.26923076923076927</c:v>
                </c:pt>
                <c:pt idx="2">
                  <c:v>0.5</c:v>
                </c:pt>
                <c:pt idx="3">
                  <c:v>0.73076923076923084</c:v>
                </c:pt>
                <c:pt idx="4">
                  <c:v>0.96153846153846168</c:v>
                </c:pt>
                <c:pt idx="5">
                  <c:v>1.1923076923076925</c:v>
                </c:pt>
                <c:pt idx="6">
                  <c:v>1.4230769230769234</c:v>
                </c:pt>
                <c:pt idx="7">
                  <c:v>1.6538461538461542</c:v>
                </c:pt>
                <c:pt idx="8">
                  <c:v>1.884615384615385</c:v>
                </c:pt>
                <c:pt idx="9">
                  <c:v>2.1153846153846159</c:v>
                </c:pt>
                <c:pt idx="10">
                  <c:v>2.3461538461538467</c:v>
                </c:pt>
                <c:pt idx="11">
                  <c:v>2.5769230769230775</c:v>
                </c:pt>
                <c:pt idx="12">
                  <c:v>2.8076923076923084</c:v>
                </c:pt>
                <c:pt idx="13">
                  <c:v>3.0384615384615392</c:v>
                </c:pt>
                <c:pt idx="14">
                  <c:v>3.2692307692307701</c:v>
                </c:pt>
                <c:pt idx="15">
                  <c:v>3.5000000000000009</c:v>
                </c:pt>
                <c:pt idx="16">
                  <c:v>3.7307692307692317</c:v>
                </c:pt>
                <c:pt idx="17">
                  <c:v>3.9615384615384626</c:v>
                </c:pt>
                <c:pt idx="18">
                  <c:v>4.1923076923076934</c:v>
                </c:pt>
                <c:pt idx="19">
                  <c:v>4.4230769230769242</c:v>
                </c:pt>
                <c:pt idx="20">
                  <c:v>4.6538461538461551</c:v>
                </c:pt>
                <c:pt idx="21">
                  <c:v>4.8846153846153859</c:v>
                </c:pt>
                <c:pt idx="22">
                  <c:v>5.1153846153846168</c:v>
                </c:pt>
                <c:pt idx="23">
                  <c:v>5.3461538461538476</c:v>
                </c:pt>
                <c:pt idx="24">
                  <c:v>5.5769230769230784</c:v>
                </c:pt>
                <c:pt idx="25">
                  <c:v>5.8076923076923093</c:v>
                </c:pt>
                <c:pt idx="26">
                  <c:v>6.0384615384615401</c:v>
                </c:pt>
                <c:pt idx="27">
                  <c:v>6.2692307692307709</c:v>
                </c:pt>
                <c:pt idx="28">
                  <c:v>6.5000000000000018</c:v>
                </c:pt>
                <c:pt idx="29">
                  <c:v>6.7307692307692326</c:v>
                </c:pt>
                <c:pt idx="30">
                  <c:v>6.9615384615384635</c:v>
                </c:pt>
                <c:pt idx="31">
                  <c:v>7.1923076923076943</c:v>
                </c:pt>
                <c:pt idx="32">
                  <c:v>7.4230769230769251</c:v>
                </c:pt>
                <c:pt idx="33">
                  <c:v>7.653846153846156</c:v>
                </c:pt>
                <c:pt idx="34">
                  <c:v>7.8846153846153868</c:v>
                </c:pt>
                <c:pt idx="35">
                  <c:v>8.1153846153846168</c:v>
                </c:pt>
                <c:pt idx="36">
                  <c:v>8.3461538461538467</c:v>
                </c:pt>
                <c:pt idx="37">
                  <c:v>8.5769230769230766</c:v>
                </c:pt>
                <c:pt idx="38">
                  <c:v>8.8076923076923066</c:v>
                </c:pt>
                <c:pt idx="39">
                  <c:v>9.0384615384615365</c:v>
                </c:pt>
                <c:pt idx="40">
                  <c:v>9.2692307692307665</c:v>
                </c:pt>
                <c:pt idx="41">
                  <c:v>9.4999999999999964</c:v>
                </c:pt>
                <c:pt idx="42">
                  <c:v>9.7307692307692264</c:v>
                </c:pt>
                <c:pt idx="43">
                  <c:v>9.9615384615384563</c:v>
                </c:pt>
                <c:pt idx="44">
                  <c:v>10.192307692307686</c:v>
                </c:pt>
                <c:pt idx="45">
                  <c:v>10.423076923076916</c:v>
                </c:pt>
                <c:pt idx="46">
                  <c:v>10.653846153846146</c:v>
                </c:pt>
                <c:pt idx="47">
                  <c:v>10.884615384615376</c:v>
                </c:pt>
                <c:pt idx="48">
                  <c:v>11.115384615384606</c:v>
                </c:pt>
                <c:pt idx="49">
                  <c:v>11.346153846153836</c:v>
                </c:pt>
                <c:pt idx="50">
                  <c:v>11.576923076923066</c:v>
                </c:pt>
                <c:pt idx="51">
                  <c:v>11.807692307692296</c:v>
                </c:pt>
                <c:pt idx="52">
                  <c:v>12.038461538461526</c:v>
                </c:pt>
                <c:pt idx="53">
                  <c:v>12.269230769230756</c:v>
                </c:pt>
                <c:pt idx="54">
                  <c:v>12.499999999999986</c:v>
                </c:pt>
                <c:pt idx="55">
                  <c:v>12.730769230769216</c:v>
                </c:pt>
                <c:pt idx="56">
                  <c:v>12.961538461538446</c:v>
                </c:pt>
                <c:pt idx="57">
                  <c:v>13.192307692307676</c:v>
                </c:pt>
                <c:pt idx="58">
                  <c:v>13.423076923076906</c:v>
                </c:pt>
                <c:pt idx="59">
                  <c:v>13.653846153846136</c:v>
                </c:pt>
                <c:pt idx="60">
                  <c:v>13.884615384615365</c:v>
                </c:pt>
                <c:pt idx="61">
                  <c:v>14.115384615384595</c:v>
                </c:pt>
                <c:pt idx="62">
                  <c:v>14.346153846153825</c:v>
                </c:pt>
                <c:pt idx="63">
                  <c:v>14.576923076923055</c:v>
                </c:pt>
                <c:pt idx="64">
                  <c:v>14.807692307692285</c:v>
                </c:pt>
                <c:pt idx="65">
                  <c:v>15.038461538461515</c:v>
                </c:pt>
                <c:pt idx="66">
                  <c:v>15.269230769230745</c:v>
                </c:pt>
                <c:pt idx="67">
                  <c:v>15.499999999999975</c:v>
                </c:pt>
                <c:pt idx="68">
                  <c:v>15.730769230769205</c:v>
                </c:pt>
                <c:pt idx="69">
                  <c:v>15.961538461538435</c:v>
                </c:pt>
                <c:pt idx="70">
                  <c:v>16.192307692307665</c:v>
                </c:pt>
                <c:pt idx="71">
                  <c:v>16.423076923076895</c:v>
                </c:pt>
                <c:pt idx="72">
                  <c:v>16.653846153846125</c:v>
                </c:pt>
                <c:pt idx="73">
                  <c:v>16.884615384615355</c:v>
                </c:pt>
                <c:pt idx="74">
                  <c:v>17.115384615384585</c:v>
                </c:pt>
                <c:pt idx="75">
                  <c:v>17.346153846153815</c:v>
                </c:pt>
                <c:pt idx="76">
                  <c:v>17.576923076923045</c:v>
                </c:pt>
                <c:pt idx="77">
                  <c:v>17.807692307692275</c:v>
                </c:pt>
                <c:pt idx="78">
                  <c:v>18.038461538461505</c:v>
                </c:pt>
                <c:pt idx="79">
                  <c:v>18.269230769230735</c:v>
                </c:pt>
                <c:pt idx="80">
                  <c:v>18.499999999999964</c:v>
                </c:pt>
                <c:pt idx="81">
                  <c:v>18.730769230769194</c:v>
                </c:pt>
                <c:pt idx="82">
                  <c:v>18.961538461538424</c:v>
                </c:pt>
                <c:pt idx="83">
                  <c:v>19.192307692307654</c:v>
                </c:pt>
                <c:pt idx="84">
                  <c:v>19.423076923076884</c:v>
                </c:pt>
                <c:pt idx="85">
                  <c:v>19.653846153846114</c:v>
                </c:pt>
                <c:pt idx="86">
                  <c:v>19.884615384615344</c:v>
                </c:pt>
                <c:pt idx="87">
                  <c:v>20.115384615384574</c:v>
                </c:pt>
                <c:pt idx="88">
                  <c:v>20.346153846153804</c:v>
                </c:pt>
                <c:pt idx="89">
                  <c:v>20.576923076923034</c:v>
                </c:pt>
                <c:pt idx="90">
                  <c:v>20.807692307692264</c:v>
                </c:pt>
                <c:pt idx="91">
                  <c:v>21.038461538461494</c:v>
                </c:pt>
                <c:pt idx="92">
                  <c:v>21.269230769230724</c:v>
                </c:pt>
                <c:pt idx="93">
                  <c:v>21.499999999999954</c:v>
                </c:pt>
                <c:pt idx="94">
                  <c:v>21.730769230769184</c:v>
                </c:pt>
                <c:pt idx="95">
                  <c:v>21.961538461538414</c:v>
                </c:pt>
                <c:pt idx="96">
                  <c:v>22.192307692307644</c:v>
                </c:pt>
                <c:pt idx="97">
                  <c:v>22.423076923076874</c:v>
                </c:pt>
                <c:pt idx="98">
                  <c:v>22.653846153846104</c:v>
                </c:pt>
                <c:pt idx="99">
                  <c:v>22.884615384615334</c:v>
                </c:pt>
                <c:pt idx="100">
                  <c:v>23.115384615384563</c:v>
                </c:pt>
                <c:pt idx="101">
                  <c:v>23.346153846153793</c:v>
                </c:pt>
                <c:pt idx="102">
                  <c:v>23.576923076923023</c:v>
                </c:pt>
                <c:pt idx="103">
                  <c:v>23.807692307692253</c:v>
                </c:pt>
                <c:pt idx="104">
                  <c:v>24.038461538461483</c:v>
                </c:pt>
                <c:pt idx="105">
                  <c:v>24.269230769230713</c:v>
                </c:pt>
                <c:pt idx="106">
                  <c:v>24.499999999999943</c:v>
                </c:pt>
                <c:pt idx="107">
                  <c:v>24.730769230769173</c:v>
                </c:pt>
                <c:pt idx="108">
                  <c:v>24.961538461538403</c:v>
                </c:pt>
                <c:pt idx="109">
                  <c:v>25.192307692307633</c:v>
                </c:pt>
                <c:pt idx="110">
                  <c:v>25.423076923076863</c:v>
                </c:pt>
                <c:pt idx="111">
                  <c:v>25.653846153846093</c:v>
                </c:pt>
                <c:pt idx="112">
                  <c:v>25.884615384615323</c:v>
                </c:pt>
                <c:pt idx="113">
                  <c:v>26.115384615384553</c:v>
                </c:pt>
                <c:pt idx="114">
                  <c:v>26.346153846153783</c:v>
                </c:pt>
                <c:pt idx="115">
                  <c:v>26.576923076923013</c:v>
                </c:pt>
                <c:pt idx="116">
                  <c:v>26.807692307692243</c:v>
                </c:pt>
                <c:pt idx="117">
                  <c:v>27.038461538461473</c:v>
                </c:pt>
                <c:pt idx="118">
                  <c:v>27.269230769230703</c:v>
                </c:pt>
                <c:pt idx="119">
                  <c:v>27.499999999999932</c:v>
                </c:pt>
                <c:pt idx="120">
                  <c:v>27.730769230769162</c:v>
                </c:pt>
                <c:pt idx="121">
                  <c:v>27.961538461538392</c:v>
                </c:pt>
                <c:pt idx="122">
                  <c:v>28.192307692307622</c:v>
                </c:pt>
                <c:pt idx="123">
                  <c:v>28.423076923076852</c:v>
                </c:pt>
                <c:pt idx="124">
                  <c:v>28.653846153846082</c:v>
                </c:pt>
                <c:pt idx="125">
                  <c:v>28.884615384615312</c:v>
                </c:pt>
                <c:pt idx="126">
                  <c:v>29.115384615384542</c:v>
                </c:pt>
                <c:pt idx="127">
                  <c:v>29.346153846153772</c:v>
                </c:pt>
                <c:pt idx="128">
                  <c:v>29.576923076923002</c:v>
                </c:pt>
                <c:pt idx="129">
                  <c:v>29.807692307692232</c:v>
                </c:pt>
                <c:pt idx="130">
                  <c:v>30.038461538461462</c:v>
                </c:pt>
                <c:pt idx="131">
                  <c:v>30.269230769230692</c:v>
                </c:pt>
                <c:pt idx="132">
                  <c:v>30.499999999999922</c:v>
                </c:pt>
                <c:pt idx="133">
                  <c:v>30.730769230769152</c:v>
                </c:pt>
                <c:pt idx="134">
                  <c:v>30.961538461538382</c:v>
                </c:pt>
                <c:pt idx="135">
                  <c:v>31.192307692307612</c:v>
                </c:pt>
                <c:pt idx="136">
                  <c:v>31.423076923076842</c:v>
                </c:pt>
                <c:pt idx="137">
                  <c:v>31.653846153846072</c:v>
                </c:pt>
                <c:pt idx="138">
                  <c:v>31.884615384615302</c:v>
                </c:pt>
                <c:pt idx="139">
                  <c:v>32.115384615384535</c:v>
                </c:pt>
                <c:pt idx="140">
                  <c:v>32.346153846153769</c:v>
                </c:pt>
                <c:pt idx="141">
                  <c:v>32.576923076923002</c:v>
                </c:pt>
                <c:pt idx="142">
                  <c:v>32.807692307692236</c:v>
                </c:pt>
                <c:pt idx="143">
                  <c:v>33.038461538461469</c:v>
                </c:pt>
                <c:pt idx="144">
                  <c:v>33.269230769230703</c:v>
                </c:pt>
                <c:pt idx="145">
                  <c:v>33.499999999999936</c:v>
                </c:pt>
                <c:pt idx="146">
                  <c:v>33.73076923076917</c:v>
                </c:pt>
                <c:pt idx="147">
                  <c:v>33.961538461538403</c:v>
                </c:pt>
                <c:pt idx="148">
                  <c:v>34.192307692307637</c:v>
                </c:pt>
                <c:pt idx="149">
                  <c:v>34.42307692307687</c:v>
                </c:pt>
                <c:pt idx="150">
                  <c:v>34.653846153846104</c:v>
                </c:pt>
                <c:pt idx="151">
                  <c:v>34.884615384615337</c:v>
                </c:pt>
                <c:pt idx="152">
                  <c:v>35.115384615384571</c:v>
                </c:pt>
                <c:pt idx="153">
                  <c:v>35.346153846153804</c:v>
                </c:pt>
                <c:pt idx="154">
                  <c:v>35.576923076923038</c:v>
                </c:pt>
                <c:pt idx="155">
                  <c:v>35.807692307692271</c:v>
                </c:pt>
                <c:pt idx="156">
                  <c:v>36.038461538461505</c:v>
                </c:pt>
                <c:pt idx="157">
                  <c:v>36.269230769230738</c:v>
                </c:pt>
                <c:pt idx="158">
                  <c:v>36.499999999999972</c:v>
                </c:pt>
                <c:pt idx="159">
                  <c:v>36.730769230769205</c:v>
                </c:pt>
                <c:pt idx="160">
                  <c:v>36.961538461538439</c:v>
                </c:pt>
                <c:pt idx="161">
                  <c:v>37.192307692307672</c:v>
                </c:pt>
                <c:pt idx="162">
                  <c:v>37.423076923076906</c:v>
                </c:pt>
                <c:pt idx="163">
                  <c:v>37.653846153846139</c:v>
                </c:pt>
                <c:pt idx="164">
                  <c:v>37.884615384615373</c:v>
                </c:pt>
                <c:pt idx="165">
                  <c:v>38.115384615384606</c:v>
                </c:pt>
                <c:pt idx="166">
                  <c:v>38.34615384615384</c:v>
                </c:pt>
                <c:pt idx="167">
                  <c:v>38.576923076923073</c:v>
                </c:pt>
                <c:pt idx="168">
                  <c:v>38.807692307692307</c:v>
                </c:pt>
                <c:pt idx="169">
                  <c:v>39.03846153846154</c:v>
                </c:pt>
                <c:pt idx="170">
                  <c:v>39.269230769230774</c:v>
                </c:pt>
                <c:pt idx="171">
                  <c:v>39.500000000000007</c:v>
                </c:pt>
                <c:pt idx="172">
                  <c:v>39.730769230769241</c:v>
                </c:pt>
                <c:pt idx="173">
                  <c:v>39.961538461538474</c:v>
                </c:pt>
                <c:pt idx="174">
                  <c:v>40.192307692307708</c:v>
                </c:pt>
                <c:pt idx="175">
                  <c:v>40.423076923076941</c:v>
                </c:pt>
                <c:pt idx="176">
                  <c:v>40.653846153846175</c:v>
                </c:pt>
                <c:pt idx="177">
                  <c:v>40.884615384615408</c:v>
                </c:pt>
                <c:pt idx="178">
                  <c:v>41.115384615384642</c:v>
                </c:pt>
                <c:pt idx="179">
                  <c:v>41.346153846153875</c:v>
                </c:pt>
                <c:pt idx="180">
                  <c:v>41.576923076923109</c:v>
                </c:pt>
                <c:pt idx="181">
                  <c:v>41.807692307692342</c:v>
                </c:pt>
                <c:pt idx="182">
                  <c:v>42.038461538461576</c:v>
                </c:pt>
                <c:pt idx="183">
                  <c:v>42.269230769230809</c:v>
                </c:pt>
                <c:pt idx="184">
                  <c:v>42.500000000000043</c:v>
                </c:pt>
                <c:pt idx="185">
                  <c:v>42.730769230769276</c:v>
                </c:pt>
                <c:pt idx="186">
                  <c:v>42.96153846153851</c:v>
                </c:pt>
                <c:pt idx="187">
                  <c:v>43.192307692307743</c:v>
                </c:pt>
                <c:pt idx="188">
                  <c:v>43.423076923076977</c:v>
                </c:pt>
                <c:pt idx="189">
                  <c:v>43.65384615384621</c:v>
                </c:pt>
                <c:pt idx="190">
                  <c:v>43.884615384615444</c:v>
                </c:pt>
                <c:pt idx="191">
                  <c:v>44.115384615384677</c:v>
                </c:pt>
                <c:pt idx="192">
                  <c:v>44.346153846153911</c:v>
                </c:pt>
                <c:pt idx="193">
                  <c:v>44.576923076923144</c:v>
                </c:pt>
                <c:pt idx="194">
                  <c:v>44.807692307692378</c:v>
                </c:pt>
                <c:pt idx="195">
                  <c:v>45.038461538461611</c:v>
                </c:pt>
                <c:pt idx="196">
                  <c:v>45.269230769230845</c:v>
                </c:pt>
                <c:pt idx="197">
                  <c:v>45.500000000000078</c:v>
                </c:pt>
                <c:pt idx="198">
                  <c:v>45.730769230769312</c:v>
                </c:pt>
                <c:pt idx="199">
                  <c:v>45.961538461538545</c:v>
                </c:pt>
                <c:pt idx="200">
                  <c:v>46.192307692307779</c:v>
                </c:pt>
                <c:pt idx="201">
                  <c:v>46.423076923077012</c:v>
                </c:pt>
                <c:pt idx="202">
                  <c:v>46.653846153846246</c:v>
                </c:pt>
                <c:pt idx="203">
                  <c:v>46.884615384615479</c:v>
                </c:pt>
                <c:pt idx="204">
                  <c:v>47.115384615384713</c:v>
                </c:pt>
                <c:pt idx="205">
                  <c:v>47.346153846153946</c:v>
                </c:pt>
                <c:pt idx="206">
                  <c:v>47.57692307692318</c:v>
                </c:pt>
                <c:pt idx="207">
                  <c:v>47.807692307692413</c:v>
                </c:pt>
                <c:pt idx="208">
                  <c:v>48.038461538461647</c:v>
                </c:pt>
                <c:pt idx="209">
                  <c:v>48.26923076923088</c:v>
                </c:pt>
                <c:pt idx="210">
                  <c:v>48.500000000000114</c:v>
                </c:pt>
                <c:pt idx="211">
                  <c:v>48.730769230769347</c:v>
                </c:pt>
                <c:pt idx="212">
                  <c:v>48.961538461538581</c:v>
                </c:pt>
                <c:pt idx="213">
                  <c:v>49.192307692307814</c:v>
                </c:pt>
                <c:pt idx="214">
                  <c:v>49.423076923077048</c:v>
                </c:pt>
                <c:pt idx="215">
                  <c:v>49.653846153846281</c:v>
                </c:pt>
                <c:pt idx="216">
                  <c:v>49.884615384615515</c:v>
                </c:pt>
                <c:pt idx="217">
                  <c:v>50.115384615384748</c:v>
                </c:pt>
                <c:pt idx="218">
                  <c:v>50.346153846153982</c:v>
                </c:pt>
                <c:pt idx="219">
                  <c:v>50.576923076923215</c:v>
                </c:pt>
                <c:pt idx="220">
                  <c:v>50.807692307692449</c:v>
                </c:pt>
                <c:pt idx="221">
                  <c:v>51.038461538461682</c:v>
                </c:pt>
                <c:pt idx="222">
                  <c:v>51.269230769230916</c:v>
                </c:pt>
                <c:pt idx="223">
                  <c:v>51.500000000000149</c:v>
                </c:pt>
                <c:pt idx="224">
                  <c:v>51.730769230769383</c:v>
                </c:pt>
                <c:pt idx="225">
                  <c:v>51.961538461538616</c:v>
                </c:pt>
                <c:pt idx="226">
                  <c:v>52.19230769230785</c:v>
                </c:pt>
                <c:pt idx="227">
                  <c:v>52.423076923077083</c:v>
                </c:pt>
                <c:pt idx="228">
                  <c:v>52.653846153846317</c:v>
                </c:pt>
                <c:pt idx="229">
                  <c:v>52.88461538461555</c:v>
                </c:pt>
                <c:pt idx="230">
                  <c:v>53.115384615384784</c:v>
                </c:pt>
                <c:pt idx="231">
                  <c:v>53.346153846154017</c:v>
                </c:pt>
                <c:pt idx="232">
                  <c:v>53.576923076923251</c:v>
                </c:pt>
                <c:pt idx="233">
                  <c:v>53.807692307692484</c:v>
                </c:pt>
                <c:pt idx="234">
                  <c:v>54.038461538461718</c:v>
                </c:pt>
                <c:pt idx="235">
                  <c:v>54.269230769230951</c:v>
                </c:pt>
                <c:pt idx="236">
                  <c:v>54.500000000000185</c:v>
                </c:pt>
                <c:pt idx="237">
                  <c:v>54.730769230769418</c:v>
                </c:pt>
                <c:pt idx="238">
                  <c:v>54.961538461538652</c:v>
                </c:pt>
                <c:pt idx="239">
                  <c:v>55.192307692307885</c:v>
                </c:pt>
                <c:pt idx="240">
                  <c:v>55.423076923077119</c:v>
                </c:pt>
                <c:pt idx="241">
                  <c:v>55.653846153846352</c:v>
                </c:pt>
                <c:pt idx="242">
                  <c:v>55.884615384615586</c:v>
                </c:pt>
                <c:pt idx="243">
                  <c:v>56.115384615384819</c:v>
                </c:pt>
                <c:pt idx="244">
                  <c:v>56.346153846154053</c:v>
                </c:pt>
                <c:pt idx="245">
                  <c:v>56.576923076923286</c:v>
                </c:pt>
                <c:pt idx="246">
                  <c:v>56.80769230769252</c:v>
                </c:pt>
                <c:pt idx="247">
                  <c:v>57.038461538461753</c:v>
                </c:pt>
                <c:pt idx="248">
                  <c:v>57.269230769230987</c:v>
                </c:pt>
                <c:pt idx="249">
                  <c:v>57.50000000000022</c:v>
                </c:pt>
                <c:pt idx="250">
                  <c:v>57.730769230769454</c:v>
                </c:pt>
                <c:pt idx="251">
                  <c:v>57.961538461538687</c:v>
                </c:pt>
                <c:pt idx="252">
                  <c:v>58.192307692307921</c:v>
                </c:pt>
                <c:pt idx="253">
                  <c:v>58.423076923077154</c:v>
                </c:pt>
                <c:pt idx="254">
                  <c:v>58.653846153846388</c:v>
                </c:pt>
                <c:pt idx="255">
                  <c:v>58.884615384615621</c:v>
                </c:pt>
                <c:pt idx="256">
                  <c:v>59.115384615384855</c:v>
                </c:pt>
                <c:pt idx="257">
                  <c:v>59.346153846154088</c:v>
                </c:pt>
                <c:pt idx="258">
                  <c:v>59.576923076923322</c:v>
                </c:pt>
                <c:pt idx="259">
                  <c:v>59.807692307692555</c:v>
                </c:pt>
                <c:pt idx="260">
                  <c:v>60.038461538461789</c:v>
                </c:pt>
                <c:pt idx="261">
                  <c:v>60.269230769231022</c:v>
                </c:pt>
                <c:pt idx="262">
                  <c:v>60.500000000000256</c:v>
                </c:pt>
                <c:pt idx="263">
                  <c:v>60.730769230769489</c:v>
                </c:pt>
                <c:pt idx="264">
                  <c:v>60.961538461538723</c:v>
                </c:pt>
                <c:pt idx="265">
                  <c:v>61.192307692307956</c:v>
                </c:pt>
                <c:pt idx="266">
                  <c:v>61.42307692307719</c:v>
                </c:pt>
                <c:pt idx="267">
                  <c:v>61.653846153846423</c:v>
                </c:pt>
                <c:pt idx="268">
                  <c:v>61.884615384615657</c:v>
                </c:pt>
                <c:pt idx="269">
                  <c:v>62.11538461538489</c:v>
                </c:pt>
                <c:pt idx="270">
                  <c:v>62.346153846154124</c:v>
                </c:pt>
                <c:pt idx="271">
                  <c:v>62.576923076923357</c:v>
                </c:pt>
                <c:pt idx="272">
                  <c:v>62.807692307692591</c:v>
                </c:pt>
                <c:pt idx="273">
                  <c:v>63.038461538461824</c:v>
                </c:pt>
                <c:pt idx="274">
                  <c:v>63.269230769231058</c:v>
                </c:pt>
                <c:pt idx="275">
                  <c:v>63.500000000000291</c:v>
                </c:pt>
                <c:pt idx="276">
                  <c:v>63.730769230769525</c:v>
                </c:pt>
                <c:pt idx="277">
                  <c:v>63.961538461538758</c:v>
                </c:pt>
                <c:pt idx="278">
                  <c:v>64.192307692307992</c:v>
                </c:pt>
                <c:pt idx="279">
                  <c:v>64.423076923077218</c:v>
                </c:pt>
                <c:pt idx="280">
                  <c:v>64.653846153846445</c:v>
                </c:pt>
                <c:pt idx="281">
                  <c:v>64.884615384615671</c:v>
                </c:pt>
                <c:pt idx="282">
                  <c:v>65.115384615384897</c:v>
                </c:pt>
                <c:pt idx="283">
                  <c:v>65.346153846154124</c:v>
                </c:pt>
                <c:pt idx="284">
                  <c:v>65.57692307692335</c:v>
                </c:pt>
                <c:pt idx="285">
                  <c:v>65.807692307692577</c:v>
                </c:pt>
                <c:pt idx="286">
                  <c:v>66.038461538461803</c:v>
                </c:pt>
                <c:pt idx="287">
                  <c:v>66.269230769231029</c:v>
                </c:pt>
                <c:pt idx="288">
                  <c:v>66.500000000000256</c:v>
                </c:pt>
                <c:pt idx="289">
                  <c:v>66.730769230769482</c:v>
                </c:pt>
                <c:pt idx="290">
                  <c:v>66.961538461538709</c:v>
                </c:pt>
                <c:pt idx="291">
                  <c:v>67.192307692307935</c:v>
                </c:pt>
                <c:pt idx="292">
                  <c:v>67.423076923077161</c:v>
                </c:pt>
                <c:pt idx="293">
                  <c:v>67.653846153846388</c:v>
                </c:pt>
                <c:pt idx="294">
                  <c:v>67.884615384615614</c:v>
                </c:pt>
                <c:pt idx="295">
                  <c:v>68.115384615384841</c:v>
                </c:pt>
                <c:pt idx="296">
                  <c:v>68.346153846154067</c:v>
                </c:pt>
                <c:pt idx="297">
                  <c:v>68.576923076923293</c:v>
                </c:pt>
                <c:pt idx="298">
                  <c:v>68.80769230769252</c:v>
                </c:pt>
                <c:pt idx="299">
                  <c:v>69.038461538461746</c:v>
                </c:pt>
                <c:pt idx="300">
                  <c:v>69.269230769230973</c:v>
                </c:pt>
                <c:pt idx="301">
                  <c:v>69.500000000000199</c:v>
                </c:pt>
                <c:pt idx="302">
                  <c:v>69.730769230769425</c:v>
                </c:pt>
                <c:pt idx="303">
                  <c:v>69.961538461538652</c:v>
                </c:pt>
                <c:pt idx="304">
                  <c:v>70.192307692307878</c:v>
                </c:pt>
                <c:pt idx="305">
                  <c:v>70.423076923077105</c:v>
                </c:pt>
                <c:pt idx="306">
                  <c:v>70.653846153846331</c:v>
                </c:pt>
                <c:pt idx="307">
                  <c:v>70.884615384615557</c:v>
                </c:pt>
                <c:pt idx="308">
                  <c:v>71.115384615384784</c:v>
                </c:pt>
                <c:pt idx="309">
                  <c:v>71.34615384615401</c:v>
                </c:pt>
                <c:pt idx="310">
                  <c:v>71.576923076923237</c:v>
                </c:pt>
                <c:pt idx="311">
                  <c:v>71.807692307692463</c:v>
                </c:pt>
                <c:pt idx="312">
                  <c:v>72.038461538461689</c:v>
                </c:pt>
                <c:pt idx="313">
                  <c:v>72.269230769230916</c:v>
                </c:pt>
                <c:pt idx="314">
                  <c:v>72.500000000000142</c:v>
                </c:pt>
                <c:pt idx="315">
                  <c:v>72.730769230769369</c:v>
                </c:pt>
                <c:pt idx="316">
                  <c:v>72.961538461538595</c:v>
                </c:pt>
                <c:pt idx="317">
                  <c:v>73.192307692307821</c:v>
                </c:pt>
                <c:pt idx="318">
                  <c:v>73.423076923077048</c:v>
                </c:pt>
                <c:pt idx="319">
                  <c:v>73.653846153846274</c:v>
                </c:pt>
                <c:pt idx="320">
                  <c:v>73.8846153846155</c:v>
                </c:pt>
                <c:pt idx="321">
                  <c:v>74.115384615384727</c:v>
                </c:pt>
                <c:pt idx="322">
                  <c:v>74.346153846153953</c:v>
                </c:pt>
                <c:pt idx="323">
                  <c:v>74.57692307692318</c:v>
                </c:pt>
                <c:pt idx="324">
                  <c:v>74.807692307692406</c:v>
                </c:pt>
                <c:pt idx="325">
                  <c:v>75.038461538461632</c:v>
                </c:pt>
                <c:pt idx="326">
                  <c:v>75.269230769230859</c:v>
                </c:pt>
                <c:pt idx="327">
                  <c:v>75.500000000000085</c:v>
                </c:pt>
                <c:pt idx="328">
                  <c:v>75.730769230769312</c:v>
                </c:pt>
                <c:pt idx="329">
                  <c:v>75.961538461538538</c:v>
                </c:pt>
                <c:pt idx="330">
                  <c:v>76.192307692307764</c:v>
                </c:pt>
                <c:pt idx="331">
                  <c:v>76.423076923076991</c:v>
                </c:pt>
                <c:pt idx="332">
                  <c:v>76.653846153846217</c:v>
                </c:pt>
                <c:pt idx="333">
                  <c:v>76.884615384615444</c:v>
                </c:pt>
                <c:pt idx="334">
                  <c:v>77.11538461538467</c:v>
                </c:pt>
                <c:pt idx="335">
                  <c:v>77.346153846153896</c:v>
                </c:pt>
                <c:pt idx="336">
                  <c:v>77.576923076923123</c:v>
                </c:pt>
                <c:pt idx="337">
                  <c:v>77.807692307692349</c:v>
                </c:pt>
                <c:pt idx="338">
                  <c:v>78.038461538461576</c:v>
                </c:pt>
                <c:pt idx="339">
                  <c:v>78.269230769230802</c:v>
                </c:pt>
                <c:pt idx="340">
                  <c:v>78.500000000000028</c:v>
                </c:pt>
                <c:pt idx="341">
                  <c:v>78.730769230769255</c:v>
                </c:pt>
                <c:pt idx="342">
                  <c:v>78.961538461538481</c:v>
                </c:pt>
                <c:pt idx="343">
                  <c:v>79.192307692307708</c:v>
                </c:pt>
                <c:pt idx="344">
                  <c:v>79.423076923076934</c:v>
                </c:pt>
                <c:pt idx="345">
                  <c:v>79.65384615384616</c:v>
                </c:pt>
                <c:pt idx="346">
                  <c:v>79.884615384615387</c:v>
                </c:pt>
                <c:pt idx="347">
                  <c:v>80.115384615384613</c:v>
                </c:pt>
                <c:pt idx="348">
                  <c:v>80.34615384615384</c:v>
                </c:pt>
                <c:pt idx="349">
                  <c:v>80.576923076923066</c:v>
                </c:pt>
                <c:pt idx="350">
                  <c:v>80.807692307692292</c:v>
                </c:pt>
                <c:pt idx="351">
                  <c:v>81.038461538461519</c:v>
                </c:pt>
                <c:pt idx="352">
                  <c:v>81.269230769230745</c:v>
                </c:pt>
                <c:pt idx="353">
                  <c:v>81.499999999999972</c:v>
                </c:pt>
                <c:pt idx="354">
                  <c:v>81.730769230769198</c:v>
                </c:pt>
                <c:pt idx="355">
                  <c:v>81.961538461538424</c:v>
                </c:pt>
                <c:pt idx="356">
                  <c:v>82.192307692307651</c:v>
                </c:pt>
                <c:pt idx="357">
                  <c:v>82.423076923076877</c:v>
                </c:pt>
                <c:pt idx="358">
                  <c:v>82.653846153846104</c:v>
                </c:pt>
                <c:pt idx="359">
                  <c:v>82.88461538461533</c:v>
                </c:pt>
                <c:pt idx="360">
                  <c:v>83.115384615384556</c:v>
                </c:pt>
                <c:pt idx="361">
                  <c:v>83.346153846153783</c:v>
                </c:pt>
                <c:pt idx="362">
                  <c:v>83.576923076923009</c:v>
                </c:pt>
                <c:pt idx="363">
                  <c:v>83.807692307692236</c:v>
                </c:pt>
                <c:pt idx="364">
                  <c:v>84.038461538461462</c:v>
                </c:pt>
                <c:pt idx="365">
                  <c:v>84.269230769230688</c:v>
                </c:pt>
                <c:pt idx="366">
                  <c:v>84.499999999999915</c:v>
                </c:pt>
                <c:pt idx="367">
                  <c:v>84.730769230769141</c:v>
                </c:pt>
                <c:pt idx="368">
                  <c:v>84.961538461538368</c:v>
                </c:pt>
                <c:pt idx="369">
                  <c:v>85.192307692307594</c:v>
                </c:pt>
                <c:pt idx="370">
                  <c:v>85.42307692307682</c:v>
                </c:pt>
                <c:pt idx="371">
                  <c:v>85.653846153846047</c:v>
                </c:pt>
                <c:pt idx="372">
                  <c:v>85.884615384615273</c:v>
                </c:pt>
                <c:pt idx="373">
                  <c:v>86.1153846153845</c:v>
                </c:pt>
                <c:pt idx="374">
                  <c:v>86.346153846153726</c:v>
                </c:pt>
                <c:pt idx="375">
                  <c:v>86.576923076922952</c:v>
                </c:pt>
                <c:pt idx="376">
                  <c:v>86.807692307692179</c:v>
                </c:pt>
                <c:pt idx="377">
                  <c:v>87.038461538461405</c:v>
                </c:pt>
                <c:pt idx="378">
                  <c:v>87.269230769230631</c:v>
                </c:pt>
                <c:pt idx="379">
                  <c:v>87.499999999999858</c:v>
                </c:pt>
                <c:pt idx="380">
                  <c:v>87.730769230769084</c:v>
                </c:pt>
                <c:pt idx="381">
                  <c:v>87.961538461538311</c:v>
                </c:pt>
                <c:pt idx="382">
                  <c:v>88.192307692307537</c:v>
                </c:pt>
                <c:pt idx="383">
                  <c:v>88.423076923076763</c:v>
                </c:pt>
                <c:pt idx="384">
                  <c:v>88.65384615384599</c:v>
                </c:pt>
                <c:pt idx="385">
                  <c:v>88.884615384615216</c:v>
                </c:pt>
                <c:pt idx="386">
                  <c:v>89.115384615384443</c:v>
                </c:pt>
                <c:pt idx="387">
                  <c:v>89.346153846153669</c:v>
                </c:pt>
                <c:pt idx="388">
                  <c:v>89.576923076922895</c:v>
                </c:pt>
                <c:pt idx="389">
                  <c:v>89.807692307692122</c:v>
                </c:pt>
                <c:pt idx="390">
                  <c:v>90.038461538461348</c:v>
                </c:pt>
                <c:pt idx="391">
                  <c:v>90.269230769230575</c:v>
                </c:pt>
                <c:pt idx="392">
                  <c:v>90.499999999999801</c:v>
                </c:pt>
                <c:pt idx="393">
                  <c:v>90.730769230769027</c:v>
                </c:pt>
                <c:pt idx="394">
                  <c:v>90.961538461538254</c:v>
                </c:pt>
                <c:pt idx="395">
                  <c:v>91.19230769230748</c:v>
                </c:pt>
                <c:pt idx="396">
                  <c:v>91.423076923076707</c:v>
                </c:pt>
                <c:pt idx="397">
                  <c:v>91.653846153845933</c:v>
                </c:pt>
                <c:pt idx="398">
                  <c:v>91.884615384615159</c:v>
                </c:pt>
                <c:pt idx="399">
                  <c:v>92.115384615384386</c:v>
                </c:pt>
                <c:pt idx="400">
                  <c:v>92.346153846153612</c:v>
                </c:pt>
                <c:pt idx="401">
                  <c:v>92.576923076922839</c:v>
                </c:pt>
                <c:pt idx="402">
                  <c:v>92.807692307692065</c:v>
                </c:pt>
                <c:pt idx="403">
                  <c:v>93.038461538461291</c:v>
                </c:pt>
                <c:pt idx="404">
                  <c:v>93.269230769230518</c:v>
                </c:pt>
                <c:pt idx="405">
                  <c:v>93.499999999999744</c:v>
                </c:pt>
                <c:pt idx="406">
                  <c:v>93.730769230768971</c:v>
                </c:pt>
                <c:pt idx="407">
                  <c:v>93.961538461538197</c:v>
                </c:pt>
                <c:pt idx="408">
                  <c:v>94.192307692307423</c:v>
                </c:pt>
                <c:pt idx="409">
                  <c:v>94.42307692307665</c:v>
                </c:pt>
                <c:pt idx="410">
                  <c:v>94.653846153845876</c:v>
                </c:pt>
                <c:pt idx="411">
                  <c:v>94.884615384615103</c:v>
                </c:pt>
                <c:pt idx="412">
                  <c:v>95.115384615384329</c:v>
                </c:pt>
                <c:pt idx="413">
                  <c:v>95.346153846153555</c:v>
                </c:pt>
                <c:pt idx="414">
                  <c:v>95.576923076922782</c:v>
                </c:pt>
                <c:pt idx="415">
                  <c:v>95.807692307692008</c:v>
                </c:pt>
                <c:pt idx="416">
                  <c:v>96.038461538461235</c:v>
                </c:pt>
                <c:pt idx="417">
                  <c:v>96.269230769230461</c:v>
                </c:pt>
                <c:pt idx="418">
                  <c:v>96.499999999999687</c:v>
                </c:pt>
                <c:pt idx="419">
                  <c:v>96.730769230768914</c:v>
                </c:pt>
                <c:pt idx="420">
                  <c:v>96.96153846153814</c:v>
                </c:pt>
                <c:pt idx="421">
                  <c:v>97.192307692307367</c:v>
                </c:pt>
                <c:pt idx="422">
                  <c:v>97.423076923076593</c:v>
                </c:pt>
                <c:pt idx="423">
                  <c:v>97.653846153845819</c:v>
                </c:pt>
                <c:pt idx="424">
                  <c:v>97.884615384615046</c:v>
                </c:pt>
                <c:pt idx="425">
                  <c:v>98.115384615384272</c:v>
                </c:pt>
                <c:pt idx="426">
                  <c:v>98.346153846153499</c:v>
                </c:pt>
                <c:pt idx="427">
                  <c:v>98.576923076922725</c:v>
                </c:pt>
                <c:pt idx="428">
                  <c:v>98.807692307691951</c:v>
                </c:pt>
                <c:pt idx="429">
                  <c:v>99.038461538461178</c:v>
                </c:pt>
                <c:pt idx="430">
                  <c:v>99.269230769230404</c:v>
                </c:pt>
                <c:pt idx="431">
                  <c:v>99.499999999999631</c:v>
                </c:pt>
                <c:pt idx="432">
                  <c:v>99.730769230768857</c:v>
                </c:pt>
                <c:pt idx="433">
                  <c:v>99.961538461538083</c:v>
                </c:pt>
                <c:pt idx="434">
                  <c:v>100.19230769230731</c:v>
                </c:pt>
                <c:pt idx="435">
                  <c:v>100.42307692307654</c:v>
                </c:pt>
              </c:numCache>
            </c:numRef>
          </c:cat>
          <c:val>
            <c:numRef>
              <c:f>Mortality!$B$7:$PU$7</c:f>
              <c:numCache>
                <c:formatCode>0.0000</c:formatCode>
                <c:ptCount val="436"/>
                <c:pt idx="0">
                  <c:v>1</c:v>
                </c:pt>
                <c:pt idx="1">
                  <c:v>1</c:v>
                </c:pt>
                <c:pt idx="2">
                  <c:v>0.99519999999999997</c:v>
                </c:pt>
                <c:pt idx="3">
                  <c:v>0.99129999999999996</c:v>
                </c:pt>
                <c:pt idx="4">
                  <c:v>0.98829999999999996</c:v>
                </c:pt>
                <c:pt idx="5">
                  <c:v>0.98509999999999998</c:v>
                </c:pt>
                <c:pt idx="6">
                  <c:v>0.98129999999999995</c:v>
                </c:pt>
                <c:pt idx="7">
                  <c:v>0.97750000000000004</c:v>
                </c:pt>
                <c:pt idx="8">
                  <c:v>0.97389999999999999</c:v>
                </c:pt>
                <c:pt idx="9">
                  <c:v>0.9708</c:v>
                </c:pt>
                <c:pt idx="10">
                  <c:v>0.96819999999999995</c:v>
                </c:pt>
                <c:pt idx="11">
                  <c:v>0.96409999999999996</c:v>
                </c:pt>
                <c:pt idx="12">
                  <c:v>0.96099999999999997</c:v>
                </c:pt>
                <c:pt idx="13">
                  <c:v>0.95760000000000001</c:v>
                </c:pt>
                <c:pt idx="14">
                  <c:v>0.95369999999999999</c:v>
                </c:pt>
                <c:pt idx="15">
                  <c:v>0.94989999999999997</c:v>
                </c:pt>
                <c:pt idx="16">
                  <c:v>0.94610000000000005</c:v>
                </c:pt>
                <c:pt idx="17">
                  <c:v>0.94259999999999999</c:v>
                </c:pt>
                <c:pt idx="18">
                  <c:v>0.93869999999999998</c:v>
                </c:pt>
                <c:pt idx="19">
                  <c:v>0.93469999999999998</c:v>
                </c:pt>
                <c:pt idx="20">
                  <c:v>0.93</c:v>
                </c:pt>
                <c:pt idx="21">
                  <c:v>0.92490000000000006</c:v>
                </c:pt>
                <c:pt idx="22">
                  <c:v>0.92100000000000004</c:v>
                </c:pt>
                <c:pt idx="23">
                  <c:v>0.91710000000000003</c:v>
                </c:pt>
                <c:pt idx="24">
                  <c:v>0.91339999999999999</c:v>
                </c:pt>
                <c:pt idx="25">
                  <c:v>0.90900000000000003</c:v>
                </c:pt>
                <c:pt idx="26">
                  <c:v>0.90500000000000003</c:v>
                </c:pt>
                <c:pt idx="27">
                  <c:v>0.90029999999999999</c:v>
                </c:pt>
                <c:pt idx="28">
                  <c:v>0.89590000000000003</c:v>
                </c:pt>
                <c:pt idx="29">
                  <c:v>0.89319999999999999</c:v>
                </c:pt>
                <c:pt idx="30">
                  <c:v>0.88949999999999996</c:v>
                </c:pt>
                <c:pt idx="31">
                  <c:v>0.88590000000000002</c:v>
                </c:pt>
                <c:pt idx="32">
                  <c:v>0.88219999999999998</c:v>
                </c:pt>
                <c:pt idx="33">
                  <c:v>0.87809999999999999</c:v>
                </c:pt>
                <c:pt idx="34">
                  <c:v>0.87360000000000004</c:v>
                </c:pt>
                <c:pt idx="35">
                  <c:v>0.86950000000000005</c:v>
                </c:pt>
                <c:pt idx="36">
                  <c:v>0.86529999999999996</c:v>
                </c:pt>
                <c:pt idx="37">
                  <c:v>0.86219999999999997</c:v>
                </c:pt>
                <c:pt idx="38">
                  <c:v>0.8569</c:v>
                </c:pt>
                <c:pt idx="39">
                  <c:v>0.85219999999999996</c:v>
                </c:pt>
                <c:pt idx="40">
                  <c:v>0.84819999999999995</c:v>
                </c:pt>
                <c:pt idx="41">
                  <c:v>0.84350000000000003</c:v>
                </c:pt>
                <c:pt idx="42">
                  <c:v>0.83909999999999996</c:v>
                </c:pt>
                <c:pt idx="43">
                  <c:v>0.83440000000000003</c:v>
                </c:pt>
                <c:pt idx="44">
                  <c:v>0.82930000000000004</c:v>
                </c:pt>
                <c:pt idx="45">
                  <c:v>0.82569999999999999</c:v>
                </c:pt>
                <c:pt idx="46">
                  <c:v>0.82099999999999995</c:v>
                </c:pt>
                <c:pt idx="47">
                  <c:v>0.81779999999999997</c:v>
                </c:pt>
                <c:pt idx="48">
                  <c:v>0.81399999999999995</c:v>
                </c:pt>
                <c:pt idx="49">
                  <c:v>0.80930000000000002</c:v>
                </c:pt>
                <c:pt idx="50">
                  <c:v>0.80430000000000001</c:v>
                </c:pt>
                <c:pt idx="51">
                  <c:v>0.79890000000000005</c:v>
                </c:pt>
                <c:pt idx="52">
                  <c:v>0.79510000000000003</c:v>
                </c:pt>
                <c:pt idx="53">
                  <c:v>0.79049999999999998</c:v>
                </c:pt>
                <c:pt idx="54">
                  <c:v>0.78620000000000001</c:v>
                </c:pt>
                <c:pt idx="55">
                  <c:v>0.78220000000000001</c:v>
                </c:pt>
                <c:pt idx="56">
                  <c:v>0.7782</c:v>
                </c:pt>
                <c:pt idx="57">
                  <c:v>0.77370000000000005</c:v>
                </c:pt>
                <c:pt idx="58">
                  <c:v>0.76980000000000004</c:v>
                </c:pt>
                <c:pt idx="59">
                  <c:v>0.76549999999999996</c:v>
                </c:pt>
                <c:pt idx="60">
                  <c:v>0.76200000000000001</c:v>
                </c:pt>
                <c:pt idx="61">
                  <c:v>0.75729999999999997</c:v>
                </c:pt>
                <c:pt idx="62">
                  <c:v>0.75280000000000002</c:v>
                </c:pt>
                <c:pt idx="63">
                  <c:v>0.74960000000000004</c:v>
                </c:pt>
                <c:pt idx="64">
                  <c:v>0.74409999999999998</c:v>
                </c:pt>
                <c:pt idx="65">
                  <c:v>0.73950000000000005</c:v>
                </c:pt>
                <c:pt idx="66">
                  <c:v>0.73550000000000004</c:v>
                </c:pt>
                <c:pt idx="67">
                  <c:v>0.73240000000000005</c:v>
                </c:pt>
                <c:pt idx="68">
                  <c:v>0.72940000000000005</c:v>
                </c:pt>
                <c:pt idx="69">
                  <c:v>0.72650000000000003</c:v>
                </c:pt>
                <c:pt idx="70">
                  <c:v>0.72230000000000005</c:v>
                </c:pt>
                <c:pt idx="71">
                  <c:v>0.71799999999999997</c:v>
                </c:pt>
                <c:pt idx="72">
                  <c:v>0.71350000000000002</c:v>
                </c:pt>
                <c:pt idx="73">
                  <c:v>0.70989999999999998</c:v>
                </c:pt>
                <c:pt idx="74">
                  <c:v>0.70669999999999999</c:v>
                </c:pt>
                <c:pt idx="75">
                  <c:v>0.70220000000000005</c:v>
                </c:pt>
                <c:pt idx="76">
                  <c:v>0.69879999999999998</c:v>
                </c:pt>
                <c:pt idx="77">
                  <c:v>0.69399999999999995</c:v>
                </c:pt>
                <c:pt idx="78">
                  <c:v>0.6905</c:v>
                </c:pt>
                <c:pt idx="79">
                  <c:v>0.68710000000000004</c:v>
                </c:pt>
                <c:pt idx="80">
                  <c:v>0.68340000000000001</c:v>
                </c:pt>
                <c:pt idx="81">
                  <c:v>0.67920000000000003</c:v>
                </c:pt>
                <c:pt idx="82">
                  <c:v>0.67569999999999997</c:v>
                </c:pt>
                <c:pt idx="83">
                  <c:v>0.67259999999999998</c:v>
                </c:pt>
                <c:pt idx="84">
                  <c:v>0.67</c:v>
                </c:pt>
                <c:pt idx="85">
                  <c:v>0.66669999999999996</c:v>
                </c:pt>
                <c:pt idx="86">
                  <c:v>0.66220000000000001</c:v>
                </c:pt>
                <c:pt idx="87">
                  <c:v>0.65980000000000005</c:v>
                </c:pt>
                <c:pt idx="88">
                  <c:v>0.65639999999999998</c:v>
                </c:pt>
                <c:pt idx="89">
                  <c:v>0.65300000000000002</c:v>
                </c:pt>
                <c:pt idx="90">
                  <c:v>0.64949999999999997</c:v>
                </c:pt>
                <c:pt idx="91">
                  <c:v>0.64670000000000005</c:v>
                </c:pt>
                <c:pt idx="92">
                  <c:v>0.64370000000000005</c:v>
                </c:pt>
                <c:pt idx="93">
                  <c:v>0.64070000000000005</c:v>
                </c:pt>
                <c:pt idx="94">
                  <c:v>0.63780000000000003</c:v>
                </c:pt>
                <c:pt idx="95">
                  <c:v>0.63580000000000003</c:v>
                </c:pt>
                <c:pt idx="96">
                  <c:v>0.63390000000000002</c:v>
                </c:pt>
                <c:pt idx="97">
                  <c:v>0.63149999999999995</c:v>
                </c:pt>
                <c:pt idx="98">
                  <c:v>0.62770000000000004</c:v>
                </c:pt>
                <c:pt idx="99">
                  <c:v>0.62509999999999999</c:v>
                </c:pt>
                <c:pt idx="100">
                  <c:v>0.62229999999999996</c:v>
                </c:pt>
                <c:pt idx="101">
                  <c:v>0.61909999999999998</c:v>
                </c:pt>
                <c:pt idx="102">
                  <c:v>0.61619999999999997</c:v>
                </c:pt>
                <c:pt idx="103">
                  <c:v>0.61240000000000006</c:v>
                </c:pt>
                <c:pt idx="104">
                  <c:v>0.60960000000000003</c:v>
                </c:pt>
                <c:pt idx="105">
                  <c:v>0.60640000000000005</c:v>
                </c:pt>
                <c:pt idx="106">
                  <c:v>0.60399999999999998</c:v>
                </c:pt>
                <c:pt idx="107">
                  <c:v>0.60140000000000005</c:v>
                </c:pt>
                <c:pt idx="108">
                  <c:v>0.59870000000000001</c:v>
                </c:pt>
                <c:pt idx="109">
                  <c:v>0.59699999999999998</c:v>
                </c:pt>
                <c:pt idx="110">
                  <c:v>0.59370000000000001</c:v>
                </c:pt>
                <c:pt idx="111">
                  <c:v>0.59140000000000004</c:v>
                </c:pt>
                <c:pt idx="112">
                  <c:v>0.58989999999999998</c:v>
                </c:pt>
                <c:pt idx="113">
                  <c:v>0.58809999999999996</c:v>
                </c:pt>
                <c:pt idx="114">
                  <c:v>0.58589999999999998</c:v>
                </c:pt>
                <c:pt idx="115">
                  <c:v>0.5837</c:v>
                </c:pt>
                <c:pt idx="116">
                  <c:v>0.58099999999999996</c:v>
                </c:pt>
                <c:pt idx="117">
                  <c:v>0.5786</c:v>
                </c:pt>
                <c:pt idx="118">
                  <c:v>0.57620000000000005</c:v>
                </c:pt>
                <c:pt idx="119">
                  <c:v>0.57340000000000002</c:v>
                </c:pt>
                <c:pt idx="120">
                  <c:v>0.57140000000000002</c:v>
                </c:pt>
                <c:pt idx="121">
                  <c:v>0.56999999999999995</c:v>
                </c:pt>
                <c:pt idx="122">
                  <c:v>0.56850000000000001</c:v>
                </c:pt>
                <c:pt idx="123">
                  <c:v>0.56679999999999997</c:v>
                </c:pt>
                <c:pt idx="124">
                  <c:v>0.56499999999999995</c:v>
                </c:pt>
                <c:pt idx="125">
                  <c:v>0.56299999999999994</c:v>
                </c:pt>
                <c:pt idx="126">
                  <c:v>0.56110000000000004</c:v>
                </c:pt>
                <c:pt idx="127">
                  <c:v>0.55869999999999997</c:v>
                </c:pt>
                <c:pt idx="128">
                  <c:v>0.55659999999999998</c:v>
                </c:pt>
                <c:pt idx="129">
                  <c:v>0.55510000000000004</c:v>
                </c:pt>
                <c:pt idx="130">
                  <c:v>0.5524</c:v>
                </c:pt>
                <c:pt idx="131">
                  <c:v>0.55089999999999995</c:v>
                </c:pt>
                <c:pt idx="132">
                  <c:v>0.54900000000000004</c:v>
                </c:pt>
                <c:pt idx="133">
                  <c:v>0.54759999999999998</c:v>
                </c:pt>
                <c:pt idx="134">
                  <c:v>0.54569999999999996</c:v>
                </c:pt>
                <c:pt idx="135">
                  <c:v>0.54379999999999995</c:v>
                </c:pt>
                <c:pt idx="136">
                  <c:v>0.54100000000000004</c:v>
                </c:pt>
                <c:pt idx="137">
                  <c:v>0.53879999999999995</c:v>
                </c:pt>
                <c:pt idx="138">
                  <c:v>0.53690000000000004</c:v>
                </c:pt>
                <c:pt idx="139">
                  <c:v>0.53520000000000001</c:v>
                </c:pt>
                <c:pt idx="140">
                  <c:v>0.53259999999999996</c:v>
                </c:pt>
                <c:pt idx="141">
                  <c:v>0.53100000000000003</c:v>
                </c:pt>
                <c:pt idx="142">
                  <c:v>0.52900000000000003</c:v>
                </c:pt>
                <c:pt idx="143">
                  <c:v>0.52659999999999996</c:v>
                </c:pt>
                <c:pt idx="144">
                  <c:v>0.52470000000000006</c:v>
                </c:pt>
                <c:pt idx="145">
                  <c:v>0.52239999999999998</c:v>
                </c:pt>
                <c:pt idx="146">
                  <c:v>0.52059999999999995</c:v>
                </c:pt>
                <c:pt idx="147">
                  <c:v>0.51880000000000004</c:v>
                </c:pt>
                <c:pt idx="148">
                  <c:v>0.51729999999999998</c:v>
                </c:pt>
                <c:pt idx="149">
                  <c:v>0.51539999999999997</c:v>
                </c:pt>
                <c:pt idx="150">
                  <c:v>0.51229999999999998</c:v>
                </c:pt>
                <c:pt idx="151">
                  <c:v>0.51080000000000003</c:v>
                </c:pt>
                <c:pt idx="152">
                  <c:v>0.50790000000000002</c:v>
                </c:pt>
                <c:pt idx="153">
                  <c:v>0.50609999999999999</c:v>
                </c:pt>
                <c:pt idx="154">
                  <c:v>0.50409999999999999</c:v>
                </c:pt>
                <c:pt idx="155">
                  <c:v>0.50270000000000004</c:v>
                </c:pt>
                <c:pt idx="156">
                  <c:v>0.50049999999999994</c:v>
                </c:pt>
                <c:pt idx="157">
                  <c:v>0.49869999999999998</c:v>
                </c:pt>
                <c:pt idx="158">
                  <c:v>0.4965</c:v>
                </c:pt>
                <c:pt idx="159">
                  <c:v>0.49419999999999997</c:v>
                </c:pt>
                <c:pt idx="160">
                  <c:v>0.49280000000000002</c:v>
                </c:pt>
                <c:pt idx="161">
                  <c:v>0.49109999999999998</c:v>
                </c:pt>
                <c:pt idx="162">
                  <c:v>0.48870000000000002</c:v>
                </c:pt>
                <c:pt idx="163">
                  <c:v>0.48659999999999998</c:v>
                </c:pt>
                <c:pt idx="164">
                  <c:v>0.4844</c:v>
                </c:pt>
                <c:pt idx="165">
                  <c:v>0.48230000000000001</c:v>
                </c:pt>
                <c:pt idx="166">
                  <c:v>0.48039999999999999</c:v>
                </c:pt>
                <c:pt idx="167">
                  <c:v>0.47860000000000003</c:v>
                </c:pt>
                <c:pt idx="168">
                  <c:v>0.47699999999999998</c:v>
                </c:pt>
                <c:pt idx="169">
                  <c:v>0.4753</c:v>
                </c:pt>
                <c:pt idx="170">
                  <c:v>0.47349999999999998</c:v>
                </c:pt>
                <c:pt idx="171">
                  <c:v>0.4708</c:v>
                </c:pt>
                <c:pt idx="172">
                  <c:v>0.46839999999999998</c:v>
                </c:pt>
                <c:pt idx="173">
                  <c:v>0.4662</c:v>
                </c:pt>
                <c:pt idx="174">
                  <c:v>0.4647</c:v>
                </c:pt>
                <c:pt idx="175">
                  <c:v>0.4622</c:v>
                </c:pt>
                <c:pt idx="176">
                  <c:v>0.46039999999999998</c:v>
                </c:pt>
                <c:pt idx="177">
                  <c:v>0.45760000000000001</c:v>
                </c:pt>
                <c:pt idx="178">
                  <c:v>0.4556</c:v>
                </c:pt>
                <c:pt idx="179">
                  <c:v>0.45329999999999998</c:v>
                </c:pt>
                <c:pt idx="180">
                  <c:v>0.45119999999999999</c:v>
                </c:pt>
                <c:pt idx="181">
                  <c:v>0.4496</c:v>
                </c:pt>
                <c:pt idx="182">
                  <c:v>0.44700000000000001</c:v>
                </c:pt>
                <c:pt idx="183">
                  <c:v>0.4451</c:v>
                </c:pt>
                <c:pt idx="184">
                  <c:v>0.44190000000000002</c:v>
                </c:pt>
                <c:pt idx="185">
                  <c:v>0.44</c:v>
                </c:pt>
                <c:pt idx="186">
                  <c:v>0.438</c:v>
                </c:pt>
                <c:pt idx="187">
                  <c:v>0.43630000000000002</c:v>
                </c:pt>
                <c:pt idx="188">
                  <c:v>0.43430000000000002</c:v>
                </c:pt>
                <c:pt idx="189">
                  <c:v>0.43209999999999998</c:v>
                </c:pt>
                <c:pt idx="190">
                  <c:v>0.43059999999999998</c:v>
                </c:pt>
                <c:pt idx="191">
                  <c:v>0.42909999999999998</c:v>
                </c:pt>
                <c:pt idx="192">
                  <c:v>0.42730000000000001</c:v>
                </c:pt>
                <c:pt idx="193">
                  <c:v>0.42520000000000002</c:v>
                </c:pt>
                <c:pt idx="194">
                  <c:v>0.42359999999999998</c:v>
                </c:pt>
                <c:pt idx="195">
                  <c:v>0.42220000000000002</c:v>
                </c:pt>
                <c:pt idx="196">
                  <c:v>0.4199</c:v>
                </c:pt>
                <c:pt idx="197">
                  <c:v>0.41749999999999998</c:v>
                </c:pt>
                <c:pt idx="198">
                  <c:v>0.41499999999999998</c:v>
                </c:pt>
                <c:pt idx="199">
                  <c:v>0.41320000000000001</c:v>
                </c:pt>
                <c:pt idx="200">
                  <c:v>0.4113</c:v>
                </c:pt>
                <c:pt idx="201">
                  <c:v>0.40889999999999999</c:v>
                </c:pt>
                <c:pt idx="202">
                  <c:v>0.40560000000000002</c:v>
                </c:pt>
                <c:pt idx="203">
                  <c:v>0.40360000000000001</c:v>
                </c:pt>
                <c:pt idx="204">
                  <c:v>0.40110000000000001</c:v>
                </c:pt>
                <c:pt idx="205">
                  <c:v>0.39829999999999999</c:v>
                </c:pt>
                <c:pt idx="206">
                  <c:v>0.39610000000000001</c:v>
                </c:pt>
                <c:pt idx="207">
                  <c:v>0.39350000000000002</c:v>
                </c:pt>
                <c:pt idx="208">
                  <c:v>0.39100000000000001</c:v>
                </c:pt>
                <c:pt idx="209">
                  <c:v>0.38819999999999999</c:v>
                </c:pt>
                <c:pt idx="210">
                  <c:v>0.3851</c:v>
                </c:pt>
                <c:pt idx="211">
                  <c:v>0.3826</c:v>
                </c:pt>
                <c:pt idx="212">
                  <c:v>0.37969999999999998</c:v>
                </c:pt>
                <c:pt idx="213">
                  <c:v>0.37709999999999999</c:v>
                </c:pt>
                <c:pt idx="214">
                  <c:v>0.37509999999999999</c:v>
                </c:pt>
                <c:pt idx="215">
                  <c:v>0.37180000000000002</c:v>
                </c:pt>
                <c:pt idx="216">
                  <c:v>0.36859999999999998</c:v>
                </c:pt>
                <c:pt idx="217">
                  <c:v>0.36649999999999999</c:v>
                </c:pt>
                <c:pt idx="218">
                  <c:v>0.36380000000000001</c:v>
                </c:pt>
                <c:pt idx="219">
                  <c:v>0.36120000000000002</c:v>
                </c:pt>
                <c:pt idx="220">
                  <c:v>0.35849999999999999</c:v>
                </c:pt>
                <c:pt idx="221">
                  <c:v>0.35599999999999998</c:v>
                </c:pt>
                <c:pt idx="222">
                  <c:v>0.35310000000000002</c:v>
                </c:pt>
                <c:pt idx="223">
                  <c:v>0.35049999999999998</c:v>
                </c:pt>
                <c:pt idx="224">
                  <c:v>0.34749999999999998</c:v>
                </c:pt>
                <c:pt idx="225">
                  <c:v>0.34499999999999997</c:v>
                </c:pt>
                <c:pt idx="226">
                  <c:v>0.34250000000000003</c:v>
                </c:pt>
                <c:pt idx="227">
                  <c:v>0.34039999999999998</c:v>
                </c:pt>
                <c:pt idx="228">
                  <c:v>0.33610000000000001</c:v>
                </c:pt>
                <c:pt idx="229">
                  <c:v>0.33350000000000002</c:v>
                </c:pt>
                <c:pt idx="230">
                  <c:v>0.3306</c:v>
                </c:pt>
                <c:pt idx="231">
                  <c:v>0.32800000000000001</c:v>
                </c:pt>
                <c:pt idx="232">
                  <c:v>0.32519999999999999</c:v>
                </c:pt>
                <c:pt idx="233">
                  <c:v>0.32269999999999999</c:v>
                </c:pt>
                <c:pt idx="234">
                  <c:v>0.32079999999999997</c:v>
                </c:pt>
                <c:pt idx="235">
                  <c:v>0.31879999999999997</c:v>
                </c:pt>
                <c:pt idx="236">
                  <c:v>0.31630000000000003</c:v>
                </c:pt>
                <c:pt idx="237">
                  <c:v>0.31309999999999999</c:v>
                </c:pt>
                <c:pt idx="238">
                  <c:v>0.30959999999999999</c:v>
                </c:pt>
                <c:pt idx="239">
                  <c:v>0.30659999999999998</c:v>
                </c:pt>
                <c:pt idx="240">
                  <c:v>0.30430000000000001</c:v>
                </c:pt>
                <c:pt idx="241">
                  <c:v>0.30180000000000001</c:v>
                </c:pt>
                <c:pt idx="242">
                  <c:v>0.29880000000000001</c:v>
                </c:pt>
                <c:pt idx="243">
                  <c:v>0.2964</c:v>
                </c:pt>
                <c:pt idx="244">
                  <c:v>0.29370000000000002</c:v>
                </c:pt>
                <c:pt idx="245">
                  <c:v>0.29039999999999999</c:v>
                </c:pt>
                <c:pt idx="246">
                  <c:v>0.2873</c:v>
                </c:pt>
                <c:pt idx="247">
                  <c:v>0.28470000000000001</c:v>
                </c:pt>
                <c:pt idx="248">
                  <c:v>0.28239999999999998</c:v>
                </c:pt>
                <c:pt idx="249">
                  <c:v>0.2797</c:v>
                </c:pt>
                <c:pt idx="250">
                  <c:v>0.2767</c:v>
                </c:pt>
                <c:pt idx="251">
                  <c:v>0.27489999999999998</c:v>
                </c:pt>
                <c:pt idx="252">
                  <c:v>0.2727</c:v>
                </c:pt>
                <c:pt idx="253">
                  <c:v>0.27039999999999997</c:v>
                </c:pt>
                <c:pt idx="254">
                  <c:v>0.26629999999999998</c:v>
                </c:pt>
                <c:pt idx="255">
                  <c:v>0.2631</c:v>
                </c:pt>
                <c:pt idx="256">
                  <c:v>0.26</c:v>
                </c:pt>
                <c:pt idx="257">
                  <c:v>0.25700000000000001</c:v>
                </c:pt>
                <c:pt idx="258">
                  <c:v>0.254</c:v>
                </c:pt>
                <c:pt idx="259">
                  <c:v>0.25140000000000001</c:v>
                </c:pt>
                <c:pt idx="260">
                  <c:v>0.248</c:v>
                </c:pt>
                <c:pt idx="261">
                  <c:v>0.24510000000000001</c:v>
                </c:pt>
                <c:pt idx="262">
                  <c:v>0.2417</c:v>
                </c:pt>
                <c:pt idx="263">
                  <c:v>0.23780000000000001</c:v>
                </c:pt>
                <c:pt idx="264">
                  <c:v>0.23499999999999999</c:v>
                </c:pt>
                <c:pt idx="265">
                  <c:v>0.23130000000000001</c:v>
                </c:pt>
                <c:pt idx="266">
                  <c:v>0.2283</c:v>
                </c:pt>
                <c:pt idx="267">
                  <c:v>0.22539999999999999</c:v>
                </c:pt>
                <c:pt idx="268">
                  <c:v>0.22140000000000001</c:v>
                </c:pt>
                <c:pt idx="269">
                  <c:v>0.21890000000000001</c:v>
                </c:pt>
                <c:pt idx="270">
                  <c:v>0.21640000000000001</c:v>
                </c:pt>
                <c:pt idx="271">
                  <c:v>0.214</c:v>
                </c:pt>
                <c:pt idx="272">
                  <c:v>0.21029999999999999</c:v>
                </c:pt>
                <c:pt idx="273">
                  <c:v>0.20710000000000001</c:v>
                </c:pt>
                <c:pt idx="274">
                  <c:v>0.2039</c:v>
                </c:pt>
                <c:pt idx="275">
                  <c:v>0.2011</c:v>
                </c:pt>
                <c:pt idx="276">
                  <c:v>0.19739999999999999</c:v>
                </c:pt>
                <c:pt idx="277">
                  <c:v>0.1953</c:v>
                </c:pt>
                <c:pt idx="278">
                  <c:v>0.192</c:v>
                </c:pt>
                <c:pt idx="279">
                  <c:v>0.18870000000000001</c:v>
                </c:pt>
                <c:pt idx="280">
                  <c:v>0.1847</c:v>
                </c:pt>
                <c:pt idx="281">
                  <c:v>0.1817</c:v>
                </c:pt>
                <c:pt idx="282">
                  <c:v>0.17860000000000001</c:v>
                </c:pt>
                <c:pt idx="283">
                  <c:v>0.17660000000000001</c:v>
                </c:pt>
                <c:pt idx="284">
                  <c:v>0.1741</c:v>
                </c:pt>
                <c:pt idx="285">
                  <c:v>0.17150000000000001</c:v>
                </c:pt>
                <c:pt idx="286">
                  <c:v>0.1676</c:v>
                </c:pt>
                <c:pt idx="287">
                  <c:v>0.1646</c:v>
                </c:pt>
                <c:pt idx="288">
                  <c:v>0.161</c:v>
                </c:pt>
                <c:pt idx="289">
                  <c:v>0.15690000000000001</c:v>
                </c:pt>
                <c:pt idx="290">
                  <c:v>0.1535</c:v>
                </c:pt>
                <c:pt idx="291">
                  <c:v>0.15029999999999999</c:v>
                </c:pt>
                <c:pt idx="292">
                  <c:v>0.1464</c:v>
                </c:pt>
                <c:pt idx="293">
                  <c:v>0.14369999999999999</c:v>
                </c:pt>
                <c:pt idx="294">
                  <c:v>0.14080000000000001</c:v>
                </c:pt>
                <c:pt idx="295">
                  <c:v>0.13719999999999999</c:v>
                </c:pt>
                <c:pt idx="296">
                  <c:v>0.1353</c:v>
                </c:pt>
                <c:pt idx="297">
                  <c:v>0.1321</c:v>
                </c:pt>
                <c:pt idx="298">
                  <c:v>0.129</c:v>
                </c:pt>
                <c:pt idx="299">
                  <c:v>0.1263</c:v>
                </c:pt>
                <c:pt idx="300">
                  <c:v>0.1231</c:v>
                </c:pt>
                <c:pt idx="301">
                  <c:v>0.1203</c:v>
                </c:pt>
                <c:pt idx="302">
                  <c:v>0.11700000000000001</c:v>
                </c:pt>
                <c:pt idx="303">
                  <c:v>0.114</c:v>
                </c:pt>
                <c:pt idx="304">
                  <c:v>0.1104</c:v>
                </c:pt>
                <c:pt idx="305">
                  <c:v>0.1079</c:v>
                </c:pt>
                <c:pt idx="306">
                  <c:v>0.105</c:v>
                </c:pt>
                <c:pt idx="307">
                  <c:v>0.1027</c:v>
                </c:pt>
                <c:pt idx="308">
                  <c:v>9.9599999999999994E-2</c:v>
                </c:pt>
                <c:pt idx="309">
                  <c:v>9.7199999999999995E-2</c:v>
                </c:pt>
                <c:pt idx="310">
                  <c:v>9.4E-2</c:v>
                </c:pt>
                <c:pt idx="311">
                  <c:v>9.1899999999999996E-2</c:v>
                </c:pt>
                <c:pt idx="312">
                  <c:v>8.9399999999999993E-2</c:v>
                </c:pt>
                <c:pt idx="313">
                  <c:v>8.6900000000000005E-2</c:v>
                </c:pt>
                <c:pt idx="314">
                  <c:v>8.3799999999999999E-2</c:v>
                </c:pt>
                <c:pt idx="315">
                  <c:v>8.14E-2</c:v>
                </c:pt>
                <c:pt idx="316">
                  <c:v>7.8600000000000003E-2</c:v>
                </c:pt>
                <c:pt idx="317">
                  <c:v>7.6300000000000007E-2</c:v>
                </c:pt>
                <c:pt idx="318">
                  <c:v>7.3899999999999993E-2</c:v>
                </c:pt>
                <c:pt idx="319">
                  <c:v>7.0999999999999994E-2</c:v>
                </c:pt>
                <c:pt idx="320">
                  <c:v>6.8199999999999997E-2</c:v>
                </c:pt>
                <c:pt idx="321">
                  <c:v>6.6900000000000001E-2</c:v>
                </c:pt>
                <c:pt idx="322">
                  <c:v>6.4500000000000002E-2</c:v>
                </c:pt>
                <c:pt idx="323">
                  <c:v>6.2199999999999998E-2</c:v>
                </c:pt>
                <c:pt idx="324">
                  <c:v>0.06</c:v>
                </c:pt>
                <c:pt idx="325">
                  <c:v>5.8000000000000003E-2</c:v>
                </c:pt>
                <c:pt idx="326">
                  <c:v>5.6500000000000002E-2</c:v>
                </c:pt>
                <c:pt idx="327">
                  <c:v>5.5E-2</c:v>
                </c:pt>
                <c:pt idx="328">
                  <c:v>5.3100000000000001E-2</c:v>
                </c:pt>
                <c:pt idx="329">
                  <c:v>5.1299999999999998E-2</c:v>
                </c:pt>
                <c:pt idx="330">
                  <c:v>4.9700000000000001E-2</c:v>
                </c:pt>
                <c:pt idx="331">
                  <c:v>4.8099999999999997E-2</c:v>
                </c:pt>
                <c:pt idx="332">
                  <c:v>4.65E-2</c:v>
                </c:pt>
                <c:pt idx="333">
                  <c:v>4.5199999999999997E-2</c:v>
                </c:pt>
                <c:pt idx="334">
                  <c:v>4.3900000000000002E-2</c:v>
                </c:pt>
                <c:pt idx="335">
                  <c:v>4.2500000000000003E-2</c:v>
                </c:pt>
                <c:pt idx="336">
                  <c:v>3.9699999999999999E-2</c:v>
                </c:pt>
                <c:pt idx="337">
                  <c:v>3.8300000000000001E-2</c:v>
                </c:pt>
                <c:pt idx="338">
                  <c:v>3.6900000000000002E-2</c:v>
                </c:pt>
                <c:pt idx="339">
                  <c:v>3.5799999999999998E-2</c:v>
                </c:pt>
                <c:pt idx="340">
                  <c:v>3.4799999999999998E-2</c:v>
                </c:pt>
                <c:pt idx="341">
                  <c:v>3.27E-2</c:v>
                </c:pt>
                <c:pt idx="342">
                  <c:v>3.15E-2</c:v>
                </c:pt>
                <c:pt idx="343">
                  <c:v>3.0499999999999999E-2</c:v>
                </c:pt>
                <c:pt idx="344">
                  <c:v>2.92E-2</c:v>
                </c:pt>
                <c:pt idx="345">
                  <c:v>2.8000000000000001E-2</c:v>
                </c:pt>
                <c:pt idx="346">
                  <c:v>2.6700000000000002E-2</c:v>
                </c:pt>
                <c:pt idx="347">
                  <c:v>2.5600000000000001E-2</c:v>
                </c:pt>
                <c:pt idx="348">
                  <c:v>2.4799999999999999E-2</c:v>
                </c:pt>
                <c:pt idx="349">
                  <c:v>2.3800000000000002E-2</c:v>
                </c:pt>
                <c:pt idx="350">
                  <c:v>2.3E-2</c:v>
                </c:pt>
                <c:pt idx="351">
                  <c:v>2.2200000000000001E-2</c:v>
                </c:pt>
                <c:pt idx="352">
                  <c:v>2.1600000000000001E-2</c:v>
                </c:pt>
                <c:pt idx="353">
                  <c:v>2.06E-2</c:v>
                </c:pt>
                <c:pt idx="354">
                  <c:v>1.9199999999999998E-2</c:v>
                </c:pt>
                <c:pt idx="355">
                  <c:v>1.8100000000000002E-2</c:v>
                </c:pt>
                <c:pt idx="356">
                  <c:v>1.7100000000000001E-2</c:v>
                </c:pt>
                <c:pt idx="357">
                  <c:v>1.6500000000000001E-2</c:v>
                </c:pt>
                <c:pt idx="358">
                  <c:v>1.61E-2</c:v>
                </c:pt>
                <c:pt idx="359">
                  <c:v>1.55E-2</c:v>
                </c:pt>
                <c:pt idx="360">
                  <c:v>1.52E-2</c:v>
                </c:pt>
                <c:pt idx="361">
                  <c:v>1.46E-2</c:v>
                </c:pt>
                <c:pt idx="362">
                  <c:v>1.3899999999999999E-2</c:v>
                </c:pt>
                <c:pt idx="363">
                  <c:v>1.3299999999999999E-2</c:v>
                </c:pt>
                <c:pt idx="364">
                  <c:v>1.2500000000000001E-2</c:v>
                </c:pt>
                <c:pt idx="365">
                  <c:v>1.18E-2</c:v>
                </c:pt>
                <c:pt idx="366">
                  <c:v>1.12E-2</c:v>
                </c:pt>
                <c:pt idx="367">
                  <c:v>1.0999999999999999E-2</c:v>
                </c:pt>
                <c:pt idx="368">
                  <c:v>1.0999999999999999E-2</c:v>
                </c:pt>
                <c:pt idx="369">
                  <c:v>1.03E-2</c:v>
                </c:pt>
                <c:pt idx="370">
                  <c:v>9.7999999999999997E-3</c:v>
                </c:pt>
                <c:pt idx="371">
                  <c:v>9.1999999999999998E-3</c:v>
                </c:pt>
                <c:pt idx="372">
                  <c:v>8.9999999999999993E-3</c:v>
                </c:pt>
                <c:pt idx="373">
                  <c:v>8.3999999999999995E-3</c:v>
                </c:pt>
                <c:pt idx="374">
                  <c:v>8.0999999999999996E-3</c:v>
                </c:pt>
                <c:pt idx="375">
                  <c:v>7.4999999999999997E-3</c:v>
                </c:pt>
                <c:pt idx="376">
                  <c:v>7.3000000000000001E-3</c:v>
                </c:pt>
                <c:pt idx="377">
                  <c:v>6.8999999999999999E-3</c:v>
                </c:pt>
                <c:pt idx="378">
                  <c:v>6.7000000000000002E-3</c:v>
                </c:pt>
                <c:pt idx="379">
                  <c:v>6.0000000000000001E-3</c:v>
                </c:pt>
                <c:pt idx="380">
                  <c:v>5.4999999999999997E-3</c:v>
                </c:pt>
                <c:pt idx="381">
                  <c:v>5.1000000000000004E-3</c:v>
                </c:pt>
                <c:pt idx="382">
                  <c:v>4.7000000000000002E-3</c:v>
                </c:pt>
                <c:pt idx="383">
                  <c:v>4.4999999999999997E-3</c:v>
                </c:pt>
                <c:pt idx="384">
                  <c:v>4.4000000000000003E-3</c:v>
                </c:pt>
                <c:pt idx="385">
                  <c:v>4.1000000000000003E-3</c:v>
                </c:pt>
                <c:pt idx="386">
                  <c:v>3.3999999999999998E-3</c:v>
                </c:pt>
                <c:pt idx="387">
                  <c:v>3.3E-3</c:v>
                </c:pt>
                <c:pt idx="388">
                  <c:v>3.0999999999999999E-3</c:v>
                </c:pt>
                <c:pt idx="389">
                  <c:v>2.7000000000000001E-3</c:v>
                </c:pt>
                <c:pt idx="390">
                  <c:v>2.5999999999999999E-3</c:v>
                </c:pt>
                <c:pt idx="391">
                  <c:v>2.3E-3</c:v>
                </c:pt>
                <c:pt idx="392">
                  <c:v>2.2000000000000001E-3</c:v>
                </c:pt>
                <c:pt idx="393">
                  <c:v>2.2000000000000001E-3</c:v>
                </c:pt>
                <c:pt idx="394">
                  <c:v>2.0999999999999999E-3</c:v>
                </c:pt>
                <c:pt idx="395">
                  <c:v>2E-3</c:v>
                </c:pt>
                <c:pt idx="396">
                  <c:v>1.8E-3</c:v>
                </c:pt>
                <c:pt idx="397">
                  <c:v>1.6000000000000001E-3</c:v>
                </c:pt>
                <c:pt idx="398">
                  <c:v>1.5E-3</c:v>
                </c:pt>
                <c:pt idx="399">
                  <c:v>1.5E-3</c:v>
                </c:pt>
                <c:pt idx="400">
                  <c:v>1.5E-3</c:v>
                </c:pt>
                <c:pt idx="401">
                  <c:v>1.2999999999999999E-3</c:v>
                </c:pt>
                <c:pt idx="402">
                  <c:v>1.1000000000000001E-3</c:v>
                </c:pt>
                <c:pt idx="403">
                  <c:v>1.1000000000000001E-3</c:v>
                </c:pt>
                <c:pt idx="404">
                  <c:v>8.9999999999999998E-4</c:v>
                </c:pt>
                <c:pt idx="405">
                  <c:v>8.0000000000000004E-4</c:v>
                </c:pt>
                <c:pt idx="406">
                  <c:v>8.0000000000000004E-4</c:v>
                </c:pt>
                <c:pt idx="407">
                  <c:v>6.9999999999999999E-4</c:v>
                </c:pt>
                <c:pt idx="408">
                  <c:v>6.9999999999999999E-4</c:v>
                </c:pt>
                <c:pt idx="409">
                  <c:v>5.9999999999999995E-4</c:v>
                </c:pt>
                <c:pt idx="410">
                  <c:v>5.9999999999999995E-4</c:v>
                </c:pt>
                <c:pt idx="411">
                  <c:v>5.9999999999999995E-4</c:v>
                </c:pt>
                <c:pt idx="412">
                  <c:v>5.9999999999999995E-4</c:v>
                </c:pt>
                <c:pt idx="413">
                  <c:v>5.9999999999999995E-4</c:v>
                </c:pt>
                <c:pt idx="414">
                  <c:v>5.9999999999999995E-4</c:v>
                </c:pt>
                <c:pt idx="415">
                  <c:v>5.9999999999999995E-4</c:v>
                </c:pt>
                <c:pt idx="416">
                  <c:v>5.0000000000000001E-4</c:v>
                </c:pt>
                <c:pt idx="417">
                  <c:v>2.9999999999999997E-4</c:v>
                </c:pt>
                <c:pt idx="418">
                  <c:v>2.9999999999999997E-4</c:v>
                </c:pt>
                <c:pt idx="419">
                  <c:v>2.9999999999999997E-4</c:v>
                </c:pt>
                <c:pt idx="420">
                  <c:v>2.9999999999999997E-4</c:v>
                </c:pt>
                <c:pt idx="421">
                  <c:v>2.0000000000000001E-4</c:v>
                </c:pt>
                <c:pt idx="422">
                  <c:v>2.0000000000000001E-4</c:v>
                </c:pt>
                <c:pt idx="423">
                  <c:v>2.0000000000000001E-4</c:v>
                </c:pt>
                <c:pt idx="424">
                  <c:v>2.0000000000000001E-4</c:v>
                </c:pt>
                <c:pt idx="425">
                  <c:v>2.0000000000000001E-4</c:v>
                </c:pt>
                <c:pt idx="426">
                  <c:v>2.0000000000000001E-4</c:v>
                </c:pt>
                <c:pt idx="427">
                  <c:v>1E-4</c:v>
                </c:pt>
                <c:pt idx="428">
                  <c:v>1E-4</c:v>
                </c:pt>
                <c:pt idx="429">
                  <c:v>1E-4</c:v>
                </c:pt>
                <c:pt idx="430">
                  <c:v>1E-4</c:v>
                </c:pt>
                <c:pt idx="431">
                  <c:v>1E-4</c:v>
                </c:pt>
                <c:pt idx="432">
                  <c:v>1E-4</c:v>
                </c:pt>
                <c:pt idx="433">
                  <c:v>1E-4</c:v>
                </c:pt>
                <c:pt idx="434">
                  <c:v>1E-4</c:v>
                </c:pt>
                <c:pt idx="435">
                  <c:v>1E-4</c:v>
                </c:pt>
              </c:numCache>
            </c:numRef>
          </c:val>
          <c:smooth val="0"/>
          <c:extLst xmlns:c16r2="http://schemas.microsoft.com/office/drawing/2015/06/chart">
            <c:ext xmlns:c16="http://schemas.microsoft.com/office/drawing/2014/chart" uri="{C3380CC4-5D6E-409C-BE32-E72D297353CC}">
              <c16:uniqueId val="{00000001-8780-4276-8492-1103B8572D45}"/>
            </c:ext>
          </c:extLst>
        </c:ser>
        <c:dLbls>
          <c:showLegendKey val="0"/>
          <c:showVal val="0"/>
          <c:showCatName val="0"/>
          <c:showSerName val="0"/>
          <c:showPercent val="0"/>
          <c:showBubbleSize val="0"/>
        </c:dLbls>
        <c:marker val="1"/>
        <c:smooth val="0"/>
        <c:axId val="400509184"/>
        <c:axId val="400515456"/>
      </c:lineChart>
      <c:catAx>
        <c:axId val="400509184"/>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AU" sz="800"/>
                  <a:t>Years in</a:t>
                </a:r>
                <a:r>
                  <a:rPr lang="en-AU" sz="800" baseline="0"/>
                  <a:t> model</a:t>
                </a:r>
                <a:endParaRPr lang="en-AU" sz="800"/>
              </a:p>
            </c:rich>
          </c:tx>
          <c:layout/>
          <c:overlay val="0"/>
          <c:spPr>
            <a:noFill/>
            <a:ln>
              <a:noFill/>
            </a:ln>
            <a:effectLst/>
          </c:spPr>
        </c:title>
        <c:numFmt formatCode="#,##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515456"/>
        <c:crosses val="autoZero"/>
        <c:auto val="1"/>
        <c:lblAlgn val="ctr"/>
        <c:lblOffset val="100"/>
        <c:tickLblSkip val="72"/>
        <c:noMultiLvlLbl val="0"/>
      </c:catAx>
      <c:valAx>
        <c:axId val="400515456"/>
        <c:scaling>
          <c:orientation val="minMax"/>
          <c:max val="1"/>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AU" sz="800"/>
                  <a:t>Proportion</a:t>
                </a:r>
                <a:r>
                  <a:rPr lang="en-AU" sz="800" baseline="0"/>
                  <a:t> alive</a:t>
                </a:r>
                <a:endParaRPr lang="en-AU" sz="800"/>
              </a:p>
            </c:rich>
          </c:tx>
          <c:layout/>
          <c:overlay val="0"/>
          <c:spPr>
            <a:noFill/>
            <a:ln>
              <a:noFill/>
            </a:ln>
            <a:effectLst/>
          </c:sp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509184"/>
        <c:crosses val="autoZero"/>
        <c:crossBetween val="between"/>
        <c:majorUnit val="0.1"/>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3B4EB-ACDC-4ABC-BE10-3AB11E985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11394</Words>
  <Characters>63437</Characters>
  <Application>Microsoft Office Word</Application>
  <DocSecurity>0</DocSecurity>
  <Lines>528</Lines>
  <Paragraphs>149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2017-10-09T23:59:00Z</dcterms:created>
  <dcterms:modified xsi:type="dcterms:W3CDTF">2017-10-10T00:02:00Z</dcterms:modified>
</cp:coreProperties>
</file>