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225" w:rsidRPr="003F1F6C" w:rsidRDefault="00F16F26" w:rsidP="00BE39FF">
      <w:pPr>
        <w:ind w:left="992" w:hanging="992"/>
        <w:jc w:val="left"/>
        <w:outlineLvl w:val="0"/>
        <w:rPr>
          <w:sz w:val="36"/>
          <w:szCs w:val="36"/>
        </w:rPr>
      </w:pPr>
      <w:r w:rsidRPr="003F1F6C">
        <w:rPr>
          <w:b/>
          <w:sz w:val="36"/>
          <w:szCs w:val="36"/>
        </w:rPr>
        <w:t>7.02</w:t>
      </w:r>
      <w:r w:rsidR="005D3225" w:rsidRPr="003F1F6C">
        <w:rPr>
          <w:b/>
          <w:sz w:val="36"/>
          <w:szCs w:val="36"/>
        </w:rPr>
        <w:tab/>
        <w:t>LANREOTIDE</w:t>
      </w:r>
      <w:proofErr w:type="gramStart"/>
      <w:r w:rsidR="005D3225" w:rsidRPr="003F1F6C">
        <w:rPr>
          <w:b/>
          <w:sz w:val="36"/>
          <w:szCs w:val="36"/>
        </w:rPr>
        <w:t>,</w:t>
      </w:r>
      <w:proofErr w:type="gramEnd"/>
      <w:r w:rsidR="005D3225" w:rsidRPr="003F1F6C">
        <w:rPr>
          <w:b/>
          <w:sz w:val="36"/>
          <w:szCs w:val="36"/>
        </w:rPr>
        <w:br/>
        <w:t xml:space="preserve">Injection 120 mg </w:t>
      </w:r>
      <w:r w:rsidR="0055171C">
        <w:rPr>
          <w:b/>
          <w:sz w:val="36"/>
          <w:szCs w:val="36"/>
        </w:rPr>
        <w:t>(as acetate) in single dose pre</w:t>
      </w:r>
      <w:r w:rsidR="0055171C">
        <w:rPr>
          <w:b/>
          <w:sz w:val="36"/>
          <w:szCs w:val="36"/>
        </w:rPr>
        <w:noBreakHyphen/>
      </w:r>
      <w:r w:rsidR="005D3225" w:rsidRPr="003F1F6C">
        <w:rPr>
          <w:b/>
          <w:sz w:val="36"/>
          <w:szCs w:val="36"/>
        </w:rPr>
        <w:t xml:space="preserve">filled syringe, </w:t>
      </w:r>
      <w:r w:rsidR="005D3225" w:rsidRPr="003F1F6C">
        <w:rPr>
          <w:b/>
          <w:sz w:val="36"/>
          <w:szCs w:val="36"/>
        </w:rPr>
        <w:br/>
      </w:r>
      <w:proofErr w:type="spellStart"/>
      <w:r w:rsidR="005D3225" w:rsidRPr="003F1F6C">
        <w:rPr>
          <w:b/>
          <w:sz w:val="36"/>
          <w:szCs w:val="36"/>
        </w:rPr>
        <w:t>Somatuline</w:t>
      </w:r>
      <w:proofErr w:type="spellEnd"/>
      <w:r w:rsidR="005D3225" w:rsidRPr="003F1F6C">
        <w:rPr>
          <w:b/>
          <w:sz w:val="36"/>
          <w:szCs w:val="36"/>
        </w:rPr>
        <w:t xml:space="preserve">® </w:t>
      </w:r>
      <w:proofErr w:type="spellStart"/>
      <w:r w:rsidR="005D3225" w:rsidRPr="003F1F6C">
        <w:rPr>
          <w:b/>
          <w:sz w:val="36"/>
          <w:szCs w:val="36"/>
        </w:rPr>
        <w:t>Autogel</w:t>
      </w:r>
      <w:proofErr w:type="spellEnd"/>
      <w:r w:rsidR="005D3225" w:rsidRPr="003F1F6C">
        <w:rPr>
          <w:b/>
          <w:sz w:val="36"/>
          <w:szCs w:val="36"/>
        </w:rPr>
        <w:t xml:space="preserve">®, </w:t>
      </w:r>
      <w:proofErr w:type="spellStart"/>
      <w:r w:rsidR="005D3225" w:rsidRPr="003F1F6C">
        <w:rPr>
          <w:b/>
          <w:sz w:val="36"/>
          <w:szCs w:val="36"/>
        </w:rPr>
        <w:t>Ipsen</w:t>
      </w:r>
      <w:proofErr w:type="spellEnd"/>
      <w:r w:rsidR="00BE39FF">
        <w:rPr>
          <w:b/>
          <w:sz w:val="36"/>
          <w:szCs w:val="36"/>
        </w:rPr>
        <w:t xml:space="preserve"> Pty Ltd</w:t>
      </w:r>
    </w:p>
    <w:p w:rsidR="005D3225" w:rsidRPr="001802CA" w:rsidRDefault="005D3225" w:rsidP="00CE5B76">
      <w:pPr>
        <w:pStyle w:val="Heading1"/>
      </w:pPr>
      <w:bookmarkStart w:id="0" w:name="_Toc413139271"/>
      <w:bookmarkStart w:id="1" w:name="_Toc476306881"/>
      <w:bookmarkStart w:id="2" w:name="_Toc482193587"/>
      <w:r w:rsidRPr="001802CA">
        <w:t>Purpose of Application</w:t>
      </w:r>
      <w:bookmarkEnd w:id="0"/>
      <w:bookmarkEnd w:id="1"/>
      <w:bookmarkEnd w:id="2"/>
    </w:p>
    <w:p w:rsidR="005D3225" w:rsidRPr="003F1F6C" w:rsidRDefault="005D3225" w:rsidP="00CE5B76">
      <w:pPr>
        <w:pStyle w:val="ESnumberedpara"/>
        <w:ind w:left="567" w:hanging="567"/>
      </w:pPr>
      <w:r w:rsidRPr="003F1F6C">
        <w:t xml:space="preserve">The resubmission requested a Section 100 Authority Required PBS listing for </w:t>
      </w:r>
      <w:proofErr w:type="spellStart"/>
      <w:r w:rsidRPr="003F1F6C">
        <w:t>lanreotide</w:t>
      </w:r>
      <w:proofErr w:type="spellEnd"/>
      <w:r w:rsidRPr="003F1F6C">
        <w:t xml:space="preserve"> for the treatment of non-functional </w:t>
      </w:r>
      <w:proofErr w:type="spellStart"/>
      <w:r w:rsidRPr="003F1F6C">
        <w:t>gastroenteropancreatic</w:t>
      </w:r>
      <w:proofErr w:type="spellEnd"/>
      <w:r w:rsidRPr="003F1F6C">
        <w:t xml:space="preserve"> neuroendocrine tumours (GEP-NETs) in adults with </w:t>
      </w:r>
      <w:proofErr w:type="spellStart"/>
      <w:r w:rsidRPr="003F1F6C">
        <w:t>unresectable</w:t>
      </w:r>
      <w:proofErr w:type="spellEnd"/>
      <w:r w:rsidRPr="003F1F6C">
        <w:t xml:space="preserve"> locally advanced or metastatic disease.</w:t>
      </w:r>
    </w:p>
    <w:p w:rsidR="005D3225" w:rsidRPr="003F1F6C" w:rsidRDefault="005D3225" w:rsidP="00CE5B76">
      <w:pPr>
        <w:pStyle w:val="ESnumberedpara"/>
        <w:ind w:left="567" w:hanging="567"/>
      </w:pPr>
      <w:proofErr w:type="spellStart"/>
      <w:r w:rsidRPr="003F1F6C">
        <w:t>Lanreotide</w:t>
      </w:r>
      <w:proofErr w:type="spellEnd"/>
      <w:r w:rsidRPr="003F1F6C">
        <w:t xml:space="preserve"> was previously considered by the PBAC for the treatment of non-functional GEP-NETs in November 2015 and November 2016.</w:t>
      </w:r>
    </w:p>
    <w:p w:rsidR="003F4F36" w:rsidRDefault="003F4F36" w:rsidP="003F4F36">
      <w:pPr>
        <w:pStyle w:val="Caption"/>
      </w:pPr>
      <w:r>
        <w:t xml:space="preserve">Table </w:t>
      </w:r>
      <w:r w:rsidR="0097752E">
        <w:rPr>
          <w:noProof/>
        </w:rPr>
        <w:t>1</w:t>
      </w:r>
      <w:r w:rsidRPr="000C0D27">
        <w:t>: Key components of the clinical issue addressed in the submission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in the submission"/>
      </w:tblPr>
      <w:tblGrid>
        <w:gridCol w:w="1739"/>
        <w:gridCol w:w="7503"/>
      </w:tblGrid>
      <w:tr w:rsidR="005D3225" w:rsidRPr="003F1F6C" w:rsidTr="003F4F36">
        <w:trPr>
          <w:cnfStyle w:val="100000000000" w:firstRow="1" w:lastRow="0" w:firstColumn="0" w:lastColumn="0" w:oddVBand="0" w:evenVBand="0" w:oddHBand="0" w:evenHBand="0" w:firstRowFirstColumn="0" w:firstRowLastColumn="0" w:lastRowFirstColumn="0" w:lastRowLastColumn="0"/>
          <w:cantSplit/>
          <w:tblHeader/>
        </w:trPr>
        <w:tc>
          <w:tcPr>
            <w:tcW w:w="1739" w:type="dxa"/>
            <w:shd w:val="clear" w:color="auto" w:fill="auto"/>
          </w:tcPr>
          <w:p w:rsidR="005D3225" w:rsidRPr="003F1F6C" w:rsidRDefault="005D3225" w:rsidP="00CE5B76">
            <w:pPr>
              <w:pStyle w:val="TableText"/>
              <w:rPr>
                <w:b w:val="0"/>
              </w:rPr>
            </w:pPr>
            <w:r w:rsidRPr="003F1F6C">
              <w:t>Component</w:t>
            </w:r>
          </w:p>
        </w:tc>
        <w:tc>
          <w:tcPr>
            <w:tcW w:w="7503" w:type="dxa"/>
            <w:shd w:val="clear" w:color="auto" w:fill="auto"/>
          </w:tcPr>
          <w:p w:rsidR="005D3225" w:rsidRPr="003F1F6C" w:rsidRDefault="005D3225" w:rsidP="00CE5B76">
            <w:pPr>
              <w:pStyle w:val="TableText"/>
              <w:rPr>
                <w:b w:val="0"/>
              </w:rPr>
            </w:pPr>
            <w:r w:rsidRPr="003F1F6C">
              <w:t>Description</w:t>
            </w:r>
          </w:p>
        </w:tc>
      </w:tr>
      <w:tr w:rsidR="005D3225" w:rsidRPr="003F1F6C" w:rsidTr="003F4F36">
        <w:trPr>
          <w:cantSplit/>
        </w:trPr>
        <w:tc>
          <w:tcPr>
            <w:tcW w:w="1739" w:type="dxa"/>
          </w:tcPr>
          <w:p w:rsidR="005D3225" w:rsidRPr="003F1F6C" w:rsidRDefault="005D3225" w:rsidP="00C44233">
            <w:pPr>
              <w:pStyle w:val="TableText"/>
            </w:pPr>
            <w:r w:rsidRPr="003F1F6C">
              <w:t>Population</w:t>
            </w:r>
          </w:p>
        </w:tc>
        <w:tc>
          <w:tcPr>
            <w:tcW w:w="7503" w:type="dxa"/>
          </w:tcPr>
          <w:p w:rsidR="005D3225" w:rsidRPr="003F1F6C" w:rsidRDefault="005D3225" w:rsidP="00852CB7">
            <w:pPr>
              <w:pStyle w:val="TableText"/>
              <w:rPr>
                <w:rFonts w:ascii="Times" w:eastAsia="Times New Roman" w:hAnsi="Times" w:cs="Times New Roman"/>
              </w:rPr>
            </w:pPr>
            <w:r w:rsidRPr="003F1F6C">
              <w:t xml:space="preserve">Patients with </w:t>
            </w:r>
            <w:proofErr w:type="spellStart"/>
            <w:r w:rsidRPr="003F1F6C">
              <w:t>unresectable</w:t>
            </w:r>
            <w:proofErr w:type="spellEnd"/>
            <w:r w:rsidRPr="003F1F6C">
              <w:t xml:space="preserve">, locally advanced or metastatic, histologically well or moderately differentiated, non-functioning </w:t>
            </w:r>
            <w:proofErr w:type="spellStart"/>
            <w:r w:rsidRPr="003F1F6C">
              <w:t>gastroenteropancreatic</w:t>
            </w:r>
            <w:proofErr w:type="spellEnd"/>
            <w:r w:rsidRPr="003F1F6C">
              <w:t xml:space="preserve"> neuroendocrine </w:t>
            </w:r>
            <w:proofErr w:type="spellStart"/>
            <w:r w:rsidRPr="003F1F6C">
              <w:t>tumours</w:t>
            </w:r>
            <w:proofErr w:type="spellEnd"/>
            <w:r w:rsidRPr="003F1F6C">
              <w:t>.</w:t>
            </w:r>
          </w:p>
        </w:tc>
      </w:tr>
      <w:tr w:rsidR="005D3225" w:rsidRPr="003F1F6C" w:rsidTr="003F4F36">
        <w:trPr>
          <w:cantSplit/>
        </w:trPr>
        <w:tc>
          <w:tcPr>
            <w:tcW w:w="1739" w:type="dxa"/>
          </w:tcPr>
          <w:p w:rsidR="005D3225" w:rsidRPr="003F1F6C" w:rsidRDefault="005D3225" w:rsidP="00C44233">
            <w:pPr>
              <w:pStyle w:val="TableText"/>
              <w:rPr>
                <w:rFonts w:ascii="Times" w:eastAsia="Times New Roman" w:hAnsi="Times" w:cs="Times New Roman"/>
              </w:rPr>
            </w:pPr>
            <w:r w:rsidRPr="003F1F6C">
              <w:t>Intervention</w:t>
            </w:r>
          </w:p>
        </w:tc>
        <w:tc>
          <w:tcPr>
            <w:tcW w:w="7503" w:type="dxa"/>
          </w:tcPr>
          <w:p w:rsidR="005D3225" w:rsidRPr="003F1F6C" w:rsidRDefault="005D3225" w:rsidP="00852CB7">
            <w:pPr>
              <w:pStyle w:val="TableText"/>
              <w:rPr>
                <w:rFonts w:ascii="Times" w:eastAsia="Times New Roman" w:hAnsi="Times" w:cs="Times New Roman"/>
              </w:rPr>
            </w:pPr>
            <w:proofErr w:type="spellStart"/>
            <w:r w:rsidRPr="003F1F6C">
              <w:t>Lanreotide</w:t>
            </w:r>
            <w:proofErr w:type="spellEnd"/>
            <w:r w:rsidRPr="003F1F6C">
              <w:t xml:space="preserve"> 120 mg every 28 days via deep subcutaneous injection.</w:t>
            </w:r>
          </w:p>
        </w:tc>
      </w:tr>
      <w:tr w:rsidR="005D3225" w:rsidRPr="003F1F6C" w:rsidTr="003F4F36">
        <w:trPr>
          <w:cantSplit/>
        </w:trPr>
        <w:tc>
          <w:tcPr>
            <w:tcW w:w="1739" w:type="dxa"/>
          </w:tcPr>
          <w:p w:rsidR="005D3225" w:rsidRPr="003F1F6C" w:rsidRDefault="005D3225" w:rsidP="00C44233">
            <w:pPr>
              <w:pStyle w:val="TableText"/>
              <w:rPr>
                <w:rFonts w:ascii="Times" w:eastAsia="Times New Roman" w:hAnsi="Times" w:cs="Times New Roman"/>
              </w:rPr>
            </w:pPr>
            <w:r w:rsidRPr="003F1F6C">
              <w:t>Comparator</w:t>
            </w:r>
          </w:p>
        </w:tc>
        <w:tc>
          <w:tcPr>
            <w:tcW w:w="7503" w:type="dxa"/>
          </w:tcPr>
          <w:p w:rsidR="005D3225" w:rsidRPr="003F1F6C" w:rsidRDefault="005D3225" w:rsidP="00852CB7">
            <w:pPr>
              <w:pStyle w:val="TableText"/>
              <w:rPr>
                <w:rFonts w:ascii="Times" w:eastAsia="Times New Roman" w:hAnsi="Times" w:cs="Times New Roman"/>
              </w:rPr>
            </w:pPr>
            <w:r w:rsidRPr="003F1F6C">
              <w:t>Placebo for ‘watchful waiting’.</w:t>
            </w:r>
          </w:p>
        </w:tc>
      </w:tr>
      <w:tr w:rsidR="005D3225" w:rsidRPr="003F1F6C" w:rsidTr="003F4F36">
        <w:trPr>
          <w:cantSplit/>
        </w:trPr>
        <w:tc>
          <w:tcPr>
            <w:tcW w:w="1739" w:type="dxa"/>
          </w:tcPr>
          <w:p w:rsidR="005D3225" w:rsidRPr="003F1F6C" w:rsidRDefault="005D3225" w:rsidP="00C44233">
            <w:pPr>
              <w:pStyle w:val="TableText"/>
              <w:rPr>
                <w:rFonts w:ascii="Times" w:eastAsia="Times New Roman" w:hAnsi="Times" w:cs="Times New Roman"/>
              </w:rPr>
            </w:pPr>
            <w:r w:rsidRPr="003F1F6C">
              <w:t>Outcomes</w:t>
            </w:r>
          </w:p>
        </w:tc>
        <w:tc>
          <w:tcPr>
            <w:tcW w:w="7503" w:type="dxa"/>
          </w:tcPr>
          <w:p w:rsidR="005D3225" w:rsidRPr="003F1F6C" w:rsidRDefault="00C1746F" w:rsidP="00852CB7">
            <w:pPr>
              <w:pStyle w:val="TableText"/>
              <w:rPr>
                <w:rFonts w:ascii="Times" w:eastAsia="Times New Roman" w:hAnsi="Times" w:cs="Times New Roman"/>
              </w:rPr>
            </w:pPr>
            <w:r w:rsidRPr="003F1F6C">
              <w:t>O</w:t>
            </w:r>
            <w:r w:rsidR="005D3225" w:rsidRPr="003F1F6C">
              <w:t xml:space="preserve">verall survival, </w:t>
            </w:r>
            <w:r w:rsidRPr="003F1F6C">
              <w:t>progression-free survival</w:t>
            </w:r>
            <w:r w:rsidR="00440EE3" w:rsidRPr="003F1F6C">
              <w:t xml:space="preserve"> and</w:t>
            </w:r>
            <w:r w:rsidRPr="003F1F6C">
              <w:t xml:space="preserve"> quality of life.</w:t>
            </w:r>
            <w:r w:rsidRPr="003F1F6C">
              <w:rPr>
                <w:rFonts w:ascii="Times" w:eastAsia="Times New Roman" w:hAnsi="Times" w:cs="Times New Roman"/>
              </w:rPr>
              <w:t xml:space="preserve"> </w:t>
            </w:r>
          </w:p>
        </w:tc>
      </w:tr>
      <w:tr w:rsidR="005D3225" w:rsidRPr="003F1F6C" w:rsidTr="003F4F36">
        <w:trPr>
          <w:cantSplit/>
        </w:trPr>
        <w:tc>
          <w:tcPr>
            <w:tcW w:w="1739" w:type="dxa"/>
          </w:tcPr>
          <w:p w:rsidR="005D3225" w:rsidRPr="003F1F6C" w:rsidRDefault="005D3225" w:rsidP="00C44233">
            <w:pPr>
              <w:pStyle w:val="TableText"/>
              <w:rPr>
                <w:rFonts w:ascii="Times" w:eastAsia="Times New Roman" w:hAnsi="Times" w:cs="Times New Roman"/>
              </w:rPr>
            </w:pPr>
            <w:r w:rsidRPr="003F1F6C">
              <w:t>Clinical claim</w:t>
            </w:r>
          </w:p>
        </w:tc>
        <w:tc>
          <w:tcPr>
            <w:tcW w:w="7503" w:type="dxa"/>
          </w:tcPr>
          <w:p w:rsidR="005D3225" w:rsidRPr="003F1F6C" w:rsidRDefault="005D3225" w:rsidP="00852CB7">
            <w:pPr>
              <w:pStyle w:val="TableText"/>
              <w:rPr>
                <w:rFonts w:ascii="Times" w:eastAsia="Times New Roman" w:hAnsi="Times" w:cs="Times New Roman"/>
              </w:rPr>
            </w:pPr>
            <w:proofErr w:type="spellStart"/>
            <w:r w:rsidRPr="003F1F6C">
              <w:t>Lanreotide</w:t>
            </w:r>
            <w:proofErr w:type="spellEnd"/>
            <w:r w:rsidRPr="003F1F6C">
              <w:t xml:space="preserve"> is superior in efficacy with respect to progression free survival and inferior with respect to overall adverse events, compared to placebo.</w:t>
            </w:r>
          </w:p>
        </w:tc>
      </w:tr>
    </w:tbl>
    <w:p w:rsidR="005D3225" w:rsidRPr="003F1F6C" w:rsidRDefault="005D3225" w:rsidP="002557D4">
      <w:pPr>
        <w:pStyle w:val="TableFooter"/>
        <w:widowControl/>
      </w:pPr>
      <w:r w:rsidRPr="00D14294">
        <w:t>Source: Section 3.1.1, p.24 of the submission</w:t>
      </w:r>
    </w:p>
    <w:p w:rsidR="005D3225" w:rsidRDefault="005D3225" w:rsidP="00C44233">
      <w:pPr>
        <w:pStyle w:val="Heading1"/>
      </w:pPr>
      <w:bookmarkStart w:id="3" w:name="_Toc413139272"/>
      <w:bookmarkStart w:id="4" w:name="_Toc476306882"/>
      <w:bookmarkStart w:id="5" w:name="_Toc482193588"/>
      <w:r w:rsidRPr="003F1F6C">
        <w:t>Requested listing</w:t>
      </w:r>
      <w:bookmarkEnd w:id="3"/>
      <w:bookmarkEnd w:id="4"/>
      <w:bookmarkEnd w:id="5"/>
    </w:p>
    <w:p w:rsidR="00A84681" w:rsidRPr="000D028E" w:rsidRDefault="00A84681" w:rsidP="00852CB7">
      <w:pPr>
        <w:pStyle w:val="ESnumberedpara"/>
        <w:numPr>
          <w:ilvl w:val="1"/>
          <w:numId w:val="1"/>
        </w:numPr>
        <w:rPr>
          <w:rFonts w:asciiTheme="minorHAnsi" w:hAnsiTheme="minorHAnsi"/>
        </w:rPr>
      </w:pPr>
      <w:r w:rsidRPr="000D028E">
        <w:rPr>
          <w:rFonts w:asciiTheme="minorHAnsi" w:eastAsia="SimSun" w:hAnsiTheme="minorHAnsi" w:cs="Arial"/>
          <w:iCs/>
          <w:color w:val="000000"/>
          <w:lang w:eastAsia="en-AU"/>
        </w:rPr>
        <w:t xml:space="preserve">Suggestions and additions proposed by the Secretariat to the requested listing are added in </w:t>
      </w:r>
      <w:r w:rsidRPr="000D028E">
        <w:rPr>
          <w:rFonts w:asciiTheme="minorHAnsi" w:eastAsia="SimSun" w:hAnsiTheme="minorHAnsi" w:cs="Arial"/>
          <w:i/>
          <w:iCs/>
          <w:color w:val="000000"/>
          <w:lang w:eastAsia="en-AU"/>
        </w:rPr>
        <w:t>italics</w:t>
      </w:r>
      <w:r w:rsidRPr="000D028E">
        <w:rPr>
          <w:rFonts w:asciiTheme="minorHAnsi" w:eastAsia="SimSun" w:hAnsiTheme="minorHAnsi" w:cs="Arial"/>
          <w:iCs/>
          <w:color w:val="000000"/>
          <w:lang w:eastAsia="en-AU"/>
        </w:rPr>
        <w:t xml:space="preserve"> and suggested deletions are crossed out with </w:t>
      </w:r>
      <w:r w:rsidRPr="000D028E">
        <w:rPr>
          <w:rFonts w:asciiTheme="minorHAnsi" w:eastAsia="SimSun" w:hAnsiTheme="minorHAnsi" w:cs="Arial"/>
          <w:iCs/>
          <w:strike/>
          <w:color w:val="000000"/>
          <w:lang w:eastAsia="en-AU"/>
        </w:rPr>
        <w:t>strikethrough</w:t>
      </w:r>
      <w:r w:rsidRPr="000D028E">
        <w:rPr>
          <w:rFonts w:asciiTheme="minorHAnsi" w:eastAsia="SimSun" w:hAnsiTheme="minorHAnsi" w:cs="Arial"/>
          <w:iCs/>
          <w:color w:val="000000"/>
          <w:lang w:eastAsia="en-AU"/>
        </w:rPr>
        <w:t xml:space="preserve">. </w:t>
      </w: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A84681" w:rsidRPr="00A84681" w:rsidTr="00A84681">
        <w:trPr>
          <w:cantSplit/>
          <w:trHeight w:val="471"/>
        </w:trPr>
        <w:tc>
          <w:tcPr>
            <w:tcW w:w="3261" w:type="dxa"/>
            <w:gridSpan w:val="2"/>
            <w:tcBorders>
              <w:bottom w:val="single" w:sz="4" w:space="0" w:color="auto"/>
            </w:tcBorders>
          </w:tcPr>
          <w:p w:rsidR="00A84681" w:rsidRPr="00A84681" w:rsidRDefault="00A84681" w:rsidP="00BF31EB">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Name, Restriction,</w:t>
            </w:r>
          </w:p>
          <w:p w:rsidR="00A84681" w:rsidRPr="00A84681" w:rsidRDefault="00A84681" w:rsidP="00CE5B76">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Manner of administration and form</w:t>
            </w:r>
          </w:p>
        </w:tc>
        <w:tc>
          <w:tcPr>
            <w:tcW w:w="567" w:type="dxa"/>
            <w:tcBorders>
              <w:bottom w:val="single" w:sz="4" w:space="0" w:color="auto"/>
            </w:tcBorders>
          </w:tcPr>
          <w:p w:rsidR="00A84681" w:rsidRPr="00A84681" w:rsidRDefault="00A84681" w:rsidP="00CE5B76">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Max.</w:t>
            </w:r>
          </w:p>
          <w:p w:rsidR="00A84681" w:rsidRPr="00A84681" w:rsidRDefault="00A84681" w:rsidP="00CE5B76">
            <w:pPr>
              <w:keepNext/>
              <w:spacing w:before="0" w:after="0"/>
              <w:ind w:left="-108"/>
              <w:rPr>
                <w:rFonts w:ascii="Arial Narrow" w:eastAsia="Times New Roman" w:hAnsi="Arial Narrow" w:cs="Arial"/>
                <w:sz w:val="20"/>
                <w:szCs w:val="20"/>
                <w:lang w:eastAsia="en-AU"/>
              </w:rPr>
            </w:pPr>
            <w:proofErr w:type="spellStart"/>
            <w:r w:rsidRPr="00A84681">
              <w:rPr>
                <w:rFonts w:ascii="Arial Narrow" w:eastAsia="Times New Roman" w:hAnsi="Arial Narrow" w:cs="Arial"/>
                <w:sz w:val="20"/>
                <w:szCs w:val="20"/>
                <w:lang w:eastAsia="en-AU"/>
              </w:rPr>
              <w:t>Qty</w:t>
            </w:r>
            <w:proofErr w:type="spellEnd"/>
          </w:p>
        </w:tc>
        <w:tc>
          <w:tcPr>
            <w:tcW w:w="850" w:type="dxa"/>
            <w:tcBorders>
              <w:bottom w:val="single" w:sz="4" w:space="0" w:color="auto"/>
            </w:tcBorders>
          </w:tcPr>
          <w:p w:rsidR="00A84681" w:rsidRPr="00A84681" w:rsidRDefault="00A84681" w:rsidP="00CE5B76">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№.of</w:t>
            </w:r>
          </w:p>
          <w:p w:rsidR="00A84681" w:rsidRPr="00A84681" w:rsidRDefault="00A84681" w:rsidP="00CE5B76">
            <w:pPr>
              <w:keepNext/>
              <w:spacing w:before="0" w:after="0"/>
              <w:ind w:left="-108"/>
              <w:rPr>
                <w:rFonts w:ascii="Arial Narrow" w:eastAsia="Times New Roman" w:hAnsi="Arial Narrow" w:cs="Arial"/>
                <w:sz w:val="20"/>
                <w:szCs w:val="20"/>
                <w:lang w:eastAsia="en-AU"/>
              </w:rPr>
            </w:pPr>
            <w:proofErr w:type="spellStart"/>
            <w:r w:rsidRPr="00A84681">
              <w:rPr>
                <w:rFonts w:ascii="Arial Narrow" w:eastAsia="Times New Roman" w:hAnsi="Arial Narrow" w:cs="Arial"/>
                <w:sz w:val="20"/>
                <w:szCs w:val="20"/>
                <w:lang w:eastAsia="en-AU"/>
              </w:rPr>
              <w:t>Rpts</w:t>
            </w:r>
            <w:proofErr w:type="spellEnd"/>
          </w:p>
        </w:tc>
        <w:tc>
          <w:tcPr>
            <w:tcW w:w="1701" w:type="dxa"/>
            <w:tcBorders>
              <w:bottom w:val="single" w:sz="4" w:space="0" w:color="auto"/>
            </w:tcBorders>
          </w:tcPr>
          <w:p w:rsidR="00A84681" w:rsidRPr="00A84681" w:rsidRDefault="00A84681" w:rsidP="00CE5B76">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 xml:space="preserve">Dispensed Price for Max. </w:t>
            </w:r>
            <w:proofErr w:type="spellStart"/>
            <w:r w:rsidRPr="00A84681">
              <w:rPr>
                <w:rFonts w:ascii="Arial Narrow" w:eastAsia="Times New Roman" w:hAnsi="Arial Narrow" w:cs="Arial"/>
                <w:sz w:val="20"/>
                <w:szCs w:val="20"/>
                <w:lang w:eastAsia="en-AU"/>
              </w:rPr>
              <w:t>Qty</w:t>
            </w:r>
            <w:proofErr w:type="spellEnd"/>
          </w:p>
        </w:tc>
        <w:tc>
          <w:tcPr>
            <w:tcW w:w="2835" w:type="dxa"/>
            <w:gridSpan w:val="2"/>
            <w:tcBorders>
              <w:bottom w:val="single" w:sz="4" w:space="0" w:color="auto"/>
            </w:tcBorders>
          </w:tcPr>
          <w:p w:rsidR="00A84681" w:rsidRPr="00A84681" w:rsidRDefault="00A84681" w:rsidP="00CE5B76">
            <w:pPr>
              <w:keepNext/>
              <w:spacing w:before="0" w:after="0"/>
              <w:rPr>
                <w:rFonts w:ascii="Arial Narrow" w:eastAsia="Times New Roman" w:hAnsi="Arial Narrow" w:cs="Arial"/>
                <w:sz w:val="20"/>
                <w:szCs w:val="20"/>
                <w:lang w:val="fr-FR" w:eastAsia="en-AU"/>
              </w:rPr>
            </w:pPr>
            <w:r w:rsidRPr="00A84681">
              <w:rPr>
                <w:rFonts w:ascii="Arial Narrow" w:eastAsia="Times New Roman" w:hAnsi="Arial Narrow" w:cs="Arial"/>
                <w:sz w:val="20"/>
                <w:szCs w:val="20"/>
                <w:lang w:eastAsia="en-AU"/>
              </w:rPr>
              <w:t>Proprietary Name and Manufacturer</w:t>
            </w:r>
          </w:p>
        </w:tc>
      </w:tr>
      <w:tr w:rsidR="00A84681" w:rsidRPr="00A84681" w:rsidTr="00A84681">
        <w:trPr>
          <w:cantSplit/>
          <w:trHeight w:val="577"/>
        </w:trPr>
        <w:tc>
          <w:tcPr>
            <w:tcW w:w="3261" w:type="dxa"/>
            <w:gridSpan w:val="2"/>
          </w:tcPr>
          <w:p w:rsidR="00A84681" w:rsidRPr="00A84681" w:rsidRDefault="00A84681" w:rsidP="00C44233">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mallCaps/>
                <w:sz w:val="20"/>
                <w:szCs w:val="20"/>
                <w:lang w:eastAsia="en-AU"/>
              </w:rPr>
              <w:t>LANREOTIDE ACETATE</w:t>
            </w:r>
          </w:p>
          <w:p w:rsidR="00A84681" w:rsidRPr="00A84681" w:rsidRDefault="00A84681" w:rsidP="00852CB7">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120 mg injection, 1 syringe</w:t>
            </w:r>
          </w:p>
        </w:tc>
        <w:tc>
          <w:tcPr>
            <w:tcW w:w="567" w:type="dxa"/>
          </w:tcPr>
          <w:p w:rsidR="00A84681" w:rsidRPr="00A84681" w:rsidRDefault="00A84681" w:rsidP="00BF31EB">
            <w:pPr>
              <w:keepNext/>
              <w:spacing w:before="0" w:after="0"/>
              <w:ind w:left="-108"/>
              <w:rPr>
                <w:rFonts w:ascii="Arial Narrow" w:eastAsia="Times New Roman" w:hAnsi="Arial Narrow" w:cs="Arial"/>
                <w:sz w:val="20"/>
                <w:szCs w:val="20"/>
                <w:lang w:eastAsia="en-AU"/>
              </w:rPr>
            </w:pPr>
          </w:p>
          <w:p w:rsidR="00A84681" w:rsidRPr="00A84681" w:rsidRDefault="00A84681" w:rsidP="00CE5B76">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 xml:space="preserve"> 2</w:t>
            </w:r>
          </w:p>
        </w:tc>
        <w:tc>
          <w:tcPr>
            <w:tcW w:w="850" w:type="dxa"/>
          </w:tcPr>
          <w:p w:rsidR="00A84681" w:rsidRPr="00A84681" w:rsidRDefault="00A84681" w:rsidP="00CE5B76">
            <w:pPr>
              <w:keepNext/>
              <w:spacing w:before="0" w:after="0"/>
              <w:ind w:left="-108"/>
              <w:rPr>
                <w:rFonts w:ascii="Arial Narrow" w:eastAsia="Times New Roman" w:hAnsi="Arial Narrow" w:cs="Arial"/>
                <w:sz w:val="20"/>
                <w:szCs w:val="20"/>
                <w:lang w:eastAsia="en-AU"/>
              </w:rPr>
            </w:pPr>
          </w:p>
          <w:p w:rsidR="00A84681" w:rsidRPr="00A84681" w:rsidRDefault="00A84681" w:rsidP="00CE5B76">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 xml:space="preserve"> 5</w:t>
            </w:r>
          </w:p>
        </w:tc>
        <w:tc>
          <w:tcPr>
            <w:tcW w:w="1701" w:type="dxa"/>
          </w:tcPr>
          <w:p w:rsidR="00A84681" w:rsidRPr="00A84681" w:rsidRDefault="00A84681" w:rsidP="00CE5B76">
            <w:pPr>
              <w:keepNext/>
              <w:spacing w:before="0" w:after="0"/>
              <w:ind w:left="-108"/>
              <w:rPr>
                <w:rFonts w:ascii="Arial Narrow" w:eastAsia="Times New Roman" w:hAnsi="Arial Narrow" w:cs="Arial"/>
                <w:sz w:val="20"/>
                <w:szCs w:val="20"/>
                <w:lang w:eastAsia="en-AU"/>
              </w:rPr>
            </w:pPr>
          </w:p>
          <w:p w:rsidR="00A84681" w:rsidRPr="00A84681" w:rsidRDefault="00A84681" w:rsidP="00CE5B76">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w:t>
            </w:r>
            <w:r w:rsidR="00D2014F">
              <w:rPr>
                <w:rFonts w:ascii="Arial Narrow" w:eastAsia="Times New Roman" w:hAnsi="Arial Narrow" w:cs="Arial"/>
                <w:noProof/>
                <w:color w:val="000000"/>
                <w:sz w:val="20"/>
                <w:szCs w:val="20"/>
                <w:highlight w:val="black"/>
                <w:lang w:eastAsia="en-AU"/>
              </w:rPr>
              <w:t>'''''''''''''''''''''''</w:t>
            </w:r>
            <w:r w:rsidRPr="00A84681">
              <w:rPr>
                <w:rFonts w:ascii="Arial Narrow" w:eastAsia="Times New Roman" w:hAnsi="Arial Narrow" w:cs="Arial"/>
                <w:sz w:val="20"/>
                <w:szCs w:val="20"/>
                <w:lang w:eastAsia="en-AU"/>
              </w:rPr>
              <w:t xml:space="preserve"> (public)</w:t>
            </w:r>
          </w:p>
          <w:p w:rsidR="00A84681" w:rsidRPr="00A84681" w:rsidRDefault="00A84681" w:rsidP="00CE5B76">
            <w:pPr>
              <w:keepNext/>
              <w:spacing w:before="0" w:after="0"/>
              <w:ind w:left="-108"/>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w:t>
            </w:r>
            <w:r w:rsidR="00D2014F">
              <w:rPr>
                <w:rFonts w:ascii="Arial Narrow" w:eastAsia="Times New Roman" w:hAnsi="Arial Narrow" w:cs="Arial"/>
                <w:noProof/>
                <w:color w:val="000000"/>
                <w:sz w:val="20"/>
                <w:szCs w:val="20"/>
                <w:highlight w:val="black"/>
                <w:lang w:eastAsia="en-AU"/>
              </w:rPr>
              <w:t>'''''''''''''''''''''</w:t>
            </w:r>
            <w:r w:rsidRPr="00A84681">
              <w:rPr>
                <w:rFonts w:ascii="Arial Narrow" w:eastAsia="Times New Roman" w:hAnsi="Arial Narrow" w:cs="Arial"/>
                <w:sz w:val="20"/>
                <w:szCs w:val="20"/>
                <w:lang w:eastAsia="en-AU"/>
              </w:rPr>
              <w:t xml:space="preserve"> (private)</w:t>
            </w:r>
          </w:p>
          <w:p w:rsidR="00A84681" w:rsidRPr="00A84681" w:rsidRDefault="00A84681" w:rsidP="00CE5B76">
            <w:pPr>
              <w:keepNext/>
              <w:spacing w:before="0" w:after="0"/>
              <w:ind w:left="-108"/>
              <w:rPr>
                <w:rFonts w:ascii="Arial Narrow" w:eastAsia="Times New Roman" w:hAnsi="Arial Narrow" w:cs="Arial"/>
                <w:sz w:val="20"/>
                <w:szCs w:val="20"/>
                <w:lang w:eastAsia="en-AU"/>
              </w:rPr>
            </w:pPr>
          </w:p>
        </w:tc>
        <w:tc>
          <w:tcPr>
            <w:tcW w:w="1559" w:type="dxa"/>
          </w:tcPr>
          <w:p w:rsidR="00A84681" w:rsidRPr="00A84681" w:rsidRDefault="00A84681" w:rsidP="00CE5B76">
            <w:pPr>
              <w:keepNext/>
              <w:spacing w:before="0" w:after="0"/>
              <w:rPr>
                <w:rFonts w:ascii="Arial Narrow" w:eastAsia="Times New Roman" w:hAnsi="Arial Narrow" w:cs="Arial"/>
                <w:sz w:val="20"/>
                <w:szCs w:val="20"/>
                <w:lang w:eastAsia="en-AU"/>
              </w:rPr>
            </w:pPr>
            <w:proofErr w:type="spellStart"/>
            <w:r w:rsidRPr="00A84681">
              <w:rPr>
                <w:rFonts w:ascii="Arial Narrow" w:eastAsia="Times New Roman" w:hAnsi="Arial Narrow" w:cs="Arial"/>
                <w:sz w:val="20"/>
                <w:szCs w:val="20"/>
                <w:lang w:eastAsia="en-AU"/>
              </w:rPr>
              <w:t>Somatuline</w:t>
            </w:r>
            <w:proofErr w:type="spellEnd"/>
            <w:r w:rsidRPr="00A84681">
              <w:rPr>
                <w:rFonts w:ascii="Arial Narrow" w:eastAsia="Times New Roman" w:hAnsi="Arial Narrow" w:cs="Arial"/>
                <w:sz w:val="20"/>
                <w:szCs w:val="20"/>
                <w:lang w:eastAsia="en-AU"/>
              </w:rPr>
              <w:t xml:space="preserve">® </w:t>
            </w:r>
            <w:proofErr w:type="spellStart"/>
            <w:r w:rsidRPr="00A84681">
              <w:rPr>
                <w:rFonts w:ascii="Arial Narrow" w:eastAsia="Times New Roman" w:hAnsi="Arial Narrow" w:cs="Arial"/>
                <w:sz w:val="20"/>
                <w:szCs w:val="20"/>
                <w:lang w:eastAsia="en-AU"/>
              </w:rPr>
              <w:t>Autogel</w:t>
            </w:r>
            <w:proofErr w:type="spellEnd"/>
            <w:r w:rsidRPr="00A84681">
              <w:rPr>
                <w:rFonts w:ascii="Arial Narrow" w:eastAsia="Times New Roman" w:hAnsi="Arial Narrow" w:cs="Arial"/>
                <w:sz w:val="20"/>
                <w:szCs w:val="20"/>
                <w:lang w:eastAsia="en-AU"/>
              </w:rPr>
              <w:t xml:space="preserve">® </w:t>
            </w:r>
          </w:p>
        </w:tc>
        <w:tc>
          <w:tcPr>
            <w:tcW w:w="1276" w:type="dxa"/>
          </w:tcPr>
          <w:p w:rsidR="00A84681" w:rsidRPr="00A84681" w:rsidRDefault="00A84681" w:rsidP="00CE5B76">
            <w:pPr>
              <w:keepNext/>
              <w:spacing w:before="0" w:after="0"/>
              <w:rPr>
                <w:rFonts w:ascii="Arial Narrow" w:eastAsia="Times New Roman" w:hAnsi="Arial Narrow" w:cs="Arial"/>
                <w:sz w:val="20"/>
                <w:szCs w:val="20"/>
                <w:lang w:eastAsia="en-AU"/>
              </w:rPr>
            </w:pPr>
            <w:proofErr w:type="spellStart"/>
            <w:r w:rsidRPr="00A84681">
              <w:rPr>
                <w:rFonts w:ascii="Arial Narrow" w:eastAsia="Times New Roman" w:hAnsi="Arial Narrow" w:cs="Arial"/>
                <w:sz w:val="20"/>
                <w:szCs w:val="20"/>
                <w:lang w:eastAsia="en-AU"/>
              </w:rPr>
              <w:t>Ipsen</w:t>
            </w:r>
            <w:proofErr w:type="spellEnd"/>
            <w:r w:rsidRPr="00A84681">
              <w:rPr>
                <w:rFonts w:ascii="Arial Narrow" w:eastAsia="Times New Roman" w:hAnsi="Arial Narrow" w:cs="Arial"/>
                <w:sz w:val="20"/>
                <w:szCs w:val="20"/>
                <w:lang w:eastAsia="en-AU"/>
              </w:rPr>
              <w:t xml:space="preserve"> Pty Ltd </w:t>
            </w:r>
          </w:p>
        </w:tc>
      </w:tr>
      <w:tr w:rsidR="00A84681" w:rsidRPr="00A84681" w:rsidTr="00A84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A84681" w:rsidRPr="00A84681" w:rsidRDefault="00B12436" w:rsidP="00C44233">
            <w:pPr>
              <w:spacing w:before="0" w:after="0"/>
              <w:rPr>
                <w:rFonts w:ascii="Arial Narrow" w:eastAsia="Times New Roman" w:hAnsi="Arial Narrow" w:cs="Arial"/>
                <w:b/>
                <w:sz w:val="20"/>
                <w:szCs w:val="20"/>
                <w:lang w:eastAsia="en-AU"/>
              </w:rPr>
            </w:pPr>
            <w:r>
              <w:rPr>
                <w:rFonts w:ascii="Arial Narrow" w:eastAsia="Times New Roman" w:hAnsi="Arial Narrow" w:cs="Arial"/>
                <w:b/>
                <w:sz w:val="20"/>
                <w:szCs w:val="20"/>
                <w:lang w:eastAsia="en-AU"/>
              </w:rPr>
              <w:t xml:space="preserve">Category / </w:t>
            </w:r>
            <w:r w:rsidR="00A84681" w:rsidRPr="00A84681">
              <w:rPr>
                <w:rFonts w:ascii="Arial Narrow" w:eastAsia="Times New Roman" w:hAnsi="Arial Narrow" w:cs="Arial"/>
                <w:b/>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A84681" w:rsidRPr="00A84681" w:rsidRDefault="00A84681" w:rsidP="00852CB7">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Section 100 – Highly Specialised Drugs Program</w:t>
            </w:r>
          </w:p>
        </w:tc>
      </w:tr>
      <w:tr w:rsidR="00A84681" w:rsidRPr="00A84681" w:rsidTr="00A84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A84681" w:rsidRPr="00A84681" w:rsidRDefault="00A84681" w:rsidP="00C44233">
            <w:pPr>
              <w:spacing w:before="0" w:after="0"/>
              <w:rPr>
                <w:rFonts w:ascii="Arial Narrow" w:eastAsia="Times New Roman" w:hAnsi="Arial Narrow" w:cs="Arial"/>
                <w:b/>
                <w:sz w:val="20"/>
                <w:szCs w:val="20"/>
                <w:lang w:eastAsia="en-AU"/>
              </w:rPr>
            </w:pPr>
            <w:r w:rsidRPr="00A84681">
              <w:rPr>
                <w:rFonts w:ascii="Arial Narrow" w:eastAsia="Times New Roman" w:hAnsi="Arial Narrow" w:cs="Arial"/>
                <w:b/>
                <w:sz w:val="20"/>
                <w:szCs w:val="20"/>
                <w:lang w:eastAsia="en-AU"/>
              </w:rPr>
              <w:t>Prescriber type:</w:t>
            </w:r>
          </w:p>
          <w:p w:rsidR="00A84681" w:rsidRPr="00A84681" w:rsidRDefault="00A84681" w:rsidP="00852CB7">
            <w:pPr>
              <w:spacing w:before="0" w:after="0"/>
              <w:rPr>
                <w:rFonts w:ascii="Arial Narrow" w:eastAsia="Times New Roman" w:hAnsi="Arial Narrow" w:cs="Arial"/>
                <w:b/>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A84681" w:rsidRPr="00A84681" w:rsidRDefault="00A84681" w:rsidP="00BF31EB">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r w:rsidRPr="00A84681">
              <w:rPr>
                <w:rFonts w:ascii="Arial Narrow" w:eastAsia="Times New Roman" w:hAnsi="Arial Narrow" w:cs="Arial"/>
                <w:sz w:val="20"/>
                <w:szCs w:val="20"/>
                <w:lang w:eastAsia="en-AU"/>
              </w:rPr>
              <w:t xml:space="preserve">Dental  </w:t>
            </w:r>
            <w:r w:rsidRPr="00A84681">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r w:rsidRPr="00A84681">
              <w:rPr>
                <w:rFonts w:ascii="Arial Narrow" w:eastAsia="Times New Roman" w:hAnsi="Arial Narrow" w:cs="Arial"/>
                <w:sz w:val="20"/>
                <w:szCs w:val="20"/>
                <w:lang w:eastAsia="en-AU"/>
              </w:rPr>
              <w:t xml:space="preserve">Medical Practitioners  </w:t>
            </w:r>
            <w:r w:rsidRPr="00A84681">
              <w:rPr>
                <w:rFonts w:ascii="Arial Narrow" w:eastAsia="Times New Roman" w:hAnsi="Arial Narrow" w:cs="Arial"/>
                <w:sz w:val="20"/>
                <w:szCs w:val="20"/>
                <w:lang w:eastAsia="en-AU"/>
              </w:rPr>
              <w:fldChar w:fldCharType="begin">
                <w:ffData>
                  <w:name w:val="Check3"/>
                  <w:enabled/>
                  <w:calcOnExit w:val="0"/>
                  <w:checkBox>
                    <w:sizeAuto/>
                    <w:default w:val="0"/>
                  </w:checkBox>
                </w:ffData>
              </w:fldChar>
            </w:r>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r w:rsidRPr="00A84681">
              <w:rPr>
                <w:rFonts w:ascii="Arial Narrow" w:eastAsia="Times New Roman" w:hAnsi="Arial Narrow" w:cs="Arial"/>
                <w:sz w:val="20"/>
                <w:szCs w:val="20"/>
                <w:lang w:eastAsia="en-AU"/>
              </w:rPr>
              <w:t xml:space="preserve">Nurse practitioners  </w:t>
            </w:r>
            <w:r w:rsidRPr="00A8468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r w:rsidRPr="00A84681">
              <w:rPr>
                <w:rFonts w:ascii="Arial Narrow" w:eastAsia="Times New Roman" w:hAnsi="Arial Narrow" w:cs="Arial"/>
                <w:sz w:val="20"/>
                <w:szCs w:val="20"/>
                <w:lang w:eastAsia="en-AU"/>
              </w:rPr>
              <w:t>Optometrists</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r w:rsidRPr="00A84681">
              <w:rPr>
                <w:rFonts w:ascii="Arial Narrow" w:eastAsia="Times New Roman" w:hAnsi="Arial Narrow" w:cs="Arial"/>
                <w:sz w:val="20"/>
                <w:szCs w:val="20"/>
                <w:lang w:eastAsia="en-AU"/>
              </w:rPr>
              <w:t>Midwives</w:t>
            </w:r>
          </w:p>
        </w:tc>
      </w:tr>
      <w:tr w:rsidR="00A84681" w:rsidRPr="00A84681" w:rsidTr="00A84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A84681" w:rsidRPr="00A84681" w:rsidRDefault="00A84681" w:rsidP="00C44233">
            <w:pPr>
              <w:spacing w:before="0" w:after="0"/>
              <w:rPr>
                <w:rFonts w:ascii="Arial Narrow" w:eastAsia="Times New Roman" w:hAnsi="Arial Narrow" w:cs="Arial"/>
                <w:b/>
                <w:sz w:val="20"/>
                <w:szCs w:val="20"/>
                <w:lang w:eastAsia="en-AU"/>
              </w:rPr>
            </w:pPr>
            <w:r w:rsidRPr="00A84681">
              <w:rPr>
                <w:rFonts w:ascii="Arial Narrow" w:eastAsia="Times New Roman" w:hAnsi="Arial Narrow" w:cs="Arial"/>
                <w:b/>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A84681" w:rsidRPr="00A84681" w:rsidRDefault="00A84681" w:rsidP="00852CB7">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 xml:space="preserve">Non-functional </w:t>
            </w:r>
            <w:proofErr w:type="spellStart"/>
            <w:r w:rsidRPr="00A84681">
              <w:rPr>
                <w:rFonts w:ascii="Arial Narrow" w:eastAsia="Times New Roman" w:hAnsi="Arial Narrow" w:cs="Arial"/>
                <w:sz w:val="20"/>
                <w:szCs w:val="20"/>
                <w:lang w:eastAsia="en-AU"/>
              </w:rPr>
              <w:t>gastroenteropancreatic</w:t>
            </w:r>
            <w:proofErr w:type="spellEnd"/>
            <w:r w:rsidRPr="00A84681">
              <w:rPr>
                <w:rFonts w:ascii="Arial Narrow" w:eastAsia="Times New Roman" w:hAnsi="Arial Narrow" w:cs="Arial"/>
                <w:sz w:val="20"/>
                <w:szCs w:val="20"/>
                <w:lang w:eastAsia="en-AU"/>
              </w:rPr>
              <w:t xml:space="preserve"> neuroendocrine tumour</w:t>
            </w:r>
          </w:p>
        </w:tc>
      </w:tr>
      <w:tr w:rsidR="00A84681" w:rsidRPr="00A84681" w:rsidTr="00A84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A84681" w:rsidRPr="00A84681" w:rsidRDefault="00A84681" w:rsidP="00C44233">
            <w:pPr>
              <w:spacing w:before="0" w:after="0"/>
              <w:rPr>
                <w:rFonts w:ascii="Arial Narrow" w:eastAsia="Times New Roman" w:hAnsi="Arial Narrow" w:cs="Arial"/>
                <w:b/>
                <w:sz w:val="20"/>
                <w:szCs w:val="20"/>
                <w:lang w:eastAsia="en-AU"/>
              </w:rPr>
            </w:pPr>
            <w:r w:rsidRPr="00A84681">
              <w:rPr>
                <w:rFonts w:ascii="Arial Narrow" w:eastAsia="Times New Roman" w:hAnsi="Arial Narrow" w:cs="Arial"/>
                <w:b/>
                <w:sz w:val="20"/>
                <w:szCs w:val="20"/>
                <w:lang w:eastAsia="en-AU"/>
              </w:rPr>
              <w:t>Restriction Level / Method:</w:t>
            </w:r>
          </w:p>
          <w:p w:rsidR="00A84681" w:rsidRPr="00A84681" w:rsidRDefault="00A84681" w:rsidP="00852CB7">
            <w:pPr>
              <w:spacing w:before="0" w:after="0"/>
              <w:jc w:val="left"/>
              <w:rPr>
                <w:rFonts w:ascii="Arial Narrow" w:eastAsia="Times New Roman" w:hAnsi="Arial Narrow" w:cs="Arial"/>
                <w:i/>
                <w:sz w:val="20"/>
                <w:szCs w:val="20"/>
                <w:highlight w:val="yellow"/>
                <w:lang w:eastAsia="en-AU"/>
              </w:rPr>
            </w:pPr>
          </w:p>
          <w:p w:rsidR="00A84681" w:rsidRPr="00A84681" w:rsidRDefault="00A84681" w:rsidP="00BF31EB">
            <w:pPr>
              <w:spacing w:before="0" w:after="0"/>
              <w:jc w:val="left"/>
              <w:rPr>
                <w:rFonts w:ascii="Arial Narrow" w:eastAsia="Times New Roman" w:hAnsi="Arial Narrow" w:cs="Arial"/>
                <w:i/>
                <w:sz w:val="20"/>
                <w:szCs w:val="20"/>
                <w:lang w:eastAsia="en-AU"/>
              </w:rPr>
            </w:pPr>
          </w:p>
          <w:p w:rsidR="00A84681" w:rsidRPr="00A84681" w:rsidRDefault="00A84681" w:rsidP="00CE5B76">
            <w:pPr>
              <w:spacing w:before="0" w:after="0"/>
              <w:jc w:val="left"/>
              <w:rPr>
                <w:rFonts w:ascii="Arial Narrow" w:eastAsia="Times New Roman" w:hAnsi="Arial Narrow"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r w:rsidRPr="00A84681">
              <w:rPr>
                <w:rFonts w:ascii="Arial Narrow" w:eastAsia="Times New Roman" w:hAnsi="Arial Narrow" w:cs="Arial"/>
                <w:sz w:val="20"/>
                <w:szCs w:val="20"/>
                <w:lang w:eastAsia="en-AU"/>
              </w:rPr>
              <w:t>Restricted benefit</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r w:rsidRPr="00A84681">
              <w:rPr>
                <w:rFonts w:ascii="Arial Narrow" w:eastAsia="Times New Roman" w:hAnsi="Arial Narrow" w:cs="Arial"/>
                <w:sz w:val="20"/>
                <w:szCs w:val="20"/>
                <w:lang w:eastAsia="en-AU"/>
              </w:rPr>
              <w:t>Authority Required - In Writing</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fldChar w:fldCharType="begin">
                <w:ffData>
                  <w:name w:val="Check3"/>
                  <w:enabled/>
                  <w:calcOnExit w:val="0"/>
                  <w:checkBox>
                    <w:sizeAuto/>
                    <w:default w:val="0"/>
                  </w:checkBox>
                </w:ffData>
              </w:fldChar>
            </w:r>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r w:rsidRPr="00A84681">
              <w:rPr>
                <w:rFonts w:ascii="Arial Narrow" w:eastAsia="Times New Roman" w:hAnsi="Arial Narrow" w:cs="Arial"/>
                <w:sz w:val="20"/>
                <w:szCs w:val="20"/>
                <w:lang w:eastAsia="en-AU"/>
              </w:rPr>
              <w:t>Authority Required - Telephone</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r w:rsidRPr="00A84681">
              <w:rPr>
                <w:rFonts w:ascii="Arial Narrow" w:eastAsia="Times New Roman" w:hAnsi="Arial Narrow" w:cs="Arial"/>
                <w:sz w:val="20"/>
                <w:szCs w:val="20"/>
                <w:lang w:eastAsia="en-AU"/>
              </w:rPr>
              <w:t>Authority Required - Emergency</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r w:rsidRPr="00A84681">
              <w:rPr>
                <w:rFonts w:ascii="Arial Narrow" w:eastAsia="Times New Roman" w:hAnsi="Arial Narrow" w:cs="Arial"/>
                <w:sz w:val="20"/>
                <w:szCs w:val="20"/>
                <w:lang w:eastAsia="en-AU"/>
              </w:rPr>
              <w:t>Authority Required - Electronic</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fldChar w:fldCharType="begin">
                <w:ffData>
                  <w:name w:val="Check5"/>
                  <w:enabled/>
                  <w:calcOnExit w:val="0"/>
                  <w:checkBox>
                    <w:sizeAuto/>
                    <w:default w:val="1"/>
                  </w:checkBox>
                </w:ffData>
              </w:fldChar>
            </w:r>
            <w:bookmarkStart w:id="6" w:name="Check5"/>
            <w:r w:rsidRPr="00A84681">
              <w:rPr>
                <w:rFonts w:ascii="Arial Narrow" w:eastAsia="Times New Roman" w:hAnsi="Arial Narrow" w:cs="Arial"/>
                <w:sz w:val="20"/>
                <w:szCs w:val="20"/>
                <w:lang w:eastAsia="en-AU"/>
              </w:rPr>
              <w:instrText xml:space="preserve"> FORMCHECKBOX </w:instrText>
            </w:r>
            <w:r w:rsidR="008341AC">
              <w:rPr>
                <w:rFonts w:ascii="Arial Narrow" w:eastAsia="Times New Roman" w:hAnsi="Arial Narrow" w:cs="Arial"/>
                <w:sz w:val="20"/>
                <w:szCs w:val="20"/>
                <w:lang w:eastAsia="en-AU"/>
              </w:rPr>
            </w:r>
            <w:r w:rsidR="008341AC">
              <w:rPr>
                <w:rFonts w:ascii="Arial Narrow" w:eastAsia="Times New Roman" w:hAnsi="Arial Narrow" w:cs="Arial"/>
                <w:sz w:val="20"/>
                <w:szCs w:val="20"/>
                <w:lang w:eastAsia="en-AU"/>
              </w:rPr>
              <w:fldChar w:fldCharType="separate"/>
            </w:r>
            <w:r w:rsidRPr="00A84681">
              <w:rPr>
                <w:rFonts w:ascii="Arial Narrow" w:eastAsia="Times New Roman" w:hAnsi="Arial Narrow" w:cs="Arial"/>
                <w:sz w:val="20"/>
                <w:szCs w:val="20"/>
                <w:lang w:eastAsia="en-AU"/>
              </w:rPr>
              <w:fldChar w:fldCharType="end"/>
            </w:r>
            <w:bookmarkEnd w:id="6"/>
            <w:r w:rsidRPr="00A84681">
              <w:rPr>
                <w:rFonts w:ascii="Arial Narrow" w:eastAsia="Times New Roman" w:hAnsi="Arial Narrow" w:cs="Arial"/>
                <w:sz w:val="20"/>
                <w:szCs w:val="20"/>
                <w:lang w:eastAsia="en-AU"/>
              </w:rPr>
              <w:t>Streamlined</w:t>
            </w:r>
          </w:p>
        </w:tc>
      </w:tr>
      <w:tr w:rsidR="00A84681" w:rsidRPr="00A84681" w:rsidTr="00A84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A84681" w:rsidRPr="00A84681" w:rsidRDefault="00A84681" w:rsidP="00C44233">
            <w:pPr>
              <w:spacing w:before="0" w:after="0"/>
              <w:rPr>
                <w:rFonts w:ascii="Arial Narrow" w:eastAsia="Times New Roman" w:hAnsi="Arial Narrow" w:cs="Arial"/>
                <w:b/>
                <w:sz w:val="20"/>
                <w:szCs w:val="20"/>
                <w:lang w:eastAsia="en-AU"/>
              </w:rPr>
            </w:pPr>
            <w:r w:rsidRPr="00A84681">
              <w:rPr>
                <w:rFonts w:ascii="Arial Narrow" w:eastAsia="Times New Roman" w:hAnsi="Arial Narrow" w:cs="Arial"/>
                <w:b/>
                <w:sz w:val="20"/>
                <w:szCs w:val="20"/>
                <w:lang w:eastAsia="en-AU"/>
              </w:rPr>
              <w:lastRenderedPageBreak/>
              <w:t>Clinical criteria:</w:t>
            </w:r>
          </w:p>
          <w:p w:rsidR="00A84681" w:rsidRPr="00A84681" w:rsidRDefault="00A84681" w:rsidP="00852CB7">
            <w:pPr>
              <w:spacing w:before="0" w:after="0"/>
              <w:jc w:val="left"/>
              <w:rPr>
                <w:rFonts w:ascii="Arial Narrow" w:eastAsia="Times New Roman" w:hAnsi="Arial Narrow"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A84681" w:rsidRPr="00A84681" w:rsidRDefault="00A84681" w:rsidP="00BF31EB">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 xml:space="preserve">The condition must be World Health Organisation (WHO) grade 1 or 2 </w:t>
            </w:r>
            <w:proofErr w:type="spellStart"/>
            <w:r w:rsidRPr="00A84681">
              <w:rPr>
                <w:rFonts w:ascii="Arial Narrow" w:eastAsia="Times New Roman" w:hAnsi="Arial Narrow" w:cs="Arial"/>
                <w:sz w:val="20"/>
                <w:szCs w:val="20"/>
                <w:lang w:eastAsia="en-AU"/>
              </w:rPr>
              <w:t>unresectable</w:t>
            </w:r>
            <w:proofErr w:type="spellEnd"/>
            <w:r w:rsidRPr="00A84681">
              <w:rPr>
                <w:rFonts w:ascii="Arial Narrow" w:eastAsia="Times New Roman" w:hAnsi="Arial Narrow" w:cs="Arial"/>
                <w:sz w:val="20"/>
                <w:szCs w:val="20"/>
                <w:lang w:eastAsia="en-AU"/>
              </w:rPr>
              <w:t xml:space="preserve"> locally advanced disease; OR</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The condition must be World Health Organisation (WHO) grade 1 or 2 metastatic disease.</w:t>
            </w:r>
          </w:p>
          <w:p w:rsidR="00A84681" w:rsidRPr="00A84681" w:rsidRDefault="00A84681" w:rsidP="00CE5B76">
            <w:pPr>
              <w:spacing w:before="0" w:after="0"/>
              <w:jc w:val="left"/>
              <w:rPr>
                <w:rFonts w:ascii="Arial Narrow" w:eastAsia="Times New Roman" w:hAnsi="Arial Narrow" w:cs="Arial"/>
                <w:i/>
                <w:sz w:val="20"/>
                <w:szCs w:val="20"/>
                <w:lang w:eastAsia="en-AU"/>
              </w:rPr>
            </w:pPr>
            <w:r w:rsidRPr="00A84681">
              <w:rPr>
                <w:rFonts w:ascii="Arial Narrow" w:eastAsia="Times New Roman" w:hAnsi="Arial Narrow" w:cs="Arial"/>
                <w:i/>
                <w:sz w:val="20"/>
                <w:szCs w:val="20"/>
                <w:lang w:eastAsia="en-AU"/>
              </w:rPr>
              <w:t>AND</w:t>
            </w:r>
          </w:p>
          <w:p w:rsidR="00A84681" w:rsidRPr="00A84681" w:rsidRDefault="00A84681" w:rsidP="00CE5B76">
            <w:pPr>
              <w:spacing w:before="0" w:after="0"/>
              <w:rPr>
                <w:rFonts w:ascii="Arial Narrow" w:eastAsia="Times New Roman" w:hAnsi="Arial Narrow" w:cs="Arial"/>
                <w:sz w:val="20"/>
                <w:szCs w:val="20"/>
                <w:lang w:eastAsia="en-AU"/>
              </w:rPr>
            </w:pPr>
            <w:r w:rsidRPr="00A84681">
              <w:rPr>
                <w:rFonts w:ascii="Arial Narrow" w:eastAsia="Times New Roman" w:hAnsi="Arial Narrow" w:cs="Arial"/>
                <w:i/>
                <w:sz w:val="20"/>
                <w:szCs w:val="20"/>
                <w:lang w:eastAsia="en-AU"/>
              </w:rPr>
              <w:t>The treatment must be as monotherapy</w:t>
            </w:r>
          </w:p>
        </w:tc>
      </w:tr>
      <w:tr w:rsidR="00A84681" w:rsidRPr="00A84681" w:rsidTr="00A84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A84681" w:rsidRPr="00A84681" w:rsidRDefault="00A84681" w:rsidP="00C44233">
            <w:pPr>
              <w:spacing w:before="0" w:after="0"/>
              <w:rPr>
                <w:rFonts w:ascii="Arial Narrow" w:eastAsia="Times New Roman" w:hAnsi="Arial Narrow" w:cs="Arial"/>
                <w:b/>
                <w:sz w:val="20"/>
                <w:szCs w:val="20"/>
                <w:lang w:eastAsia="en-AU"/>
              </w:rPr>
            </w:pPr>
            <w:r w:rsidRPr="00A84681">
              <w:rPr>
                <w:rFonts w:ascii="Arial Narrow" w:eastAsia="Times New Roman" w:hAnsi="Arial Narrow" w:cs="Arial"/>
                <w:b/>
                <w:sz w:val="20"/>
                <w:szCs w:val="20"/>
                <w:lang w:eastAsia="en-AU"/>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A84681" w:rsidRPr="00A84681" w:rsidRDefault="00A84681" w:rsidP="00852CB7">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Patient must be aged 18 years or older</w:t>
            </w:r>
          </w:p>
        </w:tc>
      </w:tr>
      <w:tr w:rsidR="00A84681" w:rsidRPr="00A84681" w:rsidTr="00A84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A84681" w:rsidRPr="00A84681" w:rsidRDefault="00A84681" w:rsidP="00C44233">
            <w:pPr>
              <w:spacing w:before="0" w:after="0"/>
              <w:rPr>
                <w:rFonts w:ascii="Arial Narrow" w:eastAsia="Times New Roman" w:hAnsi="Arial Narrow" w:cs="Arial"/>
                <w:b/>
                <w:sz w:val="20"/>
                <w:szCs w:val="20"/>
                <w:lang w:eastAsia="en-AU"/>
              </w:rPr>
            </w:pPr>
            <w:r w:rsidRPr="00A84681">
              <w:rPr>
                <w:rFonts w:ascii="Arial Narrow" w:eastAsia="Times New Roman" w:hAnsi="Arial Narrow" w:cs="Arial"/>
                <w:b/>
                <w:sz w:val="20"/>
                <w:szCs w:val="20"/>
                <w:lang w:eastAsia="en-AU"/>
              </w:rPr>
              <w:t>Prescriber Instructions</w:t>
            </w:r>
          </w:p>
          <w:p w:rsidR="00A84681" w:rsidRPr="00A84681" w:rsidRDefault="00A84681" w:rsidP="00852CB7">
            <w:pPr>
              <w:spacing w:before="0" w:after="0"/>
              <w:rPr>
                <w:rFonts w:ascii="Arial Narrow" w:eastAsia="Times New Roman" w:hAnsi="Arial Narrow"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A84681" w:rsidRPr="00A84681" w:rsidRDefault="00A84681" w:rsidP="00BF31EB">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Grade 1 GEP-NETs are defined by WHO as the following:</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(1)</w:t>
            </w:r>
            <w:r w:rsidRPr="00A84681">
              <w:rPr>
                <w:rFonts w:ascii="Arial Narrow" w:eastAsia="Times New Roman" w:hAnsi="Arial Narrow" w:cs="Arial"/>
                <w:sz w:val="20"/>
                <w:szCs w:val="20"/>
                <w:lang w:eastAsia="en-AU"/>
              </w:rPr>
              <w:tab/>
              <w:t>Mitotic count (10HPF) of less than 2; and</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(2)</w:t>
            </w:r>
            <w:r w:rsidRPr="00A84681">
              <w:rPr>
                <w:rFonts w:ascii="Arial Narrow" w:eastAsia="Times New Roman" w:hAnsi="Arial Narrow" w:cs="Arial"/>
                <w:sz w:val="20"/>
                <w:szCs w:val="20"/>
                <w:lang w:eastAsia="en-AU"/>
              </w:rPr>
              <w:tab/>
              <w:t>Ki-67 index (%) of less than or equal to 2</w:t>
            </w:r>
          </w:p>
          <w:p w:rsidR="00A84681" w:rsidRPr="00A84681" w:rsidRDefault="00A84681" w:rsidP="00CE5B76">
            <w:pPr>
              <w:spacing w:before="0" w:after="0"/>
              <w:jc w:val="left"/>
              <w:rPr>
                <w:rFonts w:ascii="Arial Narrow" w:eastAsia="Times New Roman" w:hAnsi="Arial Narrow" w:cs="Arial"/>
                <w:sz w:val="20"/>
                <w:szCs w:val="20"/>
                <w:lang w:eastAsia="en-AU"/>
              </w:rPr>
            </w:pP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Grade 2 GEP-NETs are defined by WHO as the following:</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(1)</w:t>
            </w:r>
            <w:r w:rsidRPr="00A84681">
              <w:rPr>
                <w:rFonts w:ascii="Arial Narrow" w:eastAsia="Times New Roman" w:hAnsi="Arial Narrow" w:cs="Arial"/>
                <w:sz w:val="20"/>
                <w:szCs w:val="20"/>
                <w:lang w:eastAsia="en-AU"/>
              </w:rPr>
              <w:tab/>
              <w:t>Mitotic count (10HPF) of 2-20; and</w:t>
            </w: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(2)</w:t>
            </w:r>
            <w:r w:rsidRPr="00A84681">
              <w:rPr>
                <w:rFonts w:ascii="Arial Narrow" w:eastAsia="Times New Roman" w:hAnsi="Arial Narrow" w:cs="Arial"/>
                <w:sz w:val="20"/>
                <w:szCs w:val="20"/>
                <w:lang w:eastAsia="en-AU"/>
              </w:rPr>
              <w:tab/>
              <w:t>Ki-67 index (%) of 3-20</w:t>
            </w:r>
          </w:p>
          <w:p w:rsidR="00A84681" w:rsidRPr="00A84681" w:rsidRDefault="00A84681" w:rsidP="00CE5B76">
            <w:pPr>
              <w:spacing w:before="0" w:after="0"/>
              <w:jc w:val="left"/>
              <w:rPr>
                <w:rFonts w:ascii="Arial Narrow" w:eastAsia="Times New Roman" w:hAnsi="Arial Narrow" w:cs="Arial"/>
                <w:sz w:val="20"/>
                <w:szCs w:val="20"/>
                <w:lang w:eastAsia="en-AU"/>
              </w:rPr>
            </w:pPr>
          </w:p>
          <w:p w:rsidR="00A84681" w:rsidRPr="00A84681" w:rsidRDefault="00A84681" w:rsidP="00CE5B76">
            <w:pPr>
              <w:spacing w:before="0" w:after="0"/>
              <w:jc w:val="left"/>
              <w:rPr>
                <w:rFonts w:ascii="Arial Narrow" w:eastAsia="Times New Roman" w:hAnsi="Arial Narrow" w:cs="Arial"/>
                <w:sz w:val="20"/>
                <w:szCs w:val="20"/>
                <w:lang w:eastAsia="en-AU"/>
              </w:rPr>
            </w:pPr>
            <w:r w:rsidRPr="00A84681">
              <w:rPr>
                <w:rFonts w:ascii="Arial Narrow" w:eastAsia="Times New Roman" w:hAnsi="Arial Narrow" w:cs="Arial"/>
                <w:sz w:val="20"/>
                <w:szCs w:val="20"/>
                <w:lang w:eastAsia="en-AU"/>
              </w:rPr>
              <w:t xml:space="preserve">The treatment must not be in combination with PBS-subsidised </w:t>
            </w:r>
            <w:proofErr w:type="spellStart"/>
            <w:r w:rsidRPr="00A84681">
              <w:rPr>
                <w:rFonts w:ascii="Arial Narrow" w:eastAsia="Times New Roman" w:hAnsi="Arial Narrow" w:cs="Arial"/>
                <w:sz w:val="20"/>
                <w:szCs w:val="20"/>
                <w:lang w:eastAsia="en-AU"/>
              </w:rPr>
              <w:t>everolimus</w:t>
            </w:r>
            <w:proofErr w:type="spellEnd"/>
            <w:r w:rsidRPr="00A84681">
              <w:rPr>
                <w:rFonts w:ascii="Arial Narrow" w:eastAsia="Times New Roman" w:hAnsi="Arial Narrow" w:cs="Arial"/>
                <w:sz w:val="20"/>
                <w:szCs w:val="20"/>
                <w:lang w:eastAsia="en-AU"/>
              </w:rPr>
              <w:t xml:space="preserve"> or </w:t>
            </w:r>
            <w:proofErr w:type="spellStart"/>
            <w:r w:rsidRPr="00A84681">
              <w:rPr>
                <w:rFonts w:ascii="Arial Narrow" w:eastAsia="Times New Roman" w:hAnsi="Arial Narrow" w:cs="Arial"/>
                <w:sz w:val="20"/>
                <w:szCs w:val="20"/>
                <w:lang w:eastAsia="en-AU"/>
              </w:rPr>
              <w:t>sunitinib</w:t>
            </w:r>
            <w:proofErr w:type="spellEnd"/>
            <w:r w:rsidRPr="00A84681">
              <w:rPr>
                <w:rFonts w:ascii="Arial Narrow" w:eastAsia="Times New Roman" w:hAnsi="Arial Narrow" w:cs="Arial"/>
                <w:sz w:val="20"/>
                <w:szCs w:val="20"/>
                <w:lang w:eastAsia="en-AU"/>
              </w:rPr>
              <w:t xml:space="preserve"> for this condition.</w:t>
            </w:r>
          </w:p>
        </w:tc>
      </w:tr>
    </w:tbl>
    <w:p w:rsidR="00A84681" w:rsidRPr="00D14294" w:rsidRDefault="00A84681" w:rsidP="00C44233">
      <w:pPr>
        <w:spacing w:before="0" w:after="0"/>
        <w:rPr>
          <w:sz w:val="12"/>
        </w:rPr>
      </w:pPr>
    </w:p>
    <w:p w:rsidR="005D3225" w:rsidRPr="001802CA" w:rsidRDefault="005D3225" w:rsidP="00852CB7">
      <w:pPr>
        <w:pStyle w:val="ESnumberedpara"/>
        <w:numPr>
          <w:ilvl w:val="1"/>
          <w:numId w:val="1"/>
        </w:numPr>
        <w:rPr>
          <w:rFonts w:asciiTheme="minorHAnsi" w:eastAsia="SimSun" w:hAnsiTheme="minorHAnsi" w:cs="Arial"/>
          <w:iCs/>
          <w:color w:val="000000"/>
          <w:lang w:eastAsia="en-AU"/>
        </w:rPr>
      </w:pPr>
      <w:r w:rsidRPr="001802CA">
        <w:rPr>
          <w:rFonts w:asciiTheme="minorHAnsi" w:eastAsia="SimSun" w:hAnsiTheme="minorHAnsi" w:cs="Arial"/>
          <w:iCs/>
          <w:color w:val="000000"/>
          <w:lang w:eastAsia="en-AU"/>
        </w:rPr>
        <w:t xml:space="preserve">Listing was requested on the basis of a cost-utility analysis compared with placebo.  </w:t>
      </w:r>
    </w:p>
    <w:p w:rsidR="005D3225" w:rsidRPr="001802CA" w:rsidRDefault="005D3225" w:rsidP="00BF31EB">
      <w:pPr>
        <w:pStyle w:val="ESnumberedpara"/>
        <w:numPr>
          <w:ilvl w:val="1"/>
          <w:numId w:val="1"/>
        </w:numPr>
        <w:rPr>
          <w:rFonts w:asciiTheme="minorHAnsi" w:eastAsia="SimSun" w:hAnsiTheme="minorHAnsi" w:cs="Arial"/>
          <w:iCs/>
          <w:color w:val="000000"/>
          <w:lang w:eastAsia="en-AU"/>
        </w:rPr>
      </w:pPr>
      <w:r w:rsidRPr="001802CA">
        <w:rPr>
          <w:rFonts w:asciiTheme="minorHAnsi" w:eastAsia="SimSun" w:hAnsiTheme="minorHAnsi" w:cs="Arial"/>
          <w:iCs/>
          <w:color w:val="000000"/>
          <w:lang w:eastAsia="en-AU"/>
        </w:rPr>
        <w:t xml:space="preserve">Key differences </w:t>
      </w:r>
      <w:r w:rsidR="00D0258B" w:rsidRPr="001802CA">
        <w:rPr>
          <w:rFonts w:asciiTheme="minorHAnsi" w:eastAsia="SimSun" w:hAnsiTheme="minorHAnsi" w:cs="Arial"/>
          <w:iCs/>
          <w:color w:val="000000"/>
          <w:lang w:eastAsia="en-AU"/>
        </w:rPr>
        <w:t xml:space="preserve">compared </w:t>
      </w:r>
      <w:r w:rsidRPr="001802CA">
        <w:rPr>
          <w:rFonts w:asciiTheme="minorHAnsi" w:eastAsia="SimSun" w:hAnsiTheme="minorHAnsi" w:cs="Arial"/>
          <w:iCs/>
          <w:color w:val="000000"/>
          <w:lang w:eastAsia="en-AU"/>
        </w:rPr>
        <w:t xml:space="preserve">with the </w:t>
      </w:r>
      <w:r w:rsidR="00C249FA" w:rsidRPr="001802CA">
        <w:rPr>
          <w:rFonts w:asciiTheme="minorHAnsi" w:eastAsia="SimSun" w:hAnsiTheme="minorHAnsi" w:cs="Arial"/>
          <w:iCs/>
          <w:color w:val="000000"/>
          <w:lang w:eastAsia="en-AU"/>
        </w:rPr>
        <w:t xml:space="preserve">listing in the </w:t>
      </w:r>
      <w:r w:rsidRPr="001802CA">
        <w:rPr>
          <w:rFonts w:asciiTheme="minorHAnsi" w:eastAsia="SimSun" w:hAnsiTheme="minorHAnsi" w:cs="Arial"/>
          <w:iCs/>
          <w:color w:val="000000"/>
          <w:lang w:eastAsia="en-AU"/>
        </w:rPr>
        <w:t xml:space="preserve">November 2016 submission include the removal of lower </w:t>
      </w:r>
      <w:r w:rsidR="0081415B" w:rsidRPr="001802CA">
        <w:rPr>
          <w:rFonts w:asciiTheme="minorHAnsi" w:eastAsia="SimSun" w:hAnsiTheme="minorHAnsi" w:cs="Arial"/>
          <w:iCs/>
          <w:color w:val="000000"/>
          <w:lang w:eastAsia="en-AU"/>
        </w:rPr>
        <w:t xml:space="preserve">strength doses of </w:t>
      </w:r>
      <w:proofErr w:type="spellStart"/>
      <w:r w:rsidRPr="001802CA">
        <w:rPr>
          <w:rFonts w:asciiTheme="minorHAnsi" w:eastAsia="SimSun" w:hAnsiTheme="minorHAnsi" w:cs="Arial"/>
          <w:iCs/>
          <w:color w:val="000000"/>
          <w:lang w:eastAsia="en-AU"/>
        </w:rPr>
        <w:t>lanreotide</w:t>
      </w:r>
      <w:proofErr w:type="spellEnd"/>
      <w:r w:rsidRPr="001802CA">
        <w:rPr>
          <w:rFonts w:asciiTheme="minorHAnsi" w:eastAsia="SimSun" w:hAnsiTheme="minorHAnsi" w:cs="Arial"/>
          <w:iCs/>
          <w:color w:val="000000"/>
          <w:lang w:eastAsia="en-AU"/>
        </w:rPr>
        <w:t xml:space="preserve"> </w:t>
      </w:r>
      <w:r w:rsidR="0081415B" w:rsidRPr="001802CA">
        <w:rPr>
          <w:rFonts w:asciiTheme="minorHAnsi" w:eastAsia="SimSun" w:hAnsiTheme="minorHAnsi" w:cs="Arial"/>
          <w:iCs/>
          <w:color w:val="000000"/>
          <w:lang w:eastAsia="en-AU"/>
        </w:rPr>
        <w:t>(60 mg and 90 mg)</w:t>
      </w:r>
      <w:r w:rsidRPr="001802CA">
        <w:rPr>
          <w:rFonts w:asciiTheme="minorHAnsi" w:eastAsia="SimSun" w:hAnsiTheme="minorHAnsi" w:cs="Arial"/>
          <w:iCs/>
          <w:color w:val="000000"/>
          <w:lang w:eastAsia="en-AU"/>
        </w:rPr>
        <w:t>, the broadening of the eligible patient population (from high risk subgroup unsuitable for watchful waiting to all metastatic/</w:t>
      </w:r>
      <w:proofErr w:type="spellStart"/>
      <w:r w:rsidRPr="001802CA">
        <w:rPr>
          <w:rFonts w:asciiTheme="minorHAnsi" w:eastAsia="SimSun" w:hAnsiTheme="minorHAnsi" w:cs="Arial"/>
          <w:iCs/>
          <w:color w:val="000000"/>
          <w:lang w:eastAsia="en-AU"/>
        </w:rPr>
        <w:t>unresectable</w:t>
      </w:r>
      <w:proofErr w:type="spellEnd"/>
      <w:r w:rsidRPr="001802CA">
        <w:rPr>
          <w:rFonts w:asciiTheme="minorHAnsi" w:eastAsia="SimSun" w:hAnsiTheme="minorHAnsi" w:cs="Arial"/>
          <w:iCs/>
          <w:color w:val="000000"/>
          <w:lang w:eastAsia="en-AU"/>
        </w:rPr>
        <w:t xml:space="preserve"> non-functional GEP-NETs), and the addition of the prescriber instruction that </w:t>
      </w:r>
      <w:proofErr w:type="spellStart"/>
      <w:r w:rsidRPr="001802CA">
        <w:rPr>
          <w:rFonts w:asciiTheme="minorHAnsi" w:eastAsia="SimSun" w:hAnsiTheme="minorHAnsi" w:cs="Arial"/>
          <w:iCs/>
          <w:color w:val="000000"/>
          <w:lang w:eastAsia="en-AU"/>
        </w:rPr>
        <w:t>lanreotide</w:t>
      </w:r>
      <w:proofErr w:type="spellEnd"/>
      <w:r w:rsidRPr="001802CA">
        <w:rPr>
          <w:rFonts w:asciiTheme="minorHAnsi" w:eastAsia="SimSun" w:hAnsiTheme="minorHAnsi" w:cs="Arial"/>
          <w:iCs/>
          <w:color w:val="000000"/>
          <w:lang w:eastAsia="en-AU"/>
        </w:rPr>
        <w:t xml:space="preserve"> treatment must not be in combination with </w:t>
      </w:r>
      <w:proofErr w:type="spellStart"/>
      <w:r w:rsidRPr="001802CA">
        <w:rPr>
          <w:rFonts w:asciiTheme="minorHAnsi" w:eastAsia="SimSun" w:hAnsiTheme="minorHAnsi" w:cs="Arial"/>
          <w:iCs/>
          <w:color w:val="000000"/>
          <w:lang w:eastAsia="en-AU"/>
        </w:rPr>
        <w:t>everolimus</w:t>
      </w:r>
      <w:proofErr w:type="spellEnd"/>
      <w:r w:rsidRPr="001802CA">
        <w:rPr>
          <w:rFonts w:asciiTheme="minorHAnsi" w:eastAsia="SimSun" w:hAnsiTheme="minorHAnsi" w:cs="Arial"/>
          <w:iCs/>
          <w:color w:val="000000"/>
          <w:lang w:eastAsia="en-AU"/>
        </w:rPr>
        <w:t xml:space="preserve"> or </w:t>
      </w:r>
      <w:proofErr w:type="spellStart"/>
      <w:r w:rsidRPr="001802CA">
        <w:rPr>
          <w:rFonts w:asciiTheme="minorHAnsi" w:eastAsia="SimSun" w:hAnsiTheme="minorHAnsi" w:cs="Arial"/>
          <w:iCs/>
          <w:color w:val="000000"/>
          <w:lang w:eastAsia="en-AU"/>
        </w:rPr>
        <w:t>sunitinib</w:t>
      </w:r>
      <w:proofErr w:type="spellEnd"/>
      <w:r w:rsidRPr="001802CA">
        <w:rPr>
          <w:rFonts w:asciiTheme="minorHAnsi" w:eastAsia="SimSun" w:hAnsiTheme="minorHAnsi" w:cs="Arial"/>
          <w:iCs/>
          <w:color w:val="000000"/>
          <w:lang w:eastAsia="en-AU"/>
        </w:rPr>
        <w:t>.</w:t>
      </w:r>
    </w:p>
    <w:p w:rsidR="00976A92" w:rsidRPr="001802CA" w:rsidRDefault="00976A92" w:rsidP="00CE5B76">
      <w:pPr>
        <w:pStyle w:val="ESnumberedpara"/>
        <w:numPr>
          <w:ilvl w:val="1"/>
          <w:numId w:val="1"/>
        </w:numPr>
        <w:rPr>
          <w:rFonts w:asciiTheme="minorHAnsi" w:eastAsia="SimSun" w:hAnsiTheme="minorHAnsi" w:cs="Arial"/>
          <w:iCs/>
          <w:color w:val="000000"/>
          <w:lang w:eastAsia="en-AU"/>
        </w:rPr>
      </w:pPr>
      <w:r w:rsidRPr="001802CA">
        <w:rPr>
          <w:rFonts w:asciiTheme="minorHAnsi" w:eastAsia="SimSun" w:hAnsiTheme="minorHAnsi" w:cs="Arial"/>
          <w:iCs/>
          <w:color w:val="000000"/>
          <w:lang w:eastAsia="en-AU"/>
        </w:rPr>
        <w:t xml:space="preserve">The ESC noted the broadening of the patient population was consistent with the PBAC’s view that it was not possible to identify patients most suitable for treatment with </w:t>
      </w:r>
      <w:proofErr w:type="spellStart"/>
      <w:r w:rsidRPr="001802CA">
        <w:rPr>
          <w:rFonts w:asciiTheme="minorHAnsi" w:eastAsia="SimSun" w:hAnsiTheme="minorHAnsi" w:cs="Arial"/>
          <w:iCs/>
          <w:color w:val="000000"/>
          <w:lang w:eastAsia="en-AU"/>
        </w:rPr>
        <w:t>lanre</w:t>
      </w:r>
      <w:r w:rsidR="00692162" w:rsidRPr="001802CA">
        <w:rPr>
          <w:rFonts w:asciiTheme="minorHAnsi" w:eastAsia="SimSun" w:hAnsiTheme="minorHAnsi" w:cs="Arial"/>
          <w:iCs/>
          <w:color w:val="000000"/>
          <w:lang w:eastAsia="en-AU"/>
        </w:rPr>
        <w:t>otide</w:t>
      </w:r>
      <w:proofErr w:type="spellEnd"/>
      <w:r w:rsidR="00692162" w:rsidRPr="001802CA">
        <w:rPr>
          <w:rFonts w:asciiTheme="minorHAnsi" w:eastAsia="SimSun" w:hAnsiTheme="minorHAnsi" w:cs="Arial"/>
          <w:iCs/>
          <w:color w:val="000000"/>
          <w:lang w:eastAsia="en-AU"/>
        </w:rPr>
        <w:t xml:space="preserve"> for non-functional GEP-NET</w:t>
      </w:r>
      <w:r w:rsidRPr="001802CA">
        <w:rPr>
          <w:rFonts w:asciiTheme="minorHAnsi" w:eastAsia="SimSun" w:hAnsiTheme="minorHAnsi" w:cs="Arial"/>
          <w:iCs/>
          <w:color w:val="000000"/>
          <w:lang w:eastAsia="en-AU"/>
        </w:rPr>
        <w:t>s based on biomarkers or symptoms and that it may be more appropriate to leave the judgement of suitability for active treatment to clinicians.</w:t>
      </w:r>
    </w:p>
    <w:p w:rsidR="005D3225" w:rsidRPr="001802CA" w:rsidRDefault="005D3225" w:rsidP="00CE5B76">
      <w:pPr>
        <w:pStyle w:val="ESnumberedpara"/>
        <w:numPr>
          <w:ilvl w:val="1"/>
          <w:numId w:val="1"/>
        </w:numPr>
        <w:rPr>
          <w:rFonts w:asciiTheme="minorHAnsi" w:eastAsia="SimSun" w:hAnsiTheme="minorHAnsi" w:cs="Arial"/>
          <w:iCs/>
          <w:color w:val="000000"/>
          <w:lang w:eastAsia="en-AU"/>
        </w:rPr>
      </w:pPr>
      <w:r w:rsidRPr="001802CA">
        <w:rPr>
          <w:rFonts w:asciiTheme="minorHAnsi" w:eastAsia="SimSun" w:hAnsiTheme="minorHAnsi" w:cs="Arial"/>
          <w:iCs/>
          <w:color w:val="000000"/>
          <w:lang w:eastAsia="en-AU"/>
        </w:rPr>
        <w:t xml:space="preserve">The current resubmission proposed a </w:t>
      </w:r>
      <w:r w:rsidR="0081415B" w:rsidRPr="001802CA">
        <w:rPr>
          <w:rFonts w:asciiTheme="minorHAnsi" w:eastAsia="SimSun" w:hAnsiTheme="minorHAnsi" w:cs="Arial"/>
          <w:iCs/>
          <w:color w:val="000000"/>
          <w:lang w:eastAsia="en-AU"/>
        </w:rPr>
        <w:t>S</w:t>
      </w:r>
      <w:r w:rsidRPr="001802CA">
        <w:rPr>
          <w:rFonts w:asciiTheme="minorHAnsi" w:eastAsia="SimSun" w:hAnsiTheme="minorHAnsi" w:cs="Arial"/>
          <w:iCs/>
          <w:color w:val="000000"/>
          <w:lang w:eastAsia="en-AU"/>
        </w:rPr>
        <w:t xml:space="preserve">pecial </w:t>
      </w:r>
      <w:r w:rsidR="0081415B" w:rsidRPr="001802CA">
        <w:rPr>
          <w:rFonts w:asciiTheme="minorHAnsi" w:eastAsia="SimSun" w:hAnsiTheme="minorHAnsi" w:cs="Arial"/>
          <w:iCs/>
          <w:color w:val="000000"/>
          <w:lang w:eastAsia="en-AU"/>
        </w:rPr>
        <w:t>P</w:t>
      </w:r>
      <w:r w:rsidRPr="001802CA">
        <w:rPr>
          <w:rFonts w:asciiTheme="minorHAnsi" w:eastAsia="SimSun" w:hAnsiTheme="minorHAnsi" w:cs="Arial"/>
          <w:iCs/>
          <w:color w:val="000000"/>
          <w:lang w:eastAsia="en-AU"/>
        </w:rPr>
        <w:t xml:space="preserve">ricing </w:t>
      </w:r>
      <w:r w:rsidR="0081415B" w:rsidRPr="001802CA">
        <w:rPr>
          <w:rFonts w:asciiTheme="minorHAnsi" w:eastAsia="SimSun" w:hAnsiTheme="minorHAnsi" w:cs="Arial"/>
          <w:iCs/>
          <w:color w:val="000000"/>
          <w:lang w:eastAsia="en-AU"/>
        </w:rPr>
        <w:t>A</w:t>
      </w:r>
      <w:r w:rsidRPr="001802CA">
        <w:rPr>
          <w:rFonts w:asciiTheme="minorHAnsi" w:eastAsia="SimSun" w:hAnsiTheme="minorHAnsi" w:cs="Arial"/>
          <w:iCs/>
          <w:color w:val="000000"/>
          <w:lang w:eastAsia="en-AU"/>
        </w:rPr>
        <w:t>rrangement</w:t>
      </w:r>
      <w:r w:rsidR="0081415B" w:rsidRPr="001802CA">
        <w:rPr>
          <w:rFonts w:asciiTheme="minorHAnsi" w:eastAsia="SimSun" w:hAnsiTheme="minorHAnsi" w:cs="Arial"/>
          <w:iCs/>
          <w:color w:val="000000"/>
          <w:lang w:eastAsia="en-AU"/>
        </w:rPr>
        <w:t xml:space="preserve"> (SPA)</w:t>
      </w:r>
      <w:r w:rsidRPr="001802CA">
        <w:rPr>
          <w:rFonts w:asciiTheme="minorHAnsi" w:eastAsia="SimSun" w:hAnsiTheme="minorHAnsi" w:cs="Arial"/>
          <w:iCs/>
          <w:color w:val="000000"/>
          <w:lang w:eastAsia="en-AU"/>
        </w:rPr>
        <w:t xml:space="preserve"> whereby the sponsor will provide a </w:t>
      </w:r>
      <w:r w:rsidR="00D2014F">
        <w:rPr>
          <w:rFonts w:asciiTheme="minorHAnsi" w:eastAsia="SimSun" w:hAnsiTheme="minorHAnsi" w:cs="Arial"/>
          <w:iCs/>
          <w:noProof/>
          <w:color w:val="000000"/>
          <w:highlight w:val="black"/>
          <w:lang w:eastAsia="en-AU"/>
        </w:rPr>
        <w:t>''''''</w:t>
      </w:r>
      <w:r w:rsidRPr="001802CA">
        <w:rPr>
          <w:rFonts w:asciiTheme="minorHAnsi" w:eastAsia="SimSun" w:hAnsiTheme="minorHAnsi" w:cs="Arial"/>
          <w:iCs/>
          <w:color w:val="000000"/>
          <w:lang w:eastAsia="en-AU"/>
        </w:rPr>
        <w:t>% rebate</w:t>
      </w:r>
      <w:r w:rsidR="0081415B" w:rsidRPr="001802CA">
        <w:rPr>
          <w:rFonts w:asciiTheme="minorHAnsi" w:eastAsia="SimSun" w:hAnsiTheme="minorHAnsi" w:cs="Arial"/>
          <w:iCs/>
          <w:color w:val="000000"/>
          <w:lang w:eastAsia="en-AU"/>
        </w:rPr>
        <w:t xml:space="preserve"> on the published dispensed price per maximum quantity (DPMQ)</w:t>
      </w:r>
      <w:r w:rsidRPr="001802CA">
        <w:rPr>
          <w:rFonts w:asciiTheme="minorHAnsi" w:eastAsia="SimSun" w:hAnsiTheme="minorHAnsi" w:cs="Arial"/>
          <w:iCs/>
          <w:color w:val="000000"/>
          <w:lang w:eastAsia="en-AU"/>
        </w:rPr>
        <w:t>.</w:t>
      </w:r>
    </w:p>
    <w:p w:rsidR="005D3225" w:rsidRPr="001802CA" w:rsidRDefault="005D3225" w:rsidP="00CE5B76">
      <w:pPr>
        <w:pStyle w:val="ESnumberedpara"/>
        <w:numPr>
          <w:ilvl w:val="1"/>
          <w:numId w:val="1"/>
        </w:numPr>
        <w:rPr>
          <w:rFonts w:asciiTheme="minorHAnsi" w:eastAsia="SimSun" w:hAnsiTheme="minorHAnsi" w:cs="Arial"/>
          <w:iCs/>
          <w:color w:val="000000"/>
          <w:lang w:eastAsia="en-AU"/>
        </w:rPr>
      </w:pPr>
      <w:r w:rsidRPr="001802CA">
        <w:rPr>
          <w:rFonts w:asciiTheme="minorHAnsi" w:eastAsia="SimSun" w:hAnsiTheme="minorHAnsi" w:cs="Arial"/>
          <w:iCs/>
          <w:color w:val="000000"/>
          <w:lang w:eastAsia="en-AU"/>
        </w:rPr>
        <w:t xml:space="preserve">The proposed restriction would allow ongoing use of </w:t>
      </w:r>
      <w:proofErr w:type="spellStart"/>
      <w:r w:rsidRPr="001802CA">
        <w:rPr>
          <w:rFonts w:asciiTheme="minorHAnsi" w:eastAsia="SimSun" w:hAnsiTheme="minorHAnsi" w:cs="Arial"/>
          <w:iCs/>
          <w:color w:val="000000"/>
          <w:lang w:eastAsia="en-AU"/>
        </w:rPr>
        <w:t>lanreotide</w:t>
      </w:r>
      <w:proofErr w:type="spellEnd"/>
      <w:r w:rsidRPr="001802CA">
        <w:rPr>
          <w:rFonts w:asciiTheme="minorHAnsi" w:eastAsia="SimSun" w:hAnsiTheme="minorHAnsi" w:cs="Arial"/>
          <w:iCs/>
          <w:color w:val="000000"/>
          <w:lang w:eastAsia="en-AU"/>
        </w:rPr>
        <w:t xml:space="preserve"> following disease progression. However, the resubmission did not present any additional clinical evidence to support the use of </w:t>
      </w:r>
      <w:proofErr w:type="spellStart"/>
      <w:r w:rsidRPr="001802CA">
        <w:rPr>
          <w:rFonts w:asciiTheme="minorHAnsi" w:eastAsia="SimSun" w:hAnsiTheme="minorHAnsi" w:cs="Arial"/>
          <w:iCs/>
          <w:color w:val="000000"/>
          <w:lang w:eastAsia="en-AU"/>
        </w:rPr>
        <w:t>lanreotide</w:t>
      </w:r>
      <w:proofErr w:type="spellEnd"/>
      <w:r w:rsidRPr="001802CA">
        <w:rPr>
          <w:rFonts w:asciiTheme="minorHAnsi" w:eastAsia="SimSun" w:hAnsiTheme="minorHAnsi" w:cs="Arial"/>
          <w:iCs/>
          <w:color w:val="000000"/>
          <w:lang w:eastAsia="en-AU"/>
        </w:rPr>
        <w:t xml:space="preserve"> in the second-line/post-progression setting.</w:t>
      </w:r>
    </w:p>
    <w:p w:rsidR="0075028D" w:rsidRPr="003F1F6C" w:rsidRDefault="0075028D" w:rsidP="002557D4">
      <w:pPr>
        <w:pStyle w:val="ESnumberedparablue"/>
        <w:numPr>
          <w:ilvl w:val="0"/>
          <w:numId w:val="0"/>
        </w:numPr>
        <w:ind w:left="567"/>
        <w:rPr>
          <w:color w:val="auto"/>
        </w:rPr>
      </w:pPr>
      <w:r w:rsidRPr="002557D4">
        <w:rPr>
          <w:rFonts w:eastAsia="Times New Roman" w:cs="Times New Roman"/>
          <w:i/>
          <w:color w:val="auto"/>
          <w:szCs w:val="24"/>
        </w:rPr>
        <w:t>For more detail on PBAC’s view, see section 7 “PBAC outcome.”</w:t>
      </w:r>
    </w:p>
    <w:p w:rsidR="005D3225" w:rsidRPr="00724279" w:rsidRDefault="005D3225" w:rsidP="00C44233">
      <w:pPr>
        <w:pStyle w:val="Heading1"/>
      </w:pPr>
      <w:bookmarkStart w:id="7" w:name="_Toc413139273"/>
      <w:bookmarkStart w:id="8" w:name="_Toc476306883"/>
      <w:bookmarkStart w:id="9" w:name="_Toc482193589"/>
      <w:r w:rsidRPr="00724279">
        <w:t>Background</w:t>
      </w:r>
      <w:bookmarkEnd w:id="7"/>
      <w:bookmarkEnd w:id="8"/>
      <w:bookmarkEnd w:id="9"/>
    </w:p>
    <w:p w:rsidR="007A5C2A" w:rsidRPr="007A5C2A" w:rsidRDefault="007A5C2A" w:rsidP="007A5C2A">
      <w:pPr>
        <w:pStyle w:val="ListParagraph"/>
        <w:numPr>
          <w:ilvl w:val="0"/>
          <w:numId w:val="5"/>
        </w:numPr>
        <w:spacing w:before="0" w:after="120"/>
        <w:contextualSpacing w:val="0"/>
        <w:rPr>
          <w:vanish/>
        </w:rPr>
      </w:pPr>
    </w:p>
    <w:p w:rsidR="007A5C2A" w:rsidRPr="007A5C2A" w:rsidRDefault="007A5C2A" w:rsidP="007A5C2A">
      <w:pPr>
        <w:pStyle w:val="ListParagraph"/>
        <w:numPr>
          <w:ilvl w:val="0"/>
          <w:numId w:val="5"/>
        </w:numPr>
        <w:spacing w:before="0" w:after="120"/>
        <w:contextualSpacing w:val="0"/>
        <w:rPr>
          <w:vanish/>
        </w:rPr>
      </w:pPr>
    </w:p>
    <w:p w:rsidR="007A5C2A" w:rsidRPr="007A5C2A" w:rsidRDefault="007A5C2A" w:rsidP="007A5C2A">
      <w:pPr>
        <w:pStyle w:val="ListParagraph"/>
        <w:numPr>
          <w:ilvl w:val="0"/>
          <w:numId w:val="5"/>
        </w:numPr>
        <w:spacing w:before="0" w:after="120"/>
        <w:contextualSpacing w:val="0"/>
        <w:rPr>
          <w:vanish/>
        </w:rPr>
      </w:pPr>
    </w:p>
    <w:p w:rsidR="005D3225" w:rsidRPr="003F1F6C" w:rsidRDefault="005D3225" w:rsidP="007A5C2A">
      <w:pPr>
        <w:pStyle w:val="ESnumberedpara"/>
        <w:numPr>
          <w:ilvl w:val="1"/>
          <w:numId w:val="5"/>
        </w:numPr>
      </w:pPr>
      <w:r w:rsidRPr="00EB5B2C">
        <w:t>TGA status</w:t>
      </w:r>
      <w:r w:rsidR="0075028D" w:rsidRPr="00EB5B2C">
        <w:t xml:space="preserve"> at time of </w:t>
      </w:r>
      <w:r w:rsidR="00EB5B2C" w:rsidRPr="00EB5B2C">
        <w:t xml:space="preserve">PBAC </w:t>
      </w:r>
      <w:r w:rsidR="0075028D" w:rsidRPr="00EB5B2C">
        <w:t>advice</w:t>
      </w:r>
      <w:r w:rsidRPr="003F1F6C">
        <w:t xml:space="preserve">: </w:t>
      </w:r>
      <w:proofErr w:type="spellStart"/>
      <w:r w:rsidRPr="003F1F6C">
        <w:t>Lanreotide</w:t>
      </w:r>
      <w:proofErr w:type="spellEnd"/>
      <w:r w:rsidRPr="003F1F6C">
        <w:t xml:space="preserve"> is registered </w:t>
      </w:r>
      <w:r w:rsidR="00965B68" w:rsidRPr="003F1F6C">
        <w:t xml:space="preserve">on the ARTG </w:t>
      </w:r>
      <w:r w:rsidRPr="003F1F6C">
        <w:t>for the treatment of</w:t>
      </w:r>
      <w:r w:rsidR="00965B68" w:rsidRPr="003F1F6C">
        <w:t>:</w:t>
      </w:r>
      <w:r w:rsidRPr="003F1F6C">
        <w:t xml:space="preserve"> GEP-NETs in adult patients with </w:t>
      </w:r>
      <w:proofErr w:type="spellStart"/>
      <w:r w:rsidRPr="003F1F6C">
        <w:t>unresectable</w:t>
      </w:r>
      <w:proofErr w:type="spellEnd"/>
      <w:r w:rsidRPr="003F1F6C">
        <w:t xml:space="preserve"> locally advanced or </w:t>
      </w:r>
      <w:r w:rsidRPr="003F1F6C">
        <w:lastRenderedPageBreak/>
        <w:t>metastatic disease; acromegaly; and symptoms of carcinoid syndrome associated with carcinoid tumours.</w:t>
      </w:r>
    </w:p>
    <w:p w:rsidR="005D3225" w:rsidRPr="003F1F6C" w:rsidRDefault="005D3225" w:rsidP="00CE5B76">
      <w:pPr>
        <w:pStyle w:val="ESnumberedpara"/>
        <w:numPr>
          <w:ilvl w:val="1"/>
          <w:numId w:val="5"/>
        </w:numPr>
        <w:ind w:left="567" w:hanging="567"/>
      </w:pPr>
      <w:proofErr w:type="spellStart"/>
      <w:r w:rsidRPr="003F1F6C">
        <w:t>Lanreotide</w:t>
      </w:r>
      <w:proofErr w:type="spellEnd"/>
      <w:r w:rsidRPr="003F1F6C">
        <w:t xml:space="preserve"> is currently PBS-listed for the treatment of acromegaly and the symptomatic treatment of functional carcinoid tumours (a subset of GEP-NETs). The resubmission requests a new listing for the treatment of non-functional GEP-NETs.</w:t>
      </w:r>
    </w:p>
    <w:p w:rsidR="005D3225" w:rsidRPr="003F1F6C" w:rsidRDefault="005D3225" w:rsidP="00CE5B76">
      <w:pPr>
        <w:pStyle w:val="ESnumberedpara"/>
        <w:numPr>
          <w:ilvl w:val="1"/>
          <w:numId w:val="5"/>
        </w:numPr>
        <w:ind w:left="567" w:hanging="567"/>
      </w:pPr>
      <w:r w:rsidRPr="003F1F6C">
        <w:t xml:space="preserve">The PBAC has previously considered </w:t>
      </w:r>
      <w:proofErr w:type="spellStart"/>
      <w:r w:rsidRPr="003F1F6C">
        <w:t>lanreotide</w:t>
      </w:r>
      <w:proofErr w:type="spellEnd"/>
      <w:r w:rsidRPr="003F1F6C">
        <w:t xml:space="preserve"> for the treatment of non-functional GEP-NETs in November 2015 and November 2016.</w:t>
      </w:r>
      <w:r w:rsidR="003740E9" w:rsidRPr="003F1F6C">
        <w:t xml:space="preserve"> The outstanding matters of concern from the November 2016 resubmission are summarised in Table 2.</w:t>
      </w:r>
    </w:p>
    <w:p w:rsidR="003F4F36" w:rsidRDefault="003F4F36" w:rsidP="003F4F36">
      <w:pPr>
        <w:pStyle w:val="Caption"/>
      </w:pPr>
      <w:r>
        <w:t xml:space="preserve">Table </w:t>
      </w:r>
      <w:r w:rsidR="0097752E">
        <w:rPr>
          <w:noProof/>
        </w:rPr>
        <w:t>2</w:t>
      </w:r>
      <w:r w:rsidRPr="00D0272A">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3"/>
        <w:gridCol w:w="5387"/>
        <w:gridCol w:w="2532"/>
      </w:tblGrid>
      <w:tr w:rsidR="005D3225" w:rsidRPr="003F1F6C" w:rsidTr="00C4021F">
        <w:trPr>
          <w:cantSplit/>
          <w:tblHeader/>
        </w:trPr>
        <w:tc>
          <w:tcPr>
            <w:tcW w:w="640" w:type="pct"/>
            <w:shd w:val="clear" w:color="auto" w:fill="auto"/>
          </w:tcPr>
          <w:p w:rsidR="005D3225" w:rsidRPr="003F1F6C" w:rsidRDefault="003B1833" w:rsidP="00CE5B76">
            <w:pPr>
              <w:pStyle w:val="TableText"/>
              <w:rPr>
                <w:b/>
              </w:rPr>
            </w:pPr>
            <w:r w:rsidRPr="003F1F6C">
              <w:rPr>
                <w:b/>
              </w:rPr>
              <w:t>Component</w:t>
            </w:r>
          </w:p>
        </w:tc>
        <w:tc>
          <w:tcPr>
            <w:tcW w:w="2966" w:type="pct"/>
            <w:shd w:val="clear" w:color="auto" w:fill="auto"/>
          </w:tcPr>
          <w:p w:rsidR="005D3225" w:rsidRPr="003F1F6C" w:rsidRDefault="005D3225" w:rsidP="00CE5B76">
            <w:pPr>
              <w:pStyle w:val="TableText"/>
              <w:jc w:val="center"/>
              <w:rPr>
                <w:b/>
              </w:rPr>
            </w:pPr>
            <w:r w:rsidRPr="003F1F6C">
              <w:rPr>
                <w:b/>
              </w:rPr>
              <w:t>November 2016 submission</w:t>
            </w:r>
          </w:p>
        </w:tc>
        <w:tc>
          <w:tcPr>
            <w:tcW w:w="1394" w:type="pct"/>
            <w:shd w:val="clear" w:color="auto" w:fill="auto"/>
          </w:tcPr>
          <w:p w:rsidR="005D3225" w:rsidRPr="003F1F6C" w:rsidRDefault="005D3225" w:rsidP="00CE5B76">
            <w:pPr>
              <w:pStyle w:val="TableText"/>
              <w:jc w:val="center"/>
              <w:rPr>
                <w:b/>
              </w:rPr>
            </w:pPr>
            <w:r w:rsidRPr="003F1F6C">
              <w:rPr>
                <w:b/>
              </w:rPr>
              <w:t>Current submission</w:t>
            </w:r>
          </w:p>
        </w:tc>
      </w:tr>
      <w:tr w:rsidR="005D3225" w:rsidRPr="003F1F6C" w:rsidTr="00C4021F">
        <w:trPr>
          <w:cantSplit/>
        </w:trPr>
        <w:tc>
          <w:tcPr>
            <w:tcW w:w="640" w:type="pct"/>
            <w:shd w:val="clear" w:color="auto" w:fill="auto"/>
          </w:tcPr>
          <w:p w:rsidR="005D3225" w:rsidRPr="003F1F6C" w:rsidRDefault="005D3225" w:rsidP="00C44233">
            <w:pPr>
              <w:pStyle w:val="TableText"/>
              <w:jc w:val="left"/>
            </w:pPr>
            <w:r w:rsidRPr="003F1F6C">
              <w:t>Requested PBS listing</w:t>
            </w:r>
          </w:p>
        </w:tc>
        <w:tc>
          <w:tcPr>
            <w:tcW w:w="2966" w:type="pct"/>
            <w:shd w:val="clear" w:color="auto" w:fill="auto"/>
          </w:tcPr>
          <w:p w:rsidR="005D3225" w:rsidRPr="003F1F6C" w:rsidRDefault="005D3225" w:rsidP="00852CB7">
            <w:pPr>
              <w:pStyle w:val="TableText"/>
              <w:jc w:val="left"/>
            </w:pPr>
            <w:r w:rsidRPr="003F1F6C">
              <w:t>Treatment of GEP-NETs in:</w:t>
            </w:r>
          </w:p>
          <w:p w:rsidR="005D3225" w:rsidRPr="003F1F6C" w:rsidRDefault="005D3225" w:rsidP="00BF31EB">
            <w:pPr>
              <w:pStyle w:val="TableText"/>
              <w:jc w:val="left"/>
            </w:pPr>
            <w:r w:rsidRPr="003F1F6C">
              <w:t xml:space="preserve">- Patients with </w:t>
            </w:r>
            <w:proofErr w:type="spellStart"/>
            <w:r w:rsidRPr="003F1F6C">
              <w:t>unresectable</w:t>
            </w:r>
            <w:proofErr w:type="spellEnd"/>
            <w:r w:rsidRPr="003F1F6C">
              <w:t xml:space="preserve"> locally advanced disease or metastatic disease; AND</w:t>
            </w:r>
          </w:p>
          <w:p w:rsidR="005D3225" w:rsidRPr="003F1F6C" w:rsidRDefault="005D3225" w:rsidP="00CE5B76">
            <w:pPr>
              <w:pStyle w:val="TableText"/>
              <w:jc w:val="left"/>
            </w:pPr>
            <w:r w:rsidRPr="003F1F6C">
              <w:t>- The clinician should have determined that watchful waiting is not appropriate due to clinically relevant overall tumour burden OR clinical progression documented by imaging or biochemistry testing OR the progression of tumour-related symptoms which are not currently covered by the current listing for carcinoid syndrome.</w:t>
            </w:r>
          </w:p>
          <w:p w:rsidR="005D3225" w:rsidRPr="003F1F6C" w:rsidRDefault="005D3225" w:rsidP="00CE5B76">
            <w:pPr>
              <w:pStyle w:val="TableText"/>
              <w:jc w:val="left"/>
            </w:pPr>
          </w:p>
          <w:p w:rsidR="005D3225" w:rsidRPr="003F1F6C" w:rsidRDefault="005D3225" w:rsidP="00CE5B76">
            <w:pPr>
              <w:pStyle w:val="TableText"/>
              <w:jc w:val="left"/>
            </w:pPr>
            <w:r w:rsidRPr="003F1F6C">
              <w:rPr>
                <w:b/>
              </w:rPr>
              <w:t>PBAC comment</w:t>
            </w:r>
            <w:r w:rsidRPr="003F1F6C">
              <w:t xml:space="preserve">: The PBAC noted that it was not possible to identify patients most suitable for treatment with </w:t>
            </w:r>
            <w:proofErr w:type="spellStart"/>
            <w:r w:rsidRPr="003F1F6C">
              <w:t>lanreotide</w:t>
            </w:r>
            <w:proofErr w:type="spellEnd"/>
            <w:r w:rsidRPr="003F1F6C">
              <w:t xml:space="preserve"> for non-functional GEP-NETs through a PBS restriction. Accordingly, the PBAC considered it may be more appropriate to leave the judgement of suitability for active treatment to clinicians</w:t>
            </w:r>
            <w:r w:rsidR="00F8170C" w:rsidRPr="003F1F6C">
              <w:t>. (</w:t>
            </w:r>
            <w:r w:rsidR="00F77260">
              <w:t xml:space="preserve">PSD </w:t>
            </w:r>
            <w:r w:rsidR="00F8170C" w:rsidRPr="003F1F6C">
              <w:t>paragraph 7.4)</w:t>
            </w:r>
          </w:p>
        </w:tc>
        <w:tc>
          <w:tcPr>
            <w:tcW w:w="1394" w:type="pct"/>
            <w:shd w:val="clear" w:color="auto" w:fill="auto"/>
          </w:tcPr>
          <w:p w:rsidR="005D3225" w:rsidRPr="003F1F6C" w:rsidRDefault="005D3225" w:rsidP="00CE5B76">
            <w:pPr>
              <w:pStyle w:val="TableText"/>
              <w:jc w:val="left"/>
            </w:pPr>
            <w:r w:rsidRPr="003F1F6C">
              <w:t>Treatment of non-functional GEP-NETs where:</w:t>
            </w:r>
          </w:p>
          <w:p w:rsidR="005D3225" w:rsidRPr="003F1F6C" w:rsidRDefault="005D3225" w:rsidP="00CE5B76">
            <w:pPr>
              <w:pStyle w:val="TableText"/>
              <w:jc w:val="left"/>
            </w:pPr>
            <w:r w:rsidRPr="003F1F6C">
              <w:t xml:space="preserve">- The condition must be World Health Organization grade 1 or 2 </w:t>
            </w:r>
            <w:proofErr w:type="spellStart"/>
            <w:r w:rsidRPr="003F1F6C">
              <w:t>unresectable</w:t>
            </w:r>
            <w:proofErr w:type="spellEnd"/>
            <w:r w:rsidRPr="003F1F6C">
              <w:t xml:space="preserve"> locally advanced disease; OR the condition must be World Health Organization grade 1 or 2 metastatic disease.</w:t>
            </w:r>
          </w:p>
        </w:tc>
      </w:tr>
      <w:tr w:rsidR="005D3225" w:rsidRPr="003F1F6C" w:rsidTr="00C4021F">
        <w:trPr>
          <w:cantSplit/>
        </w:trPr>
        <w:tc>
          <w:tcPr>
            <w:tcW w:w="640" w:type="pct"/>
            <w:shd w:val="clear" w:color="auto" w:fill="auto"/>
          </w:tcPr>
          <w:p w:rsidR="005D3225" w:rsidRPr="003F1F6C" w:rsidRDefault="005D3225" w:rsidP="00C44233">
            <w:pPr>
              <w:pStyle w:val="TableText"/>
              <w:keepNext w:val="0"/>
              <w:jc w:val="left"/>
            </w:pPr>
            <w:r w:rsidRPr="003F1F6C">
              <w:t>Proposed price</w:t>
            </w:r>
          </w:p>
        </w:tc>
        <w:tc>
          <w:tcPr>
            <w:tcW w:w="2966" w:type="pct"/>
            <w:shd w:val="clear" w:color="auto" w:fill="auto"/>
          </w:tcPr>
          <w:p w:rsidR="005D3225" w:rsidRPr="003F1F6C" w:rsidRDefault="005D3225" w:rsidP="00852CB7">
            <w:pPr>
              <w:pStyle w:val="TableText"/>
              <w:keepNext w:val="0"/>
              <w:jc w:val="left"/>
            </w:pPr>
            <w:r w:rsidRPr="003F1F6C">
              <w:t>DPMQ for  2 x 120mg injections:</w:t>
            </w:r>
          </w:p>
          <w:p w:rsidR="005D3225" w:rsidRPr="003F1F6C" w:rsidRDefault="005D3225" w:rsidP="00BF31EB">
            <w:pPr>
              <w:pStyle w:val="TableText"/>
              <w:keepNext w:val="0"/>
              <w:jc w:val="left"/>
            </w:pPr>
            <w:r w:rsidRPr="003F1F6C">
              <w:t>- $</w:t>
            </w:r>
            <w:r w:rsidR="00D2014F">
              <w:rPr>
                <w:noProof/>
                <w:color w:val="000000"/>
                <w:highlight w:val="black"/>
              </w:rPr>
              <w:t>'''''''''''''''''''</w:t>
            </w:r>
            <w:r w:rsidRPr="003F1F6C">
              <w:t xml:space="preserve"> (Public)</w:t>
            </w:r>
          </w:p>
          <w:p w:rsidR="005D3225" w:rsidRPr="003F1F6C" w:rsidRDefault="005D3225" w:rsidP="00CE5B76">
            <w:pPr>
              <w:pStyle w:val="TableText"/>
              <w:keepNext w:val="0"/>
              <w:jc w:val="left"/>
            </w:pPr>
            <w:r w:rsidRPr="003F1F6C">
              <w:t>- $</w:t>
            </w:r>
            <w:r w:rsidR="00D2014F">
              <w:rPr>
                <w:noProof/>
                <w:color w:val="000000"/>
                <w:highlight w:val="black"/>
              </w:rPr>
              <w:t>''''''''''''''''''''''</w:t>
            </w:r>
            <w:r w:rsidRPr="003F1F6C">
              <w:t xml:space="preserve"> (Private)</w:t>
            </w:r>
          </w:p>
          <w:p w:rsidR="005D3225" w:rsidRPr="003F1F6C" w:rsidRDefault="005D3225" w:rsidP="00CE5B76">
            <w:pPr>
              <w:pStyle w:val="TableText"/>
              <w:keepNext w:val="0"/>
              <w:jc w:val="left"/>
            </w:pPr>
          </w:p>
          <w:p w:rsidR="005D3225" w:rsidRPr="003F1F6C" w:rsidRDefault="005D3225" w:rsidP="00CE5B76">
            <w:pPr>
              <w:pStyle w:val="TableText"/>
              <w:keepNext w:val="0"/>
              <w:jc w:val="left"/>
            </w:pPr>
            <w:r w:rsidRPr="003F1F6C">
              <w:rPr>
                <w:b/>
              </w:rPr>
              <w:t>PBAC comment</w:t>
            </w:r>
            <w:r w:rsidRPr="003F1F6C">
              <w:t xml:space="preserve">: The PBAC considered that a significant reduction in the requested price would be required to provide greater confidence in the cost-effectiveness of </w:t>
            </w:r>
            <w:proofErr w:type="spellStart"/>
            <w:r w:rsidRPr="003F1F6C">
              <w:t>lanreotide</w:t>
            </w:r>
            <w:proofErr w:type="spellEnd"/>
            <w:r w:rsidRPr="003F1F6C">
              <w:t>, particularly given the likelihood that some patients who would be better served by watchful waiting may receive active treatment through a broad listing for non-functional GEP</w:t>
            </w:r>
            <w:r w:rsidR="00ED32EB" w:rsidRPr="003F1F6C">
              <w:noBreakHyphen/>
            </w:r>
            <w:r w:rsidRPr="003F1F6C">
              <w:t>NETs.</w:t>
            </w:r>
            <w:r w:rsidR="000A453F" w:rsidRPr="003F1F6C">
              <w:t xml:space="preserve"> (</w:t>
            </w:r>
            <w:r w:rsidR="008341AC">
              <w:t>Public Summary Document (</w:t>
            </w:r>
            <w:r w:rsidR="00F77260">
              <w:t>PSD</w:t>
            </w:r>
            <w:r w:rsidR="008341AC">
              <w:t>)</w:t>
            </w:r>
            <w:r w:rsidR="00F77260">
              <w:t xml:space="preserve"> </w:t>
            </w:r>
            <w:r w:rsidR="000A453F" w:rsidRPr="003F1F6C">
              <w:t>paragraph 7.15)</w:t>
            </w:r>
          </w:p>
        </w:tc>
        <w:tc>
          <w:tcPr>
            <w:tcW w:w="1394" w:type="pct"/>
            <w:shd w:val="clear" w:color="auto" w:fill="auto"/>
          </w:tcPr>
          <w:p w:rsidR="005D3225" w:rsidRPr="003F1F6C" w:rsidRDefault="005E2DFC" w:rsidP="00CE5B76">
            <w:pPr>
              <w:pStyle w:val="TableText"/>
              <w:keepNext w:val="0"/>
              <w:jc w:val="left"/>
            </w:pPr>
            <w:r w:rsidRPr="003F1F6C">
              <w:t xml:space="preserve">Effective </w:t>
            </w:r>
            <w:r w:rsidR="005D3225" w:rsidRPr="003F1F6C">
              <w:t>DPMQ for 2 x 120mg injections:</w:t>
            </w:r>
          </w:p>
          <w:p w:rsidR="005D3225" w:rsidRPr="003F1F6C" w:rsidRDefault="005D3225" w:rsidP="00CE5B76">
            <w:pPr>
              <w:pStyle w:val="TableText"/>
              <w:keepNext w:val="0"/>
              <w:jc w:val="left"/>
            </w:pPr>
            <w:r w:rsidRPr="003F1F6C">
              <w:t>- $</w:t>
            </w:r>
            <w:r w:rsidR="00D2014F">
              <w:rPr>
                <w:noProof/>
                <w:color w:val="000000"/>
                <w:highlight w:val="black"/>
              </w:rPr>
              <w:t>'''''''''''''''''''''</w:t>
            </w:r>
            <w:r w:rsidRPr="003F1F6C">
              <w:t xml:space="preserve"> (Public)</w:t>
            </w:r>
          </w:p>
          <w:p w:rsidR="005D3225" w:rsidRPr="003F1F6C" w:rsidRDefault="005D3225" w:rsidP="00CE5B76">
            <w:pPr>
              <w:pStyle w:val="TableText"/>
              <w:keepNext w:val="0"/>
              <w:jc w:val="left"/>
            </w:pPr>
            <w:r w:rsidRPr="003F1F6C">
              <w:t>- $</w:t>
            </w:r>
            <w:r w:rsidR="00D2014F">
              <w:rPr>
                <w:noProof/>
                <w:color w:val="000000"/>
                <w:highlight w:val="black"/>
              </w:rPr>
              <w:t>'''''''''''''''''''''</w:t>
            </w:r>
            <w:r w:rsidRPr="003F1F6C">
              <w:t xml:space="preserve"> (Private)</w:t>
            </w:r>
          </w:p>
          <w:p w:rsidR="005D3225" w:rsidRPr="003F1F6C" w:rsidRDefault="005D3225" w:rsidP="00CE5B76">
            <w:pPr>
              <w:pStyle w:val="TableText"/>
              <w:keepNext w:val="0"/>
              <w:jc w:val="left"/>
            </w:pPr>
            <w:r w:rsidRPr="003F1F6C">
              <w:t xml:space="preserve">[A </w:t>
            </w:r>
            <w:r w:rsidR="00D2014F">
              <w:rPr>
                <w:noProof/>
                <w:color w:val="000000"/>
                <w:highlight w:val="black"/>
              </w:rPr>
              <w:t>'''''</w:t>
            </w:r>
            <w:r w:rsidRPr="003F1F6C">
              <w:t>% discount on previous proposed price]</w:t>
            </w:r>
          </w:p>
        </w:tc>
      </w:tr>
      <w:tr w:rsidR="005D3225" w:rsidRPr="003F1F6C" w:rsidTr="00C4021F">
        <w:trPr>
          <w:cantSplit/>
        </w:trPr>
        <w:tc>
          <w:tcPr>
            <w:tcW w:w="640" w:type="pct"/>
            <w:shd w:val="clear" w:color="auto" w:fill="auto"/>
          </w:tcPr>
          <w:p w:rsidR="005D3225" w:rsidRPr="003F1F6C" w:rsidRDefault="000A453F" w:rsidP="00C44233">
            <w:pPr>
              <w:pStyle w:val="TableText"/>
              <w:keepNext w:val="0"/>
              <w:jc w:val="left"/>
            </w:pPr>
            <w:r w:rsidRPr="003F1F6C">
              <w:t>Impact of treatment on quality of life</w:t>
            </w:r>
          </w:p>
        </w:tc>
        <w:tc>
          <w:tcPr>
            <w:tcW w:w="2966" w:type="pct"/>
            <w:shd w:val="clear" w:color="auto" w:fill="auto"/>
          </w:tcPr>
          <w:p w:rsidR="005D3225" w:rsidRPr="003F1F6C" w:rsidRDefault="005D3225" w:rsidP="00852CB7">
            <w:pPr>
              <w:pStyle w:val="TableText"/>
              <w:keepNext w:val="0"/>
              <w:jc w:val="left"/>
            </w:pPr>
            <w:r w:rsidRPr="003F1F6C">
              <w:t xml:space="preserve">No difference in quality of life outcomes between </w:t>
            </w:r>
            <w:proofErr w:type="spellStart"/>
            <w:r w:rsidRPr="003F1F6C">
              <w:t>lanreotide</w:t>
            </w:r>
            <w:proofErr w:type="spellEnd"/>
            <w:r w:rsidRPr="003F1F6C">
              <w:t xml:space="preserve"> and placebo in the CLARINET trial. The submission presented a supportive post-hoc analysis of quality of life data from the CLARINET trial which suggested some impairment of quality of life with disease progression</w:t>
            </w:r>
            <w:r w:rsidR="00A42423" w:rsidRPr="003F1F6C">
              <w:t xml:space="preserve">. </w:t>
            </w:r>
          </w:p>
          <w:p w:rsidR="005D3225" w:rsidRPr="003F1F6C" w:rsidRDefault="005D3225" w:rsidP="00BF31EB">
            <w:pPr>
              <w:pStyle w:val="TableText"/>
              <w:keepNext w:val="0"/>
              <w:jc w:val="left"/>
            </w:pPr>
          </w:p>
          <w:p w:rsidR="005D3225" w:rsidRPr="003F1F6C" w:rsidRDefault="005D3225" w:rsidP="00CE5B76">
            <w:pPr>
              <w:pStyle w:val="TableText"/>
              <w:keepNext w:val="0"/>
              <w:jc w:val="left"/>
            </w:pPr>
            <w:r w:rsidRPr="003F1F6C">
              <w:rPr>
                <w:b/>
              </w:rPr>
              <w:t>PBAC comment</w:t>
            </w:r>
            <w:r w:rsidRPr="003F1F6C">
              <w:t xml:space="preserve">: </w:t>
            </w:r>
            <w:r w:rsidR="003B1833" w:rsidRPr="003F1F6C">
              <w:t>The PBAC noted that quality of life</w:t>
            </w:r>
            <w:r w:rsidR="000A453F" w:rsidRPr="003F1F6C">
              <w:t xml:space="preserve"> (as measured by EORTC QLQ C30) </w:t>
            </w:r>
            <w:r w:rsidR="003B1833" w:rsidRPr="003F1F6C">
              <w:t xml:space="preserve">was not statistically significantly different between the </w:t>
            </w:r>
            <w:proofErr w:type="spellStart"/>
            <w:r w:rsidR="003B1833" w:rsidRPr="003F1F6C">
              <w:t>lanreotide</w:t>
            </w:r>
            <w:proofErr w:type="spellEnd"/>
            <w:r w:rsidR="003B1833" w:rsidRPr="003F1F6C">
              <w:t xml:space="preserve"> and placebo treatment groups and </w:t>
            </w:r>
            <w:r w:rsidRPr="003F1F6C">
              <w:t>considered that the clinical significance of the PFS results remained uncertain.</w:t>
            </w:r>
            <w:r w:rsidR="000A453F" w:rsidRPr="003F1F6C">
              <w:t xml:space="preserve"> (</w:t>
            </w:r>
            <w:r w:rsidR="00F77260">
              <w:t xml:space="preserve">PSD </w:t>
            </w:r>
            <w:r w:rsidR="000A453F" w:rsidRPr="003F1F6C">
              <w:t>paragraph 7.9)</w:t>
            </w:r>
          </w:p>
        </w:tc>
        <w:tc>
          <w:tcPr>
            <w:tcW w:w="1394" w:type="pct"/>
            <w:shd w:val="clear" w:color="auto" w:fill="auto"/>
          </w:tcPr>
          <w:p w:rsidR="005D3225" w:rsidRPr="003F1F6C" w:rsidRDefault="005D3225" w:rsidP="00CE5B76">
            <w:pPr>
              <w:pStyle w:val="TableText"/>
              <w:keepNext w:val="0"/>
              <w:jc w:val="left"/>
            </w:pPr>
            <w:r w:rsidRPr="003F1F6C">
              <w:t>The re-submission raised concerns that the PBAC is inappropriately assuming that non-functional tumours are asymptomatic</w:t>
            </w:r>
            <w:r w:rsidR="00A42423" w:rsidRPr="003F1F6C">
              <w:t>.</w:t>
            </w:r>
          </w:p>
        </w:tc>
      </w:tr>
      <w:tr w:rsidR="005D3225" w:rsidRPr="003F1F6C" w:rsidTr="00C4021F">
        <w:trPr>
          <w:cantSplit/>
        </w:trPr>
        <w:tc>
          <w:tcPr>
            <w:tcW w:w="640" w:type="pct"/>
            <w:shd w:val="clear" w:color="auto" w:fill="auto"/>
          </w:tcPr>
          <w:p w:rsidR="005D3225" w:rsidRPr="003F1F6C" w:rsidRDefault="005D3225" w:rsidP="00C44233">
            <w:pPr>
              <w:pStyle w:val="TableText"/>
              <w:keepNext w:val="0"/>
              <w:jc w:val="left"/>
            </w:pPr>
            <w:r w:rsidRPr="003F1F6C">
              <w:t>Extrapolation of survival</w:t>
            </w:r>
          </w:p>
        </w:tc>
        <w:tc>
          <w:tcPr>
            <w:tcW w:w="2966" w:type="pct"/>
            <w:shd w:val="clear" w:color="auto" w:fill="auto"/>
          </w:tcPr>
          <w:p w:rsidR="005D3225" w:rsidRPr="003F1F6C" w:rsidRDefault="005D3225" w:rsidP="00852CB7">
            <w:pPr>
              <w:pStyle w:val="TableText"/>
              <w:keepNext w:val="0"/>
              <w:jc w:val="left"/>
            </w:pPr>
            <w:r w:rsidRPr="003F1F6C">
              <w:t>- PFS: Log-normal function fitted to CLARINET clinical trial data for each treatment arm.</w:t>
            </w:r>
          </w:p>
          <w:p w:rsidR="005D3225" w:rsidRPr="003F1F6C" w:rsidRDefault="005D3225" w:rsidP="00BF31EB">
            <w:pPr>
              <w:pStyle w:val="TableText"/>
              <w:keepNext w:val="0"/>
              <w:jc w:val="left"/>
            </w:pPr>
            <w:r w:rsidRPr="003F1F6C">
              <w:t xml:space="preserve">- OS: </w:t>
            </w:r>
            <w:proofErr w:type="spellStart"/>
            <w:r w:rsidRPr="003F1F6C">
              <w:t>Gompertz</w:t>
            </w:r>
            <w:proofErr w:type="spellEnd"/>
            <w:r w:rsidRPr="003F1F6C">
              <w:t xml:space="preserve"> function fitted to CLARINET clinical trial data using combined data for both treatment arms.  </w:t>
            </w:r>
          </w:p>
          <w:p w:rsidR="005D3225" w:rsidRPr="003F1F6C" w:rsidRDefault="005D3225" w:rsidP="00CE5B76">
            <w:pPr>
              <w:pStyle w:val="TableText"/>
              <w:keepNext w:val="0"/>
              <w:jc w:val="left"/>
            </w:pPr>
          </w:p>
          <w:p w:rsidR="005D3225" w:rsidRPr="003F1F6C" w:rsidRDefault="005D3225" w:rsidP="00CE5B76">
            <w:pPr>
              <w:pStyle w:val="TableText"/>
              <w:keepNext w:val="0"/>
              <w:jc w:val="left"/>
            </w:pPr>
            <w:r w:rsidRPr="003F1F6C">
              <w:rPr>
                <w:b/>
              </w:rPr>
              <w:t>ESC comment</w:t>
            </w:r>
            <w:r w:rsidRPr="003F1F6C">
              <w:t>: ESC noted that the extrapolation of OS estimates was limited by the small number of deaths in the trial (2 deaths in each arm over the course of the 96 week trial representing &lt;2% of the patient population)</w:t>
            </w:r>
            <w:r w:rsidR="000A453F" w:rsidRPr="003F1F6C">
              <w:t xml:space="preserve"> (</w:t>
            </w:r>
            <w:r w:rsidR="00F77260">
              <w:t xml:space="preserve">PSD </w:t>
            </w:r>
            <w:r w:rsidR="000A453F" w:rsidRPr="003F1F6C">
              <w:t>paragraph 6.36)</w:t>
            </w:r>
          </w:p>
        </w:tc>
        <w:tc>
          <w:tcPr>
            <w:tcW w:w="1394" w:type="pct"/>
            <w:shd w:val="clear" w:color="auto" w:fill="auto"/>
          </w:tcPr>
          <w:p w:rsidR="005D3225" w:rsidRPr="003F1F6C" w:rsidRDefault="005D3225" w:rsidP="00CE5B76">
            <w:pPr>
              <w:pStyle w:val="TableText"/>
              <w:keepNext w:val="0"/>
              <w:jc w:val="left"/>
            </w:pPr>
            <w:r w:rsidRPr="003F1F6C">
              <w:t>No change to base case analysis</w:t>
            </w:r>
            <w:r w:rsidR="00162038" w:rsidRPr="003F1F6C">
              <w:t>.</w:t>
            </w:r>
          </w:p>
          <w:p w:rsidR="005D3225" w:rsidRPr="003F1F6C" w:rsidRDefault="005D3225" w:rsidP="00CE5B76">
            <w:pPr>
              <w:pStyle w:val="TableText"/>
              <w:keepNext w:val="0"/>
              <w:jc w:val="left"/>
            </w:pPr>
          </w:p>
          <w:p w:rsidR="005D3225" w:rsidRPr="003F1F6C" w:rsidRDefault="005D3225" w:rsidP="00CE5B76">
            <w:pPr>
              <w:pStyle w:val="TableText"/>
              <w:keepNext w:val="0"/>
              <w:jc w:val="left"/>
            </w:pPr>
            <w:r w:rsidRPr="003F1F6C">
              <w:t>Presented a supportive analysis using piecewise extrapolation of PFS (combining observed with modelled data) as well as adjusted OS extrapolation accounting for median survival reported in epidemiology studies for GEP-NET patients.</w:t>
            </w:r>
          </w:p>
        </w:tc>
      </w:tr>
      <w:tr w:rsidR="005D3225" w:rsidRPr="003F1F6C" w:rsidTr="00C4021F">
        <w:trPr>
          <w:cantSplit/>
        </w:trPr>
        <w:tc>
          <w:tcPr>
            <w:tcW w:w="640" w:type="pct"/>
            <w:shd w:val="clear" w:color="auto" w:fill="auto"/>
          </w:tcPr>
          <w:p w:rsidR="005D3225" w:rsidRPr="003F1F6C" w:rsidRDefault="005D3225" w:rsidP="00C44233">
            <w:pPr>
              <w:pStyle w:val="TableText"/>
              <w:keepNext w:val="0"/>
              <w:jc w:val="left"/>
            </w:pPr>
            <w:r w:rsidRPr="003F1F6C">
              <w:t>Disutility values associated with progression</w:t>
            </w:r>
          </w:p>
        </w:tc>
        <w:tc>
          <w:tcPr>
            <w:tcW w:w="2966" w:type="pct"/>
            <w:shd w:val="clear" w:color="auto" w:fill="auto"/>
          </w:tcPr>
          <w:p w:rsidR="005D3225" w:rsidRPr="003F1F6C" w:rsidRDefault="005D3225" w:rsidP="00852CB7">
            <w:pPr>
              <w:pStyle w:val="TableText"/>
              <w:keepNext w:val="0"/>
              <w:jc w:val="left"/>
            </w:pPr>
            <w:r w:rsidRPr="003F1F6C">
              <w:t>Utilities for stable and progressive disease states based on a published utility study (</w:t>
            </w:r>
            <w:proofErr w:type="spellStart"/>
            <w:r w:rsidRPr="003F1F6C">
              <w:t>Swinburn</w:t>
            </w:r>
            <w:proofErr w:type="spellEnd"/>
            <w:r w:rsidRPr="003F1F6C">
              <w:t xml:space="preserve"> et al 2012).</w:t>
            </w:r>
          </w:p>
          <w:p w:rsidR="005D3225" w:rsidRPr="003F1F6C" w:rsidRDefault="005D3225" w:rsidP="00BF31EB">
            <w:pPr>
              <w:pStyle w:val="TableText"/>
              <w:keepNext w:val="0"/>
              <w:jc w:val="left"/>
            </w:pPr>
          </w:p>
          <w:p w:rsidR="005D3225" w:rsidRPr="003F1F6C" w:rsidRDefault="005D3225" w:rsidP="00CE5B76">
            <w:pPr>
              <w:pStyle w:val="TableText"/>
              <w:keepNext w:val="0"/>
              <w:jc w:val="left"/>
            </w:pPr>
            <w:r w:rsidRPr="003F1F6C">
              <w:rPr>
                <w:b/>
              </w:rPr>
              <w:t>ESC comment</w:t>
            </w:r>
            <w:r w:rsidRPr="003F1F6C">
              <w:t>: The ESC raised concerns that the claimed disutility for progression was not consistent with the trial, which show no difference in quality of life between treatments. The ESC considered that it would have been more appropriate to transform quality of life data from the trial (EORTC QLQ-C30) to utility values (EQ-5D) for stable and progressive disease.</w:t>
            </w:r>
            <w:r w:rsidR="000A453F" w:rsidRPr="003F1F6C">
              <w:t xml:space="preserve"> (</w:t>
            </w:r>
            <w:r w:rsidR="00F77260">
              <w:t xml:space="preserve">PSD </w:t>
            </w:r>
            <w:r w:rsidR="000A453F" w:rsidRPr="003F1F6C">
              <w:t>paragraph 6.3.7)</w:t>
            </w:r>
          </w:p>
        </w:tc>
        <w:tc>
          <w:tcPr>
            <w:tcW w:w="1394" w:type="pct"/>
            <w:shd w:val="clear" w:color="auto" w:fill="auto"/>
          </w:tcPr>
          <w:p w:rsidR="005D3225" w:rsidRPr="003F1F6C" w:rsidRDefault="005D3225" w:rsidP="00CE5B76">
            <w:pPr>
              <w:pStyle w:val="TableText"/>
              <w:keepNext w:val="0"/>
              <w:jc w:val="left"/>
            </w:pPr>
            <w:r w:rsidRPr="003F1F6C">
              <w:t>No change to base case analysis.</w:t>
            </w:r>
          </w:p>
          <w:p w:rsidR="005D3225" w:rsidRPr="003F1F6C" w:rsidRDefault="005D3225" w:rsidP="00CE5B76">
            <w:pPr>
              <w:pStyle w:val="TableText"/>
              <w:keepNext w:val="0"/>
              <w:jc w:val="left"/>
            </w:pPr>
          </w:p>
          <w:p w:rsidR="005D3225" w:rsidRPr="003F1F6C" w:rsidRDefault="005D3225" w:rsidP="00CE5B76">
            <w:pPr>
              <w:pStyle w:val="TableText"/>
              <w:keepNext w:val="0"/>
              <w:jc w:val="left"/>
            </w:pPr>
            <w:r w:rsidRPr="003F1F6C">
              <w:t>Presented a supportive analysis mapping quality of life data to utility values (QLU-C10D) for the stable disease state.</w:t>
            </w:r>
            <w:r w:rsidRPr="003F1F6C" w:rsidDel="00F32040">
              <w:t xml:space="preserve"> </w:t>
            </w:r>
          </w:p>
        </w:tc>
      </w:tr>
      <w:tr w:rsidR="005D3225" w:rsidRPr="003F1F6C" w:rsidTr="00C4021F">
        <w:trPr>
          <w:cantSplit/>
        </w:trPr>
        <w:tc>
          <w:tcPr>
            <w:tcW w:w="640" w:type="pct"/>
            <w:shd w:val="clear" w:color="auto" w:fill="auto"/>
          </w:tcPr>
          <w:p w:rsidR="005D3225" w:rsidRPr="003F1F6C" w:rsidRDefault="005D3225" w:rsidP="00C44233">
            <w:pPr>
              <w:pStyle w:val="TableText"/>
              <w:keepNext w:val="0"/>
              <w:jc w:val="left"/>
            </w:pPr>
            <w:r w:rsidRPr="003F1F6C">
              <w:t xml:space="preserve">Post-progression treatments (including </w:t>
            </w:r>
            <w:proofErr w:type="spellStart"/>
            <w:r w:rsidRPr="003F1F6C">
              <w:t>lanreotide</w:t>
            </w:r>
            <w:proofErr w:type="spellEnd"/>
            <w:r w:rsidRPr="003F1F6C">
              <w:t>)</w:t>
            </w:r>
          </w:p>
        </w:tc>
        <w:tc>
          <w:tcPr>
            <w:tcW w:w="2966" w:type="pct"/>
            <w:shd w:val="clear" w:color="auto" w:fill="auto"/>
          </w:tcPr>
          <w:p w:rsidR="005D3225" w:rsidRPr="003F1F6C" w:rsidRDefault="005D3225" w:rsidP="00852CB7">
            <w:pPr>
              <w:pStyle w:val="TableText"/>
              <w:keepNext w:val="0"/>
              <w:jc w:val="left"/>
            </w:pPr>
            <w:r w:rsidRPr="003F1F6C">
              <w:t>Utilisation estimates primarily based on a published pattern-of care study (</w:t>
            </w:r>
            <w:proofErr w:type="spellStart"/>
            <w:r w:rsidRPr="003F1F6C">
              <w:t>Casciano</w:t>
            </w:r>
            <w:proofErr w:type="spellEnd"/>
            <w:r w:rsidRPr="003F1F6C">
              <w:t xml:space="preserve"> et al 2013).  Assumed all patients in both treatment arms use </w:t>
            </w:r>
            <w:proofErr w:type="spellStart"/>
            <w:r w:rsidRPr="003F1F6C">
              <w:t>lanreotide</w:t>
            </w:r>
            <w:proofErr w:type="spellEnd"/>
            <w:r w:rsidRPr="003F1F6C">
              <w:t xml:space="preserve"> post-progression.</w:t>
            </w:r>
          </w:p>
          <w:p w:rsidR="005D3225" w:rsidRPr="003F1F6C" w:rsidRDefault="005D3225" w:rsidP="00BF31EB">
            <w:pPr>
              <w:pStyle w:val="TableText"/>
              <w:keepNext w:val="0"/>
              <w:jc w:val="left"/>
            </w:pPr>
          </w:p>
          <w:p w:rsidR="005D3225" w:rsidRPr="003F1F6C" w:rsidRDefault="005D3225" w:rsidP="00CE5B76">
            <w:pPr>
              <w:pStyle w:val="TableText"/>
              <w:keepNext w:val="0"/>
              <w:jc w:val="left"/>
            </w:pPr>
            <w:r w:rsidRPr="003F1F6C">
              <w:t xml:space="preserve">Assumed a 5% utility loss associated with post-progression treatments (except </w:t>
            </w:r>
            <w:proofErr w:type="spellStart"/>
            <w:r w:rsidRPr="003F1F6C">
              <w:t>lanreotide</w:t>
            </w:r>
            <w:proofErr w:type="spellEnd"/>
            <w:r w:rsidRPr="003F1F6C">
              <w:t>) due to adverse events.</w:t>
            </w:r>
          </w:p>
          <w:p w:rsidR="005D3225" w:rsidRPr="003F1F6C" w:rsidRDefault="005D3225" w:rsidP="00CE5B76">
            <w:pPr>
              <w:pStyle w:val="TableText"/>
              <w:keepNext w:val="0"/>
              <w:jc w:val="left"/>
            </w:pPr>
          </w:p>
          <w:p w:rsidR="005D3225" w:rsidRPr="003F1F6C" w:rsidRDefault="005D3225" w:rsidP="00CE5B76">
            <w:pPr>
              <w:pStyle w:val="TableText"/>
              <w:keepNext w:val="0"/>
              <w:jc w:val="left"/>
            </w:pPr>
            <w:r w:rsidRPr="003F1F6C">
              <w:rPr>
                <w:b/>
              </w:rPr>
              <w:t>PBAC comment</w:t>
            </w:r>
            <w:r w:rsidRPr="003F1F6C">
              <w:t xml:space="preserve">: The PBAC noted that the model assumed the same post-progression treatment patterns for both treatment arms, with all patients receiving </w:t>
            </w:r>
            <w:proofErr w:type="spellStart"/>
            <w:r w:rsidRPr="003F1F6C">
              <w:t>lanreotide</w:t>
            </w:r>
            <w:proofErr w:type="spellEnd"/>
            <w:r w:rsidRPr="003F1F6C">
              <w:t xml:space="preserve"> and some patients also receiving a single one-off cost for other post-progression treatments. The PBAC agreed with the ESC that it would have been more appropriate to have differential use of </w:t>
            </w:r>
            <w:proofErr w:type="spellStart"/>
            <w:r w:rsidRPr="003F1F6C">
              <w:t>lanreotide</w:t>
            </w:r>
            <w:proofErr w:type="spellEnd"/>
            <w:r w:rsidRPr="003F1F6C">
              <w:t xml:space="preserve"> between treatment arms given that the requested restriction for </w:t>
            </w:r>
            <w:proofErr w:type="spellStart"/>
            <w:r w:rsidRPr="003F1F6C">
              <w:t>lanreotide</w:t>
            </w:r>
            <w:proofErr w:type="spellEnd"/>
            <w:r w:rsidRPr="003F1F6C">
              <w:t xml:space="preserve"> would allow post-progression treatment which is otherwise not PBS subsidised for non-functional GEP-NETs.</w:t>
            </w:r>
            <w:r w:rsidR="00FE094E" w:rsidRPr="003F1F6C">
              <w:t xml:space="preserve"> (</w:t>
            </w:r>
            <w:r w:rsidR="00F77260">
              <w:t xml:space="preserve">PSD </w:t>
            </w:r>
            <w:r w:rsidR="00FE094E" w:rsidRPr="003F1F6C">
              <w:t>paragraph 7.12)</w:t>
            </w:r>
          </w:p>
        </w:tc>
        <w:tc>
          <w:tcPr>
            <w:tcW w:w="1394" w:type="pct"/>
            <w:shd w:val="clear" w:color="auto" w:fill="auto"/>
          </w:tcPr>
          <w:p w:rsidR="005D3225" w:rsidRPr="003F1F6C" w:rsidRDefault="005D3225" w:rsidP="00CE5B76">
            <w:pPr>
              <w:pStyle w:val="TableText"/>
              <w:keepNext w:val="0"/>
              <w:jc w:val="left"/>
            </w:pPr>
            <w:r w:rsidRPr="003F1F6C">
              <w:t xml:space="preserve">Utilisation estimates based on post-progression treatment pathways sourced from a clinician survey. Differential utilisation of </w:t>
            </w:r>
            <w:proofErr w:type="spellStart"/>
            <w:r w:rsidRPr="003F1F6C">
              <w:t>lanreotide</w:t>
            </w:r>
            <w:proofErr w:type="spellEnd"/>
            <w:r w:rsidRPr="003F1F6C">
              <w:t xml:space="preserve"> applied in post-progression.</w:t>
            </w:r>
          </w:p>
          <w:p w:rsidR="005D3225" w:rsidRPr="003F1F6C" w:rsidRDefault="005D3225" w:rsidP="00CE5B76">
            <w:pPr>
              <w:pStyle w:val="TableText"/>
              <w:keepNext w:val="0"/>
              <w:jc w:val="left"/>
            </w:pPr>
          </w:p>
          <w:p w:rsidR="005D3225" w:rsidRPr="003F1F6C" w:rsidRDefault="005D3225" w:rsidP="00CE5B76">
            <w:pPr>
              <w:pStyle w:val="TableText"/>
              <w:keepNext w:val="0"/>
              <w:jc w:val="left"/>
            </w:pPr>
            <w:r w:rsidRPr="003F1F6C">
              <w:t>Assumed no utility loss associated with post-progression treatments due to adverse events.</w:t>
            </w:r>
          </w:p>
        </w:tc>
      </w:tr>
      <w:tr w:rsidR="005D3225" w:rsidRPr="003F1F6C" w:rsidTr="00C4021F">
        <w:trPr>
          <w:cantSplit/>
        </w:trPr>
        <w:tc>
          <w:tcPr>
            <w:tcW w:w="640" w:type="pct"/>
            <w:shd w:val="clear" w:color="auto" w:fill="auto"/>
          </w:tcPr>
          <w:p w:rsidR="005D3225" w:rsidRPr="003F1F6C" w:rsidRDefault="005D3225" w:rsidP="00C44233">
            <w:pPr>
              <w:pStyle w:val="TableText"/>
              <w:keepNext w:val="0"/>
              <w:jc w:val="left"/>
            </w:pPr>
            <w:r w:rsidRPr="003F1F6C">
              <w:t>Modelled economic results</w:t>
            </w:r>
          </w:p>
        </w:tc>
        <w:tc>
          <w:tcPr>
            <w:tcW w:w="2966" w:type="pct"/>
            <w:shd w:val="clear" w:color="auto" w:fill="auto"/>
          </w:tcPr>
          <w:p w:rsidR="005D3225" w:rsidRPr="003F1F6C" w:rsidRDefault="005D3225" w:rsidP="00852CB7">
            <w:pPr>
              <w:pStyle w:val="TableText"/>
              <w:keepNext w:val="0"/>
              <w:jc w:val="left"/>
            </w:pPr>
            <w:r w:rsidRPr="003F1F6C">
              <w:t xml:space="preserve">Treatment with </w:t>
            </w:r>
            <w:proofErr w:type="spellStart"/>
            <w:r w:rsidRPr="003F1F6C">
              <w:t>lanreotide</w:t>
            </w:r>
            <w:proofErr w:type="spellEnd"/>
            <w:r w:rsidRPr="003F1F6C">
              <w:t xml:space="preserve"> was associated with a cost per QALY gained of </w:t>
            </w:r>
            <w:r w:rsidR="00A90D25">
              <w:t>$45,000</w:t>
            </w:r>
            <w:r w:rsidR="00A90D25" w:rsidRPr="00A90D25">
              <w:t>– $75,000</w:t>
            </w:r>
            <w:r w:rsidR="00A90D25">
              <w:t xml:space="preserve"> </w:t>
            </w:r>
            <w:r w:rsidRPr="003F1F6C">
              <w:t xml:space="preserve">compared to watchful waiting [corrected to </w:t>
            </w:r>
            <w:r w:rsidR="00A90D25">
              <w:t>$75,000</w:t>
            </w:r>
            <w:r w:rsidR="00A90D25" w:rsidRPr="00A90D25">
              <w:t xml:space="preserve"> – $105,000</w:t>
            </w:r>
            <w:r w:rsidR="00A90D25">
              <w:t xml:space="preserve">QALY </w:t>
            </w:r>
            <w:r w:rsidRPr="003F1F6C">
              <w:t>due to calculation errors in post-progression treatment utilities and costs]</w:t>
            </w:r>
          </w:p>
          <w:p w:rsidR="005D3225" w:rsidRPr="003F1F6C" w:rsidRDefault="005D3225" w:rsidP="00BF31EB">
            <w:pPr>
              <w:pStyle w:val="TableText"/>
              <w:keepNext w:val="0"/>
              <w:jc w:val="left"/>
            </w:pPr>
          </w:p>
          <w:p w:rsidR="005D3225" w:rsidRPr="003F1F6C" w:rsidRDefault="005D3225" w:rsidP="00CE5B76">
            <w:pPr>
              <w:pStyle w:val="TableText"/>
              <w:keepNext w:val="0"/>
              <w:jc w:val="left"/>
            </w:pPr>
            <w:r w:rsidRPr="003F1F6C">
              <w:rPr>
                <w:b/>
              </w:rPr>
              <w:t>PBAC comment</w:t>
            </w:r>
            <w:r w:rsidRPr="003F1F6C">
              <w:t xml:space="preserve">: </w:t>
            </w:r>
            <w:r w:rsidR="00FE094E" w:rsidRPr="003F1F6C">
              <w:t>T</w:t>
            </w:r>
            <w:r w:rsidRPr="003F1F6C">
              <w:t xml:space="preserve">he PBAC considered that a resubmission should present a revised base case ICER of no more than </w:t>
            </w:r>
            <w:r w:rsidR="00A90D25" w:rsidRPr="00A90D25">
              <w:t>$15,</w:t>
            </w:r>
            <w:r w:rsidR="00A90D25">
              <w:t>000</w:t>
            </w:r>
            <w:r w:rsidR="00A90D25" w:rsidRPr="00A90D25">
              <w:t xml:space="preserve"> - $45,000</w:t>
            </w:r>
            <w:r w:rsidR="00A90D25">
              <w:t xml:space="preserve"> </w:t>
            </w:r>
            <w:r w:rsidRPr="003F1F6C">
              <w:t>per QALY gained</w:t>
            </w:r>
            <w:r w:rsidR="00FE094E" w:rsidRPr="003F1F6C">
              <w:t>. (</w:t>
            </w:r>
            <w:r w:rsidR="00F77260">
              <w:t xml:space="preserve">PSD </w:t>
            </w:r>
            <w:r w:rsidR="00FE094E" w:rsidRPr="003F1F6C">
              <w:t>paragraph 7.15)</w:t>
            </w:r>
          </w:p>
        </w:tc>
        <w:tc>
          <w:tcPr>
            <w:tcW w:w="1394" w:type="pct"/>
            <w:shd w:val="clear" w:color="auto" w:fill="auto"/>
          </w:tcPr>
          <w:p w:rsidR="005D3225" w:rsidRPr="003F1F6C" w:rsidRDefault="005D3225" w:rsidP="00CE5B76">
            <w:pPr>
              <w:pStyle w:val="TableText"/>
              <w:keepNext w:val="0"/>
              <w:jc w:val="left"/>
            </w:pPr>
            <w:r w:rsidRPr="003F1F6C">
              <w:t xml:space="preserve">Treatment with </w:t>
            </w:r>
            <w:proofErr w:type="spellStart"/>
            <w:r w:rsidRPr="003F1F6C">
              <w:t>lanreotide</w:t>
            </w:r>
            <w:proofErr w:type="spellEnd"/>
            <w:r w:rsidRPr="003F1F6C">
              <w:t xml:space="preserve"> was associated with a cost per QALY gained of </w:t>
            </w:r>
            <w:r w:rsidR="00A90D25" w:rsidRPr="00A90D25">
              <w:t xml:space="preserve">$15,000 - $45,000 </w:t>
            </w:r>
            <w:r w:rsidRPr="003F1F6C">
              <w:t xml:space="preserve">compared to watchful waiting [corrected to </w:t>
            </w:r>
            <w:r w:rsidR="00A90D25" w:rsidRPr="00A90D25">
              <w:t>less than $15,000 per QALY</w:t>
            </w:r>
            <w:r w:rsidRPr="003F1F6C">
              <w:t>].</w:t>
            </w:r>
          </w:p>
        </w:tc>
      </w:tr>
      <w:tr w:rsidR="005D3225" w:rsidRPr="003F1F6C" w:rsidTr="00C4021F">
        <w:trPr>
          <w:cantSplit/>
        </w:trPr>
        <w:tc>
          <w:tcPr>
            <w:tcW w:w="640" w:type="pct"/>
            <w:shd w:val="clear" w:color="auto" w:fill="auto"/>
          </w:tcPr>
          <w:p w:rsidR="005D3225" w:rsidRPr="003F1F6C" w:rsidRDefault="005D3225" w:rsidP="00C44233">
            <w:pPr>
              <w:pStyle w:val="TableText"/>
              <w:keepNext w:val="0"/>
              <w:jc w:val="left"/>
            </w:pPr>
            <w:r w:rsidRPr="003F1F6C">
              <w:t>Budget impact estimates</w:t>
            </w:r>
          </w:p>
        </w:tc>
        <w:tc>
          <w:tcPr>
            <w:tcW w:w="2966" w:type="pct"/>
            <w:shd w:val="clear" w:color="auto" w:fill="auto"/>
          </w:tcPr>
          <w:p w:rsidR="005D3225" w:rsidRPr="003F1F6C" w:rsidRDefault="005D3225" w:rsidP="00852CB7">
            <w:pPr>
              <w:pStyle w:val="TableText"/>
              <w:keepNext w:val="0"/>
              <w:jc w:val="left"/>
            </w:pPr>
            <w:r w:rsidRPr="003F1F6C">
              <w:t xml:space="preserve">An epidemiological approach was used to estimate utilisation as a first-line and ongoing treatment in the incident PBS population (GEP-NETs unsuitable for watchful waiting). The estimated cumulative net cost over five years was </w:t>
            </w:r>
            <w:r w:rsidR="00A53D31" w:rsidRPr="00A53D31">
              <w:t>$30 – $60 million</w:t>
            </w:r>
            <w:r w:rsidR="00A53D31">
              <w:t>.</w:t>
            </w:r>
          </w:p>
          <w:p w:rsidR="005D3225" w:rsidRPr="003F1F6C" w:rsidRDefault="005D3225" w:rsidP="00BF31EB">
            <w:pPr>
              <w:pStyle w:val="TableText"/>
              <w:keepNext w:val="0"/>
              <w:jc w:val="left"/>
            </w:pPr>
          </w:p>
          <w:p w:rsidR="005D3225" w:rsidRPr="003F1F6C" w:rsidRDefault="005D3225" w:rsidP="00CE5B76">
            <w:pPr>
              <w:pStyle w:val="TableText"/>
              <w:keepNext w:val="0"/>
              <w:jc w:val="left"/>
            </w:pPr>
            <w:r w:rsidRPr="003F1F6C">
              <w:rPr>
                <w:b/>
              </w:rPr>
              <w:t>PBAC comment</w:t>
            </w:r>
            <w:r w:rsidRPr="003F1F6C">
              <w:t xml:space="preserve">: The PBAC considered that the estimated utilisation and financial implications were highly uncertain. The estimates did not account for treatment of prevalent patients (diagnosed prior to Year 1 of listing). Assumptions regarding estimated uptake rates and adherence patterns were also uncertain. The PBAC noted that the resubmission did not assess the budget impact on other treatments (subsidised use of somatostatin analogues outside of restriction, use of downstream treatments such as </w:t>
            </w:r>
            <w:proofErr w:type="spellStart"/>
            <w:r w:rsidRPr="003F1F6C">
              <w:t>sunitinib</w:t>
            </w:r>
            <w:proofErr w:type="spellEnd"/>
            <w:r w:rsidRPr="003F1F6C">
              <w:t xml:space="preserve"> and </w:t>
            </w:r>
            <w:proofErr w:type="spellStart"/>
            <w:r w:rsidRPr="003F1F6C">
              <w:t>everolimus</w:t>
            </w:r>
            <w:proofErr w:type="spellEnd"/>
            <w:r w:rsidRPr="003F1F6C">
              <w:t>).</w:t>
            </w:r>
            <w:r w:rsidR="00FE094E" w:rsidRPr="003F1F6C">
              <w:t xml:space="preserve"> (</w:t>
            </w:r>
            <w:r w:rsidR="00F77260">
              <w:t xml:space="preserve">PSD </w:t>
            </w:r>
            <w:r w:rsidR="00FE094E" w:rsidRPr="003F1F6C">
              <w:t>paragraph 7.14)</w:t>
            </w:r>
          </w:p>
        </w:tc>
        <w:tc>
          <w:tcPr>
            <w:tcW w:w="1394" w:type="pct"/>
            <w:shd w:val="clear" w:color="auto" w:fill="auto"/>
          </w:tcPr>
          <w:p w:rsidR="005D3225" w:rsidRPr="003F1F6C" w:rsidRDefault="005D3225" w:rsidP="00CE5B76">
            <w:pPr>
              <w:pStyle w:val="TableText"/>
              <w:keepNext w:val="0"/>
              <w:jc w:val="left"/>
            </w:pPr>
            <w:r w:rsidRPr="003F1F6C">
              <w:t xml:space="preserve">An epidemiological approach was used to estimate utilisation in the prevalent PBS population (GEP-NETs). The estimated cumulative net cost over five years was </w:t>
            </w:r>
            <w:r w:rsidR="00A53D31" w:rsidRPr="00A53D31">
              <w:t>$60 – $100 million</w:t>
            </w:r>
            <w:r w:rsidRPr="003F1F6C">
              <w:t>.</w:t>
            </w:r>
          </w:p>
        </w:tc>
      </w:tr>
      <w:tr w:rsidR="005D3225" w:rsidRPr="003F1F6C" w:rsidTr="00C4021F">
        <w:trPr>
          <w:cantSplit/>
        </w:trPr>
        <w:tc>
          <w:tcPr>
            <w:tcW w:w="640" w:type="pct"/>
            <w:shd w:val="clear" w:color="auto" w:fill="auto"/>
          </w:tcPr>
          <w:p w:rsidR="005D3225" w:rsidRPr="003F1F6C" w:rsidRDefault="005D3225" w:rsidP="00C44233">
            <w:pPr>
              <w:pStyle w:val="TableText"/>
              <w:keepNext w:val="0"/>
              <w:jc w:val="left"/>
            </w:pPr>
            <w:r w:rsidRPr="003F1F6C">
              <w:t>Risk share arrangements</w:t>
            </w:r>
          </w:p>
        </w:tc>
        <w:tc>
          <w:tcPr>
            <w:tcW w:w="2966" w:type="pct"/>
            <w:shd w:val="clear" w:color="auto" w:fill="auto"/>
          </w:tcPr>
          <w:p w:rsidR="005D3225" w:rsidRPr="003F1F6C" w:rsidRDefault="005D3225" w:rsidP="00852CB7">
            <w:pPr>
              <w:pStyle w:val="TableText"/>
              <w:keepNext w:val="0"/>
              <w:jc w:val="left"/>
            </w:pPr>
            <w:r w:rsidRPr="003F1F6C">
              <w:t xml:space="preserve">No risk sharing arrangement proposed in submission but sponsor suggested a rebate of </w:t>
            </w:r>
            <w:r w:rsidR="00D2014F">
              <w:rPr>
                <w:noProof/>
                <w:color w:val="000000"/>
                <w:highlight w:val="black"/>
              </w:rPr>
              <w:t>''''''''</w:t>
            </w:r>
            <w:r w:rsidRPr="003F1F6C">
              <w:t xml:space="preserve">% of the cost of </w:t>
            </w:r>
            <w:proofErr w:type="spellStart"/>
            <w:r w:rsidRPr="003F1F6C">
              <w:t>lanreotide</w:t>
            </w:r>
            <w:proofErr w:type="spellEnd"/>
            <w:r w:rsidRPr="003F1F6C">
              <w:t xml:space="preserve"> beyond </w:t>
            </w:r>
            <w:r w:rsidR="007F30E5" w:rsidRPr="007F30E5">
              <w:t xml:space="preserve">$20 – $30 million </w:t>
            </w:r>
            <w:r w:rsidRPr="003F1F6C">
              <w:t>in any given year (over the first five years of listing) in pre-PBAC correspondence</w:t>
            </w:r>
          </w:p>
          <w:p w:rsidR="005D3225" w:rsidRPr="003F1F6C" w:rsidRDefault="005D3225" w:rsidP="00BF31EB">
            <w:pPr>
              <w:pStyle w:val="TableText"/>
              <w:keepNext w:val="0"/>
              <w:jc w:val="left"/>
            </w:pPr>
          </w:p>
          <w:p w:rsidR="005D3225" w:rsidRPr="003F1F6C" w:rsidRDefault="005D3225" w:rsidP="00CE5B76">
            <w:pPr>
              <w:pStyle w:val="TableText"/>
              <w:keepNext w:val="0"/>
              <w:jc w:val="left"/>
            </w:pPr>
            <w:r w:rsidRPr="003F1F6C">
              <w:rPr>
                <w:b/>
              </w:rPr>
              <w:t>PBAC comment</w:t>
            </w:r>
            <w:r w:rsidRPr="003F1F6C">
              <w:t>: The PBAC also considered that a risk sharing arrangement would be appropriate to mitigate the risk of high total cost to government.</w:t>
            </w:r>
            <w:r w:rsidR="00FE094E" w:rsidRPr="003F1F6C">
              <w:t xml:space="preserve"> (</w:t>
            </w:r>
            <w:r w:rsidR="00F77260">
              <w:t xml:space="preserve">PSD </w:t>
            </w:r>
            <w:r w:rsidR="00FE094E" w:rsidRPr="003F1F6C">
              <w:t>paragraph 7.15)</w:t>
            </w:r>
          </w:p>
        </w:tc>
        <w:tc>
          <w:tcPr>
            <w:tcW w:w="1394" w:type="pct"/>
            <w:shd w:val="clear" w:color="auto" w:fill="auto"/>
          </w:tcPr>
          <w:p w:rsidR="005D3225" w:rsidRPr="003F1F6C" w:rsidRDefault="005D3225" w:rsidP="00CE5B76">
            <w:pPr>
              <w:pStyle w:val="TableText"/>
              <w:keepNext w:val="0"/>
              <w:jc w:val="left"/>
            </w:pPr>
            <w:r w:rsidRPr="003F1F6C">
              <w:t>Proposed a risk share arrangement where an annual cap is applied (at an amount to be determined), with a percentage rebate for the expenditure above that amount, on an annual basis.</w:t>
            </w:r>
          </w:p>
        </w:tc>
      </w:tr>
    </w:tbl>
    <w:p w:rsidR="00F8170C" w:rsidRDefault="00F8170C" w:rsidP="002557D4">
      <w:pPr>
        <w:pStyle w:val="TableFooter"/>
        <w:widowControl/>
      </w:pPr>
      <w:bookmarkStart w:id="10" w:name="_Toc476306884"/>
      <w:r w:rsidRPr="003F1F6C">
        <w:t xml:space="preserve">Paragraph references refer to the November 2016 </w:t>
      </w:r>
      <w:proofErr w:type="spellStart"/>
      <w:r w:rsidRPr="003F1F6C">
        <w:t>lanreotide</w:t>
      </w:r>
      <w:proofErr w:type="spellEnd"/>
      <w:r w:rsidRPr="003F1F6C">
        <w:t xml:space="preserve"> PSD.</w:t>
      </w:r>
    </w:p>
    <w:p w:rsidR="0075028D" w:rsidRDefault="0075028D" w:rsidP="002557D4">
      <w:pPr>
        <w:pStyle w:val="TableFooter"/>
        <w:widowControl/>
      </w:pPr>
    </w:p>
    <w:p w:rsidR="0075028D" w:rsidRPr="003F1F6C" w:rsidRDefault="0075028D" w:rsidP="002557D4">
      <w:pPr>
        <w:pStyle w:val="TableFooter"/>
        <w:widowControl/>
        <w:ind w:firstLine="567"/>
      </w:pPr>
      <w:r w:rsidRPr="002557D4">
        <w:rPr>
          <w:rFonts w:ascii="Calibri" w:hAnsi="Calibri" w:cs="Times New Roman"/>
          <w:i/>
          <w:snapToGrid/>
          <w:sz w:val="24"/>
          <w:szCs w:val="24"/>
        </w:rPr>
        <w:t>For more detail on PBAC’s view, see section 7 “PBAC outcome.”</w:t>
      </w:r>
    </w:p>
    <w:p w:rsidR="005D3225" w:rsidRPr="003F1F6C" w:rsidRDefault="005D3225" w:rsidP="00C44233">
      <w:pPr>
        <w:pStyle w:val="Heading1"/>
      </w:pPr>
      <w:bookmarkStart w:id="11" w:name="_Toc482193590"/>
      <w:r w:rsidRPr="003F1F6C">
        <w:t>Population and disease</w:t>
      </w:r>
      <w:bookmarkEnd w:id="10"/>
      <w:bookmarkEnd w:id="11"/>
    </w:p>
    <w:p w:rsidR="007A5C2A" w:rsidRPr="007A5C2A" w:rsidRDefault="007A5C2A" w:rsidP="007A5C2A">
      <w:pPr>
        <w:pStyle w:val="ListParagraph"/>
        <w:numPr>
          <w:ilvl w:val="0"/>
          <w:numId w:val="12"/>
        </w:numPr>
        <w:spacing w:before="0" w:after="120"/>
        <w:contextualSpacing w:val="0"/>
        <w:rPr>
          <w:vanish/>
        </w:rPr>
      </w:pPr>
    </w:p>
    <w:p w:rsidR="007A5C2A" w:rsidRPr="007A5C2A" w:rsidRDefault="007A5C2A" w:rsidP="007A5C2A">
      <w:pPr>
        <w:pStyle w:val="ListParagraph"/>
        <w:numPr>
          <w:ilvl w:val="0"/>
          <w:numId w:val="12"/>
        </w:numPr>
        <w:spacing w:before="0" w:after="120"/>
        <w:contextualSpacing w:val="0"/>
        <w:rPr>
          <w:vanish/>
        </w:rPr>
      </w:pPr>
    </w:p>
    <w:p w:rsidR="007A5C2A" w:rsidRPr="007A5C2A" w:rsidRDefault="007A5C2A" w:rsidP="007A5C2A">
      <w:pPr>
        <w:pStyle w:val="ListParagraph"/>
        <w:numPr>
          <w:ilvl w:val="0"/>
          <w:numId w:val="12"/>
        </w:numPr>
        <w:spacing w:before="0" w:after="120"/>
        <w:contextualSpacing w:val="0"/>
        <w:rPr>
          <w:vanish/>
        </w:rPr>
      </w:pPr>
    </w:p>
    <w:p w:rsidR="005D3225" w:rsidRPr="000D028E" w:rsidRDefault="005D3225" w:rsidP="007A5C2A">
      <w:pPr>
        <w:pStyle w:val="ESnumberedpara"/>
      </w:pPr>
      <w:r w:rsidRPr="000D028E">
        <w:t>GEP-NETs represent a highly diverse group of tumours originating from neuroendocrine cells with varying symptoms and prognosis. A major classification feature is based on the presence (functional) or absence (non-functional) of hormonal symptoms. However, all GEP-NETs regardless of functional status have the potential to directly (through tumour load) or indirectly (through metastases</w:t>
      </w:r>
      <w:r w:rsidR="00440EE3" w:rsidRPr="000D028E">
        <w:t>) cause non-hormonal symptoms.</w:t>
      </w:r>
    </w:p>
    <w:p w:rsidR="001A09B0" w:rsidRPr="000D028E" w:rsidRDefault="001A09B0" w:rsidP="00CE5B76">
      <w:pPr>
        <w:pStyle w:val="ESnumberedpara"/>
        <w:ind w:left="567" w:hanging="567"/>
      </w:pPr>
      <w:r w:rsidRPr="000D028E">
        <w:t>Clinical presentation depends on the site of the primary tumour, location of metastases and the presence of hormonal symptoms. GEP-NETs are generally considered as a relatively indolent (</w:t>
      </w:r>
      <w:r w:rsidR="00E63537" w:rsidRPr="000D028E">
        <w:t>i.e.</w:t>
      </w:r>
      <w:r w:rsidRPr="000D028E">
        <w:t xml:space="preserve"> slow-growing) tumour with most patients having non-functional disease and presenting later in the disease course with symptoms due to mass effect or metastases.</w:t>
      </w:r>
    </w:p>
    <w:p w:rsidR="001A09B0" w:rsidRPr="000D028E" w:rsidRDefault="00842D79" w:rsidP="00CE5B76">
      <w:pPr>
        <w:pStyle w:val="ESnumberedpara"/>
        <w:ind w:left="567" w:hanging="567"/>
      </w:pPr>
      <w:r w:rsidRPr="000D028E">
        <w:t xml:space="preserve">The resubmission raised concerns that the PBAC </w:t>
      </w:r>
      <w:r w:rsidR="0085128C">
        <w:t>has previously</w:t>
      </w:r>
      <w:r w:rsidRPr="000D028E">
        <w:t xml:space="preserve"> inappropriately assum</w:t>
      </w:r>
      <w:r w:rsidR="0085128C">
        <w:t>ed</w:t>
      </w:r>
      <w:r w:rsidRPr="000D028E">
        <w:t xml:space="preserve"> that non-functional tumours are asymptomatic. </w:t>
      </w:r>
      <w:r w:rsidR="001A09B0" w:rsidRPr="000D028E">
        <w:t xml:space="preserve">The </w:t>
      </w:r>
      <w:r w:rsidR="000D0509" w:rsidRPr="000D028E">
        <w:t xml:space="preserve">ESC noted that the </w:t>
      </w:r>
      <w:r w:rsidR="001A09B0" w:rsidRPr="000D028E">
        <w:t xml:space="preserve">PBAC has previously </w:t>
      </w:r>
      <w:r w:rsidR="000D0509" w:rsidRPr="000D028E">
        <w:t xml:space="preserve">stated </w:t>
      </w:r>
      <w:r w:rsidR="001A09B0" w:rsidRPr="000D028E">
        <w:t xml:space="preserve">that non-functional tumours can be symptomatic but questioned whether radiologic progression assessed in the trial </w:t>
      </w:r>
      <w:r w:rsidRPr="000D028E">
        <w:t xml:space="preserve">is necessarily </w:t>
      </w:r>
      <w:r w:rsidR="001A09B0" w:rsidRPr="000D028E">
        <w:t xml:space="preserve">associated with </w:t>
      </w:r>
      <w:r w:rsidRPr="000D028E">
        <w:t xml:space="preserve">a change in </w:t>
      </w:r>
      <w:r w:rsidR="001A09B0" w:rsidRPr="000D028E">
        <w:t xml:space="preserve">clinical symptoms (paragraph 7.8, November 2016 </w:t>
      </w:r>
      <w:proofErr w:type="spellStart"/>
      <w:r w:rsidR="00FE094E" w:rsidRPr="000D028E">
        <w:t>lanreotide</w:t>
      </w:r>
      <w:proofErr w:type="spellEnd"/>
      <w:r w:rsidR="00FE094E" w:rsidRPr="000D028E">
        <w:t xml:space="preserve"> </w:t>
      </w:r>
      <w:r w:rsidR="001A09B0" w:rsidRPr="000D028E">
        <w:t>PSD).</w:t>
      </w:r>
      <w:r w:rsidR="003740E9" w:rsidRPr="000D028E">
        <w:t xml:space="preserve"> </w:t>
      </w:r>
    </w:p>
    <w:p w:rsidR="005D3225" w:rsidRPr="000D028E" w:rsidRDefault="005D3225" w:rsidP="00CE5B76">
      <w:pPr>
        <w:pStyle w:val="ESnumberedpara"/>
        <w:ind w:left="567" w:hanging="567"/>
      </w:pPr>
      <w:r w:rsidRPr="000D028E">
        <w:t>The resubmission position</w:t>
      </w:r>
      <w:r w:rsidR="003312F6" w:rsidRPr="000D028E">
        <w:t>ed</w:t>
      </w:r>
      <w:r w:rsidRPr="000D028E">
        <w:t xml:space="preserve"> </w:t>
      </w:r>
      <w:proofErr w:type="spellStart"/>
      <w:r w:rsidRPr="000D028E">
        <w:t>lanreotide</w:t>
      </w:r>
      <w:proofErr w:type="spellEnd"/>
      <w:r w:rsidRPr="000D028E">
        <w:t xml:space="preserve"> as a first-line treatment alternative to ‘watchful waiting’ in patients with </w:t>
      </w:r>
      <w:proofErr w:type="spellStart"/>
      <w:r w:rsidRPr="000D028E">
        <w:t>unresectable</w:t>
      </w:r>
      <w:proofErr w:type="spellEnd"/>
      <w:r w:rsidRPr="000D028E">
        <w:t xml:space="preserve"> or metastatic </w:t>
      </w:r>
      <w:r w:rsidR="00371D55" w:rsidRPr="000D028E">
        <w:t xml:space="preserve">(WHO </w:t>
      </w:r>
      <w:r w:rsidRPr="000D028E">
        <w:t>Grade 1 or Grade</w:t>
      </w:r>
      <w:r w:rsidR="0085128C">
        <w:t> </w:t>
      </w:r>
      <w:r w:rsidRPr="000D028E">
        <w:t>2</w:t>
      </w:r>
      <w:r w:rsidR="00371D55" w:rsidRPr="000D028E">
        <w:t>)</w:t>
      </w:r>
      <w:r w:rsidRPr="000D028E">
        <w:t xml:space="preserve"> GEP-NETs.</w:t>
      </w:r>
    </w:p>
    <w:p w:rsidR="005D3225" w:rsidRDefault="005D3225" w:rsidP="00CE5B76">
      <w:pPr>
        <w:pStyle w:val="ESnumberedpara"/>
        <w:ind w:left="567" w:hanging="567"/>
      </w:pPr>
      <w:r w:rsidRPr="003F1F6C">
        <w:t xml:space="preserve">The resubmission also identified </w:t>
      </w:r>
      <w:proofErr w:type="spellStart"/>
      <w:r w:rsidRPr="003F1F6C">
        <w:t>lanreotide</w:t>
      </w:r>
      <w:proofErr w:type="spellEnd"/>
      <w:r w:rsidRPr="003F1F6C">
        <w:t xml:space="preserve"> (at higher dose or as part of combination therapy), </w:t>
      </w:r>
      <w:proofErr w:type="spellStart"/>
      <w:r w:rsidR="00C1746F" w:rsidRPr="003F1F6C">
        <w:t>sunitinib</w:t>
      </w:r>
      <w:proofErr w:type="spellEnd"/>
      <w:r w:rsidRPr="003F1F6C">
        <w:t xml:space="preserve">, </w:t>
      </w:r>
      <w:proofErr w:type="spellStart"/>
      <w:r w:rsidRPr="003F1F6C">
        <w:t>everolimus</w:t>
      </w:r>
      <w:proofErr w:type="spellEnd"/>
      <w:r w:rsidRPr="003F1F6C">
        <w:t xml:space="preserve">, peptide receptor radionuclide therapy, cytotoxic chemotherapy and surgery as potential second-line/post-progression treatment options in patients with non-functional GEP-NETs. </w:t>
      </w:r>
      <w:r w:rsidR="000938FE">
        <w:t>The downstream use of some post</w:t>
      </w:r>
      <w:r w:rsidR="000938FE">
        <w:noBreakHyphen/>
      </w:r>
      <w:r w:rsidRPr="003F1F6C">
        <w:t xml:space="preserve">progression treatments was inconsistent with clinical guidelines and/or existing PBS listings. </w:t>
      </w:r>
    </w:p>
    <w:p w:rsidR="0075028D" w:rsidRPr="003F1F6C" w:rsidRDefault="0075028D" w:rsidP="00CE5B76">
      <w:pPr>
        <w:pStyle w:val="ESnumberedparablue"/>
        <w:numPr>
          <w:ilvl w:val="0"/>
          <w:numId w:val="0"/>
        </w:numPr>
        <w:ind w:left="720" w:hanging="153"/>
        <w:rPr>
          <w:color w:val="auto"/>
        </w:rPr>
      </w:pPr>
      <w:r w:rsidRPr="002557D4">
        <w:rPr>
          <w:rFonts w:eastAsia="Times New Roman" w:cs="Times New Roman"/>
          <w:i/>
          <w:color w:val="auto"/>
          <w:szCs w:val="24"/>
        </w:rPr>
        <w:t>For more detail on PBAC’s view, see section 7 “PBAC outcome.”</w:t>
      </w:r>
    </w:p>
    <w:p w:rsidR="005D3225" w:rsidRPr="0076107B" w:rsidRDefault="005D3225" w:rsidP="00CE5B76">
      <w:pPr>
        <w:pStyle w:val="Heading1"/>
      </w:pPr>
      <w:bookmarkStart w:id="12" w:name="_Toc413139275"/>
      <w:bookmarkStart w:id="13" w:name="_Toc476306885"/>
      <w:bookmarkStart w:id="14" w:name="_Toc482193591"/>
      <w:r w:rsidRPr="0076107B">
        <w:t>Comparator</w:t>
      </w:r>
      <w:bookmarkEnd w:id="12"/>
      <w:bookmarkEnd w:id="13"/>
      <w:bookmarkEnd w:id="14"/>
    </w:p>
    <w:p w:rsidR="007A5C2A" w:rsidRPr="007A5C2A" w:rsidRDefault="007A5C2A" w:rsidP="007A5C2A">
      <w:pPr>
        <w:pStyle w:val="ListParagraph"/>
        <w:numPr>
          <w:ilvl w:val="0"/>
          <w:numId w:val="12"/>
        </w:numPr>
        <w:spacing w:before="0" w:after="120"/>
        <w:contextualSpacing w:val="0"/>
        <w:rPr>
          <w:vanish/>
        </w:rPr>
      </w:pPr>
    </w:p>
    <w:p w:rsidR="005D3225" w:rsidRPr="003F1F6C" w:rsidRDefault="005D3225" w:rsidP="007A5C2A">
      <w:pPr>
        <w:pStyle w:val="ESnumberedpara"/>
        <w:rPr>
          <w:lang w:val="en-GB"/>
        </w:rPr>
      </w:pPr>
      <w:r w:rsidRPr="003F1F6C">
        <w:t>The resubmission nominated placebo for ‘watchful waiting’ as the main comparator in the first-line treatment setting. This was the main comparator in the November 2015 and November 2016 submissions, and has previously been accepted by the PBAC (</w:t>
      </w:r>
      <w:r w:rsidR="00371D55" w:rsidRPr="003F1F6C">
        <w:t>paragraph 7.4, November 2015 and paragraph 7.6</w:t>
      </w:r>
      <w:r w:rsidR="00FE094E" w:rsidRPr="003F1F6C">
        <w:t>,</w:t>
      </w:r>
      <w:r w:rsidR="00371D55" w:rsidRPr="003F1F6C">
        <w:t xml:space="preserve"> </w:t>
      </w:r>
      <w:r w:rsidRPr="003F1F6C">
        <w:t>November 201</w:t>
      </w:r>
      <w:r w:rsidR="00371D55" w:rsidRPr="003F1F6C">
        <w:t>6</w:t>
      </w:r>
      <w:r w:rsidRPr="003F1F6C">
        <w:t xml:space="preserve"> </w:t>
      </w:r>
      <w:proofErr w:type="spellStart"/>
      <w:r w:rsidRPr="003F1F6C">
        <w:t>lanreotide</w:t>
      </w:r>
      <w:proofErr w:type="spellEnd"/>
      <w:r w:rsidRPr="003F1F6C">
        <w:t xml:space="preserve"> PSD</w:t>
      </w:r>
      <w:r w:rsidR="00371D55" w:rsidRPr="003F1F6C">
        <w:t>s</w:t>
      </w:r>
      <w:r w:rsidRPr="003F1F6C">
        <w:t>).</w:t>
      </w:r>
    </w:p>
    <w:p w:rsidR="005D3225" w:rsidRPr="003F1F6C" w:rsidRDefault="005D3225" w:rsidP="00CE5B76">
      <w:pPr>
        <w:pStyle w:val="ESnumberedpara"/>
        <w:ind w:left="567" w:hanging="567"/>
      </w:pPr>
      <w:r w:rsidRPr="003F1F6C">
        <w:t>The resubmission identified octreotide as a potential near-market comparator in the first</w:t>
      </w:r>
      <w:r w:rsidR="003312F6" w:rsidRPr="003F1F6C">
        <w:t>-</w:t>
      </w:r>
      <w:r w:rsidRPr="003F1F6C">
        <w:t xml:space="preserve">line setting. A submission for octreotide for non-functional neuroendocrine tumours of midgut or suspected midgut origin was </w:t>
      </w:r>
      <w:r w:rsidR="00371D55" w:rsidRPr="003F1F6C">
        <w:t xml:space="preserve">submitted for the March 2017 PBAC meeting but was </w:t>
      </w:r>
      <w:r w:rsidRPr="003F1F6C">
        <w:t xml:space="preserve">withdrawn </w:t>
      </w:r>
      <w:r w:rsidR="00371D55" w:rsidRPr="003F1F6C">
        <w:t>prior to PBAC consideration</w:t>
      </w:r>
      <w:r w:rsidRPr="003F1F6C">
        <w:t xml:space="preserve">. Octreotide was identified as a secondary comparator in the November 2016 submission, however, the available trials were not considered sufficiently similar to justify a formal indirect comparison. No new clinical evidence to support the comparison was identified in the current resubmission. </w:t>
      </w:r>
    </w:p>
    <w:p w:rsidR="005D3225" w:rsidRDefault="005D3225" w:rsidP="00CE5B76">
      <w:pPr>
        <w:pStyle w:val="ESnumberedpara"/>
        <w:ind w:left="567" w:hanging="567"/>
        <w:rPr>
          <w:lang w:val="en-GB"/>
        </w:rPr>
      </w:pPr>
      <w:r w:rsidRPr="003F1F6C">
        <w:t xml:space="preserve">The resubmission did not nominate a comparator in the second-line/post-progression setting. This was not appropriate, given that the PBAC has not previously considered the cost-effectiveness of </w:t>
      </w:r>
      <w:proofErr w:type="spellStart"/>
      <w:r w:rsidRPr="003F1F6C">
        <w:t>lanreotide</w:t>
      </w:r>
      <w:proofErr w:type="spellEnd"/>
      <w:r w:rsidRPr="003F1F6C">
        <w:t xml:space="preserve"> in the post-progression setting. The ESC has previously noted that potentially relevant comparators in the post-progression setting include octreotide, </w:t>
      </w:r>
      <w:proofErr w:type="spellStart"/>
      <w:r w:rsidRPr="003F1F6C">
        <w:t>sunitinib</w:t>
      </w:r>
      <w:proofErr w:type="spellEnd"/>
      <w:r w:rsidRPr="003F1F6C">
        <w:t xml:space="preserve">, </w:t>
      </w:r>
      <w:proofErr w:type="spellStart"/>
      <w:r w:rsidRPr="003F1F6C">
        <w:t>everolimus</w:t>
      </w:r>
      <w:proofErr w:type="spellEnd"/>
      <w:r w:rsidRPr="003F1F6C">
        <w:t>, interferon alfa-2b, cytotoxic chemotherapy, peptide receptor radionuclide therapy and various palliative surgeries (</w:t>
      </w:r>
      <w:r w:rsidR="00FE094E" w:rsidRPr="003F1F6C">
        <w:t xml:space="preserve">paragraph 4.3, </w:t>
      </w:r>
      <w:r w:rsidRPr="003F1F6C">
        <w:t xml:space="preserve">November 2016 </w:t>
      </w:r>
      <w:proofErr w:type="spellStart"/>
      <w:r w:rsidRPr="003F1F6C">
        <w:t>lanreotide</w:t>
      </w:r>
      <w:proofErr w:type="spellEnd"/>
      <w:r w:rsidRPr="003F1F6C">
        <w:t xml:space="preserve"> PSD).</w:t>
      </w:r>
      <w:r w:rsidRPr="003F1F6C">
        <w:rPr>
          <w:lang w:val="en-GB"/>
        </w:rPr>
        <w:t xml:space="preserve"> </w:t>
      </w:r>
    </w:p>
    <w:p w:rsidR="0075028D" w:rsidRPr="003F1F6C" w:rsidRDefault="0075028D" w:rsidP="00CE5B76">
      <w:pPr>
        <w:pStyle w:val="ESnumberedparablue"/>
        <w:numPr>
          <w:ilvl w:val="0"/>
          <w:numId w:val="0"/>
        </w:numPr>
        <w:ind w:left="720" w:hanging="153"/>
        <w:rPr>
          <w:color w:val="auto"/>
          <w:lang w:val="en-GB"/>
        </w:rPr>
      </w:pPr>
      <w:r w:rsidRPr="00780E4D">
        <w:rPr>
          <w:rFonts w:eastAsia="Times New Roman" w:cs="Times New Roman"/>
          <w:i/>
          <w:color w:val="auto"/>
          <w:szCs w:val="24"/>
        </w:rPr>
        <w:t>For more detail on PBAC’s view, see section 7 “PBAC outcome.”</w:t>
      </w:r>
    </w:p>
    <w:p w:rsidR="005D3225" w:rsidRDefault="005D3225" w:rsidP="00CE5B76">
      <w:pPr>
        <w:pStyle w:val="Heading1"/>
      </w:pPr>
      <w:bookmarkStart w:id="15" w:name="_Toc413139276"/>
      <w:bookmarkStart w:id="16" w:name="_Toc476306886"/>
      <w:bookmarkStart w:id="17" w:name="_Toc482193592"/>
      <w:r w:rsidRPr="003F1F6C">
        <w:t>Consideration of the evidence</w:t>
      </w:r>
      <w:bookmarkEnd w:id="15"/>
      <w:bookmarkEnd w:id="16"/>
      <w:bookmarkEnd w:id="17"/>
    </w:p>
    <w:p w:rsidR="0048037E" w:rsidRDefault="0048037E" w:rsidP="00CE5B76">
      <w:pPr>
        <w:pStyle w:val="Heading2"/>
      </w:pPr>
      <w:r w:rsidRPr="0048037E">
        <w:t>Sponsor hearing</w:t>
      </w:r>
    </w:p>
    <w:p w:rsidR="007A5C2A" w:rsidRPr="007A5C2A" w:rsidRDefault="007A5C2A" w:rsidP="007A5C2A">
      <w:pPr>
        <w:pStyle w:val="ListParagraph"/>
        <w:numPr>
          <w:ilvl w:val="0"/>
          <w:numId w:val="12"/>
        </w:numPr>
        <w:spacing w:before="0" w:after="120"/>
        <w:contextualSpacing w:val="0"/>
        <w:rPr>
          <w:vanish/>
        </w:rPr>
      </w:pPr>
    </w:p>
    <w:p w:rsidR="00AD7B39" w:rsidRDefault="009523BC" w:rsidP="007A5C2A">
      <w:pPr>
        <w:pStyle w:val="ESnumberedpara"/>
        <w:ind w:left="567" w:hanging="567"/>
      </w:pPr>
      <w:r>
        <w:t xml:space="preserve">The sponsor requested a hearing for this item. </w:t>
      </w:r>
      <w:r w:rsidR="004421CF">
        <w:t>A</w:t>
      </w:r>
      <w:r w:rsidR="00273535">
        <w:t xml:space="preserve"> representative of the sponsor</w:t>
      </w:r>
      <w:r>
        <w:t xml:space="preserve"> </w:t>
      </w:r>
      <w:r w:rsidR="004421CF">
        <w:t xml:space="preserve">read out </w:t>
      </w:r>
      <w:r>
        <w:t xml:space="preserve">a statement </w:t>
      </w:r>
      <w:r w:rsidR="0048097F">
        <w:t xml:space="preserve">from </w:t>
      </w:r>
      <w:r w:rsidR="00273535">
        <w:t xml:space="preserve">a </w:t>
      </w:r>
      <w:r w:rsidR="0048097F">
        <w:t>clinician describing</w:t>
      </w:r>
      <w:r w:rsidR="00BE4BCB">
        <w:t xml:space="preserve"> the disease pathway</w:t>
      </w:r>
      <w:r w:rsidR="00AD7B39">
        <w:t xml:space="preserve"> </w:t>
      </w:r>
      <w:r w:rsidR="00273535">
        <w:t>of patients with non</w:t>
      </w:r>
      <w:r w:rsidR="00273535">
        <w:noBreakHyphen/>
      </w:r>
      <w:r w:rsidR="00BE4BCB">
        <w:t>functional GEP-NETs</w:t>
      </w:r>
      <w:r w:rsidR="00FC2F36">
        <w:t xml:space="preserve">. The clinician noted </w:t>
      </w:r>
      <w:r w:rsidR="00252ADE">
        <w:t xml:space="preserve">that some </w:t>
      </w:r>
      <w:proofErr w:type="gramStart"/>
      <w:r w:rsidR="00252ADE">
        <w:t>patients</w:t>
      </w:r>
      <w:proofErr w:type="gramEnd"/>
      <w:r w:rsidR="00252ADE">
        <w:t xml:space="preserve"> progress faster than others</w:t>
      </w:r>
      <w:r w:rsidR="00FC2F36">
        <w:t xml:space="preserve"> and it can be difficult to identify which patients will have faster progressing disease. The clinician highlighted the importance of prolonging PFS for patients with this condition, noting that the population consisted largely of patients of working age. </w:t>
      </w:r>
    </w:p>
    <w:p w:rsidR="0025284F" w:rsidRDefault="003F71D2" w:rsidP="00CE5B76">
      <w:pPr>
        <w:pStyle w:val="ESnumberedpara"/>
        <w:ind w:left="567" w:hanging="567"/>
      </w:pPr>
      <w:r>
        <w:t>The clinician emphasised that patients with non-function</w:t>
      </w:r>
      <w:r w:rsidR="00273535">
        <w:t>al</w:t>
      </w:r>
      <w:r>
        <w:t xml:space="preserve"> GEP-NETs </w:t>
      </w:r>
      <w:r w:rsidR="00307799">
        <w:t xml:space="preserve">were not asymptomatic and experienced symptoms </w:t>
      </w:r>
      <w:r w:rsidR="0025284F">
        <w:t xml:space="preserve">directly </w:t>
      </w:r>
      <w:r w:rsidR="00307799">
        <w:t>related to tumour burden and location</w:t>
      </w:r>
      <w:r w:rsidR="00FC2F36">
        <w:t>,</w:t>
      </w:r>
      <w:r w:rsidR="00307799">
        <w:t xml:space="preserve"> as well as </w:t>
      </w:r>
      <w:r w:rsidR="0025284F">
        <w:t xml:space="preserve">fatigue and depression. </w:t>
      </w:r>
    </w:p>
    <w:p w:rsidR="0048037E" w:rsidRDefault="0048037E" w:rsidP="00CE5B76">
      <w:pPr>
        <w:pStyle w:val="Heading2"/>
      </w:pPr>
      <w:r>
        <w:t>Consumer comments</w:t>
      </w:r>
    </w:p>
    <w:p w:rsidR="0048037E" w:rsidRDefault="003E7CE2" w:rsidP="00CE5B76">
      <w:pPr>
        <w:pStyle w:val="ESnumberedpara"/>
        <w:ind w:left="567" w:hanging="567"/>
      </w:pPr>
      <w:r>
        <w:t xml:space="preserve">The PBAC noted and welcomed the input from individuals (98), health care professionals (2) and organisations (1) via the Consumer Comments facility on the PBS website. </w:t>
      </w:r>
      <w:r w:rsidR="003461B1">
        <w:t xml:space="preserve">The comments described a range of </w:t>
      </w:r>
      <w:r w:rsidR="008B1940">
        <w:t>treatment benefits</w:t>
      </w:r>
      <w:r w:rsidR="003461B1">
        <w:t xml:space="preserve"> with </w:t>
      </w:r>
      <w:proofErr w:type="spellStart"/>
      <w:r w:rsidR="003461B1">
        <w:t>lanreotide</w:t>
      </w:r>
      <w:proofErr w:type="spellEnd"/>
      <w:r w:rsidR="003461B1">
        <w:t xml:space="preserve"> including </w:t>
      </w:r>
      <w:r w:rsidR="008B1940">
        <w:t xml:space="preserve">slowing progression of the disease and onset of symptoms with tolerable side effects. The comments emphasised the clinical need </w:t>
      </w:r>
      <w:r w:rsidR="00F43D87">
        <w:t xml:space="preserve">for </w:t>
      </w:r>
      <w:r w:rsidR="008B1940">
        <w:t xml:space="preserve">a treatment for this patient population </w:t>
      </w:r>
      <w:r w:rsidR="00AC7276">
        <w:t xml:space="preserve">and expressed that it is inequitable that </w:t>
      </w:r>
      <w:proofErr w:type="spellStart"/>
      <w:r w:rsidR="00AC7276">
        <w:t>lanreotide</w:t>
      </w:r>
      <w:proofErr w:type="spellEnd"/>
      <w:r w:rsidR="00AC7276">
        <w:t xml:space="preserve"> is PBS listed for the treatment of functional carcinoid tumours but not for non-functional GEP-NETs</w:t>
      </w:r>
      <w:r w:rsidR="008B1940">
        <w:t xml:space="preserve">. </w:t>
      </w:r>
      <w:r w:rsidR="00345953">
        <w:t xml:space="preserve">The comment from the Unicorn foundation </w:t>
      </w:r>
      <w:r w:rsidR="003057A9">
        <w:t xml:space="preserve">noted the improvement of general wellbeing for patients after treatment with </w:t>
      </w:r>
      <w:proofErr w:type="spellStart"/>
      <w:r w:rsidR="003057A9">
        <w:t>lanreotide</w:t>
      </w:r>
      <w:proofErr w:type="spellEnd"/>
      <w:r w:rsidR="003057A9">
        <w:t xml:space="preserve"> and highlighted that the treatment also has positive psychosocial benefits for patients. </w:t>
      </w:r>
    </w:p>
    <w:p w:rsidR="005D3225" w:rsidRPr="003F1F6C" w:rsidRDefault="005D3225" w:rsidP="00CE5B76">
      <w:pPr>
        <w:pStyle w:val="Heading2"/>
      </w:pPr>
      <w:bookmarkStart w:id="18" w:name="_Toc413139277"/>
      <w:bookmarkStart w:id="19" w:name="_Toc476306887"/>
      <w:bookmarkStart w:id="20" w:name="_Toc482193593"/>
      <w:r w:rsidRPr="003F1F6C">
        <w:t>Clinical trials</w:t>
      </w:r>
      <w:bookmarkEnd w:id="18"/>
      <w:bookmarkEnd w:id="19"/>
      <w:bookmarkEnd w:id="20"/>
    </w:p>
    <w:p w:rsidR="005D3225" w:rsidRPr="003F1F6C" w:rsidRDefault="005D3225" w:rsidP="00CE5B76">
      <w:pPr>
        <w:pStyle w:val="ESnumberedpara"/>
        <w:ind w:left="567" w:hanging="567"/>
      </w:pPr>
      <w:r w:rsidRPr="003F1F6C">
        <w:t xml:space="preserve">There were no major changes to the clinical evidence compared </w:t>
      </w:r>
      <w:r w:rsidR="0044063B">
        <w:t>with</w:t>
      </w:r>
      <w:r w:rsidR="0044063B" w:rsidRPr="003F1F6C">
        <w:t xml:space="preserve"> </w:t>
      </w:r>
      <w:r w:rsidRPr="003F1F6C">
        <w:t>the previous November 2015 and November 2016 submissions.</w:t>
      </w:r>
    </w:p>
    <w:p w:rsidR="005D3225" w:rsidRPr="003F1F6C" w:rsidRDefault="005D3225" w:rsidP="00CE5B76">
      <w:pPr>
        <w:pStyle w:val="ESnumberedpara"/>
        <w:ind w:left="567" w:hanging="567"/>
      </w:pPr>
      <w:r w:rsidRPr="003F1F6C">
        <w:t xml:space="preserve">The </w:t>
      </w:r>
      <w:r w:rsidR="00371D55" w:rsidRPr="003F1F6C">
        <w:t>current</w:t>
      </w:r>
      <w:r w:rsidR="00733CF5" w:rsidRPr="003F1F6C">
        <w:t xml:space="preserve"> and previous</w:t>
      </w:r>
      <w:r w:rsidR="00371D55" w:rsidRPr="003F1F6C">
        <w:t xml:space="preserve"> </w:t>
      </w:r>
      <w:r w:rsidRPr="003F1F6C">
        <w:t>submission</w:t>
      </w:r>
      <w:r w:rsidR="00733CF5" w:rsidRPr="003F1F6C">
        <w:t>s</w:t>
      </w:r>
      <w:r w:rsidRPr="003F1F6C">
        <w:t xml:space="preserve"> </w:t>
      </w:r>
      <w:r w:rsidR="00733CF5" w:rsidRPr="003F1F6C">
        <w:t xml:space="preserve">were </w:t>
      </w:r>
      <w:r w:rsidRPr="003F1F6C">
        <w:t xml:space="preserve">based on one head-to-head trial comparing </w:t>
      </w:r>
      <w:proofErr w:type="spellStart"/>
      <w:r w:rsidRPr="003F1F6C">
        <w:t>lanreotide</w:t>
      </w:r>
      <w:proofErr w:type="spellEnd"/>
      <w:r w:rsidRPr="003F1F6C">
        <w:t xml:space="preserve"> to placebo, as an anti-prolifera</w:t>
      </w:r>
      <w:r w:rsidR="0044063B">
        <w:t>tive agent in patients with non</w:t>
      </w:r>
      <w:r w:rsidR="0044063B">
        <w:noBreakHyphen/>
      </w:r>
      <w:r w:rsidRPr="003F1F6C">
        <w:t xml:space="preserve">functional GEP-NETs (CLARINET). Additional longer-term data were available from the CLARINET open-label extension study (Study 729). </w:t>
      </w:r>
    </w:p>
    <w:p w:rsidR="005D3225" w:rsidRPr="003F1F6C" w:rsidRDefault="005D3225" w:rsidP="00CE5B76">
      <w:pPr>
        <w:pStyle w:val="ESnumberedpara"/>
        <w:ind w:left="567" w:hanging="567"/>
      </w:pPr>
      <w:r w:rsidRPr="003F1F6C">
        <w:t xml:space="preserve">Details of the trials presented in the submission are provided in the table below. </w:t>
      </w:r>
    </w:p>
    <w:p w:rsidR="003F4F36" w:rsidRDefault="003F4F36" w:rsidP="003F4F36">
      <w:pPr>
        <w:pStyle w:val="Caption"/>
      </w:pPr>
      <w:r>
        <w:t xml:space="preserve">Table </w:t>
      </w:r>
      <w:r w:rsidR="0097752E">
        <w:rPr>
          <w:noProof/>
        </w:rPr>
        <w:t>3</w:t>
      </w:r>
      <w:r w:rsidRPr="00B66B37">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0"/>
        <w:gridCol w:w="5284"/>
        <w:gridCol w:w="2518"/>
      </w:tblGrid>
      <w:tr w:rsidR="005D3225" w:rsidRPr="003F1F6C" w:rsidTr="00893613">
        <w:tc>
          <w:tcPr>
            <w:tcW w:w="705" w:type="pct"/>
          </w:tcPr>
          <w:p w:rsidR="005D3225" w:rsidRPr="003F1F6C" w:rsidRDefault="005D3225" w:rsidP="00CE5B76">
            <w:pPr>
              <w:pStyle w:val="TableText"/>
              <w:rPr>
                <w:b/>
              </w:rPr>
            </w:pPr>
            <w:r w:rsidRPr="003F1F6C">
              <w:rPr>
                <w:b/>
              </w:rPr>
              <w:t>Trial ID</w:t>
            </w:r>
          </w:p>
        </w:tc>
        <w:tc>
          <w:tcPr>
            <w:tcW w:w="2909" w:type="pct"/>
          </w:tcPr>
          <w:p w:rsidR="005D3225" w:rsidRPr="003F1F6C" w:rsidRDefault="005D3225" w:rsidP="00CE5B76">
            <w:pPr>
              <w:pStyle w:val="TableText"/>
              <w:rPr>
                <w:b/>
              </w:rPr>
            </w:pPr>
            <w:r w:rsidRPr="003F1F6C">
              <w:rPr>
                <w:b/>
              </w:rPr>
              <w:t>Protocol title/ Publication title</w:t>
            </w:r>
          </w:p>
        </w:tc>
        <w:tc>
          <w:tcPr>
            <w:tcW w:w="1386" w:type="pct"/>
          </w:tcPr>
          <w:p w:rsidR="005D3225" w:rsidRPr="003F1F6C" w:rsidRDefault="005D3225" w:rsidP="00CE5B76">
            <w:pPr>
              <w:pStyle w:val="TableText"/>
              <w:rPr>
                <w:b/>
              </w:rPr>
            </w:pPr>
            <w:r w:rsidRPr="003F1F6C">
              <w:rPr>
                <w:b/>
              </w:rPr>
              <w:t>Publication citation</w:t>
            </w:r>
          </w:p>
        </w:tc>
      </w:tr>
      <w:tr w:rsidR="005D3225" w:rsidRPr="003F1F6C" w:rsidTr="00893613">
        <w:tc>
          <w:tcPr>
            <w:tcW w:w="5000" w:type="pct"/>
            <w:gridSpan w:val="3"/>
          </w:tcPr>
          <w:p w:rsidR="005D3225" w:rsidRPr="003F1F6C" w:rsidRDefault="005D3225" w:rsidP="00C44233">
            <w:pPr>
              <w:pStyle w:val="TableText"/>
              <w:rPr>
                <w:b/>
              </w:rPr>
            </w:pPr>
            <w:r w:rsidRPr="003F1F6C">
              <w:rPr>
                <w:b/>
              </w:rPr>
              <w:t>Direct randomised trial</w:t>
            </w:r>
          </w:p>
        </w:tc>
      </w:tr>
      <w:tr w:rsidR="005D3225" w:rsidRPr="003F1F6C" w:rsidTr="00893613">
        <w:trPr>
          <w:trHeight w:val="395"/>
        </w:trPr>
        <w:tc>
          <w:tcPr>
            <w:tcW w:w="705" w:type="pct"/>
            <w:vMerge w:val="restart"/>
            <w:tcBorders>
              <w:bottom w:val="nil"/>
            </w:tcBorders>
          </w:tcPr>
          <w:p w:rsidR="005D3225" w:rsidRPr="003F1F6C" w:rsidRDefault="005D3225" w:rsidP="00C44233">
            <w:pPr>
              <w:pStyle w:val="TableText"/>
              <w:spacing w:after="0"/>
              <w:jc w:val="left"/>
            </w:pPr>
            <w:r w:rsidRPr="003F1F6C">
              <w:t>2-55-52030-726</w:t>
            </w:r>
          </w:p>
          <w:p w:rsidR="005D3225" w:rsidRPr="003F1F6C" w:rsidRDefault="005D3225" w:rsidP="00852CB7">
            <w:pPr>
              <w:pStyle w:val="TableText"/>
              <w:jc w:val="left"/>
            </w:pPr>
            <w:r w:rsidRPr="003F1F6C">
              <w:t>(CLARINET)</w:t>
            </w:r>
          </w:p>
        </w:tc>
        <w:tc>
          <w:tcPr>
            <w:tcW w:w="2909" w:type="pct"/>
          </w:tcPr>
          <w:p w:rsidR="005D3225" w:rsidRPr="003F1F6C" w:rsidRDefault="005D3225" w:rsidP="00BF31EB">
            <w:pPr>
              <w:pStyle w:val="TableText"/>
              <w:jc w:val="left"/>
            </w:pPr>
            <w:proofErr w:type="spellStart"/>
            <w:r w:rsidRPr="003F1F6C">
              <w:t>Ipsen</w:t>
            </w:r>
            <w:proofErr w:type="spellEnd"/>
            <w:r w:rsidRPr="003F1F6C">
              <w:t xml:space="preserve"> Clinical Study Report (2014). Phase III, randomised, double blind, stratified comparative, placebo controlled, parallel group, multinational trial to assess the effect of deep subcutaneous injections of </w:t>
            </w:r>
            <w:proofErr w:type="spellStart"/>
            <w:r w:rsidRPr="003F1F6C">
              <w:t>lanreotide</w:t>
            </w:r>
            <w:proofErr w:type="spellEnd"/>
            <w:r w:rsidRPr="003F1F6C">
              <w:t xml:space="preserve"> 120 mg administered every 28 days on tumour progression free survival in patients with non-functioning GEP-NETs.</w:t>
            </w:r>
          </w:p>
        </w:tc>
        <w:tc>
          <w:tcPr>
            <w:tcW w:w="1386" w:type="pct"/>
          </w:tcPr>
          <w:p w:rsidR="005D3225" w:rsidRPr="003F1F6C" w:rsidRDefault="005D3225" w:rsidP="00CE5B76">
            <w:pPr>
              <w:pStyle w:val="TableText"/>
              <w:jc w:val="left"/>
            </w:pPr>
            <w:r w:rsidRPr="003F1F6C">
              <w:t>Clinical Study Report, 11 April 2014.</w:t>
            </w:r>
          </w:p>
        </w:tc>
      </w:tr>
      <w:tr w:rsidR="005D3225" w:rsidRPr="003F1F6C" w:rsidTr="00893613">
        <w:trPr>
          <w:trHeight w:val="394"/>
        </w:trPr>
        <w:tc>
          <w:tcPr>
            <w:tcW w:w="705" w:type="pct"/>
            <w:vMerge/>
            <w:tcBorders>
              <w:top w:val="nil"/>
              <w:bottom w:val="nil"/>
            </w:tcBorders>
          </w:tcPr>
          <w:p w:rsidR="005D3225" w:rsidRPr="003F1F6C" w:rsidRDefault="005D3225" w:rsidP="00CE5B76">
            <w:pPr>
              <w:pStyle w:val="TableText"/>
              <w:jc w:val="left"/>
            </w:pPr>
          </w:p>
        </w:tc>
        <w:tc>
          <w:tcPr>
            <w:tcW w:w="2909" w:type="pct"/>
          </w:tcPr>
          <w:p w:rsidR="005D3225" w:rsidRPr="003F1F6C" w:rsidRDefault="005D3225" w:rsidP="00CE5B76">
            <w:pPr>
              <w:pStyle w:val="TableText"/>
              <w:jc w:val="left"/>
            </w:pPr>
            <w:proofErr w:type="spellStart"/>
            <w:r w:rsidRPr="003F1F6C">
              <w:t>Caplin</w:t>
            </w:r>
            <w:proofErr w:type="spellEnd"/>
            <w:r w:rsidRPr="003F1F6C">
              <w:t xml:space="preserve"> ME, Pavel M, </w:t>
            </w:r>
            <w:proofErr w:type="spellStart"/>
            <w:r w:rsidRPr="003F1F6C">
              <w:t>Ćwikła</w:t>
            </w:r>
            <w:proofErr w:type="spellEnd"/>
            <w:r w:rsidRPr="003F1F6C">
              <w:t xml:space="preserve"> JB, </w:t>
            </w:r>
            <w:r w:rsidR="00C1746F" w:rsidRPr="003F1F6C">
              <w:t>et al.</w:t>
            </w:r>
            <w:r w:rsidRPr="003F1F6C">
              <w:t xml:space="preserve"> </w:t>
            </w:r>
            <w:proofErr w:type="spellStart"/>
            <w:r w:rsidRPr="003F1F6C">
              <w:t>Lanreotide</w:t>
            </w:r>
            <w:proofErr w:type="spellEnd"/>
            <w:r w:rsidRPr="003F1F6C">
              <w:t xml:space="preserve"> in metastatic </w:t>
            </w:r>
            <w:proofErr w:type="spellStart"/>
            <w:r w:rsidRPr="003F1F6C">
              <w:t>enteropancreatic</w:t>
            </w:r>
            <w:proofErr w:type="spellEnd"/>
            <w:r w:rsidRPr="003F1F6C">
              <w:t xml:space="preserve"> neuroendocrine </w:t>
            </w:r>
            <w:proofErr w:type="spellStart"/>
            <w:r w:rsidRPr="003F1F6C">
              <w:t>tumors</w:t>
            </w:r>
            <w:proofErr w:type="spellEnd"/>
            <w:r w:rsidRPr="003F1F6C">
              <w:t>.</w:t>
            </w:r>
          </w:p>
        </w:tc>
        <w:tc>
          <w:tcPr>
            <w:tcW w:w="1386" w:type="pct"/>
          </w:tcPr>
          <w:p w:rsidR="005D3225" w:rsidRPr="003F1F6C" w:rsidRDefault="005D3225" w:rsidP="00CE5B76">
            <w:pPr>
              <w:pStyle w:val="TableText"/>
              <w:jc w:val="left"/>
            </w:pPr>
            <w:r w:rsidRPr="003F1F6C">
              <w:t>NEJM 2014; 371:224-233.</w:t>
            </w:r>
          </w:p>
        </w:tc>
      </w:tr>
      <w:tr w:rsidR="005D3225" w:rsidRPr="003F1F6C" w:rsidTr="00893613">
        <w:trPr>
          <w:trHeight w:val="394"/>
        </w:trPr>
        <w:tc>
          <w:tcPr>
            <w:tcW w:w="705" w:type="pct"/>
            <w:vMerge/>
            <w:tcBorders>
              <w:top w:val="nil"/>
              <w:bottom w:val="nil"/>
            </w:tcBorders>
          </w:tcPr>
          <w:p w:rsidR="005D3225" w:rsidRPr="003F1F6C" w:rsidRDefault="005D3225" w:rsidP="00CE5B76">
            <w:pPr>
              <w:pStyle w:val="TableText"/>
              <w:jc w:val="left"/>
            </w:pPr>
          </w:p>
        </w:tc>
        <w:tc>
          <w:tcPr>
            <w:tcW w:w="2909" w:type="pct"/>
          </w:tcPr>
          <w:p w:rsidR="005D3225" w:rsidRPr="003F1F6C" w:rsidRDefault="005D3225" w:rsidP="00CE5B76">
            <w:pPr>
              <w:pStyle w:val="TableText"/>
              <w:jc w:val="left"/>
            </w:pPr>
            <w:proofErr w:type="spellStart"/>
            <w:r w:rsidRPr="003F1F6C">
              <w:t>Buil</w:t>
            </w:r>
            <w:proofErr w:type="spellEnd"/>
            <w:r w:rsidRPr="003F1F6C">
              <w:t xml:space="preserve">-Bruna N, </w:t>
            </w:r>
            <w:proofErr w:type="spellStart"/>
            <w:r w:rsidRPr="003F1F6C">
              <w:t>Dehez</w:t>
            </w:r>
            <w:proofErr w:type="spellEnd"/>
            <w:r w:rsidRPr="003F1F6C">
              <w:t xml:space="preserve"> M, </w:t>
            </w:r>
            <w:proofErr w:type="spellStart"/>
            <w:r w:rsidRPr="003F1F6C">
              <w:t>Manon</w:t>
            </w:r>
            <w:proofErr w:type="spellEnd"/>
            <w:r w:rsidRPr="003F1F6C">
              <w:t xml:space="preserve"> A, </w:t>
            </w:r>
            <w:r w:rsidR="00C1746F" w:rsidRPr="003F1F6C">
              <w:t>et al.</w:t>
            </w:r>
            <w:r w:rsidRPr="003F1F6C">
              <w:t xml:space="preserve"> Establishing the Quantitative Relationship Between </w:t>
            </w:r>
            <w:proofErr w:type="spellStart"/>
            <w:r w:rsidRPr="003F1F6C">
              <w:t>Lanreotide</w:t>
            </w:r>
            <w:proofErr w:type="spellEnd"/>
            <w:r w:rsidRPr="003F1F6C">
              <w:t xml:space="preserve"> </w:t>
            </w:r>
            <w:proofErr w:type="spellStart"/>
            <w:r w:rsidRPr="003F1F6C">
              <w:t>Autogel</w:t>
            </w:r>
            <w:proofErr w:type="spellEnd"/>
            <w:r w:rsidRPr="003F1F6C">
              <w:rPr>
                <w:vertAlign w:val="superscript"/>
              </w:rPr>
              <w:t>®</w:t>
            </w:r>
            <w:r w:rsidRPr="003F1F6C">
              <w:t xml:space="preserve">, Chromogranin A, and Progression-Free Survival in Patients with </w:t>
            </w:r>
            <w:proofErr w:type="spellStart"/>
            <w:r w:rsidRPr="003F1F6C">
              <w:t>Nonfunctioning</w:t>
            </w:r>
            <w:proofErr w:type="spellEnd"/>
            <w:r w:rsidRPr="003F1F6C">
              <w:t xml:space="preserve"> </w:t>
            </w:r>
            <w:proofErr w:type="spellStart"/>
            <w:r w:rsidRPr="003F1F6C">
              <w:t>Gastroenteropancreatic</w:t>
            </w:r>
            <w:proofErr w:type="spellEnd"/>
            <w:r w:rsidRPr="003F1F6C">
              <w:t xml:space="preserve"> Neuroendocrine </w:t>
            </w:r>
            <w:proofErr w:type="spellStart"/>
            <w:r w:rsidRPr="003F1F6C">
              <w:t>Tumors</w:t>
            </w:r>
            <w:proofErr w:type="spellEnd"/>
            <w:r w:rsidRPr="003F1F6C">
              <w:t>.</w:t>
            </w:r>
          </w:p>
        </w:tc>
        <w:tc>
          <w:tcPr>
            <w:tcW w:w="1386" w:type="pct"/>
          </w:tcPr>
          <w:p w:rsidR="005D3225" w:rsidRPr="003F1F6C" w:rsidRDefault="005D3225" w:rsidP="00CE5B76">
            <w:pPr>
              <w:pStyle w:val="TableText"/>
              <w:jc w:val="left"/>
            </w:pPr>
            <w:r w:rsidRPr="003F1F6C">
              <w:t>AAPS J 2016; 18: 703-712.</w:t>
            </w:r>
          </w:p>
        </w:tc>
      </w:tr>
      <w:tr w:rsidR="005D3225" w:rsidRPr="003F1F6C" w:rsidTr="00893613">
        <w:trPr>
          <w:trHeight w:val="592"/>
        </w:trPr>
        <w:tc>
          <w:tcPr>
            <w:tcW w:w="705" w:type="pct"/>
            <w:vMerge w:val="restart"/>
          </w:tcPr>
          <w:p w:rsidR="005D3225" w:rsidRPr="003F1F6C" w:rsidRDefault="005D3225" w:rsidP="00C44233">
            <w:pPr>
              <w:pStyle w:val="TableText"/>
              <w:spacing w:after="0"/>
              <w:jc w:val="left"/>
            </w:pPr>
            <w:r w:rsidRPr="003F1F6C">
              <w:t>2-55-52030-726</w:t>
            </w:r>
          </w:p>
          <w:p w:rsidR="005D3225" w:rsidRPr="003F1F6C" w:rsidRDefault="005D3225" w:rsidP="00852CB7">
            <w:pPr>
              <w:pStyle w:val="TableText"/>
              <w:jc w:val="left"/>
            </w:pPr>
            <w:r w:rsidRPr="003F1F6C">
              <w:t>(CLARINET extension)</w:t>
            </w:r>
          </w:p>
        </w:tc>
        <w:tc>
          <w:tcPr>
            <w:tcW w:w="2909" w:type="pct"/>
          </w:tcPr>
          <w:p w:rsidR="005D3225" w:rsidRPr="003F1F6C" w:rsidRDefault="005D3225" w:rsidP="00BF31EB">
            <w:pPr>
              <w:pStyle w:val="TableText"/>
              <w:jc w:val="left"/>
            </w:pPr>
            <w:proofErr w:type="spellStart"/>
            <w:r w:rsidRPr="003F1F6C">
              <w:t>Ipsen</w:t>
            </w:r>
            <w:proofErr w:type="spellEnd"/>
            <w:r w:rsidRPr="003F1F6C">
              <w:t xml:space="preserve"> Clinical Study Report (2014). Phase III, nonrandomised, multinational, open-label extension trial to assess the long-term safety of </w:t>
            </w:r>
            <w:proofErr w:type="spellStart"/>
            <w:r w:rsidRPr="003F1F6C">
              <w:t>lanreotide</w:t>
            </w:r>
            <w:proofErr w:type="spellEnd"/>
            <w:r w:rsidRPr="003F1F6C">
              <w:t xml:space="preserve"> 120mg administered every 28 days in patients with non-functioning GEP-NETs.</w:t>
            </w:r>
          </w:p>
        </w:tc>
        <w:tc>
          <w:tcPr>
            <w:tcW w:w="1386" w:type="pct"/>
          </w:tcPr>
          <w:p w:rsidR="005D3225" w:rsidRPr="003F1F6C" w:rsidRDefault="005D3225" w:rsidP="00CE5B76">
            <w:pPr>
              <w:pStyle w:val="TableText"/>
              <w:jc w:val="left"/>
            </w:pPr>
            <w:r w:rsidRPr="003F1F6C">
              <w:t>Internal study report,</w:t>
            </w:r>
          </w:p>
          <w:p w:rsidR="005D3225" w:rsidRPr="003F1F6C" w:rsidRDefault="005D3225" w:rsidP="00CE5B76">
            <w:pPr>
              <w:pStyle w:val="TableText"/>
              <w:jc w:val="left"/>
            </w:pPr>
            <w:r w:rsidRPr="003F1F6C">
              <w:t>12 May 2014.</w:t>
            </w:r>
          </w:p>
        </w:tc>
      </w:tr>
      <w:tr w:rsidR="005D3225" w:rsidRPr="003F1F6C" w:rsidTr="00893613">
        <w:trPr>
          <w:trHeight w:val="591"/>
        </w:trPr>
        <w:tc>
          <w:tcPr>
            <w:tcW w:w="705" w:type="pct"/>
            <w:vMerge/>
          </w:tcPr>
          <w:p w:rsidR="005D3225" w:rsidRPr="003F1F6C" w:rsidRDefault="005D3225" w:rsidP="00CE5B76">
            <w:pPr>
              <w:pStyle w:val="TableText"/>
            </w:pPr>
          </w:p>
        </w:tc>
        <w:tc>
          <w:tcPr>
            <w:tcW w:w="2909" w:type="pct"/>
          </w:tcPr>
          <w:p w:rsidR="005D3225" w:rsidRPr="003F1F6C" w:rsidRDefault="005D3225" w:rsidP="00CE5B76">
            <w:pPr>
              <w:pStyle w:val="TableText"/>
              <w:jc w:val="left"/>
            </w:pPr>
            <w:proofErr w:type="spellStart"/>
            <w:r w:rsidRPr="003F1F6C">
              <w:t>Caplin</w:t>
            </w:r>
            <w:proofErr w:type="spellEnd"/>
            <w:r w:rsidRPr="003F1F6C">
              <w:t xml:space="preserve"> ME et al (2016). Anti-tumour effects of </w:t>
            </w:r>
            <w:proofErr w:type="spellStart"/>
            <w:r w:rsidRPr="003F1F6C">
              <w:t>lanreotide</w:t>
            </w:r>
            <w:proofErr w:type="spellEnd"/>
            <w:r w:rsidRPr="003F1F6C">
              <w:t xml:space="preserve"> for pancreatic and intestinal neuroendocrine tumours: the CLARINET open-label extension study.</w:t>
            </w:r>
          </w:p>
        </w:tc>
        <w:tc>
          <w:tcPr>
            <w:tcW w:w="1386" w:type="pct"/>
          </w:tcPr>
          <w:p w:rsidR="005D3225" w:rsidRPr="003F1F6C" w:rsidRDefault="005D3225" w:rsidP="00CE5B76">
            <w:pPr>
              <w:pStyle w:val="TableText"/>
              <w:jc w:val="left"/>
            </w:pPr>
            <w:r w:rsidRPr="003F1F6C">
              <w:t>Endocrine Related Cancer 23: 191-199</w:t>
            </w:r>
          </w:p>
        </w:tc>
      </w:tr>
    </w:tbl>
    <w:p w:rsidR="005D3225" w:rsidRPr="00294B47" w:rsidRDefault="005D3225" w:rsidP="00780E4D">
      <w:pPr>
        <w:pStyle w:val="TableFooter"/>
        <w:widowControl/>
      </w:pPr>
      <w:r w:rsidRPr="00294B47">
        <w:t>Source: Table 6, p.28 and Attachment 2 of the resubmission. Select citations relating to conference proceedings omitted.</w:t>
      </w:r>
    </w:p>
    <w:p w:rsidR="005D3225" w:rsidRPr="003F1F6C" w:rsidRDefault="005D3225" w:rsidP="00C44233">
      <w:pPr>
        <w:pStyle w:val="ESnumberedpara"/>
        <w:ind w:left="567" w:hanging="567"/>
      </w:pPr>
      <w:r w:rsidRPr="003F1F6C">
        <w:t xml:space="preserve">The key features of the direct randomised trial are summarised in the table below. </w:t>
      </w:r>
    </w:p>
    <w:p w:rsidR="003F4F36" w:rsidRDefault="003F4F36" w:rsidP="003F4F36">
      <w:pPr>
        <w:pStyle w:val="Caption"/>
      </w:pPr>
      <w:r>
        <w:t xml:space="preserve">Table </w:t>
      </w:r>
      <w:r w:rsidR="0097752E">
        <w:rPr>
          <w:noProof/>
        </w:rPr>
        <w:t>4</w:t>
      </w:r>
      <w:r w:rsidRPr="00385ED6">
        <w:t xml:space="preserve">: Key features of the included evidence, </w:t>
      </w:r>
      <w:proofErr w:type="spellStart"/>
      <w:r w:rsidRPr="00385ED6">
        <w:t>lanreotide</w:t>
      </w:r>
      <w:proofErr w:type="spellEnd"/>
      <w:r w:rsidRPr="00385ED6">
        <w:t xml:space="preserve"> vs.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4"/>
        <w:gridCol w:w="601"/>
        <w:gridCol w:w="1904"/>
        <w:gridCol w:w="990"/>
        <w:gridCol w:w="1907"/>
        <w:gridCol w:w="1233"/>
        <w:gridCol w:w="1213"/>
      </w:tblGrid>
      <w:tr w:rsidR="005D3225" w:rsidRPr="003F1F6C" w:rsidTr="00893613">
        <w:tc>
          <w:tcPr>
            <w:tcW w:w="679" w:type="pct"/>
            <w:shd w:val="clear" w:color="auto" w:fill="auto"/>
            <w:vAlign w:val="center"/>
          </w:tcPr>
          <w:p w:rsidR="005D3225" w:rsidRPr="003F1F6C" w:rsidRDefault="005D3225" w:rsidP="00BF31EB">
            <w:pPr>
              <w:keepNext/>
              <w:spacing w:before="40" w:after="40"/>
              <w:jc w:val="left"/>
              <w:rPr>
                <w:rFonts w:ascii="Arial Narrow" w:hAnsi="Arial Narrow"/>
                <w:b/>
                <w:sz w:val="20"/>
                <w:lang w:val="en-US"/>
              </w:rPr>
            </w:pPr>
            <w:r w:rsidRPr="003F1F6C">
              <w:rPr>
                <w:rFonts w:ascii="Arial Narrow" w:hAnsi="Arial Narrow"/>
                <w:b/>
                <w:sz w:val="20"/>
                <w:lang w:val="en-US"/>
              </w:rPr>
              <w:t>Trial</w:t>
            </w:r>
          </w:p>
        </w:tc>
        <w:tc>
          <w:tcPr>
            <w:tcW w:w="331" w:type="pct"/>
            <w:shd w:val="clear" w:color="auto" w:fill="auto"/>
            <w:vAlign w:val="center"/>
          </w:tcPr>
          <w:p w:rsidR="005D3225" w:rsidRPr="003F1F6C" w:rsidRDefault="005D3225" w:rsidP="00CE5B76">
            <w:pPr>
              <w:keepNext/>
              <w:spacing w:before="40" w:after="40"/>
              <w:jc w:val="center"/>
              <w:rPr>
                <w:rFonts w:ascii="Arial Narrow" w:hAnsi="Arial Narrow"/>
                <w:b/>
                <w:sz w:val="20"/>
                <w:lang w:val="en-US"/>
              </w:rPr>
            </w:pPr>
            <w:r w:rsidRPr="003F1F6C">
              <w:rPr>
                <w:rFonts w:ascii="Arial Narrow" w:hAnsi="Arial Narrow"/>
                <w:b/>
                <w:sz w:val="20"/>
                <w:lang w:val="en-US"/>
              </w:rPr>
              <w:t>N</w:t>
            </w:r>
          </w:p>
        </w:tc>
        <w:tc>
          <w:tcPr>
            <w:tcW w:w="1048" w:type="pct"/>
            <w:shd w:val="clear" w:color="auto" w:fill="auto"/>
            <w:vAlign w:val="center"/>
          </w:tcPr>
          <w:p w:rsidR="005D3225" w:rsidRPr="003F1F6C" w:rsidRDefault="005D3225" w:rsidP="00CE5B76">
            <w:pPr>
              <w:keepNext/>
              <w:spacing w:before="40" w:after="40"/>
              <w:jc w:val="center"/>
              <w:rPr>
                <w:rFonts w:ascii="Arial Narrow" w:hAnsi="Arial Narrow"/>
                <w:b/>
                <w:sz w:val="20"/>
                <w:lang w:val="en-US"/>
              </w:rPr>
            </w:pPr>
            <w:r w:rsidRPr="003F1F6C">
              <w:rPr>
                <w:rFonts w:ascii="Arial Narrow" w:hAnsi="Arial Narrow"/>
                <w:b/>
                <w:sz w:val="20"/>
                <w:lang w:val="en-US"/>
              </w:rPr>
              <w:t>Design/ duration</w:t>
            </w:r>
          </w:p>
        </w:tc>
        <w:tc>
          <w:tcPr>
            <w:tcW w:w="545" w:type="pct"/>
            <w:shd w:val="clear" w:color="auto" w:fill="auto"/>
            <w:vAlign w:val="center"/>
          </w:tcPr>
          <w:p w:rsidR="005D3225" w:rsidRPr="003F1F6C" w:rsidRDefault="005D3225" w:rsidP="00CE5B76">
            <w:pPr>
              <w:keepNext/>
              <w:spacing w:before="40" w:after="40"/>
              <w:jc w:val="center"/>
              <w:rPr>
                <w:rFonts w:ascii="Arial Narrow" w:hAnsi="Arial Narrow"/>
                <w:b/>
                <w:sz w:val="20"/>
                <w:lang w:val="en-US"/>
              </w:rPr>
            </w:pPr>
            <w:r w:rsidRPr="003F1F6C">
              <w:rPr>
                <w:rFonts w:ascii="Arial Narrow" w:hAnsi="Arial Narrow"/>
                <w:b/>
                <w:sz w:val="20"/>
                <w:lang w:val="en-US"/>
              </w:rPr>
              <w:t>Risk of bias</w:t>
            </w:r>
          </w:p>
        </w:tc>
        <w:tc>
          <w:tcPr>
            <w:tcW w:w="1050" w:type="pct"/>
            <w:shd w:val="clear" w:color="auto" w:fill="auto"/>
            <w:vAlign w:val="center"/>
          </w:tcPr>
          <w:p w:rsidR="005D3225" w:rsidRPr="003F1F6C" w:rsidRDefault="005D3225" w:rsidP="00CE5B76">
            <w:pPr>
              <w:keepNext/>
              <w:spacing w:before="40" w:after="40"/>
              <w:jc w:val="center"/>
              <w:rPr>
                <w:rFonts w:ascii="Arial Narrow" w:hAnsi="Arial Narrow"/>
                <w:b/>
                <w:sz w:val="20"/>
                <w:lang w:val="en-US"/>
              </w:rPr>
            </w:pPr>
            <w:r w:rsidRPr="003F1F6C">
              <w:rPr>
                <w:rFonts w:ascii="Arial Narrow" w:hAnsi="Arial Narrow"/>
                <w:b/>
                <w:sz w:val="20"/>
                <w:lang w:val="en-US"/>
              </w:rPr>
              <w:t>Patient population</w:t>
            </w:r>
          </w:p>
        </w:tc>
        <w:tc>
          <w:tcPr>
            <w:tcW w:w="679" w:type="pct"/>
            <w:shd w:val="clear" w:color="auto" w:fill="auto"/>
            <w:vAlign w:val="center"/>
          </w:tcPr>
          <w:p w:rsidR="005D3225" w:rsidRPr="003F1F6C" w:rsidRDefault="005D3225" w:rsidP="00CE5B76">
            <w:pPr>
              <w:keepNext/>
              <w:spacing w:before="40" w:after="40"/>
              <w:jc w:val="center"/>
              <w:rPr>
                <w:rFonts w:ascii="Arial Narrow" w:hAnsi="Arial Narrow"/>
                <w:b/>
                <w:sz w:val="20"/>
                <w:lang w:val="en-US"/>
              </w:rPr>
            </w:pPr>
            <w:r w:rsidRPr="003F1F6C">
              <w:rPr>
                <w:rFonts w:ascii="Arial Narrow" w:hAnsi="Arial Narrow"/>
                <w:b/>
                <w:sz w:val="20"/>
                <w:lang w:val="en-US"/>
              </w:rPr>
              <w:t>Outcomes</w:t>
            </w:r>
          </w:p>
        </w:tc>
        <w:tc>
          <w:tcPr>
            <w:tcW w:w="668" w:type="pct"/>
            <w:shd w:val="clear" w:color="auto" w:fill="auto"/>
            <w:vAlign w:val="center"/>
          </w:tcPr>
          <w:p w:rsidR="005D3225" w:rsidRPr="003F1F6C" w:rsidRDefault="005D3225" w:rsidP="00CE5B76">
            <w:pPr>
              <w:keepNext/>
              <w:spacing w:before="40" w:after="40"/>
              <w:jc w:val="center"/>
              <w:rPr>
                <w:rFonts w:ascii="Arial Narrow" w:hAnsi="Arial Narrow"/>
                <w:b/>
                <w:sz w:val="20"/>
                <w:lang w:val="en-US"/>
              </w:rPr>
            </w:pPr>
            <w:r w:rsidRPr="003F1F6C">
              <w:rPr>
                <w:rFonts w:ascii="Arial Narrow" w:hAnsi="Arial Narrow"/>
                <w:b/>
                <w:sz w:val="20"/>
                <w:lang w:val="en-US"/>
              </w:rPr>
              <w:t>Use in modelled evaluation</w:t>
            </w:r>
          </w:p>
        </w:tc>
      </w:tr>
      <w:tr w:rsidR="005D3225" w:rsidRPr="003F1F6C" w:rsidTr="00893613">
        <w:tc>
          <w:tcPr>
            <w:tcW w:w="679" w:type="pct"/>
            <w:shd w:val="clear" w:color="auto" w:fill="auto"/>
            <w:vAlign w:val="center"/>
          </w:tcPr>
          <w:p w:rsidR="005D3225" w:rsidRPr="003F1F6C" w:rsidRDefault="005D3225" w:rsidP="00C44233">
            <w:pPr>
              <w:keepNext/>
              <w:spacing w:before="40" w:after="40"/>
              <w:jc w:val="left"/>
              <w:rPr>
                <w:rFonts w:ascii="Arial Narrow" w:hAnsi="Arial Narrow"/>
                <w:sz w:val="20"/>
                <w:lang w:val="en-US"/>
              </w:rPr>
            </w:pPr>
            <w:r w:rsidRPr="003F1F6C">
              <w:rPr>
                <w:rFonts w:ascii="Arial Narrow" w:hAnsi="Arial Narrow"/>
                <w:sz w:val="20"/>
                <w:lang w:val="en-US"/>
              </w:rPr>
              <w:t>CLARINET</w:t>
            </w:r>
          </w:p>
        </w:tc>
        <w:tc>
          <w:tcPr>
            <w:tcW w:w="331" w:type="pct"/>
            <w:shd w:val="clear" w:color="auto" w:fill="auto"/>
            <w:vAlign w:val="center"/>
          </w:tcPr>
          <w:p w:rsidR="005D3225" w:rsidRPr="003F1F6C" w:rsidRDefault="005D3225" w:rsidP="00852CB7">
            <w:pPr>
              <w:keepNext/>
              <w:spacing w:before="40" w:after="40"/>
              <w:jc w:val="center"/>
              <w:rPr>
                <w:rFonts w:ascii="Arial Narrow" w:hAnsi="Arial Narrow"/>
                <w:sz w:val="20"/>
                <w:lang w:val="en-US"/>
              </w:rPr>
            </w:pPr>
            <w:r w:rsidRPr="003F1F6C">
              <w:rPr>
                <w:rFonts w:ascii="Arial Narrow" w:hAnsi="Arial Narrow"/>
                <w:sz w:val="20"/>
                <w:lang w:val="en-US"/>
              </w:rPr>
              <w:t>204</w:t>
            </w:r>
          </w:p>
        </w:tc>
        <w:tc>
          <w:tcPr>
            <w:tcW w:w="1048" w:type="pct"/>
            <w:shd w:val="clear" w:color="auto" w:fill="auto"/>
            <w:vAlign w:val="center"/>
          </w:tcPr>
          <w:p w:rsidR="005D3225" w:rsidRPr="003F1F6C" w:rsidRDefault="005D3225" w:rsidP="00BF31EB">
            <w:pPr>
              <w:keepNext/>
              <w:spacing w:before="40" w:after="40"/>
              <w:jc w:val="center"/>
              <w:rPr>
                <w:rFonts w:ascii="Arial Narrow" w:hAnsi="Arial Narrow"/>
                <w:sz w:val="20"/>
                <w:lang w:val="en-US"/>
              </w:rPr>
            </w:pPr>
            <w:r w:rsidRPr="003F1F6C">
              <w:rPr>
                <w:rFonts w:ascii="Arial Narrow" w:hAnsi="Arial Narrow"/>
                <w:sz w:val="20"/>
                <w:lang w:val="en-US"/>
              </w:rPr>
              <w:t>Randomised, double-blind, placebo-controlled multi-centre trial</w:t>
            </w:r>
          </w:p>
          <w:p w:rsidR="005D3225" w:rsidRPr="003F1F6C" w:rsidRDefault="005D3225" w:rsidP="00CE5B76">
            <w:pPr>
              <w:keepNext/>
              <w:spacing w:before="40" w:after="40"/>
              <w:jc w:val="center"/>
              <w:rPr>
                <w:rFonts w:ascii="Arial Narrow" w:hAnsi="Arial Narrow"/>
                <w:sz w:val="20"/>
                <w:lang w:val="en-US"/>
              </w:rPr>
            </w:pPr>
            <w:r w:rsidRPr="003F1F6C">
              <w:rPr>
                <w:rFonts w:ascii="Arial Narrow" w:hAnsi="Arial Narrow"/>
                <w:sz w:val="20"/>
                <w:lang w:val="en-US"/>
              </w:rPr>
              <w:t>96 weeks + extension</w:t>
            </w:r>
          </w:p>
        </w:tc>
        <w:tc>
          <w:tcPr>
            <w:tcW w:w="545" w:type="pct"/>
            <w:shd w:val="clear" w:color="auto" w:fill="auto"/>
            <w:vAlign w:val="center"/>
          </w:tcPr>
          <w:p w:rsidR="005D3225" w:rsidRPr="003F1F6C" w:rsidRDefault="005D3225" w:rsidP="00CE5B76">
            <w:pPr>
              <w:keepNext/>
              <w:spacing w:before="40" w:after="40"/>
              <w:jc w:val="center"/>
              <w:rPr>
                <w:rFonts w:ascii="Arial Narrow" w:hAnsi="Arial Narrow"/>
                <w:sz w:val="20"/>
                <w:lang w:val="en-US"/>
              </w:rPr>
            </w:pPr>
            <w:r w:rsidRPr="003F1F6C">
              <w:rPr>
                <w:rFonts w:ascii="Arial Narrow" w:hAnsi="Arial Narrow"/>
                <w:sz w:val="20"/>
                <w:lang w:val="en-US"/>
              </w:rPr>
              <w:t>Low</w:t>
            </w:r>
          </w:p>
        </w:tc>
        <w:tc>
          <w:tcPr>
            <w:tcW w:w="1050" w:type="pct"/>
            <w:shd w:val="clear" w:color="auto" w:fill="auto"/>
            <w:vAlign w:val="center"/>
          </w:tcPr>
          <w:p w:rsidR="005D3225" w:rsidRPr="003F1F6C" w:rsidRDefault="005D3225" w:rsidP="00CE5B76">
            <w:pPr>
              <w:keepNext/>
              <w:spacing w:before="40" w:after="40"/>
              <w:jc w:val="center"/>
              <w:rPr>
                <w:rFonts w:ascii="Arial Narrow" w:hAnsi="Arial Narrow"/>
                <w:sz w:val="20"/>
                <w:lang w:val="en-US"/>
              </w:rPr>
            </w:pPr>
            <w:r w:rsidRPr="003F1F6C">
              <w:rPr>
                <w:rFonts w:ascii="Arial Narrow" w:hAnsi="Arial Narrow"/>
                <w:sz w:val="20"/>
                <w:lang w:val="en-US"/>
              </w:rPr>
              <w:t>Stable non-functional GEP-NETs</w:t>
            </w:r>
          </w:p>
        </w:tc>
        <w:tc>
          <w:tcPr>
            <w:tcW w:w="679" w:type="pct"/>
            <w:shd w:val="clear" w:color="auto" w:fill="auto"/>
            <w:vAlign w:val="center"/>
          </w:tcPr>
          <w:p w:rsidR="005D3225" w:rsidRPr="003F1F6C" w:rsidRDefault="005D3225" w:rsidP="00CE5B76">
            <w:pPr>
              <w:keepNext/>
              <w:spacing w:before="40" w:after="40"/>
              <w:jc w:val="center"/>
              <w:rPr>
                <w:rFonts w:ascii="Arial Narrow" w:hAnsi="Arial Narrow"/>
                <w:sz w:val="20"/>
                <w:lang w:val="en-US"/>
              </w:rPr>
            </w:pPr>
            <w:r w:rsidRPr="003F1F6C">
              <w:rPr>
                <w:rFonts w:ascii="Arial Narrow" w:hAnsi="Arial Narrow"/>
                <w:sz w:val="20"/>
                <w:lang w:val="en-US"/>
              </w:rPr>
              <w:t>Progression-free survival, overall survival</w:t>
            </w:r>
          </w:p>
        </w:tc>
        <w:tc>
          <w:tcPr>
            <w:tcW w:w="668" w:type="pct"/>
            <w:shd w:val="clear" w:color="auto" w:fill="auto"/>
            <w:vAlign w:val="center"/>
          </w:tcPr>
          <w:p w:rsidR="005D3225" w:rsidRPr="003F1F6C" w:rsidRDefault="005D3225" w:rsidP="00CE5B76">
            <w:pPr>
              <w:keepNext/>
              <w:spacing w:before="40" w:after="40"/>
              <w:jc w:val="center"/>
              <w:rPr>
                <w:rFonts w:ascii="Arial Narrow" w:hAnsi="Arial Narrow"/>
                <w:sz w:val="20"/>
                <w:lang w:val="en-US"/>
              </w:rPr>
            </w:pPr>
            <w:r w:rsidRPr="003F1F6C">
              <w:rPr>
                <w:rFonts w:ascii="Arial Narrow" w:hAnsi="Arial Narrow"/>
                <w:sz w:val="20"/>
                <w:lang w:val="en-US"/>
              </w:rPr>
              <w:t>Extrapolated survival gain</w:t>
            </w:r>
          </w:p>
        </w:tc>
      </w:tr>
    </w:tbl>
    <w:p w:rsidR="005D3225" w:rsidRPr="003F1F6C" w:rsidRDefault="005D3225" w:rsidP="00780E4D">
      <w:pPr>
        <w:pStyle w:val="TableFooter"/>
        <w:widowControl/>
      </w:pPr>
      <w:r w:rsidRPr="003F1F6C">
        <w:t>Source: compiled during the evaluation</w:t>
      </w:r>
    </w:p>
    <w:p w:rsidR="0075028D" w:rsidRDefault="005D3225" w:rsidP="00C44233">
      <w:pPr>
        <w:pStyle w:val="ESnumberedpara"/>
        <w:ind w:left="567" w:hanging="567"/>
      </w:pPr>
      <w:r w:rsidRPr="003F1F6C">
        <w:t xml:space="preserve">The resubmission acknowledged that there was limited available evidence for use of </w:t>
      </w:r>
      <w:proofErr w:type="spellStart"/>
      <w:r w:rsidRPr="003F1F6C">
        <w:t>lanreotide</w:t>
      </w:r>
      <w:proofErr w:type="spellEnd"/>
      <w:r w:rsidRPr="003F1F6C">
        <w:t xml:space="preserve"> in the post-progression setting (as standard dose monotherapy, high dose monotherapy or combination therapy).</w:t>
      </w:r>
    </w:p>
    <w:p w:rsidR="005D3225" w:rsidRPr="003F1F6C" w:rsidRDefault="005D3225" w:rsidP="00852CB7">
      <w:pPr>
        <w:pStyle w:val="Heading2"/>
      </w:pPr>
      <w:bookmarkStart w:id="21" w:name="_Toc413139278"/>
      <w:bookmarkStart w:id="22" w:name="_Toc476306888"/>
      <w:bookmarkStart w:id="23" w:name="_Toc482193594"/>
      <w:r w:rsidRPr="003F1F6C">
        <w:t>Comparative effectiveness</w:t>
      </w:r>
      <w:bookmarkEnd w:id="21"/>
      <w:bookmarkEnd w:id="22"/>
      <w:bookmarkEnd w:id="23"/>
    </w:p>
    <w:p w:rsidR="005D3225" w:rsidRPr="003F1F6C" w:rsidRDefault="005D3225" w:rsidP="00BF31EB">
      <w:pPr>
        <w:pStyle w:val="ESnumberedpara"/>
        <w:ind w:left="567" w:hanging="567"/>
      </w:pPr>
      <w:r w:rsidRPr="003F1F6C">
        <w:t>There were no major changes to the clinical evidence presented in the November 2016 submission.</w:t>
      </w:r>
    </w:p>
    <w:p w:rsidR="005D3225" w:rsidRPr="003F1F6C" w:rsidRDefault="00D10BD9" w:rsidP="00CE5B76">
      <w:pPr>
        <w:pStyle w:val="ESnumberedpara"/>
        <w:ind w:left="567" w:hanging="567"/>
      </w:pPr>
      <w:r w:rsidRPr="003F1F6C">
        <w:t>The primary outcome from CLARINET, p</w:t>
      </w:r>
      <w:r w:rsidR="005D3225" w:rsidRPr="003F1F6C">
        <w:t>rogression</w:t>
      </w:r>
      <w:r w:rsidR="00301826" w:rsidRPr="003F1F6C">
        <w:t xml:space="preserve"> </w:t>
      </w:r>
      <w:r w:rsidR="005D3225" w:rsidRPr="003F1F6C">
        <w:t>free survival (</w:t>
      </w:r>
      <w:r w:rsidRPr="003F1F6C">
        <w:t>PFS</w:t>
      </w:r>
      <w:r w:rsidR="005D3225" w:rsidRPr="003F1F6C">
        <w:t xml:space="preserve">) with </w:t>
      </w:r>
      <w:proofErr w:type="spellStart"/>
      <w:r w:rsidR="005D3225" w:rsidRPr="003F1F6C">
        <w:t>lanreotide</w:t>
      </w:r>
      <w:proofErr w:type="spellEnd"/>
      <w:r w:rsidR="005D3225" w:rsidRPr="003F1F6C">
        <w:t xml:space="preserve"> and placebo is summarised in Figure 1 below.</w:t>
      </w:r>
    </w:p>
    <w:p w:rsidR="003F4F36" w:rsidRDefault="003F4F36" w:rsidP="003F4F36">
      <w:pPr>
        <w:pStyle w:val="Caption"/>
        <w:jc w:val="left"/>
      </w:pPr>
      <w:r>
        <w:t xml:space="preserve">Figure </w:t>
      </w:r>
      <w:r>
        <w:rPr>
          <w:noProof/>
        </w:rPr>
        <w:t>1</w:t>
      </w:r>
      <w:r w:rsidRPr="00AC6741">
        <w:t>: Kaplan-Meier curves of progression free survival (ITT population)</w:t>
      </w:r>
    </w:p>
    <w:p w:rsidR="005D3225" w:rsidRPr="003F1F6C" w:rsidRDefault="005D3225" w:rsidP="00CE5B76">
      <w:pPr>
        <w:spacing w:before="0" w:after="0"/>
        <w:jc w:val="left"/>
        <w:rPr>
          <w:rStyle w:val="CommentReference"/>
        </w:rPr>
      </w:pPr>
      <w:r w:rsidRPr="003F1F6C">
        <w:rPr>
          <w:rStyle w:val="CommentReference"/>
          <w:noProof/>
          <w:lang w:eastAsia="en-AU"/>
        </w:rPr>
        <w:drawing>
          <wp:inline distT="0" distB="0" distL="0" distR="0" wp14:anchorId="6C242DB0" wp14:editId="42F9ABE1">
            <wp:extent cx="5770449" cy="2752881"/>
            <wp:effectExtent l="0" t="0" r="1905" b="9525"/>
            <wp:docPr id="12" name="Picture 12" title="Kaplan-Meier curves of progression free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0437" cy="2776728"/>
                    </a:xfrm>
                    <a:prstGeom prst="rect">
                      <a:avLst/>
                    </a:prstGeom>
                  </pic:spPr>
                </pic:pic>
              </a:graphicData>
            </a:graphic>
          </wp:inline>
        </w:drawing>
      </w:r>
    </w:p>
    <w:p w:rsidR="005D3225" w:rsidRPr="003F1F6C" w:rsidRDefault="005D3225" w:rsidP="00780E4D">
      <w:pPr>
        <w:pStyle w:val="TableFooter"/>
        <w:widowControl/>
      </w:pPr>
      <w:r w:rsidRPr="009776C8">
        <w:t xml:space="preserve">Source: Figure B.6.1, p.32 of the November 2016 </w:t>
      </w:r>
      <w:proofErr w:type="spellStart"/>
      <w:r w:rsidRPr="009776C8">
        <w:t>lanreotide</w:t>
      </w:r>
      <w:proofErr w:type="spellEnd"/>
      <w:r w:rsidRPr="009776C8">
        <w:t xml:space="preserve"> commentary.</w:t>
      </w:r>
    </w:p>
    <w:p w:rsidR="005D3225" w:rsidRPr="000D028E" w:rsidRDefault="005D3225" w:rsidP="00C44233">
      <w:pPr>
        <w:pStyle w:val="ESnumberedpara"/>
        <w:ind w:left="567" w:hanging="567"/>
      </w:pPr>
      <w:r w:rsidRPr="000D028E">
        <w:t xml:space="preserve">Treatment with </w:t>
      </w:r>
      <w:proofErr w:type="spellStart"/>
      <w:r w:rsidRPr="000D028E">
        <w:t>lanreotide</w:t>
      </w:r>
      <w:proofErr w:type="spellEnd"/>
      <w:r w:rsidRPr="000D028E">
        <w:t xml:space="preserve"> was associated with a statistically significant increase in </w:t>
      </w:r>
      <w:r w:rsidR="00596479">
        <w:t>PFS</w:t>
      </w:r>
      <w:r w:rsidRPr="000D028E">
        <w:t xml:space="preserve"> compared with placebo (</w:t>
      </w:r>
      <w:r w:rsidR="00626405" w:rsidRPr="000D028E">
        <w:t xml:space="preserve">HR 0.47, 95% CI 0.30, 0.73). </w:t>
      </w:r>
      <w:r w:rsidR="007614BB" w:rsidRPr="000D028E">
        <w:t>At 96 </w:t>
      </w:r>
      <w:r w:rsidR="00B1137D" w:rsidRPr="000D028E">
        <w:t>weeks, m</w:t>
      </w:r>
      <w:r w:rsidRPr="000D028E">
        <w:t xml:space="preserve">edian </w:t>
      </w:r>
      <w:r w:rsidR="00596479">
        <w:t>PFS</w:t>
      </w:r>
      <w:r w:rsidRPr="000D028E">
        <w:t xml:space="preserve"> </w:t>
      </w:r>
      <w:r w:rsidR="00626405" w:rsidRPr="000D028E">
        <w:t xml:space="preserve">was </w:t>
      </w:r>
      <w:r w:rsidR="00B1137D" w:rsidRPr="000D028E">
        <w:t xml:space="preserve">72 weeks for the placebo group and </w:t>
      </w:r>
      <w:r w:rsidRPr="000D028E">
        <w:t xml:space="preserve">not reached </w:t>
      </w:r>
      <w:r w:rsidR="00626405" w:rsidRPr="000D028E">
        <w:t xml:space="preserve">for the </w:t>
      </w:r>
      <w:proofErr w:type="spellStart"/>
      <w:r w:rsidR="00626405" w:rsidRPr="000D028E">
        <w:t>lanreotide</w:t>
      </w:r>
      <w:proofErr w:type="spellEnd"/>
      <w:r w:rsidR="00626405" w:rsidRPr="000D028E">
        <w:t xml:space="preserve"> group</w:t>
      </w:r>
      <w:r w:rsidR="00B1137D" w:rsidRPr="000D028E">
        <w:t>.</w:t>
      </w:r>
    </w:p>
    <w:p w:rsidR="00B11B6B" w:rsidRPr="000D028E" w:rsidRDefault="005D3225" w:rsidP="00852CB7">
      <w:pPr>
        <w:pStyle w:val="ESnumberedpara"/>
        <w:ind w:left="567" w:hanging="567"/>
      </w:pPr>
      <w:r w:rsidRPr="000D028E">
        <w:t xml:space="preserve">During the extension study, patients who progressed while treated with placebo in the CLARINET trial were allowed to switch to </w:t>
      </w:r>
      <w:proofErr w:type="spellStart"/>
      <w:r w:rsidRPr="000D028E">
        <w:t>lanreotide</w:t>
      </w:r>
      <w:proofErr w:type="spellEnd"/>
      <w:r w:rsidRPr="000D028E">
        <w:t xml:space="preserve"> treatment. In this population</w:t>
      </w:r>
      <w:r w:rsidR="00D71580" w:rsidRPr="000D028E">
        <w:t>,</w:t>
      </w:r>
      <w:r w:rsidRPr="000D028E">
        <w:t xml:space="preserve"> the median time from first progression event (in the pivotal trial) to subsequent progression event (in the extension study) was 56 weeks</w:t>
      </w:r>
      <w:r w:rsidR="007614BB" w:rsidRPr="000D028E">
        <w:t>.</w:t>
      </w:r>
    </w:p>
    <w:p w:rsidR="00C94265" w:rsidRPr="00C94265" w:rsidRDefault="001C2769" w:rsidP="00BF31EB">
      <w:pPr>
        <w:pStyle w:val="ESnumberedpara"/>
        <w:ind w:left="567" w:hanging="567"/>
      </w:pPr>
      <w:r w:rsidRPr="000D028E">
        <w:t xml:space="preserve">The </w:t>
      </w:r>
      <w:r w:rsidR="005D3225" w:rsidRPr="000D028E">
        <w:t xml:space="preserve">PBAC has previously questioned the clinical importance of the gain in </w:t>
      </w:r>
      <w:r w:rsidR="00301826" w:rsidRPr="000D028E">
        <w:t>PFS</w:t>
      </w:r>
      <w:r w:rsidR="005D3225" w:rsidRPr="000D028E">
        <w:t xml:space="preserve"> based on radiological changes</w:t>
      </w:r>
      <w:r w:rsidRPr="000D028E">
        <w:t xml:space="preserve"> (paragraph 7.8, November 2016 </w:t>
      </w:r>
      <w:proofErr w:type="spellStart"/>
      <w:r w:rsidRPr="000D028E">
        <w:t>lanreotide</w:t>
      </w:r>
      <w:proofErr w:type="spellEnd"/>
      <w:r w:rsidRPr="000D028E">
        <w:t xml:space="preserve"> PSD)</w:t>
      </w:r>
      <w:r w:rsidR="00081B96" w:rsidRPr="000D028E">
        <w:t>.</w:t>
      </w:r>
      <w:r w:rsidR="005C047A" w:rsidRPr="000D028E">
        <w:t xml:space="preserve"> </w:t>
      </w:r>
      <w:r w:rsidRPr="000D028E">
        <w:t>The PSCR (p1) expressed concern that there may be a</w:t>
      </w:r>
      <w:r w:rsidR="00596479">
        <w:t xml:space="preserve"> misunderstanding that non</w:t>
      </w:r>
      <w:r w:rsidR="00596479">
        <w:noBreakHyphen/>
      </w:r>
      <w:r w:rsidRPr="000D028E">
        <w:t xml:space="preserve">functional GEP-NETs are asymptomatic and claimed that the submission demonstrated the link between disease progression and symptoms associated with tumour burden. As noted in paragraph 4.3, the PBAC has previously </w:t>
      </w:r>
      <w:r w:rsidR="000419A5" w:rsidRPr="000D028E">
        <w:t xml:space="preserve">acknowledged </w:t>
      </w:r>
      <w:r w:rsidRPr="000D028E">
        <w:t xml:space="preserve">that non-functional tumours can be symptomatic but questioned whether radiologic progression assessed in the trial is necessarily associated with a change in clinical symptoms. </w:t>
      </w:r>
      <w:r w:rsidR="005C047A" w:rsidRPr="000D028E">
        <w:t xml:space="preserve">The </w:t>
      </w:r>
      <w:r w:rsidR="002A477F" w:rsidRPr="000D028E">
        <w:t>ESC considered that the clinical importance of the gain in PFS</w:t>
      </w:r>
      <w:r w:rsidR="00E15248" w:rsidRPr="000D028E">
        <w:t xml:space="preserve"> as a clinical outcome for the treatment of GEP-NETs</w:t>
      </w:r>
      <w:r w:rsidR="002A477F" w:rsidRPr="000D028E">
        <w:t xml:space="preserve"> remained unclear, noting there were no statistically significant differences in </w:t>
      </w:r>
      <w:r w:rsidR="000419A5" w:rsidRPr="000D028E">
        <w:t>quality of life</w:t>
      </w:r>
      <w:r w:rsidR="002A477F" w:rsidRPr="000D028E">
        <w:t xml:space="preserve"> change from baseline measures between </w:t>
      </w:r>
      <w:proofErr w:type="spellStart"/>
      <w:r w:rsidR="002A477F" w:rsidRPr="000D028E">
        <w:t>lanreotide</w:t>
      </w:r>
      <w:proofErr w:type="spellEnd"/>
      <w:r w:rsidR="002A477F" w:rsidRPr="000D028E">
        <w:t xml:space="preserve"> and placebo.</w:t>
      </w:r>
      <w:r w:rsidR="00C94265" w:rsidRPr="000D028E">
        <w:t xml:space="preserve"> </w:t>
      </w:r>
      <w:r w:rsidR="00BC0B1C" w:rsidRPr="000D028E">
        <w:t xml:space="preserve">The ESC </w:t>
      </w:r>
      <w:r w:rsidRPr="000D028E">
        <w:t>considered</w:t>
      </w:r>
      <w:r w:rsidR="00BC0B1C" w:rsidRPr="000D028E">
        <w:t xml:space="preserve"> that the </w:t>
      </w:r>
      <w:r w:rsidR="00AB271A" w:rsidRPr="000D028E">
        <w:t>sponsor had not addressed</w:t>
      </w:r>
      <w:r w:rsidR="00BC0B1C" w:rsidRPr="000D028E">
        <w:t xml:space="preserve"> the</w:t>
      </w:r>
      <w:r w:rsidR="00AB271A">
        <w:rPr>
          <w:i/>
        </w:rPr>
        <w:t xml:space="preserve"> </w:t>
      </w:r>
      <w:r w:rsidR="00AB271A" w:rsidRPr="000D028E">
        <w:t>underlying</w:t>
      </w:r>
      <w:r w:rsidR="00BC0B1C" w:rsidRPr="000D028E">
        <w:t xml:space="preserve"> issue of </w:t>
      </w:r>
      <w:r w:rsidR="00AB271A" w:rsidRPr="000D028E">
        <w:t xml:space="preserve">uncertainty around </w:t>
      </w:r>
      <w:r w:rsidR="00BC0B1C" w:rsidRPr="000D028E">
        <w:t>clinical importance of PFS based on radiologic changes.</w:t>
      </w:r>
      <w:r w:rsidR="00BC0B1C">
        <w:rPr>
          <w:i/>
        </w:rPr>
        <w:t xml:space="preserve"> </w:t>
      </w:r>
      <w:r w:rsidR="00C94265">
        <w:rPr>
          <w:i/>
        </w:rPr>
        <w:t xml:space="preserve"> </w:t>
      </w:r>
    </w:p>
    <w:p w:rsidR="005D3225" w:rsidRPr="003F1F6C" w:rsidRDefault="005D3225" w:rsidP="00CE5B76">
      <w:pPr>
        <w:pStyle w:val="ESnumberedpara"/>
        <w:ind w:left="567" w:hanging="567"/>
      </w:pPr>
      <w:r w:rsidRPr="003F1F6C">
        <w:t>Overall survival</w:t>
      </w:r>
      <w:r w:rsidR="00FF0397">
        <w:t xml:space="preserve"> (OS)</w:t>
      </w:r>
      <w:r w:rsidRPr="003F1F6C">
        <w:t xml:space="preserve"> with </w:t>
      </w:r>
      <w:proofErr w:type="spellStart"/>
      <w:r w:rsidRPr="003F1F6C">
        <w:t>lanreotide</w:t>
      </w:r>
      <w:proofErr w:type="spellEnd"/>
      <w:r w:rsidRPr="003F1F6C">
        <w:t xml:space="preserve"> and placebo is summarised in Figure 2.</w:t>
      </w:r>
    </w:p>
    <w:p w:rsidR="003F4F36" w:rsidRDefault="003F4F36" w:rsidP="003F4F36">
      <w:pPr>
        <w:pStyle w:val="Caption"/>
      </w:pPr>
      <w:r>
        <w:t xml:space="preserve">Figure </w:t>
      </w:r>
      <w:r>
        <w:rPr>
          <w:noProof/>
        </w:rPr>
        <w:t>2</w:t>
      </w:r>
      <w:r w:rsidRPr="00C831CA">
        <w:t>: Kaplan-Meier curves of overall survival (ITT population) during the pivotal trial and annual post-trial follow-up</w:t>
      </w:r>
    </w:p>
    <w:p w:rsidR="005D3225" w:rsidRPr="003F1F6C" w:rsidRDefault="005D3225" w:rsidP="00CE5B76">
      <w:pPr>
        <w:spacing w:before="0" w:after="0"/>
        <w:rPr>
          <w:rFonts w:ascii="Arial Narrow" w:hAnsi="Arial Narrow"/>
          <w:b/>
          <w:sz w:val="20"/>
        </w:rPr>
      </w:pPr>
      <w:r w:rsidRPr="003F1F6C">
        <w:rPr>
          <w:noProof/>
          <w:color w:val="3366FF"/>
          <w:lang w:eastAsia="en-AU"/>
        </w:rPr>
        <w:drawing>
          <wp:inline distT="0" distB="0" distL="0" distR="0" wp14:anchorId="7F43A2A3" wp14:editId="60C3477E">
            <wp:extent cx="5731510" cy="2701322"/>
            <wp:effectExtent l="0" t="0" r="2540" b="3810"/>
            <wp:docPr id="17" name="Picture 17" title="Kaplan-Meier curves of overall survival (ITT population) during the pivotal trial and annual post-trial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701322"/>
                    </a:xfrm>
                    <a:prstGeom prst="rect">
                      <a:avLst/>
                    </a:prstGeom>
                    <a:noFill/>
                    <a:ln>
                      <a:noFill/>
                    </a:ln>
                  </pic:spPr>
                </pic:pic>
              </a:graphicData>
            </a:graphic>
          </wp:inline>
        </w:drawing>
      </w:r>
    </w:p>
    <w:p w:rsidR="005D3225" w:rsidRPr="003F1F6C" w:rsidRDefault="005D3225" w:rsidP="00780E4D">
      <w:pPr>
        <w:pStyle w:val="TableFooter"/>
        <w:widowControl/>
      </w:pPr>
      <w:r w:rsidRPr="0045644E">
        <w:t xml:space="preserve">Source: </w:t>
      </w:r>
      <w:r w:rsidRPr="002C290B">
        <w:t xml:space="preserve">Figure B.6.2, p.33 of the November 2016 </w:t>
      </w:r>
      <w:proofErr w:type="spellStart"/>
      <w:r w:rsidRPr="002C290B">
        <w:t>lanreotide</w:t>
      </w:r>
      <w:proofErr w:type="spellEnd"/>
      <w:r w:rsidRPr="002C290B">
        <w:t xml:space="preserve"> commentary</w:t>
      </w:r>
      <w:r w:rsidRPr="0045644E">
        <w:t>.</w:t>
      </w:r>
    </w:p>
    <w:p w:rsidR="0075028D" w:rsidRPr="0048037E" w:rsidRDefault="005D3225" w:rsidP="00C44233">
      <w:pPr>
        <w:pStyle w:val="ESnumberedpara"/>
        <w:ind w:left="567" w:hanging="567"/>
      </w:pPr>
      <w:r w:rsidRPr="003F1F6C">
        <w:t xml:space="preserve">There was no statistically significant difference in </w:t>
      </w:r>
      <w:r w:rsidR="00301826" w:rsidRPr="003F1F6C">
        <w:t>OS</w:t>
      </w:r>
      <w:r w:rsidRPr="003F1F6C">
        <w:t xml:space="preserve"> between treatment arms during the pivotal trial or during additional post-trial monitoring (HR 1.05; 95% CI: 0.55, 2.03)</w:t>
      </w:r>
      <w:r w:rsidR="00260C1D" w:rsidRPr="003F1F6C">
        <w:t xml:space="preserve">, with four deaths observed during the CLARINET trial (two in each of the </w:t>
      </w:r>
      <w:proofErr w:type="spellStart"/>
      <w:r w:rsidR="00260C1D" w:rsidRPr="003F1F6C">
        <w:t>lanreotide</w:t>
      </w:r>
      <w:proofErr w:type="spellEnd"/>
      <w:r w:rsidR="00260C1D" w:rsidRPr="003F1F6C">
        <w:t xml:space="preserve"> and placebo arms)</w:t>
      </w:r>
      <w:r w:rsidRPr="003F1F6C">
        <w:t>. The</w:t>
      </w:r>
      <w:r w:rsidR="00F2372A" w:rsidRPr="003F1F6C">
        <w:t xml:space="preserve"> evaluation and the ESC previously noted in its consideration of the November 2016 submission that the</w:t>
      </w:r>
      <w:r w:rsidRPr="003F1F6C">
        <w:t xml:space="preserve"> </w:t>
      </w:r>
      <w:r w:rsidR="00301826" w:rsidRPr="003F1F6C">
        <w:t>OS</w:t>
      </w:r>
      <w:r w:rsidRPr="003F1F6C">
        <w:t xml:space="preserve"> results were of limited reliability due to incomplete reporting (</w:t>
      </w:r>
      <w:r w:rsidR="00301826" w:rsidRPr="003F1F6C">
        <w:t>OS</w:t>
      </w:r>
      <w:r w:rsidRPr="003F1F6C">
        <w:t xml:space="preserve"> was added as an outcome after some patients had already finished </w:t>
      </w:r>
      <w:r w:rsidR="0045644E">
        <w:t>the trial), insufficient follow</w:t>
      </w:r>
      <w:r w:rsidR="0045644E">
        <w:noBreakHyphen/>
      </w:r>
      <w:r w:rsidRPr="003F1F6C">
        <w:t>up time (given the indolent nature of the disease) and patient crossover (from placebo to active treatment after disease progression)</w:t>
      </w:r>
      <w:r w:rsidR="00F2372A" w:rsidRPr="003F1F6C">
        <w:t xml:space="preserve"> (paragraph 6.15, November 2016</w:t>
      </w:r>
      <w:r w:rsidR="00FE094E" w:rsidRPr="003F1F6C">
        <w:t xml:space="preserve"> </w:t>
      </w:r>
      <w:proofErr w:type="spellStart"/>
      <w:r w:rsidR="00FE094E" w:rsidRPr="003F1F6C">
        <w:t>lanreotide</w:t>
      </w:r>
      <w:proofErr w:type="spellEnd"/>
      <w:r w:rsidR="00F2372A" w:rsidRPr="003F1F6C">
        <w:t xml:space="preserve"> PSD)</w:t>
      </w:r>
      <w:r w:rsidRPr="003F1F6C">
        <w:t>.</w:t>
      </w:r>
    </w:p>
    <w:p w:rsidR="005D3225" w:rsidRPr="003F1F6C" w:rsidRDefault="005D3225" w:rsidP="00852CB7">
      <w:pPr>
        <w:pStyle w:val="Heading2"/>
      </w:pPr>
      <w:bookmarkStart w:id="24" w:name="_Toc413139279"/>
      <w:bookmarkStart w:id="25" w:name="_Toc476306889"/>
      <w:bookmarkStart w:id="26" w:name="_Toc482193595"/>
      <w:r w:rsidRPr="003F1F6C">
        <w:t>Comparative harms</w:t>
      </w:r>
      <w:bookmarkEnd w:id="24"/>
      <w:bookmarkEnd w:id="25"/>
      <w:bookmarkEnd w:id="26"/>
    </w:p>
    <w:p w:rsidR="005D3225" w:rsidRPr="003F1F6C" w:rsidRDefault="005D3225" w:rsidP="00BF31EB">
      <w:pPr>
        <w:pStyle w:val="ESnumberedpara"/>
        <w:ind w:left="567" w:hanging="567"/>
      </w:pPr>
      <w:r w:rsidRPr="003F1F6C">
        <w:t xml:space="preserve">There were no major changes to the </w:t>
      </w:r>
      <w:r w:rsidR="000D0140" w:rsidRPr="003F1F6C">
        <w:t>safety data</w:t>
      </w:r>
      <w:r w:rsidRPr="003F1F6C">
        <w:t xml:space="preserve"> presented in the November 2016 submission.</w:t>
      </w:r>
    </w:p>
    <w:p w:rsidR="005D3225" w:rsidRPr="003F1F6C" w:rsidRDefault="005D3225" w:rsidP="00CE5B76">
      <w:pPr>
        <w:pStyle w:val="ESnumberedpara"/>
        <w:ind w:left="567" w:hanging="567"/>
      </w:pPr>
      <w:proofErr w:type="spellStart"/>
      <w:r w:rsidRPr="003F1F6C">
        <w:t>Lanreotide</w:t>
      </w:r>
      <w:proofErr w:type="spellEnd"/>
      <w:r w:rsidRPr="003F1F6C">
        <w:t xml:space="preserve"> was associated with a higher incidence of treatment-related events (primarily diarrhoea, abdominal pain, flatulen</w:t>
      </w:r>
      <w:r w:rsidR="00B85B0B">
        <w:t>ce, vomiting, nausea, injection</w:t>
      </w:r>
      <w:r w:rsidR="00B85B0B">
        <w:noBreakHyphen/>
      </w:r>
      <w:r w:rsidRPr="003F1F6C">
        <w:t xml:space="preserve">site pain, </w:t>
      </w:r>
      <w:proofErr w:type="spellStart"/>
      <w:r w:rsidRPr="003F1F6C">
        <w:t>cholelithiasis</w:t>
      </w:r>
      <w:proofErr w:type="spellEnd"/>
      <w:r w:rsidRPr="003F1F6C">
        <w:t xml:space="preserve">, headache, lethargy, hyperglycaemia and decreased pancreatic enzymes) compared with placebo. The majority of adverse events were mild to moderate in severity and were consistent with the known safety profile of </w:t>
      </w:r>
      <w:proofErr w:type="spellStart"/>
      <w:r w:rsidRPr="003F1F6C">
        <w:t>lanreotide</w:t>
      </w:r>
      <w:proofErr w:type="spellEnd"/>
      <w:r w:rsidRPr="003F1F6C">
        <w:t xml:space="preserve">. Three patients treated with </w:t>
      </w:r>
      <w:proofErr w:type="spellStart"/>
      <w:r w:rsidRPr="003F1F6C">
        <w:t>lanreotide</w:t>
      </w:r>
      <w:proofErr w:type="spellEnd"/>
      <w:r w:rsidRPr="003F1F6C">
        <w:t xml:space="preserve"> experienced serious treatment-related events including </w:t>
      </w:r>
      <w:proofErr w:type="spellStart"/>
      <w:r w:rsidRPr="003F1F6C">
        <w:t>cholelithiasis</w:t>
      </w:r>
      <w:proofErr w:type="spellEnd"/>
      <w:r w:rsidRPr="003F1F6C">
        <w:t>, diabetes mellitus, hyperglycaemia, biliary fistula, abdominal pain, nausea and vomiting.</w:t>
      </w:r>
    </w:p>
    <w:p w:rsidR="0075028D" w:rsidRDefault="005D3225" w:rsidP="00CE5B76">
      <w:pPr>
        <w:pStyle w:val="ESnumberedpara"/>
        <w:ind w:left="567" w:hanging="567"/>
      </w:pPr>
      <w:r w:rsidRPr="003F1F6C">
        <w:t xml:space="preserve">Based on an expanded assessment of harms, important identified risks associated with </w:t>
      </w:r>
      <w:proofErr w:type="spellStart"/>
      <w:r w:rsidRPr="003F1F6C">
        <w:t>lanreotide</w:t>
      </w:r>
      <w:proofErr w:type="spellEnd"/>
      <w:r w:rsidRPr="003F1F6C">
        <w:t xml:space="preserve"> include gastrointestinal events, </w:t>
      </w:r>
      <w:proofErr w:type="spellStart"/>
      <w:r w:rsidRPr="003F1F6C">
        <w:t>cholelithiasis</w:t>
      </w:r>
      <w:proofErr w:type="spellEnd"/>
      <w:r w:rsidRPr="003F1F6C">
        <w:t xml:space="preserve">, changes in </w:t>
      </w:r>
      <w:proofErr w:type="spellStart"/>
      <w:r w:rsidRPr="003F1F6C">
        <w:t>glycoregulation</w:t>
      </w:r>
      <w:proofErr w:type="spellEnd"/>
      <w:r w:rsidRPr="003F1F6C">
        <w:t xml:space="preserve">, </w:t>
      </w:r>
      <w:proofErr w:type="gramStart"/>
      <w:r w:rsidRPr="003F1F6C">
        <w:t>changes</w:t>
      </w:r>
      <w:proofErr w:type="gramEnd"/>
      <w:r w:rsidRPr="003F1F6C">
        <w:t xml:space="preserve"> in thyroid function, bradycardia, administration site reactions, pancreatitis and allergic reactions. Other important potential risks include hepatic dysfunction, renal impairment and effects on the bioavailability of concomitant therapies.</w:t>
      </w:r>
    </w:p>
    <w:p w:rsidR="005D3225" w:rsidRPr="003F1F6C" w:rsidRDefault="005D3225" w:rsidP="00CE5B76">
      <w:pPr>
        <w:pStyle w:val="Heading2"/>
      </w:pPr>
      <w:bookmarkStart w:id="27" w:name="_Toc476306890"/>
      <w:bookmarkStart w:id="28" w:name="_Toc482193596"/>
      <w:bookmarkStart w:id="29" w:name="_Toc413139281"/>
      <w:r w:rsidRPr="003F1F6C">
        <w:t>Benefits and harms</w:t>
      </w:r>
      <w:bookmarkEnd w:id="27"/>
      <w:bookmarkEnd w:id="28"/>
    </w:p>
    <w:p w:rsidR="005D3225" w:rsidRPr="003F1F6C" w:rsidRDefault="005D3225" w:rsidP="00CE5B76">
      <w:pPr>
        <w:pStyle w:val="ESnumberedpara"/>
        <w:ind w:left="567" w:hanging="567"/>
      </w:pPr>
      <w:r w:rsidRPr="003F1F6C">
        <w:t xml:space="preserve">A summary of the comparative benefits and harms for </w:t>
      </w:r>
      <w:proofErr w:type="spellStart"/>
      <w:r w:rsidRPr="003F1F6C">
        <w:t>lanreotide</w:t>
      </w:r>
      <w:proofErr w:type="spellEnd"/>
      <w:r w:rsidRPr="003F1F6C">
        <w:t xml:space="preserve"> versus placebo is presented in the table below.</w:t>
      </w:r>
    </w:p>
    <w:p w:rsidR="0097752E" w:rsidRDefault="0097752E" w:rsidP="0097752E">
      <w:pPr>
        <w:pStyle w:val="Caption"/>
      </w:pPr>
      <w:r>
        <w:t xml:space="preserve">Table </w:t>
      </w:r>
      <w:r>
        <w:rPr>
          <w:noProof/>
        </w:rPr>
        <w:t>5</w:t>
      </w:r>
      <w:r w:rsidRPr="0035776D">
        <w:t xml:space="preserve">: Summary of comparative benefits and harms for </w:t>
      </w:r>
      <w:proofErr w:type="spellStart"/>
      <w:r w:rsidRPr="0035776D">
        <w:t>lanreotide</w:t>
      </w:r>
      <w:proofErr w:type="spellEnd"/>
      <w:r w:rsidRPr="0035776D">
        <w:t xml:space="preserve"> and placebo</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comparative benefits and harms for lanreotide and placebo"/>
      </w:tblPr>
      <w:tblGrid>
        <w:gridCol w:w="2580"/>
        <w:gridCol w:w="1702"/>
        <w:gridCol w:w="1558"/>
        <w:gridCol w:w="1702"/>
        <w:gridCol w:w="1540"/>
      </w:tblGrid>
      <w:tr w:rsidR="005D3225" w:rsidRPr="003F1F6C" w:rsidTr="00BE39FF">
        <w:trPr>
          <w:cnfStyle w:val="100000000000" w:firstRow="1" w:lastRow="0" w:firstColumn="0" w:lastColumn="0" w:oddVBand="0" w:evenVBand="0" w:oddHBand="0" w:evenHBand="0" w:firstRowFirstColumn="0" w:firstRowLastColumn="0" w:lastRowFirstColumn="0" w:lastRowLastColumn="0"/>
          <w:tblHeader/>
        </w:trPr>
        <w:tc>
          <w:tcPr>
            <w:tcW w:w="1420" w:type="pct"/>
            <w:shd w:val="clear" w:color="auto" w:fill="auto"/>
            <w:vAlign w:val="center"/>
          </w:tcPr>
          <w:p w:rsidR="005D3225" w:rsidRPr="003F1F6C" w:rsidRDefault="005D3225" w:rsidP="00CE5B76">
            <w:pPr>
              <w:pStyle w:val="TableText"/>
              <w:jc w:val="left"/>
              <w:rPr>
                <w:b w:val="0"/>
              </w:rPr>
            </w:pPr>
            <w:r w:rsidRPr="003F1F6C">
              <w:t>Benefits</w:t>
            </w:r>
          </w:p>
        </w:tc>
        <w:tc>
          <w:tcPr>
            <w:tcW w:w="937" w:type="pct"/>
            <w:shd w:val="clear" w:color="auto" w:fill="auto"/>
            <w:vAlign w:val="center"/>
          </w:tcPr>
          <w:p w:rsidR="005D3225" w:rsidRPr="003F1F6C" w:rsidRDefault="005D3225" w:rsidP="00CE5B76">
            <w:pPr>
              <w:pStyle w:val="TableText"/>
              <w:jc w:val="center"/>
              <w:rPr>
                <w:b w:val="0"/>
              </w:rPr>
            </w:pPr>
            <w:proofErr w:type="spellStart"/>
            <w:r w:rsidRPr="003F1F6C">
              <w:t>Lanreotide</w:t>
            </w:r>
            <w:proofErr w:type="spellEnd"/>
          </w:p>
        </w:tc>
        <w:tc>
          <w:tcPr>
            <w:tcW w:w="858" w:type="pct"/>
            <w:shd w:val="clear" w:color="auto" w:fill="auto"/>
            <w:vAlign w:val="center"/>
          </w:tcPr>
          <w:p w:rsidR="005D3225" w:rsidRPr="003F1F6C" w:rsidRDefault="005D3225" w:rsidP="00CE5B76">
            <w:pPr>
              <w:pStyle w:val="TableText"/>
              <w:jc w:val="center"/>
              <w:rPr>
                <w:b w:val="0"/>
              </w:rPr>
            </w:pPr>
            <w:r w:rsidRPr="003F1F6C">
              <w:t>Placebo</w:t>
            </w:r>
          </w:p>
        </w:tc>
        <w:tc>
          <w:tcPr>
            <w:tcW w:w="937" w:type="pct"/>
            <w:shd w:val="clear" w:color="auto" w:fill="auto"/>
            <w:vAlign w:val="center"/>
          </w:tcPr>
          <w:p w:rsidR="005D3225" w:rsidRPr="003F1F6C" w:rsidRDefault="005D3225" w:rsidP="00CE5B76">
            <w:pPr>
              <w:pStyle w:val="TableText"/>
              <w:jc w:val="center"/>
              <w:rPr>
                <w:b w:val="0"/>
              </w:rPr>
            </w:pPr>
            <w:r w:rsidRPr="003F1F6C">
              <w:t>Absolute Difference</w:t>
            </w:r>
          </w:p>
        </w:tc>
        <w:tc>
          <w:tcPr>
            <w:tcW w:w="848" w:type="pct"/>
            <w:shd w:val="clear" w:color="auto" w:fill="auto"/>
            <w:vAlign w:val="center"/>
          </w:tcPr>
          <w:p w:rsidR="005D3225" w:rsidRPr="003F1F6C" w:rsidRDefault="005D3225" w:rsidP="00CE5B76">
            <w:pPr>
              <w:pStyle w:val="TableText"/>
              <w:jc w:val="center"/>
              <w:rPr>
                <w:b w:val="0"/>
              </w:rPr>
            </w:pPr>
            <w:r w:rsidRPr="003F1F6C">
              <w:t>HR (95% CI)</w:t>
            </w:r>
          </w:p>
        </w:tc>
      </w:tr>
      <w:tr w:rsidR="005D3225" w:rsidRPr="003F1F6C" w:rsidTr="00893613">
        <w:tc>
          <w:tcPr>
            <w:tcW w:w="1420" w:type="pct"/>
            <w:shd w:val="clear" w:color="auto" w:fill="auto"/>
            <w:vAlign w:val="center"/>
          </w:tcPr>
          <w:p w:rsidR="005D3225" w:rsidRPr="003F1F6C" w:rsidRDefault="005D3225" w:rsidP="00C44233">
            <w:pPr>
              <w:pStyle w:val="TableText"/>
              <w:jc w:val="left"/>
              <w:rPr>
                <w:vertAlign w:val="superscript"/>
              </w:rPr>
            </w:pPr>
            <w:r w:rsidRPr="003F1F6C">
              <w:t xml:space="preserve">Patients with </w:t>
            </w:r>
            <w:proofErr w:type="spellStart"/>
            <w:r w:rsidRPr="003F1F6C">
              <w:t>progression</w:t>
            </w:r>
            <w:r w:rsidRPr="003F1F6C">
              <w:rPr>
                <w:vertAlign w:val="superscript"/>
              </w:rPr>
              <w:t>a</w:t>
            </w:r>
            <w:proofErr w:type="spellEnd"/>
          </w:p>
        </w:tc>
        <w:tc>
          <w:tcPr>
            <w:tcW w:w="937" w:type="pct"/>
            <w:shd w:val="clear" w:color="auto" w:fill="auto"/>
            <w:vAlign w:val="center"/>
          </w:tcPr>
          <w:p w:rsidR="005D3225" w:rsidRPr="003F1F6C" w:rsidRDefault="005D3225" w:rsidP="00852CB7">
            <w:pPr>
              <w:pStyle w:val="TableText"/>
              <w:jc w:val="center"/>
            </w:pPr>
            <w:r w:rsidRPr="003F1F6C">
              <w:t>32/101 (31.7%)</w:t>
            </w:r>
          </w:p>
        </w:tc>
        <w:tc>
          <w:tcPr>
            <w:tcW w:w="858" w:type="pct"/>
            <w:shd w:val="clear" w:color="auto" w:fill="auto"/>
            <w:vAlign w:val="center"/>
          </w:tcPr>
          <w:p w:rsidR="005D3225" w:rsidRPr="003F1F6C" w:rsidRDefault="005D3225" w:rsidP="00BF31EB">
            <w:pPr>
              <w:pStyle w:val="TableText"/>
              <w:jc w:val="center"/>
            </w:pPr>
            <w:r w:rsidRPr="003F1F6C">
              <w:t>60/103 (58.3%)</w:t>
            </w:r>
          </w:p>
        </w:tc>
        <w:tc>
          <w:tcPr>
            <w:tcW w:w="937" w:type="pct"/>
            <w:shd w:val="clear" w:color="auto" w:fill="auto"/>
            <w:vAlign w:val="center"/>
          </w:tcPr>
          <w:p w:rsidR="005D3225" w:rsidRPr="003F1F6C" w:rsidRDefault="005D3225" w:rsidP="00CE5B76">
            <w:pPr>
              <w:pStyle w:val="TableText"/>
              <w:jc w:val="center"/>
            </w:pPr>
            <w:r w:rsidRPr="003F1F6C">
              <w:t>-</w:t>
            </w:r>
          </w:p>
        </w:tc>
        <w:tc>
          <w:tcPr>
            <w:tcW w:w="848" w:type="pct"/>
            <w:shd w:val="clear" w:color="auto" w:fill="auto"/>
            <w:vAlign w:val="center"/>
          </w:tcPr>
          <w:p w:rsidR="005D3225" w:rsidRPr="003F1F6C" w:rsidRDefault="005D3225" w:rsidP="00CE5B76">
            <w:pPr>
              <w:pStyle w:val="TableText"/>
              <w:jc w:val="center"/>
            </w:pPr>
            <w:r w:rsidRPr="003F1F6C">
              <w:t>0.47 (0.30, 0.73)</w:t>
            </w:r>
          </w:p>
        </w:tc>
      </w:tr>
      <w:tr w:rsidR="003E074E" w:rsidRPr="003F1F6C" w:rsidTr="00893613">
        <w:tc>
          <w:tcPr>
            <w:tcW w:w="1420" w:type="pct"/>
            <w:shd w:val="clear" w:color="auto" w:fill="auto"/>
            <w:vAlign w:val="center"/>
          </w:tcPr>
          <w:p w:rsidR="003E074E" w:rsidRPr="003F1F6C" w:rsidRDefault="003E074E" w:rsidP="00C44233">
            <w:pPr>
              <w:pStyle w:val="TableText"/>
              <w:jc w:val="left"/>
            </w:pPr>
            <w:r w:rsidRPr="003F1F6C">
              <w:rPr>
                <w:color w:val="000000"/>
              </w:rPr>
              <w:t xml:space="preserve">Median </w:t>
            </w:r>
            <w:r w:rsidR="00803FC0">
              <w:rPr>
                <w:color w:val="000000"/>
              </w:rPr>
              <w:t>PFS</w:t>
            </w:r>
            <w:r w:rsidRPr="003F1F6C">
              <w:rPr>
                <w:color w:val="000000"/>
              </w:rPr>
              <w:t xml:space="preserve">  (weeks)</w:t>
            </w:r>
          </w:p>
        </w:tc>
        <w:tc>
          <w:tcPr>
            <w:tcW w:w="937" w:type="pct"/>
            <w:shd w:val="clear" w:color="auto" w:fill="auto"/>
            <w:vAlign w:val="center"/>
          </w:tcPr>
          <w:p w:rsidR="003E074E" w:rsidRPr="003F1F6C" w:rsidRDefault="003E074E" w:rsidP="00852CB7">
            <w:pPr>
              <w:pStyle w:val="TableText"/>
              <w:jc w:val="center"/>
            </w:pPr>
            <w:r w:rsidRPr="003F1F6C">
              <w:t>Not reached</w:t>
            </w:r>
          </w:p>
        </w:tc>
        <w:tc>
          <w:tcPr>
            <w:tcW w:w="858" w:type="pct"/>
            <w:shd w:val="clear" w:color="auto" w:fill="auto"/>
            <w:vAlign w:val="center"/>
          </w:tcPr>
          <w:p w:rsidR="003E074E" w:rsidRPr="003F1F6C" w:rsidRDefault="003E074E" w:rsidP="00BF31EB">
            <w:pPr>
              <w:pStyle w:val="TableText"/>
              <w:jc w:val="center"/>
            </w:pPr>
            <w:r w:rsidRPr="003F1F6C">
              <w:t>72.0</w:t>
            </w:r>
          </w:p>
        </w:tc>
        <w:tc>
          <w:tcPr>
            <w:tcW w:w="937" w:type="pct"/>
            <w:shd w:val="clear" w:color="auto" w:fill="auto"/>
            <w:vAlign w:val="center"/>
          </w:tcPr>
          <w:p w:rsidR="003E074E" w:rsidRPr="003F1F6C" w:rsidRDefault="003E074E" w:rsidP="00CE5B76">
            <w:pPr>
              <w:pStyle w:val="TableText"/>
              <w:jc w:val="center"/>
            </w:pPr>
            <w:r w:rsidRPr="003F1F6C">
              <w:t>-</w:t>
            </w:r>
          </w:p>
        </w:tc>
        <w:tc>
          <w:tcPr>
            <w:tcW w:w="848" w:type="pct"/>
            <w:shd w:val="clear" w:color="auto" w:fill="auto"/>
            <w:vAlign w:val="center"/>
          </w:tcPr>
          <w:p w:rsidR="003E074E" w:rsidRPr="003F1F6C" w:rsidRDefault="003E074E" w:rsidP="00CE5B76">
            <w:pPr>
              <w:pStyle w:val="TableText"/>
              <w:jc w:val="center"/>
            </w:pPr>
            <w:r w:rsidRPr="003F1F6C">
              <w:t>-</w:t>
            </w:r>
          </w:p>
        </w:tc>
      </w:tr>
      <w:tr w:rsidR="005D3225" w:rsidRPr="003F1F6C" w:rsidTr="00893613">
        <w:tc>
          <w:tcPr>
            <w:tcW w:w="1420" w:type="pct"/>
            <w:shd w:val="clear" w:color="auto" w:fill="auto"/>
            <w:vAlign w:val="center"/>
          </w:tcPr>
          <w:p w:rsidR="005D3225" w:rsidRPr="003F1F6C" w:rsidRDefault="005D3225" w:rsidP="00C44233">
            <w:pPr>
              <w:pStyle w:val="TableText"/>
              <w:jc w:val="left"/>
              <w:rPr>
                <w:vertAlign w:val="superscript"/>
              </w:rPr>
            </w:pPr>
            <w:r w:rsidRPr="003F1F6C">
              <w:t xml:space="preserve">Patients who </w:t>
            </w:r>
            <w:proofErr w:type="spellStart"/>
            <w:r w:rsidRPr="003F1F6C">
              <w:t>died</w:t>
            </w:r>
            <w:r w:rsidRPr="003F1F6C">
              <w:rPr>
                <w:vertAlign w:val="superscript"/>
              </w:rPr>
              <w:t>b</w:t>
            </w:r>
            <w:proofErr w:type="spellEnd"/>
          </w:p>
        </w:tc>
        <w:tc>
          <w:tcPr>
            <w:tcW w:w="937" w:type="pct"/>
            <w:shd w:val="clear" w:color="auto" w:fill="auto"/>
            <w:vAlign w:val="center"/>
          </w:tcPr>
          <w:p w:rsidR="005D3225" w:rsidRPr="003F1F6C" w:rsidRDefault="005D3225" w:rsidP="00852CB7">
            <w:pPr>
              <w:pStyle w:val="TableText"/>
              <w:jc w:val="center"/>
            </w:pPr>
            <w:r w:rsidRPr="003F1F6C">
              <w:t>19/101 (18.8%)</w:t>
            </w:r>
          </w:p>
        </w:tc>
        <w:tc>
          <w:tcPr>
            <w:tcW w:w="858" w:type="pct"/>
            <w:shd w:val="clear" w:color="auto" w:fill="auto"/>
            <w:vAlign w:val="center"/>
          </w:tcPr>
          <w:p w:rsidR="005D3225" w:rsidRPr="003F1F6C" w:rsidRDefault="005D3225" w:rsidP="00BF31EB">
            <w:pPr>
              <w:pStyle w:val="TableText"/>
              <w:jc w:val="center"/>
            </w:pPr>
            <w:r w:rsidRPr="003F1F6C">
              <w:t>17/103 (16.5%)</w:t>
            </w:r>
          </w:p>
        </w:tc>
        <w:tc>
          <w:tcPr>
            <w:tcW w:w="937" w:type="pct"/>
            <w:shd w:val="clear" w:color="auto" w:fill="auto"/>
            <w:vAlign w:val="center"/>
          </w:tcPr>
          <w:p w:rsidR="005D3225" w:rsidRPr="003F1F6C" w:rsidRDefault="005D3225" w:rsidP="00CE5B76">
            <w:pPr>
              <w:pStyle w:val="TableText"/>
              <w:jc w:val="center"/>
            </w:pPr>
            <w:r w:rsidRPr="003F1F6C">
              <w:t>-</w:t>
            </w:r>
          </w:p>
        </w:tc>
        <w:tc>
          <w:tcPr>
            <w:tcW w:w="848" w:type="pct"/>
            <w:shd w:val="clear" w:color="auto" w:fill="auto"/>
            <w:vAlign w:val="center"/>
          </w:tcPr>
          <w:p w:rsidR="005D3225" w:rsidRPr="003F1F6C" w:rsidRDefault="005D3225" w:rsidP="00CE5B76">
            <w:pPr>
              <w:pStyle w:val="TableText"/>
              <w:jc w:val="center"/>
            </w:pPr>
            <w:r w:rsidRPr="003F1F6C">
              <w:t>1.05 (0.55, 2.03)</w:t>
            </w:r>
          </w:p>
        </w:tc>
      </w:tr>
      <w:tr w:rsidR="003E074E" w:rsidRPr="003F1F6C" w:rsidTr="00893613">
        <w:tc>
          <w:tcPr>
            <w:tcW w:w="1420" w:type="pct"/>
            <w:shd w:val="clear" w:color="auto" w:fill="auto"/>
            <w:vAlign w:val="center"/>
          </w:tcPr>
          <w:p w:rsidR="003E074E" w:rsidRPr="003F1F6C" w:rsidRDefault="003E074E" w:rsidP="00C44233">
            <w:pPr>
              <w:pStyle w:val="TableText"/>
              <w:jc w:val="left"/>
            </w:pPr>
            <w:r w:rsidRPr="003F1F6C">
              <w:rPr>
                <w:color w:val="000000"/>
              </w:rPr>
              <w:t xml:space="preserve">Median </w:t>
            </w:r>
            <w:r w:rsidR="00803FC0">
              <w:rPr>
                <w:color w:val="000000"/>
              </w:rPr>
              <w:t>OS</w:t>
            </w:r>
            <w:r w:rsidRPr="003F1F6C">
              <w:rPr>
                <w:color w:val="000000"/>
              </w:rPr>
              <w:t xml:space="preserve">  (weeks)</w:t>
            </w:r>
          </w:p>
        </w:tc>
        <w:tc>
          <w:tcPr>
            <w:tcW w:w="937" w:type="pct"/>
            <w:shd w:val="clear" w:color="auto" w:fill="auto"/>
            <w:vAlign w:val="center"/>
          </w:tcPr>
          <w:p w:rsidR="003E074E" w:rsidRPr="003F1F6C" w:rsidRDefault="003E074E" w:rsidP="00852CB7">
            <w:pPr>
              <w:pStyle w:val="TableText"/>
              <w:jc w:val="center"/>
            </w:pPr>
            <w:r w:rsidRPr="003F1F6C">
              <w:t>Not reached</w:t>
            </w:r>
          </w:p>
        </w:tc>
        <w:tc>
          <w:tcPr>
            <w:tcW w:w="858" w:type="pct"/>
            <w:shd w:val="clear" w:color="auto" w:fill="auto"/>
            <w:vAlign w:val="center"/>
          </w:tcPr>
          <w:p w:rsidR="003E074E" w:rsidRPr="003F1F6C" w:rsidRDefault="003E074E" w:rsidP="00BF31EB">
            <w:pPr>
              <w:pStyle w:val="TableText"/>
              <w:jc w:val="center"/>
            </w:pPr>
            <w:r w:rsidRPr="003F1F6C">
              <w:t>292.4</w:t>
            </w:r>
          </w:p>
        </w:tc>
        <w:tc>
          <w:tcPr>
            <w:tcW w:w="937" w:type="pct"/>
            <w:shd w:val="clear" w:color="auto" w:fill="auto"/>
            <w:vAlign w:val="center"/>
          </w:tcPr>
          <w:p w:rsidR="003E074E" w:rsidRPr="003F1F6C" w:rsidRDefault="003E074E" w:rsidP="00CE5B76">
            <w:pPr>
              <w:pStyle w:val="TableText"/>
              <w:jc w:val="center"/>
            </w:pPr>
            <w:r w:rsidRPr="003F1F6C">
              <w:t>-</w:t>
            </w:r>
          </w:p>
        </w:tc>
        <w:tc>
          <w:tcPr>
            <w:tcW w:w="848" w:type="pct"/>
            <w:shd w:val="clear" w:color="auto" w:fill="auto"/>
            <w:vAlign w:val="center"/>
          </w:tcPr>
          <w:p w:rsidR="003E074E" w:rsidRPr="003F1F6C" w:rsidRDefault="003E074E" w:rsidP="00CE5B76">
            <w:pPr>
              <w:pStyle w:val="TableText"/>
              <w:jc w:val="center"/>
            </w:pPr>
            <w:r w:rsidRPr="003F1F6C">
              <w:t>-</w:t>
            </w:r>
          </w:p>
        </w:tc>
      </w:tr>
      <w:tr w:rsidR="005D3225" w:rsidRPr="003F1F6C" w:rsidTr="00C1746F">
        <w:trPr>
          <w:trHeight w:val="56"/>
        </w:trPr>
        <w:tc>
          <w:tcPr>
            <w:tcW w:w="1420" w:type="pct"/>
            <w:shd w:val="clear" w:color="auto" w:fill="auto"/>
            <w:vAlign w:val="center"/>
          </w:tcPr>
          <w:p w:rsidR="005D3225" w:rsidRPr="003F1F6C" w:rsidRDefault="005D3225" w:rsidP="00C44233">
            <w:pPr>
              <w:pStyle w:val="TableText"/>
              <w:jc w:val="left"/>
              <w:rPr>
                <w:b/>
              </w:rPr>
            </w:pPr>
            <w:r w:rsidRPr="003F1F6C">
              <w:rPr>
                <w:b/>
              </w:rPr>
              <w:t>Harms</w:t>
            </w:r>
          </w:p>
        </w:tc>
        <w:tc>
          <w:tcPr>
            <w:tcW w:w="937" w:type="pct"/>
            <w:shd w:val="clear" w:color="auto" w:fill="auto"/>
            <w:vAlign w:val="center"/>
          </w:tcPr>
          <w:p w:rsidR="005D3225" w:rsidRPr="003F1F6C" w:rsidRDefault="005D3225" w:rsidP="00852CB7">
            <w:pPr>
              <w:pStyle w:val="TableText"/>
              <w:jc w:val="center"/>
              <w:rPr>
                <w:b/>
              </w:rPr>
            </w:pPr>
            <w:proofErr w:type="spellStart"/>
            <w:r w:rsidRPr="003F1F6C">
              <w:rPr>
                <w:b/>
              </w:rPr>
              <w:t>Lanreotide</w:t>
            </w:r>
            <w:proofErr w:type="spellEnd"/>
          </w:p>
        </w:tc>
        <w:tc>
          <w:tcPr>
            <w:tcW w:w="858" w:type="pct"/>
            <w:shd w:val="clear" w:color="auto" w:fill="auto"/>
            <w:vAlign w:val="center"/>
          </w:tcPr>
          <w:p w:rsidR="005D3225" w:rsidRPr="003F1F6C" w:rsidRDefault="005D3225" w:rsidP="00BF31EB">
            <w:pPr>
              <w:pStyle w:val="TableText"/>
              <w:jc w:val="center"/>
              <w:rPr>
                <w:b/>
              </w:rPr>
            </w:pPr>
            <w:r w:rsidRPr="003F1F6C">
              <w:rPr>
                <w:b/>
              </w:rPr>
              <w:t>Placebo</w:t>
            </w:r>
          </w:p>
        </w:tc>
        <w:tc>
          <w:tcPr>
            <w:tcW w:w="937" w:type="pct"/>
            <w:shd w:val="clear" w:color="auto" w:fill="auto"/>
            <w:vAlign w:val="center"/>
          </w:tcPr>
          <w:p w:rsidR="005D3225" w:rsidRPr="003F1F6C" w:rsidRDefault="005D3225" w:rsidP="00CE5B76">
            <w:pPr>
              <w:pStyle w:val="TableText"/>
              <w:jc w:val="center"/>
              <w:rPr>
                <w:b/>
              </w:rPr>
            </w:pPr>
            <w:r w:rsidRPr="003F1F6C">
              <w:rPr>
                <w:b/>
              </w:rPr>
              <w:t>Absolute Difference</w:t>
            </w:r>
          </w:p>
        </w:tc>
        <w:tc>
          <w:tcPr>
            <w:tcW w:w="848" w:type="pct"/>
            <w:shd w:val="clear" w:color="auto" w:fill="auto"/>
            <w:vAlign w:val="center"/>
          </w:tcPr>
          <w:p w:rsidR="005D3225" w:rsidRPr="003F1F6C" w:rsidRDefault="005D3225" w:rsidP="00CE5B76">
            <w:pPr>
              <w:pStyle w:val="TableText"/>
              <w:jc w:val="center"/>
              <w:rPr>
                <w:b/>
              </w:rPr>
            </w:pPr>
            <w:r w:rsidRPr="003F1F6C">
              <w:rPr>
                <w:b/>
              </w:rPr>
              <w:t>RR (95% CI)</w:t>
            </w:r>
          </w:p>
        </w:tc>
      </w:tr>
      <w:tr w:rsidR="00C1746F" w:rsidRPr="003F1F6C" w:rsidTr="00C1746F">
        <w:tc>
          <w:tcPr>
            <w:tcW w:w="1420" w:type="pct"/>
            <w:shd w:val="clear" w:color="auto" w:fill="auto"/>
            <w:vAlign w:val="center"/>
          </w:tcPr>
          <w:p w:rsidR="00C1746F" w:rsidRPr="003F1F6C" w:rsidRDefault="00C1746F" w:rsidP="00C44233">
            <w:pPr>
              <w:pStyle w:val="TableText"/>
              <w:jc w:val="left"/>
              <w:rPr>
                <w:vertAlign w:val="superscript"/>
              </w:rPr>
            </w:pPr>
            <w:r w:rsidRPr="003F1F6C">
              <w:t xml:space="preserve">Gastrointestinal </w:t>
            </w:r>
            <w:proofErr w:type="spellStart"/>
            <w:r w:rsidRPr="003F1F6C">
              <w:t>disorders</w:t>
            </w:r>
            <w:r w:rsidRPr="003F1F6C">
              <w:rPr>
                <w:vertAlign w:val="superscript"/>
              </w:rPr>
              <w:t>a</w:t>
            </w:r>
            <w:proofErr w:type="spellEnd"/>
          </w:p>
        </w:tc>
        <w:tc>
          <w:tcPr>
            <w:tcW w:w="937" w:type="pct"/>
            <w:shd w:val="clear" w:color="auto" w:fill="auto"/>
            <w:vAlign w:val="center"/>
          </w:tcPr>
          <w:p w:rsidR="00C1746F" w:rsidRPr="003F1F6C" w:rsidRDefault="00C1746F" w:rsidP="00852CB7">
            <w:pPr>
              <w:pStyle w:val="TableText"/>
              <w:jc w:val="center"/>
            </w:pPr>
            <w:r w:rsidRPr="003F1F6C">
              <w:t>37/101 (36.6%)</w:t>
            </w:r>
          </w:p>
        </w:tc>
        <w:tc>
          <w:tcPr>
            <w:tcW w:w="858" w:type="pct"/>
            <w:shd w:val="clear" w:color="auto" w:fill="auto"/>
            <w:vAlign w:val="center"/>
          </w:tcPr>
          <w:p w:rsidR="00C1746F" w:rsidRPr="003F1F6C" w:rsidRDefault="00C1746F" w:rsidP="00BF31EB">
            <w:pPr>
              <w:pStyle w:val="TableText"/>
              <w:jc w:val="center"/>
            </w:pPr>
            <w:r w:rsidRPr="003F1F6C">
              <w:t>20/103 (19.4%)</w:t>
            </w:r>
          </w:p>
        </w:tc>
        <w:tc>
          <w:tcPr>
            <w:tcW w:w="937" w:type="pct"/>
            <w:shd w:val="clear" w:color="auto" w:fill="auto"/>
            <w:vAlign w:val="center"/>
          </w:tcPr>
          <w:p w:rsidR="00C1746F" w:rsidRPr="003F1F6C" w:rsidRDefault="00C1746F" w:rsidP="00CE5B76">
            <w:pPr>
              <w:pStyle w:val="TableText"/>
              <w:jc w:val="center"/>
            </w:pPr>
            <w:r w:rsidRPr="003F1F6C">
              <w:t>NR</w:t>
            </w:r>
          </w:p>
        </w:tc>
        <w:tc>
          <w:tcPr>
            <w:tcW w:w="848" w:type="pct"/>
            <w:shd w:val="clear" w:color="auto" w:fill="auto"/>
            <w:vAlign w:val="center"/>
          </w:tcPr>
          <w:p w:rsidR="00C1746F" w:rsidRPr="003F1F6C" w:rsidRDefault="00C1746F" w:rsidP="00CE5B76">
            <w:pPr>
              <w:pStyle w:val="TableText"/>
              <w:jc w:val="center"/>
            </w:pPr>
            <w:r w:rsidRPr="003F1F6C">
              <w:t>NR</w:t>
            </w:r>
          </w:p>
        </w:tc>
      </w:tr>
      <w:tr w:rsidR="00C1746F" w:rsidRPr="003F1F6C" w:rsidTr="00C1746F">
        <w:tc>
          <w:tcPr>
            <w:tcW w:w="1420" w:type="pct"/>
            <w:shd w:val="clear" w:color="auto" w:fill="auto"/>
            <w:vAlign w:val="center"/>
          </w:tcPr>
          <w:p w:rsidR="00C1746F" w:rsidRPr="003F1F6C" w:rsidRDefault="00C1746F" w:rsidP="00C44233">
            <w:pPr>
              <w:pStyle w:val="TableText"/>
              <w:jc w:val="left"/>
              <w:rPr>
                <w:vertAlign w:val="superscript"/>
              </w:rPr>
            </w:pPr>
            <w:r w:rsidRPr="003F1F6C">
              <w:t xml:space="preserve">Injection site </w:t>
            </w:r>
            <w:proofErr w:type="spellStart"/>
            <w:r w:rsidRPr="003F1F6C">
              <w:t>pain</w:t>
            </w:r>
            <w:r w:rsidRPr="003F1F6C">
              <w:rPr>
                <w:vertAlign w:val="superscript"/>
              </w:rPr>
              <w:t>a</w:t>
            </w:r>
            <w:proofErr w:type="spellEnd"/>
          </w:p>
        </w:tc>
        <w:tc>
          <w:tcPr>
            <w:tcW w:w="937" w:type="pct"/>
            <w:shd w:val="clear" w:color="auto" w:fill="auto"/>
            <w:vAlign w:val="center"/>
          </w:tcPr>
          <w:p w:rsidR="00C1746F" w:rsidRPr="003F1F6C" w:rsidRDefault="00C1746F" w:rsidP="00852CB7">
            <w:pPr>
              <w:pStyle w:val="TableText"/>
              <w:jc w:val="center"/>
            </w:pPr>
            <w:r w:rsidRPr="003F1F6C">
              <w:t>7/101 (6.9%)</w:t>
            </w:r>
          </w:p>
        </w:tc>
        <w:tc>
          <w:tcPr>
            <w:tcW w:w="858" w:type="pct"/>
            <w:shd w:val="clear" w:color="auto" w:fill="auto"/>
            <w:vAlign w:val="center"/>
          </w:tcPr>
          <w:p w:rsidR="00C1746F" w:rsidRPr="003F1F6C" w:rsidRDefault="00C1746F" w:rsidP="00BF31EB">
            <w:pPr>
              <w:pStyle w:val="TableText"/>
              <w:jc w:val="center"/>
            </w:pPr>
            <w:r w:rsidRPr="003F1F6C">
              <w:t>Not relevant in practice</w:t>
            </w:r>
          </w:p>
        </w:tc>
        <w:tc>
          <w:tcPr>
            <w:tcW w:w="937" w:type="pct"/>
            <w:shd w:val="clear" w:color="auto" w:fill="auto"/>
            <w:vAlign w:val="center"/>
          </w:tcPr>
          <w:p w:rsidR="00C1746F" w:rsidRPr="003F1F6C" w:rsidRDefault="00C1746F" w:rsidP="00CE5B76">
            <w:pPr>
              <w:pStyle w:val="TableText"/>
              <w:jc w:val="center"/>
            </w:pPr>
            <w:r w:rsidRPr="003F1F6C">
              <w:t>NR</w:t>
            </w:r>
          </w:p>
        </w:tc>
        <w:tc>
          <w:tcPr>
            <w:tcW w:w="848" w:type="pct"/>
            <w:shd w:val="clear" w:color="auto" w:fill="auto"/>
            <w:vAlign w:val="center"/>
          </w:tcPr>
          <w:p w:rsidR="00C1746F" w:rsidRPr="003F1F6C" w:rsidRDefault="00C1746F" w:rsidP="00CE5B76">
            <w:pPr>
              <w:pStyle w:val="TableText"/>
              <w:jc w:val="center"/>
            </w:pPr>
            <w:r w:rsidRPr="003F1F6C">
              <w:t>NR</w:t>
            </w:r>
          </w:p>
        </w:tc>
      </w:tr>
      <w:tr w:rsidR="00C1746F" w:rsidRPr="003F1F6C" w:rsidTr="00C1746F">
        <w:tc>
          <w:tcPr>
            <w:tcW w:w="1420" w:type="pct"/>
            <w:shd w:val="clear" w:color="auto" w:fill="auto"/>
            <w:vAlign w:val="center"/>
          </w:tcPr>
          <w:p w:rsidR="00C1746F" w:rsidRPr="003F1F6C" w:rsidRDefault="00C1746F" w:rsidP="00C44233">
            <w:pPr>
              <w:pStyle w:val="TableText"/>
              <w:jc w:val="left"/>
            </w:pPr>
            <w:proofErr w:type="spellStart"/>
            <w:r w:rsidRPr="003F1F6C">
              <w:t>Cholelithiasis</w:t>
            </w:r>
            <w:r w:rsidRPr="003F1F6C">
              <w:rPr>
                <w:vertAlign w:val="superscript"/>
              </w:rPr>
              <w:t>a,c</w:t>
            </w:r>
            <w:proofErr w:type="spellEnd"/>
          </w:p>
        </w:tc>
        <w:tc>
          <w:tcPr>
            <w:tcW w:w="937" w:type="pct"/>
            <w:shd w:val="clear" w:color="auto" w:fill="auto"/>
            <w:vAlign w:val="center"/>
          </w:tcPr>
          <w:p w:rsidR="00C1746F" w:rsidRPr="003F1F6C" w:rsidRDefault="00C1746F" w:rsidP="00852CB7">
            <w:pPr>
              <w:pStyle w:val="TableText"/>
              <w:jc w:val="center"/>
            </w:pPr>
            <w:r w:rsidRPr="003F1F6C">
              <w:t>10/60 (16.7%)</w:t>
            </w:r>
          </w:p>
        </w:tc>
        <w:tc>
          <w:tcPr>
            <w:tcW w:w="858" w:type="pct"/>
            <w:shd w:val="clear" w:color="auto" w:fill="auto"/>
            <w:vAlign w:val="center"/>
          </w:tcPr>
          <w:p w:rsidR="00C1746F" w:rsidRPr="003F1F6C" w:rsidRDefault="00C1746F" w:rsidP="00BF31EB">
            <w:pPr>
              <w:pStyle w:val="TableText"/>
              <w:jc w:val="center"/>
            </w:pPr>
            <w:r w:rsidRPr="003F1F6C">
              <w:t>3/67 (4.5%)</w:t>
            </w:r>
          </w:p>
        </w:tc>
        <w:tc>
          <w:tcPr>
            <w:tcW w:w="937" w:type="pct"/>
            <w:shd w:val="clear" w:color="auto" w:fill="auto"/>
            <w:vAlign w:val="center"/>
          </w:tcPr>
          <w:p w:rsidR="00C1746F" w:rsidRPr="003F1F6C" w:rsidRDefault="00C1746F" w:rsidP="00CE5B76">
            <w:pPr>
              <w:pStyle w:val="TableText"/>
              <w:jc w:val="center"/>
            </w:pPr>
            <w:r w:rsidRPr="003F1F6C">
              <w:t>NR</w:t>
            </w:r>
          </w:p>
        </w:tc>
        <w:tc>
          <w:tcPr>
            <w:tcW w:w="848" w:type="pct"/>
            <w:shd w:val="clear" w:color="auto" w:fill="auto"/>
            <w:vAlign w:val="center"/>
          </w:tcPr>
          <w:p w:rsidR="00C1746F" w:rsidRPr="003F1F6C" w:rsidRDefault="00C1746F" w:rsidP="00CE5B76">
            <w:pPr>
              <w:pStyle w:val="TableText"/>
              <w:jc w:val="center"/>
            </w:pPr>
            <w:r w:rsidRPr="003F1F6C">
              <w:t>NR</w:t>
            </w:r>
          </w:p>
        </w:tc>
      </w:tr>
    </w:tbl>
    <w:p w:rsidR="003E074E" w:rsidRPr="003F1F6C" w:rsidRDefault="005D3225" w:rsidP="00780E4D">
      <w:pPr>
        <w:pStyle w:val="TableFooter"/>
        <w:widowControl/>
      </w:pPr>
      <w:r w:rsidRPr="0024233D">
        <w:t>Source: Table B-12 (p 73), Table B-18 (p 83), Table B-25 (p 95), Table B-27 (p 98) of the November 2016 resubmission</w:t>
      </w:r>
      <w:r w:rsidR="003E074E" w:rsidRPr="0024233D">
        <w:t>.</w:t>
      </w:r>
      <w:r w:rsidR="003E074E" w:rsidRPr="003F1F6C">
        <w:t xml:space="preserve"> </w:t>
      </w:r>
    </w:p>
    <w:p w:rsidR="005D3225" w:rsidRPr="003F1F6C" w:rsidRDefault="003E074E" w:rsidP="00780E4D">
      <w:pPr>
        <w:pStyle w:val="TableFooter"/>
        <w:widowControl/>
      </w:pPr>
      <w:r w:rsidRPr="003F1F6C">
        <w:t xml:space="preserve">Abbreviations: </w:t>
      </w:r>
      <w:r w:rsidR="003B7F96" w:rsidRPr="003F1F6C">
        <w:t xml:space="preserve">HR, hazard ratio; </w:t>
      </w:r>
      <w:r w:rsidR="00803FC0">
        <w:t xml:space="preserve">PFS, progression free survival; OS, overall survival; </w:t>
      </w:r>
      <w:r w:rsidR="003B7F96" w:rsidRPr="003F1F6C">
        <w:t>RR, relative risk; CI, confidence interval.</w:t>
      </w:r>
    </w:p>
    <w:p w:rsidR="005D3225" w:rsidRPr="003F1F6C" w:rsidRDefault="005D3225" w:rsidP="00780E4D">
      <w:pPr>
        <w:pStyle w:val="TableFooter"/>
        <w:widowControl/>
      </w:pPr>
      <w:proofErr w:type="gramStart"/>
      <w:r w:rsidRPr="003F1F6C">
        <w:rPr>
          <w:vertAlign w:val="superscript"/>
        </w:rPr>
        <w:t>a</w:t>
      </w:r>
      <w:proofErr w:type="gramEnd"/>
      <w:r w:rsidRPr="003F1F6C">
        <w:t xml:space="preserve"> Based on 96 week trial period</w:t>
      </w:r>
    </w:p>
    <w:p w:rsidR="005D3225" w:rsidRPr="003F1F6C" w:rsidRDefault="005D3225" w:rsidP="00780E4D">
      <w:pPr>
        <w:pStyle w:val="TableFooter"/>
        <w:widowControl/>
      </w:pPr>
      <w:proofErr w:type="gramStart"/>
      <w:r w:rsidRPr="003F1F6C">
        <w:rPr>
          <w:vertAlign w:val="superscript"/>
        </w:rPr>
        <w:t>b</w:t>
      </w:r>
      <w:proofErr w:type="gramEnd"/>
      <w:r w:rsidRPr="003F1F6C">
        <w:t xml:space="preserve"> Based on additional follow-up after trial period (up to 321 weeks)</w:t>
      </w:r>
    </w:p>
    <w:p w:rsidR="005D3225" w:rsidRPr="003F1F6C" w:rsidRDefault="00CD4258" w:rsidP="00780E4D">
      <w:pPr>
        <w:pStyle w:val="TableFooter"/>
        <w:widowControl/>
      </w:pPr>
      <w:proofErr w:type="gramStart"/>
      <w:r w:rsidRPr="003F1F6C">
        <w:rPr>
          <w:vertAlign w:val="superscript"/>
        </w:rPr>
        <w:t>c</w:t>
      </w:r>
      <w:proofErr w:type="gramEnd"/>
      <w:r w:rsidRPr="003F1F6C">
        <w:t xml:space="preserve"> </w:t>
      </w:r>
      <w:r w:rsidR="005D3225" w:rsidRPr="003F1F6C">
        <w:t>Based on patients with intact gall bladders</w:t>
      </w:r>
    </w:p>
    <w:p w:rsidR="001F1647" w:rsidRPr="003F1F6C" w:rsidRDefault="001F1647" w:rsidP="00C44233">
      <w:pPr>
        <w:pStyle w:val="ESnumberedpara"/>
        <w:ind w:left="567" w:hanging="567"/>
      </w:pPr>
      <w:r w:rsidRPr="003F1F6C">
        <w:t xml:space="preserve">On the basis of the direct evidence presented in the resubmission, </w:t>
      </w:r>
      <w:proofErr w:type="spellStart"/>
      <w:r w:rsidRPr="003F1F6C">
        <w:t>lanreotide</w:t>
      </w:r>
      <w:proofErr w:type="spellEnd"/>
      <w:r w:rsidRPr="003F1F6C">
        <w:t xml:space="preserve"> compared with placebo (for watchful waiting) resulted in:</w:t>
      </w:r>
    </w:p>
    <w:p w:rsidR="001F1647" w:rsidRPr="003F1F6C" w:rsidRDefault="001F1647" w:rsidP="00852CB7">
      <w:pPr>
        <w:pStyle w:val="ListParagraph"/>
        <w:numPr>
          <w:ilvl w:val="0"/>
          <w:numId w:val="9"/>
        </w:numPr>
        <w:spacing w:before="0" w:after="0"/>
        <w:ind w:left="851" w:hanging="284"/>
      </w:pPr>
      <w:r w:rsidRPr="003F1F6C">
        <w:t>A statistically significant increase in progression-free survival.</w:t>
      </w:r>
      <w:r w:rsidR="00932597" w:rsidRPr="003F1F6C">
        <w:t xml:space="preserve"> </w:t>
      </w:r>
      <w:r w:rsidR="00D14512">
        <w:t>M</w:t>
      </w:r>
      <w:r w:rsidR="00932597" w:rsidRPr="003F1F6C">
        <w:t xml:space="preserve">edian </w:t>
      </w:r>
      <w:r w:rsidR="00596479">
        <w:t>PFS</w:t>
      </w:r>
      <w:r w:rsidR="00932597" w:rsidRPr="003F1F6C">
        <w:t xml:space="preserve"> was 72 weeks for the placebo group and not reached for the </w:t>
      </w:r>
      <w:proofErr w:type="spellStart"/>
      <w:r w:rsidR="00932597" w:rsidRPr="003F1F6C">
        <w:t>lanreotide</w:t>
      </w:r>
      <w:proofErr w:type="spellEnd"/>
      <w:r w:rsidR="00932597" w:rsidRPr="003F1F6C">
        <w:t xml:space="preserve"> group</w:t>
      </w:r>
      <w:r w:rsidR="00D14512">
        <w:t xml:space="preserve"> by the end of the trial (96 weeks)</w:t>
      </w:r>
      <w:r w:rsidR="00932597" w:rsidRPr="003F1F6C">
        <w:t xml:space="preserve">; </w:t>
      </w:r>
      <w:r w:rsidRPr="003F1F6C">
        <w:t>and</w:t>
      </w:r>
    </w:p>
    <w:p w:rsidR="001F1647" w:rsidRPr="003F1F6C" w:rsidRDefault="001F1647" w:rsidP="00BF31EB">
      <w:pPr>
        <w:pStyle w:val="ListParagraph"/>
        <w:numPr>
          <w:ilvl w:val="0"/>
          <w:numId w:val="9"/>
        </w:numPr>
        <w:spacing w:before="0" w:after="120"/>
        <w:ind w:left="851" w:hanging="284"/>
        <w:contextualSpacing w:val="0"/>
      </w:pPr>
      <w:r w:rsidRPr="003F1F6C">
        <w:t>No statistically significant difference in OS.</w:t>
      </w:r>
    </w:p>
    <w:p w:rsidR="005D3225" w:rsidRPr="003F1F6C" w:rsidRDefault="005D3225" w:rsidP="00CE5B76">
      <w:pPr>
        <w:pStyle w:val="ESnumberedpara"/>
        <w:ind w:left="567" w:hanging="567"/>
      </w:pPr>
      <w:r w:rsidRPr="003F1F6C">
        <w:t xml:space="preserve">On the basis of the direct evidence presented in the resubmission, for every 100 patients treated with </w:t>
      </w:r>
      <w:proofErr w:type="spellStart"/>
      <w:r w:rsidRPr="003F1F6C">
        <w:t>lanreotide</w:t>
      </w:r>
      <w:proofErr w:type="spellEnd"/>
      <w:r w:rsidRPr="003F1F6C">
        <w:t xml:space="preserve"> compared with placebo (for watchful waiting) there would be</w:t>
      </w:r>
      <w:r w:rsidR="00281345" w:rsidRPr="003F1F6C">
        <w:t xml:space="preserve"> over a period of 96 weeks</w:t>
      </w:r>
      <w:r w:rsidR="00FF3983">
        <w:t>, approximately</w:t>
      </w:r>
      <w:r w:rsidRPr="003F1F6C">
        <w:t>:</w:t>
      </w:r>
    </w:p>
    <w:p w:rsidR="005D3225" w:rsidRPr="003F1F6C" w:rsidRDefault="005D3225" w:rsidP="00CE5B76">
      <w:pPr>
        <w:pStyle w:val="ListParagraph"/>
        <w:numPr>
          <w:ilvl w:val="0"/>
          <w:numId w:val="7"/>
        </w:numPr>
        <w:spacing w:before="0" w:after="0"/>
        <w:ind w:left="851" w:hanging="284"/>
      </w:pPr>
      <w:r w:rsidRPr="003F1F6C">
        <w:t>17 additional patients who would experience gastrointestinal disorders</w:t>
      </w:r>
    </w:p>
    <w:p w:rsidR="005D3225" w:rsidRPr="003F1F6C" w:rsidRDefault="005D3225" w:rsidP="00CE5B76">
      <w:pPr>
        <w:pStyle w:val="ListParagraph"/>
        <w:numPr>
          <w:ilvl w:val="0"/>
          <w:numId w:val="7"/>
        </w:numPr>
        <w:spacing w:before="0" w:after="0"/>
        <w:ind w:left="851" w:hanging="284"/>
      </w:pPr>
      <w:r w:rsidRPr="003F1F6C">
        <w:t xml:space="preserve">7 patients who would experience injection site </w:t>
      </w:r>
      <w:r w:rsidR="003C245C" w:rsidRPr="003F1F6C">
        <w:t>pain; and</w:t>
      </w:r>
    </w:p>
    <w:p w:rsidR="005D3225" w:rsidRDefault="005D3225" w:rsidP="00CE5B76">
      <w:pPr>
        <w:pStyle w:val="ListParagraph"/>
        <w:numPr>
          <w:ilvl w:val="0"/>
          <w:numId w:val="7"/>
        </w:numPr>
        <w:spacing w:before="0" w:after="120"/>
        <w:ind w:left="851" w:hanging="284"/>
      </w:pPr>
      <w:r w:rsidRPr="003F1F6C">
        <w:t xml:space="preserve">12 additional patients with an intact gallbladder who would experience </w:t>
      </w:r>
      <w:proofErr w:type="spellStart"/>
      <w:r w:rsidRPr="003F1F6C">
        <w:t>cholelithiasis</w:t>
      </w:r>
      <w:proofErr w:type="spellEnd"/>
      <w:r w:rsidRPr="003F1F6C">
        <w:t xml:space="preserve"> (gallstones).</w:t>
      </w:r>
    </w:p>
    <w:p w:rsidR="005D3225" w:rsidRPr="003F1F6C" w:rsidRDefault="005D3225" w:rsidP="00CE5B76">
      <w:pPr>
        <w:pStyle w:val="Heading2"/>
      </w:pPr>
      <w:bookmarkStart w:id="30" w:name="_Toc476306891"/>
      <w:bookmarkStart w:id="31" w:name="_Toc482193597"/>
      <w:r w:rsidRPr="003F1F6C">
        <w:t>Clinical claim</w:t>
      </w:r>
      <w:bookmarkEnd w:id="29"/>
      <w:bookmarkEnd w:id="30"/>
      <w:bookmarkEnd w:id="31"/>
    </w:p>
    <w:p w:rsidR="00281345" w:rsidRPr="003F1F6C" w:rsidRDefault="005D3225" w:rsidP="00CE5B76">
      <w:pPr>
        <w:pStyle w:val="ESnumberedpara"/>
        <w:ind w:left="567" w:hanging="567"/>
      </w:pPr>
      <w:r w:rsidRPr="003F1F6C">
        <w:t xml:space="preserve">The resubmission described </w:t>
      </w:r>
      <w:proofErr w:type="spellStart"/>
      <w:r w:rsidRPr="003F1F6C">
        <w:t>lanreotide</w:t>
      </w:r>
      <w:proofErr w:type="spellEnd"/>
      <w:r w:rsidRPr="003F1F6C">
        <w:t xml:space="preserve"> as </w:t>
      </w:r>
      <w:r w:rsidR="004E6FD1">
        <w:t xml:space="preserve">having </w:t>
      </w:r>
      <w:r w:rsidRPr="003F1F6C">
        <w:t xml:space="preserve">superior </w:t>
      </w:r>
      <w:r w:rsidR="004E6FD1">
        <w:t>effectiveness</w:t>
      </w:r>
      <w:r w:rsidR="00A51598">
        <w:t>,</w:t>
      </w:r>
      <w:r w:rsidRPr="003F1F6C">
        <w:t xml:space="preserve"> with respect to </w:t>
      </w:r>
      <w:r w:rsidR="006B663D" w:rsidRPr="003F1F6C">
        <w:t>PFS</w:t>
      </w:r>
      <w:r w:rsidRPr="003F1F6C">
        <w:t xml:space="preserve">, and inferior </w:t>
      </w:r>
      <w:r w:rsidR="004E6FD1">
        <w:t>safety</w:t>
      </w:r>
      <w:r w:rsidR="00A51598">
        <w:t>,</w:t>
      </w:r>
      <w:r w:rsidR="004E6FD1">
        <w:t xml:space="preserve"> </w:t>
      </w:r>
      <w:r w:rsidRPr="003F1F6C">
        <w:t xml:space="preserve">with respect to overall adverse-events, compared </w:t>
      </w:r>
      <w:r w:rsidR="004E6FD1">
        <w:t>with</w:t>
      </w:r>
      <w:r w:rsidR="004E6FD1" w:rsidRPr="003F1F6C">
        <w:t xml:space="preserve"> </w:t>
      </w:r>
      <w:r w:rsidRPr="003F1F6C">
        <w:t>placebo</w:t>
      </w:r>
      <w:r w:rsidR="004E6FD1">
        <w:t>,</w:t>
      </w:r>
      <w:r w:rsidRPr="003F1F6C">
        <w:t xml:space="preserve"> for </w:t>
      </w:r>
      <w:r w:rsidR="004E6FD1">
        <w:t xml:space="preserve">the </w:t>
      </w:r>
      <w:r w:rsidRPr="003F1F6C">
        <w:t xml:space="preserve">treatment of </w:t>
      </w:r>
      <w:r w:rsidR="004E6FD1">
        <w:t xml:space="preserve">patients with non-functional </w:t>
      </w:r>
      <w:r w:rsidRPr="003F1F6C">
        <w:t>GEP</w:t>
      </w:r>
      <w:r w:rsidR="00A51598">
        <w:noBreakHyphen/>
      </w:r>
      <w:r w:rsidRPr="003F1F6C">
        <w:t xml:space="preserve">NETs. </w:t>
      </w:r>
    </w:p>
    <w:p w:rsidR="00281345" w:rsidRPr="00936D42" w:rsidRDefault="00281345" w:rsidP="00CE5B76">
      <w:pPr>
        <w:pStyle w:val="ESnumberedpara"/>
        <w:ind w:left="567" w:hanging="567"/>
      </w:pPr>
      <w:r w:rsidRPr="00936D42">
        <w:t xml:space="preserve">In November 2016, the PBAC considered the claim of superior </w:t>
      </w:r>
      <w:r w:rsidR="004E6FD1" w:rsidRPr="00936D42">
        <w:t>effectiveness</w:t>
      </w:r>
      <w:r w:rsidRPr="00936D42">
        <w:t xml:space="preserve">, in terms of improvement in PFS, to be adequately supported, but questioned the clinical significance of the improvement in this context. The PBAC considered that the claim of superior comparative effectiveness in the post-progression setting (either as an anti-proliferative treatment or for controlling symptoms) was not adequately supported (paragraph 6.27, November 2016 </w:t>
      </w:r>
      <w:proofErr w:type="spellStart"/>
      <w:r w:rsidR="00FE094E" w:rsidRPr="00936D42">
        <w:t>lanreotide</w:t>
      </w:r>
      <w:proofErr w:type="spellEnd"/>
      <w:r w:rsidR="00FE094E" w:rsidRPr="00936D42">
        <w:t xml:space="preserve"> </w:t>
      </w:r>
      <w:r w:rsidRPr="00936D42">
        <w:t xml:space="preserve">PSD). The PBAC considered that </w:t>
      </w:r>
      <w:proofErr w:type="spellStart"/>
      <w:r w:rsidRPr="00936D42">
        <w:t>lanreotide</w:t>
      </w:r>
      <w:proofErr w:type="spellEnd"/>
      <w:r w:rsidRPr="00936D42">
        <w:t xml:space="preserve"> was inferior to placebo with regards to safety (paragraph 6.28, November 2016 </w:t>
      </w:r>
      <w:proofErr w:type="spellStart"/>
      <w:r w:rsidR="00FE094E" w:rsidRPr="00936D42">
        <w:t>lanreotide</w:t>
      </w:r>
      <w:proofErr w:type="spellEnd"/>
      <w:r w:rsidR="00FE094E" w:rsidRPr="00936D42">
        <w:t xml:space="preserve"> </w:t>
      </w:r>
      <w:r w:rsidRPr="00936D42">
        <w:t xml:space="preserve">PSD). </w:t>
      </w:r>
    </w:p>
    <w:p w:rsidR="0075028D" w:rsidRDefault="0000418C" w:rsidP="00CE5B76">
      <w:pPr>
        <w:pStyle w:val="ESnumberedpara"/>
        <w:ind w:left="567" w:hanging="567"/>
      </w:pPr>
      <w:r w:rsidRPr="003F1F6C">
        <w:t xml:space="preserve">The current resubmission did not present any </w:t>
      </w:r>
      <w:r w:rsidR="005D3225" w:rsidRPr="003F1F6C">
        <w:t xml:space="preserve">comparative clinical data to support the use of </w:t>
      </w:r>
      <w:proofErr w:type="spellStart"/>
      <w:r w:rsidR="005D3225" w:rsidRPr="003F1F6C">
        <w:t>lanreotide</w:t>
      </w:r>
      <w:proofErr w:type="spellEnd"/>
      <w:r w:rsidR="005D3225" w:rsidRPr="003F1F6C">
        <w:t xml:space="preserve"> in the second-line/post-progression setting.</w:t>
      </w:r>
    </w:p>
    <w:p w:rsidR="00D05A28" w:rsidRPr="00936D42" w:rsidRDefault="00D05A28" w:rsidP="00CE5B76">
      <w:pPr>
        <w:pStyle w:val="ESnumberedpara"/>
        <w:ind w:left="567" w:hanging="567"/>
      </w:pPr>
      <w:r w:rsidRPr="00936D42">
        <w:t xml:space="preserve">The PBAC reiterated its previous views from November 2016 in regards to comparative effectiveness and safety. </w:t>
      </w:r>
    </w:p>
    <w:p w:rsidR="005D3225" w:rsidRPr="003F1F6C" w:rsidRDefault="005D3225" w:rsidP="00CE5B76">
      <w:pPr>
        <w:pStyle w:val="Heading2"/>
      </w:pPr>
      <w:bookmarkStart w:id="32" w:name="_Toc413139282"/>
      <w:bookmarkStart w:id="33" w:name="_Toc476306892"/>
      <w:bookmarkStart w:id="34" w:name="_Toc482193598"/>
      <w:r w:rsidRPr="003F1F6C">
        <w:t>Economic analysis</w:t>
      </w:r>
      <w:bookmarkEnd w:id="32"/>
      <w:bookmarkEnd w:id="33"/>
      <w:bookmarkEnd w:id="34"/>
    </w:p>
    <w:p w:rsidR="005D3225" w:rsidRPr="000D028E" w:rsidRDefault="005D3225" w:rsidP="00CE5B76">
      <w:pPr>
        <w:pStyle w:val="ESnumberedpara"/>
        <w:ind w:left="567" w:hanging="567"/>
      </w:pPr>
      <w:r w:rsidRPr="000D028E">
        <w:t xml:space="preserve">The submission presented a modelled cost-utility analysis comparing </w:t>
      </w:r>
      <w:proofErr w:type="spellStart"/>
      <w:r w:rsidRPr="000D028E">
        <w:t>lanreotide</w:t>
      </w:r>
      <w:proofErr w:type="spellEnd"/>
      <w:r w:rsidRPr="000D028E">
        <w:t xml:space="preserve"> to watchful waiting (placebo) as a first-line anti-proliferative agent in patients with </w:t>
      </w:r>
      <w:r w:rsidR="00CC406D" w:rsidRPr="000D028E">
        <w:t>non</w:t>
      </w:r>
      <w:r w:rsidR="00CC406D" w:rsidRPr="000D028E">
        <w:noBreakHyphen/>
      </w:r>
      <w:r w:rsidR="00CB1256" w:rsidRPr="000D028E">
        <w:t xml:space="preserve">functional </w:t>
      </w:r>
      <w:r w:rsidRPr="000D028E">
        <w:t>GEP-NETs.</w:t>
      </w:r>
    </w:p>
    <w:p w:rsidR="005D3225" w:rsidRPr="000D028E" w:rsidRDefault="00992DC0" w:rsidP="00CE5B76">
      <w:pPr>
        <w:pStyle w:val="ESnumberedpara"/>
        <w:ind w:left="567" w:hanging="567"/>
      </w:pPr>
      <w:r w:rsidRPr="000D028E">
        <w:t>The ESC noted that as per previous submissions, n</w:t>
      </w:r>
      <w:r w:rsidR="005D3225" w:rsidRPr="000D028E">
        <w:t xml:space="preserve">o economic evaluation was presented for the use of </w:t>
      </w:r>
      <w:proofErr w:type="spellStart"/>
      <w:r w:rsidR="005D3225" w:rsidRPr="000D028E">
        <w:t>lanreotide</w:t>
      </w:r>
      <w:proofErr w:type="spellEnd"/>
      <w:r w:rsidR="005D3225" w:rsidRPr="000D028E">
        <w:t xml:space="preserve"> as a post</w:t>
      </w:r>
      <w:r w:rsidR="00B13C86" w:rsidRPr="000D028E">
        <w:t>-</w:t>
      </w:r>
      <w:r w:rsidR="005D3225" w:rsidRPr="000D028E">
        <w:t xml:space="preserve">progression treatment in the management of </w:t>
      </w:r>
      <w:r w:rsidR="00CB1256" w:rsidRPr="000D028E">
        <w:t xml:space="preserve">non-functional </w:t>
      </w:r>
      <w:r w:rsidR="005D3225" w:rsidRPr="000D028E">
        <w:t>GEP-NETs.</w:t>
      </w:r>
      <w:r w:rsidR="00014204" w:rsidRPr="000D028E">
        <w:t xml:space="preserve"> </w:t>
      </w:r>
    </w:p>
    <w:p w:rsidR="005D3225" w:rsidRPr="000D028E" w:rsidRDefault="00B55C69" w:rsidP="00CE5B76">
      <w:pPr>
        <w:pStyle w:val="ESnumberedpara"/>
        <w:ind w:left="567" w:hanging="567"/>
      </w:pPr>
      <w:r w:rsidRPr="000D028E">
        <w:t>The ESC noted that</w:t>
      </w:r>
      <w:r w:rsidR="00730098" w:rsidRPr="000D028E">
        <w:t>,</w:t>
      </w:r>
      <w:r w:rsidRPr="000D028E">
        <w:t xml:space="preserve"> in contrast to the November 2016 submission</w:t>
      </w:r>
      <w:r w:rsidR="00CC406D" w:rsidRPr="000D028E">
        <w:t xml:space="preserve"> and in line with the requested listing in the current resubmission</w:t>
      </w:r>
      <w:r w:rsidRPr="000D028E">
        <w:t>, the population in the model</w:t>
      </w:r>
      <w:r w:rsidR="00730098" w:rsidRPr="000D028E">
        <w:t xml:space="preserve"> consisted</w:t>
      </w:r>
      <w:r w:rsidRPr="000D028E">
        <w:t xml:space="preserve"> of the</w:t>
      </w:r>
      <w:r w:rsidR="00CC406D" w:rsidRPr="000D028E">
        <w:t xml:space="preserve"> overall population from the</w:t>
      </w:r>
      <w:r w:rsidRPr="000D028E">
        <w:t xml:space="preserve"> CLARINET trial. </w:t>
      </w:r>
      <w:r w:rsidR="005D3225" w:rsidRPr="000D028E">
        <w:t>Key differences between the economic analysis presented in the November 2016 submission and the current resubmission are</w:t>
      </w:r>
      <w:r w:rsidR="00C1746F" w:rsidRPr="000D028E">
        <w:t xml:space="preserve"> summarised in Table</w:t>
      </w:r>
      <w:r w:rsidR="00CC406D" w:rsidRPr="000D028E">
        <w:t> </w:t>
      </w:r>
      <w:r w:rsidR="00C1746F" w:rsidRPr="000D028E">
        <w:t>6.</w:t>
      </w:r>
    </w:p>
    <w:p w:rsidR="0097752E" w:rsidRDefault="0097752E" w:rsidP="0097752E">
      <w:pPr>
        <w:pStyle w:val="Caption"/>
      </w:pPr>
      <w:r>
        <w:t xml:space="preserve">Table </w:t>
      </w:r>
      <w:r>
        <w:rPr>
          <w:noProof/>
        </w:rPr>
        <w:t>6</w:t>
      </w:r>
      <w:r w:rsidRPr="00426530">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3723"/>
        <w:gridCol w:w="3549"/>
      </w:tblGrid>
      <w:tr w:rsidR="005D3225" w:rsidRPr="003F1F6C" w:rsidTr="00C1746F">
        <w:tc>
          <w:tcPr>
            <w:tcW w:w="1066" w:type="pct"/>
            <w:shd w:val="clear" w:color="auto" w:fill="auto"/>
          </w:tcPr>
          <w:p w:rsidR="005D3225" w:rsidRPr="003F1F6C" w:rsidRDefault="005D3225" w:rsidP="00CE5B76">
            <w:pPr>
              <w:pStyle w:val="TableText"/>
              <w:jc w:val="left"/>
              <w:rPr>
                <w:b/>
              </w:rPr>
            </w:pPr>
            <w:r w:rsidRPr="003F1F6C">
              <w:rPr>
                <w:b/>
              </w:rPr>
              <w:t xml:space="preserve">Component </w:t>
            </w:r>
          </w:p>
        </w:tc>
        <w:tc>
          <w:tcPr>
            <w:tcW w:w="2014" w:type="pct"/>
            <w:shd w:val="clear" w:color="auto" w:fill="auto"/>
          </w:tcPr>
          <w:p w:rsidR="005D3225" w:rsidRPr="003F1F6C" w:rsidRDefault="005D3225" w:rsidP="00CE5B76">
            <w:pPr>
              <w:pStyle w:val="TableText"/>
              <w:jc w:val="center"/>
              <w:rPr>
                <w:b/>
              </w:rPr>
            </w:pPr>
            <w:r w:rsidRPr="003F1F6C">
              <w:rPr>
                <w:b/>
              </w:rPr>
              <w:t>November 2016 submission</w:t>
            </w:r>
          </w:p>
        </w:tc>
        <w:tc>
          <w:tcPr>
            <w:tcW w:w="1920" w:type="pct"/>
          </w:tcPr>
          <w:p w:rsidR="005D3225" w:rsidRPr="003F1F6C" w:rsidRDefault="005D3225" w:rsidP="00CE5B76">
            <w:pPr>
              <w:pStyle w:val="TableText"/>
              <w:jc w:val="center"/>
              <w:rPr>
                <w:b/>
              </w:rPr>
            </w:pPr>
            <w:r w:rsidRPr="003F1F6C">
              <w:rPr>
                <w:b/>
              </w:rPr>
              <w:t>Current resubmission</w:t>
            </w:r>
          </w:p>
        </w:tc>
      </w:tr>
      <w:tr w:rsidR="005D3225" w:rsidRPr="003F1F6C" w:rsidTr="00C1746F">
        <w:tc>
          <w:tcPr>
            <w:tcW w:w="1066" w:type="pct"/>
            <w:shd w:val="clear" w:color="auto" w:fill="auto"/>
          </w:tcPr>
          <w:p w:rsidR="005D3225" w:rsidRPr="003F1F6C" w:rsidRDefault="007D2E9B" w:rsidP="00C44233">
            <w:pPr>
              <w:pStyle w:val="TableText"/>
              <w:jc w:val="left"/>
              <w:rPr>
                <w:rFonts w:ascii="Times" w:eastAsia="Times New Roman" w:hAnsi="Times" w:cs="Times New Roman"/>
                <w:szCs w:val="20"/>
                <w:lang w:val="en-US"/>
              </w:rPr>
            </w:pPr>
            <w:r w:rsidRPr="003F1F6C">
              <w:t>Methods used to generate results</w:t>
            </w:r>
          </w:p>
        </w:tc>
        <w:tc>
          <w:tcPr>
            <w:tcW w:w="2014" w:type="pct"/>
            <w:shd w:val="clear" w:color="auto" w:fill="auto"/>
          </w:tcPr>
          <w:p w:rsidR="005D3225" w:rsidRPr="003F1F6C" w:rsidRDefault="005D3225" w:rsidP="00852CB7">
            <w:pPr>
              <w:pStyle w:val="TableText"/>
            </w:pPr>
            <w:r w:rsidRPr="003F1F6C">
              <w:t>Markov model with partitioned survival analysis</w:t>
            </w:r>
          </w:p>
        </w:tc>
        <w:tc>
          <w:tcPr>
            <w:tcW w:w="1920" w:type="pct"/>
          </w:tcPr>
          <w:p w:rsidR="005D3225" w:rsidRPr="003F1F6C" w:rsidRDefault="005D3225" w:rsidP="00BF31EB">
            <w:pPr>
              <w:pStyle w:val="TableText"/>
            </w:pPr>
            <w:r w:rsidRPr="003F1F6C">
              <w:t>Same as November 2016 submission</w:t>
            </w:r>
          </w:p>
        </w:tc>
      </w:tr>
      <w:tr w:rsidR="005D3225" w:rsidRPr="003F1F6C" w:rsidTr="00C1746F">
        <w:tc>
          <w:tcPr>
            <w:tcW w:w="1066" w:type="pct"/>
            <w:shd w:val="clear" w:color="auto" w:fill="auto"/>
          </w:tcPr>
          <w:p w:rsidR="005D3225" w:rsidRPr="003F1F6C" w:rsidRDefault="005D3225" w:rsidP="00C44233">
            <w:pPr>
              <w:pStyle w:val="TableText"/>
              <w:jc w:val="left"/>
              <w:rPr>
                <w:rFonts w:ascii="Times" w:eastAsia="Times New Roman" w:hAnsi="Times" w:cs="Times New Roman"/>
                <w:szCs w:val="20"/>
                <w:lang w:val="en-US"/>
              </w:rPr>
            </w:pPr>
            <w:r w:rsidRPr="003F1F6C">
              <w:t>Time horizon</w:t>
            </w:r>
          </w:p>
        </w:tc>
        <w:tc>
          <w:tcPr>
            <w:tcW w:w="2014" w:type="pct"/>
            <w:shd w:val="clear" w:color="auto" w:fill="auto"/>
          </w:tcPr>
          <w:p w:rsidR="005D3225" w:rsidRPr="003F1F6C" w:rsidRDefault="005D3225" w:rsidP="00852CB7">
            <w:pPr>
              <w:pStyle w:val="TableText"/>
              <w:rPr>
                <w:rFonts w:ascii="Times" w:eastAsia="Times New Roman" w:hAnsi="Times" w:cs="Times New Roman"/>
                <w:szCs w:val="20"/>
                <w:lang w:val="en-US"/>
              </w:rPr>
            </w:pPr>
            <w:r w:rsidRPr="003F1F6C">
              <w:t>20 years</w:t>
            </w:r>
          </w:p>
        </w:tc>
        <w:tc>
          <w:tcPr>
            <w:tcW w:w="1920" w:type="pct"/>
          </w:tcPr>
          <w:p w:rsidR="005D3225" w:rsidRPr="003F1F6C" w:rsidRDefault="005D3225" w:rsidP="00BF31EB">
            <w:pPr>
              <w:pStyle w:val="TableText"/>
            </w:pPr>
            <w:r w:rsidRPr="003F1F6C">
              <w:t>Same as November 2016 submission</w:t>
            </w:r>
          </w:p>
        </w:tc>
      </w:tr>
      <w:tr w:rsidR="005D3225" w:rsidRPr="003F1F6C" w:rsidTr="00C1746F">
        <w:tc>
          <w:tcPr>
            <w:tcW w:w="1066" w:type="pct"/>
            <w:shd w:val="clear" w:color="auto" w:fill="auto"/>
          </w:tcPr>
          <w:p w:rsidR="005D3225" w:rsidRPr="003F1F6C" w:rsidRDefault="005D3225" w:rsidP="00C44233">
            <w:pPr>
              <w:pStyle w:val="TableText"/>
              <w:jc w:val="left"/>
              <w:rPr>
                <w:rFonts w:ascii="Times" w:eastAsia="Times New Roman" w:hAnsi="Times" w:cs="Times New Roman"/>
                <w:szCs w:val="20"/>
                <w:lang w:val="en-US"/>
              </w:rPr>
            </w:pPr>
            <w:r w:rsidRPr="003F1F6C">
              <w:t>Cycle length</w:t>
            </w:r>
          </w:p>
        </w:tc>
        <w:tc>
          <w:tcPr>
            <w:tcW w:w="2014" w:type="pct"/>
            <w:shd w:val="clear" w:color="auto" w:fill="auto"/>
          </w:tcPr>
          <w:p w:rsidR="005D3225" w:rsidRPr="003F1F6C" w:rsidRDefault="005D3225" w:rsidP="00852CB7">
            <w:pPr>
              <w:pStyle w:val="TableText"/>
              <w:rPr>
                <w:rFonts w:ascii="Times" w:eastAsia="Times New Roman" w:hAnsi="Times" w:cs="Times New Roman"/>
                <w:szCs w:val="20"/>
                <w:lang w:val="en-US"/>
              </w:rPr>
            </w:pPr>
            <w:r w:rsidRPr="003F1F6C">
              <w:t>4 weeks, no half cycle correction</w:t>
            </w:r>
          </w:p>
        </w:tc>
        <w:tc>
          <w:tcPr>
            <w:tcW w:w="1920" w:type="pct"/>
          </w:tcPr>
          <w:p w:rsidR="005D3225" w:rsidRPr="003F1F6C" w:rsidRDefault="005D3225" w:rsidP="00BF31EB">
            <w:pPr>
              <w:pStyle w:val="TableText"/>
            </w:pPr>
            <w:r w:rsidRPr="003F1F6C">
              <w:t>4 weeks, with half cycle correction</w:t>
            </w:r>
          </w:p>
        </w:tc>
      </w:tr>
      <w:tr w:rsidR="005D3225" w:rsidRPr="003F1F6C" w:rsidTr="00C1746F">
        <w:trPr>
          <w:trHeight w:val="47"/>
        </w:trPr>
        <w:tc>
          <w:tcPr>
            <w:tcW w:w="1066" w:type="pct"/>
            <w:shd w:val="clear" w:color="auto" w:fill="auto"/>
          </w:tcPr>
          <w:p w:rsidR="005D3225" w:rsidRPr="003F1F6C" w:rsidRDefault="005D3225" w:rsidP="00C44233">
            <w:pPr>
              <w:pStyle w:val="TableText"/>
              <w:jc w:val="left"/>
              <w:rPr>
                <w:rFonts w:ascii="Times" w:eastAsia="Times New Roman" w:hAnsi="Times" w:cs="Times New Roman"/>
                <w:szCs w:val="20"/>
                <w:lang w:val="en-US"/>
              </w:rPr>
            </w:pPr>
            <w:r w:rsidRPr="003F1F6C">
              <w:t>Discounting</w:t>
            </w:r>
          </w:p>
        </w:tc>
        <w:tc>
          <w:tcPr>
            <w:tcW w:w="2014" w:type="pct"/>
            <w:shd w:val="clear" w:color="auto" w:fill="auto"/>
          </w:tcPr>
          <w:p w:rsidR="005D3225" w:rsidRPr="003F1F6C" w:rsidRDefault="00F90285" w:rsidP="00852CB7">
            <w:pPr>
              <w:pStyle w:val="TableText"/>
              <w:rPr>
                <w:rFonts w:ascii="Times" w:eastAsia="Times New Roman" w:hAnsi="Times" w:cs="Times New Roman"/>
                <w:szCs w:val="20"/>
                <w:lang w:val="en-US"/>
              </w:rPr>
            </w:pPr>
            <w:r w:rsidRPr="003F1F6C">
              <w:t>5% for costs and outcomes; calculated as a yearly discount factor, applied to each 28-day cycle.</w:t>
            </w:r>
          </w:p>
        </w:tc>
        <w:tc>
          <w:tcPr>
            <w:tcW w:w="1920" w:type="pct"/>
          </w:tcPr>
          <w:p w:rsidR="005D3225" w:rsidRPr="003F1F6C" w:rsidRDefault="00F90285" w:rsidP="00BF31EB">
            <w:pPr>
              <w:pStyle w:val="TableText"/>
            </w:pPr>
            <w:r w:rsidRPr="003F1F6C">
              <w:t>5% for costs and outcomes; calculated as a four-week discount factor, applied each 28</w:t>
            </w:r>
            <w:r w:rsidR="003836A9">
              <w:noBreakHyphen/>
            </w:r>
            <w:r w:rsidRPr="003F1F6C">
              <w:t>day cycle.</w:t>
            </w:r>
          </w:p>
        </w:tc>
      </w:tr>
      <w:tr w:rsidR="005D3225" w:rsidRPr="003F1F6C" w:rsidTr="00C1746F">
        <w:tc>
          <w:tcPr>
            <w:tcW w:w="1066" w:type="pct"/>
            <w:shd w:val="clear" w:color="auto" w:fill="auto"/>
          </w:tcPr>
          <w:p w:rsidR="005D3225" w:rsidRPr="003F1F6C" w:rsidRDefault="005D3225" w:rsidP="00C44233">
            <w:pPr>
              <w:pStyle w:val="TableText"/>
              <w:jc w:val="left"/>
              <w:rPr>
                <w:rFonts w:ascii="Times" w:eastAsia="Times New Roman" w:hAnsi="Times" w:cs="Times New Roman"/>
                <w:szCs w:val="20"/>
                <w:lang w:val="en-US"/>
              </w:rPr>
            </w:pPr>
            <w:r w:rsidRPr="003F1F6C">
              <w:t>Population</w:t>
            </w:r>
          </w:p>
        </w:tc>
        <w:tc>
          <w:tcPr>
            <w:tcW w:w="2014" w:type="pct"/>
            <w:shd w:val="clear" w:color="auto" w:fill="auto"/>
          </w:tcPr>
          <w:p w:rsidR="005D3225" w:rsidRPr="003F1F6C" w:rsidRDefault="005D3225" w:rsidP="00852CB7">
            <w:pPr>
              <w:pStyle w:val="TableText"/>
              <w:rPr>
                <w:rFonts w:ascii="Times" w:eastAsia="Times New Roman" w:hAnsi="Times" w:cs="Times New Roman"/>
                <w:szCs w:val="20"/>
                <w:lang w:val="en-US"/>
              </w:rPr>
            </w:pPr>
            <w:r w:rsidRPr="003F1F6C">
              <w:t xml:space="preserve">Subgroup from CLARINET trial (patients with </w:t>
            </w:r>
            <w:r w:rsidR="00F0443B">
              <w:br/>
            </w:r>
            <w:r w:rsidRPr="003F1F6C">
              <w:t>&gt;10% hepatic tumour load; supplementary analysis using CLARINET trial overall population</w:t>
            </w:r>
          </w:p>
        </w:tc>
        <w:tc>
          <w:tcPr>
            <w:tcW w:w="1920" w:type="pct"/>
          </w:tcPr>
          <w:p w:rsidR="005D3225" w:rsidRPr="003F1F6C" w:rsidRDefault="005D3225" w:rsidP="00BF31EB">
            <w:pPr>
              <w:pStyle w:val="TableText"/>
            </w:pPr>
            <w:r w:rsidRPr="003F1F6C">
              <w:t>CLARINET trial overall population</w:t>
            </w:r>
          </w:p>
        </w:tc>
      </w:tr>
      <w:tr w:rsidR="005D3225" w:rsidRPr="003F1F6C" w:rsidTr="00C1746F">
        <w:tc>
          <w:tcPr>
            <w:tcW w:w="1066" w:type="pct"/>
            <w:shd w:val="clear" w:color="auto" w:fill="auto"/>
          </w:tcPr>
          <w:p w:rsidR="005D3225" w:rsidRPr="003F1F6C" w:rsidRDefault="005D3225" w:rsidP="00C44233">
            <w:pPr>
              <w:pStyle w:val="TableText"/>
              <w:jc w:val="left"/>
            </w:pPr>
            <w:r w:rsidRPr="003F1F6C">
              <w:t>Health states</w:t>
            </w:r>
          </w:p>
        </w:tc>
        <w:tc>
          <w:tcPr>
            <w:tcW w:w="2014" w:type="pct"/>
            <w:shd w:val="clear" w:color="auto" w:fill="auto"/>
          </w:tcPr>
          <w:p w:rsidR="005D3225" w:rsidRPr="003F1F6C" w:rsidRDefault="005D3225" w:rsidP="00852CB7">
            <w:pPr>
              <w:pStyle w:val="TableText"/>
            </w:pPr>
            <w:r w:rsidRPr="003F1F6C">
              <w:t>Stable disease, progressive disease, death</w:t>
            </w:r>
          </w:p>
        </w:tc>
        <w:tc>
          <w:tcPr>
            <w:tcW w:w="1920" w:type="pct"/>
          </w:tcPr>
          <w:p w:rsidR="005D3225" w:rsidRPr="003F1F6C" w:rsidRDefault="005D3225" w:rsidP="00BF31EB">
            <w:pPr>
              <w:pStyle w:val="TableText"/>
            </w:pPr>
            <w:r w:rsidRPr="003F1F6C">
              <w:t>Same as November 2016 submission</w:t>
            </w:r>
          </w:p>
        </w:tc>
      </w:tr>
      <w:tr w:rsidR="005D3225" w:rsidRPr="003F1F6C" w:rsidTr="00C1746F">
        <w:trPr>
          <w:trHeight w:val="70"/>
        </w:trPr>
        <w:tc>
          <w:tcPr>
            <w:tcW w:w="1066" w:type="pct"/>
            <w:shd w:val="clear" w:color="auto" w:fill="auto"/>
          </w:tcPr>
          <w:p w:rsidR="005D3225" w:rsidRPr="003F1F6C" w:rsidRDefault="005D3225" w:rsidP="00C44233">
            <w:pPr>
              <w:pStyle w:val="TableText"/>
              <w:jc w:val="left"/>
              <w:rPr>
                <w:rFonts w:eastAsia="Times New Roman" w:cs="Times New Roman"/>
                <w:szCs w:val="20"/>
                <w:lang w:val="en-US"/>
              </w:rPr>
            </w:pPr>
            <w:r w:rsidRPr="003F1F6C">
              <w:t>Outcomes</w:t>
            </w:r>
          </w:p>
        </w:tc>
        <w:tc>
          <w:tcPr>
            <w:tcW w:w="2014" w:type="pct"/>
            <w:shd w:val="clear" w:color="auto" w:fill="auto"/>
          </w:tcPr>
          <w:p w:rsidR="005D3225" w:rsidRPr="003F1F6C" w:rsidRDefault="00914187" w:rsidP="00852CB7">
            <w:pPr>
              <w:pStyle w:val="TableText"/>
              <w:rPr>
                <w:rFonts w:ascii="Times" w:eastAsia="Times New Roman" w:hAnsi="Times" w:cs="Times New Roman"/>
                <w:szCs w:val="20"/>
                <w:lang w:val="en-US"/>
              </w:rPr>
            </w:pPr>
            <w:r w:rsidRPr="003F1F6C">
              <w:t xml:space="preserve">Life years, </w:t>
            </w:r>
            <w:r w:rsidR="005D3225" w:rsidRPr="003F1F6C">
              <w:t>QALY</w:t>
            </w:r>
            <w:r w:rsidRPr="003F1F6C">
              <w:t>s</w:t>
            </w:r>
          </w:p>
        </w:tc>
        <w:tc>
          <w:tcPr>
            <w:tcW w:w="1920" w:type="pct"/>
          </w:tcPr>
          <w:p w:rsidR="005D3225" w:rsidRPr="003F1F6C" w:rsidRDefault="005D3225" w:rsidP="00BF31EB">
            <w:pPr>
              <w:pStyle w:val="TableText"/>
            </w:pPr>
            <w:r w:rsidRPr="003F1F6C">
              <w:t>Same as November 2016 submission</w:t>
            </w:r>
          </w:p>
        </w:tc>
      </w:tr>
      <w:tr w:rsidR="005D3225" w:rsidRPr="003F1F6C" w:rsidTr="00C1746F">
        <w:trPr>
          <w:trHeight w:val="70"/>
        </w:trPr>
        <w:tc>
          <w:tcPr>
            <w:tcW w:w="1066" w:type="pct"/>
            <w:shd w:val="clear" w:color="auto" w:fill="auto"/>
          </w:tcPr>
          <w:p w:rsidR="005D3225" w:rsidRPr="003F1F6C" w:rsidRDefault="005D3225" w:rsidP="00C44233">
            <w:pPr>
              <w:pStyle w:val="TableText"/>
              <w:jc w:val="left"/>
            </w:pPr>
            <w:r w:rsidRPr="003F1F6C">
              <w:t>PFS extrapolation method</w:t>
            </w:r>
          </w:p>
        </w:tc>
        <w:tc>
          <w:tcPr>
            <w:tcW w:w="2014" w:type="pct"/>
            <w:shd w:val="clear" w:color="auto" w:fill="auto"/>
          </w:tcPr>
          <w:p w:rsidR="005D3225" w:rsidRPr="003F1F6C" w:rsidRDefault="005D3225" w:rsidP="00852CB7">
            <w:pPr>
              <w:pStyle w:val="TableText"/>
            </w:pPr>
            <w:r w:rsidRPr="003F1F6C">
              <w:t>Log-normal distribution</w:t>
            </w:r>
          </w:p>
        </w:tc>
        <w:tc>
          <w:tcPr>
            <w:tcW w:w="1920" w:type="pct"/>
          </w:tcPr>
          <w:p w:rsidR="005D3225" w:rsidRPr="003F1F6C" w:rsidRDefault="005D3225" w:rsidP="00BF31EB">
            <w:pPr>
              <w:pStyle w:val="TableText"/>
              <w:jc w:val="left"/>
            </w:pPr>
            <w:r w:rsidRPr="003F1F6C">
              <w:t>Same as November 2016 submission; supplementary analysis using piecewise extrapolation.</w:t>
            </w:r>
          </w:p>
        </w:tc>
      </w:tr>
      <w:tr w:rsidR="005D3225" w:rsidRPr="003F1F6C" w:rsidTr="00C1746F">
        <w:trPr>
          <w:trHeight w:val="70"/>
        </w:trPr>
        <w:tc>
          <w:tcPr>
            <w:tcW w:w="1066" w:type="pct"/>
            <w:shd w:val="clear" w:color="auto" w:fill="auto"/>
          </w:tcPr>
          <w:p w:rsidR="005D3225" w:rsidRPr="003F1F6C" w:rsidRDefault="005D3225" w:rsidP="00C44233">
            <w:pPr>
              <w:pStyle w:val="TableText"/>
              <w:jc w:val="left"/>
            </w:pPr>
            <w:r w:rsidRPr="003F1F6C">
              <w:rPr>
                <w:rFonts w:eastAsia="Times New Roman" w:cs="Times New Roman"/>
                <w:szCs w:val="20"/>
                <w:lang w:val="en-US"/>
              </w:rPr>
              <w:t>OS extrapolation method</w:t>
            </w:r>
          </w:p>
        </w:tc>
        <w:tc>
          <w:tcPr>
            <w:tcW w:w="2014" w:type="pct"/>
            <w:shd w:val="clear" w:color="auto" w:fill="auto"/>
          </w:tcPr>
          <w:p w:rsidR="005D3225" w:rsidRPr="003F1F6C" w:rsidRDefault="005D3225" w:rsidP="00852CB7">
            <w:pPr>
              <w:pStyle w:val="TableText"/>
            </w:pPr>
            <w:proofErr w:type="spellStart"/>
            <w:r w:rsidRPr="003F1F6C">
              <w:t>Gompertz</w:t>
            </w:r>
            <w:proofErr w:type="spellEnd"/>
            <w:r w:rsidRPr="003F1F6C">
              <w:t xml:space="preserve"> function</w:t>
            </w:r>
          </w:p>
        </w:tc>
        <w:tc>
          <w:tcPr>
            <w:tcW w:w="1920" w:type="pct"/>
          </w:tcPr>
          <w:p w:rsidR="005D3225" w:rsidRPr="003F1F6C" w:rsidRDefault="005D3225" w:rsidP="00BF31EB">
            <w:pPr>
              <w:pStyle w:val="TableText"/>
              <w:jc w:val="left"/>
            </w:pPr>
            <w:r w:rsidRPr="003F1F6C">
              <w:t>Same as November 2016 submission; supplementary analysis using epidemiological data from the US SEERs registry data</w:t>
            </w:r>
          </w:p>
        </w:tc>
      </w:tr>
      <w:tr w:rsidR="005D3225" w:rsidRPr="003F1F6C" w:rsidTr="00C1746F">
        <w:trPr>
          <w:trHeight w:val="70"/>
        </w:trPr>
        <w:tc>
          <w:tcPr>
            <w:tcW w:w="1066" w:type="pct"/>
            <w:shd w:val="clear" w:color="auto" w:fill="auto"/>
          </w:tcPr>
          <w:p w:rsidR="005D3225" w:rsidRPr="003F1F6C" w:rsidRDefault="005D3225" w:rsidP="00C44233">
            <w:pPr>
              <w:pStyle w:val="TableText"/>
              <w:jc w:val="left"/>
            </w:pPr>
            <w:r w:rsidRPr="003F1F6C">
              <w:t>Utility values</w:t>
            </w:r>
          </w:p>
        </w:tc>
        <w:tc>
          <w:tcPr>
            <w:tcW w:w="2014" w:type="pct"/>
            <w:shd w:val="clear" w:color="auto" w:fill="auto"/>
          </w:tcPr>
          <w:p w:rsidR="005D3225" w:rsidRPr="003F1F6C" w:rsidRDefault="005D3225" w:rsidP="00852CB7">
            <w:pPr>
              <w:pStyle w:val="TableText"/>
              <w:jc w:val="left"/>
            </w:pPr>
            <w:r w:rsidRPr="003F1F6C">
              <w:t>Pre-progression: 0.771</w:t>
            </w:r>
          </w:p>
          <w:p w:rsidR="005D3225" w:rsidRPr="003F1F6C" w:rsidRDefault="005D3225" w:rsidP="00BF31EB">
            <w:pPr>
              <w:pStyle w:val="TableText"/>
              <w:jc w:val="left"/>
            </w:pPr>
            <w:r w:rsidRPr="003F1F6C">
              <w:t>Post-progression: 0.612</w:t>
            </w:r>
          </w:p>
        </w:tc>
        <w:tc>
          <w:tcPr>
            <w:tcW w:w="1920" w:type="pct"/>
          </w:tcPr>
          <w:p w:rsidR="005D3225" w:rsidRPr="003F1F6C" w:rsidRDefault="005D3225" w:rsidP="00CE5B76">
            <w:pPr>
              <w:pStyle w:val="TableText"/>
            </w:pPr>
            <w:r w:rsidRPr="003F1F6C">
              <w:t>Same as November 2016 submission</w:t>
            </w:r>
          </w:p>
        </w:tc>
      </w:tr>
      <w:tr w:rsidR="005D3225" w:rsidRPr="003F1F6C" w:rsidTr="00C1746F">
        <w:trPr>
          <w:trHeight w:val="70"/>
        </w:trPr>
        <w:tc>
          <w:tcPr>
            <w:tcW w:w="1066" w:type="pct"/>
            <w:shd w:val="clear" w:color="auto" w:fill="auto"/>
          </w:tcPr>
          <w:p w:rsidR="005D3225" w:rsidRPr="003F1F6C" w:rsidRDefault="005D3225" w:rsidP="00C44233">
            <w:pPr>
              <w:pStyle w:val="TableText"/>
              <w:jc w:val="left"/>
            </w:pPr>
            <w:proofErr w:type="spellStart"/>
            <w:r w:rsidRPr="003F1F6C">
              <w:t>Lanreotide</w:t>
            </w:r>
            <w:proofErr w:type="spellEnd"/>
            <w:r w:rsidRPr="003F1F6C">
              <w:t xml:space="preserve"> compliance</w:t>
            </w:r>
          </w:p>
        </w:tc>
        <w:tc>
          <w:tcPr>
            <w:tcW w:w="2014" w:type="pct"/>
            <w:shd w:val="clear" w:color="auto" w:fill="auto"/>
          </w:tcPr>
          <w:p w:rsidR="005D3225" w:rsidRPr="003F1F6C" w:rsidRDefault="005D3225" w:rsidP="00852CB7">
            <w:pPr>
              <w:pStyle w:val="TableText"/>
              <w:jc w:val="left"/>
            </w:pPr>
            <w:r w:rsidRPr="003F1F6C">
              <w:t>90%</w:t>
            </w:r>
          </w:p>
        </w:tc>
        <w:tc>
          <w:tcPr>
            <w:tcW w:w="1920" w:type="pct"/>
          </w:tcPr>
          <w:p w:rsidR="005D3225" w:rsidRPr="003F1F6C" w:rsidRDefault="005D3225" w:rsidP="00BF31EB">
            <w:pPr>
              <w:pStyle w:val="TableText"/>
            </w:pPr>
            <w:r w:rsidRPr="003F1F6C">
              <w:t>Same as November 2016 submission</w:t>
            </w:r>
          </w:p>
        </w:tc>
      </w:tr>
      <w:tr w:rsidR="005D3225" w:rsidRPr="003F1F6C" w:rsidTr="00C1746F">
        <w:trPr>
          <w:trHeight w:val="70"/>
        </w:trPr>
        <w:tc>
          <w:tcPr>
            <w:tcW w:w="1066" w:type="pct"/>
            <w:shd w:val="clear" w:color="auto" w:fill="auto"/>
          </w:tcPr>
          <w:p w:rsidR="005D3225" w:rsidRPr="003F1F6C" w:rsidRDefault="005D3225" w:rsidP="00C44233">
            <w:pPr>
              <w:pStyle w:val="TableText"/>
              <w:jc w:val="left"/>
            </w:pPr>
            <w:r w:rsidRPr="003F1F6C">
              <w:t>Post progression treatment utility decrements</w:t>
            </w:r>
          </w:p>
        </w:tc>
        <w:tc>
          <w:tcPr>
            <w:tcW w:w="2014" w:type="pct"/>
            <w:shd w:val="clear" w:color="auto" w:fill="auto"/>
          </w:tcPr>
          <w:p w:rsidR="005D3225" w:rsidRPr="003F1F6C" w:rsidRDefault="005D3225" w:rsidP="00852CB7">
            <w:pPr>
              <w:pStyle w:val="TableText"/>
            </w:pPr>
            <w:r w:rsidRPr="003F1F6C">
              <w:t>Yes</w:t>
            </w:r>
          </w:p>
        </w:tc>
        <w:tc>
          <w:tcPr>
            <w:tcW w:w="1920" w:type="pct"/>
          </w:tcPr>
          <w:p w:rsidR="005D3225" w:rsidRPr="003F1F6C" w:rsidRDefault="005D3225" w:rsidP="00BF31EB">
            <w:pPr>
              <w:pStyle w:val="TableText"/>
            </w:pPr>
            <w:r w:rsidRPr="003F1F6C">
              <w:t>No</w:t>
            </w:r>
          </w:p>
        </w:tc>
      </w:tr>
      <w:tr w:rsidR="005D3225" w:rsidRPr="003F1F6C" w:rsidTr="00C1746F">
        <w:trPr>
          <w:trHeight w:val="70"/>
        </w:trPr>
        <w:tc>
          <w:tcPr>
            <w:tcW w:w="1066" w:type="pct"/>
            <w:shd w:val="clear" w:color="auto" w:fill="auto"/>
          </w:tcPr>
          <w:p w:rsidR="005D3225" w:rsidRPr="003F1F6C" w:rsidRDefault="005D3225" w:rsidP="00C44233">
            <w:pPr>
              <w:pStyle w:val="TableText"/>
              <w:jc w:val="left"/>
            </w:pPr>
            <w:r w:rsidRPr="003F1F6C">
              <w:t>Post progression treatments</w:t>
            </w:r>
          </w:p>
        </w:tc>
        <w:tc>
          <w:tcPr>
            <w:tcW w:w="2014" w:type="pct"/>
            <w:shd w:val="clear" w:color="auto" w:fill="auto"/>
          </w:tcPr>
          <w:p w:rsidR="005D3225" w:rsidRPr="003F1F6C" w:rsidRDefault="005D3225" w:rsidP="00852CB7">
            <w:pPr>
              <w:pStyle w:val="TableText"/>
            </w:pPr>
            <w:r w:rsidRPr="003F1F6C">
              <w:t>Based on pattern of care study (</w:t>
            </w:r>
            <w:proofErr w:type="spellStart"/>
            <w:r w:rsidRPr="003F1F6C">
              <w:t>Casciano</w:t>
            </w:r>
            <w:proofErr w:type="spellEnd"/>
            <w:r w:rsidRPr="003F1F6C">
              <w:t xml:space="preserve"> et al 2013). Costs of single treatment options applied as a one off at the point of progression.</w:t>
            </w:r>
          </w:p>
        </w:tc>
        <w:tc>
          <w:tcPr>
            <w:tcW w:w="1920" w:type="pct"/>
          </w:tcPr>
          <w:p w:rsidR="005D3225" w:rsidRPr="003F1F6C" w:rsidRDefault="005D3225" w:rsidP="00BF31EB">
            <w:pPr>
              <w:pStyle w:val="TableText"/>
            </w:pPr>
            <w:r w:rsidRPr="003F1F6C">
              <w:t xml:space="preserve">Based on the results of </w:t>
            </w:r>
            <w:r w:rsidR="00F0443B" w:rsidRPr="002C290B">
              <w:rPr>
                <w:i/>
              </w:rPr>
              <w:t>a survey of three</w:t>
            </w:r>
            <w:r w:rsidRPr="002C290B">
              <w:rPr>
                <w:i/>
              </w:rPr>
              <w:t xml:space="preserve"> Australian physician</w:t>
            </w:r>
            <w:r w:rsidR="00F0443B" w:rsidRPr="002C290B">
              <w:rPr>
                <w:i/>
              </w:rPr>
              <w:t>s</w:t>
            </w:r>
            <w:r w:rsidRPr="003F1F6C">
              <w:t>. Costs of various treatment pathways applied as a one off at the point of progression.</w:t>
            </w:r>
          </w:p>
        </w:tc>
      </w:tr>
      <w:tr w:rsidR="005D3225" w:rsidRPr="003F1F6C" w:rsidTr="00C1746F">
        <w:trPr>
          <w:trHeight w:val="70"/>
        </w:trPr>
        <w:tc>
          <w:tcPr>
            <w:tcW w:w="1066" w:type="pct"/>
            <w:shd w:val="clear" w:color="auto" w:fill="auto"/>
          </w:tcPr>
          <w:p w:rsidR="005D3225" w:rsidRPr="003F1F6C" w:rsidRDefault="005D3225" w:rsidP="00C44233">
            <w:pPr>
              <w:pStyle w:val="TableText"/>
              <w:jc w:val="left"/>
            </w:pPr>
            <w:proofErr w:type="spellStart"/>
            <w:r w:rsidRPr="003F1F6C">
              <w:t>Lanreotide</w:t>
            </w:r>
            <w:proofErr w:type="spellEnd"/>
            <w:r w:rsidRPr="003F1F6C">
              <w:t xml:space="preserve"> use post progression</w:t>
            </w:r>
          </w:p>
        </w:tc>
        <w:tc>
          <w:tcPr>
            <w:tcW w:w="2014" w:type="pct"/>
            <w:shd w:val="clear" w:color="auto" w:fill="auto"/>
          </w:tcPr>
          <w:p w:rsidR="005D3225" w:rsidRPr="003F1F6C" w:rsidRDefault="005D3225" w:rsidP="00852CB7">
            <w:pPr>
              <w:pStyle w:val="TableText"/>
            </w:pPr>
            <w:proofErr w:type="spellStart"/>
            <w:r w:rsidRPr="003F1F6C">
              <w:t>Lanreotide</w:t>
            </w:r>
            <w:proofErr w:type="spellEnd"/>
            <w:r w:rsidRPr="003F1F6C">
              <w:t xml:space="preserve"> group: 100% </w:t>
            </w:r>
          </w:p>
          <w:p w:rsidR="005D3225" w:rsidRPr="003F1F6C" w:rsidRDefault="005D3225" w:rsidP="00BF31EB">
            <w:pPr>
              <w:pStyle w:val="TableText"/>
            </w:pPr>
            <w:r w:rsidRPr="003F1F6C">
              <w:t>Placebo group: 100%</w:t>
            </w:r>
          </w:p>
        </w:tc>
        <w:tc>
          <w:tcPr>
            <w:tcW w:w="1920" w:type="pct"/>
          </w:tcPr>
          <w:p w:rsidR="005D3225" w:rsidRPr="003F1F6C" w:rsidRDefault="005D3225" w:rsidP="00CE5B76">
            <w:pPr>
              <w:pStyle w:val="TableText"/>
            </w:pPr>
            <w:proofErr w:type="spellStart"/>
            <w:r w:rsidRPr="003F1F6C">
              <w:t>Lanreotide</w:t>
            </w:r>
            <w:proofErr w:type="spellEnd"/>
            <w:r w:rsidRPr="003F1F6C">
              <w:t xml:space="preserve"> group: 48% </w:t>
            </w:r>
          </w:p>
          <w:p w:rsidR="005D3225" w:rsidRPr="003F1F6C" w:rsidRDefault="005D3225" w:rsidP="00CE5B76">
            <w:pPr>
              <w:pStyle w:val="TableText"/>
            </w:pPr>
            <w:r w:rsidRPr="003F1F6C">
              <w:t>Placebo group: 30%</w:t>
            </w:r>
          </w:p>
        </w:tc>
      </w:tr>
      <w:tr w:rsidR="005D3225" w:rsidRPr="003F1F6C" w:rsidTr="00C1746F">
        <w:trPr>
          <w:trHeight w:val="70"/>
        </w:trPr>
        <w:tc>
          <w:tcPr>
            <w:tcW w:w="1066" w:type="pct"/>
            <w:shd w:val="clear" w:color="auto" w:fill="auto"/>
          </w:tcPr>
          <w:p w:rsidR="005D3225" w:rsidRPr="003F1F6C" w:rsidRDefault="005D3225" w:rsidP="00C44233">
            <w:pPr>
              <w:pStyle w:val="TableText"/>
              <w:jc w:val="left"/>
            </w:pPr>
            <w:r w:rsidRPr="003F1F6C">
              <w:t>QALY</w:t>
            </w:r>
          </w:p>
        </w:tc>
        <w:tc>
          <w:tcPr>
            <w:tcW w:w="2014" w:type="pct"/>
            <w:shd w:val="clear" w:color="auto" w:fill="auto"/>
          </w:tcPr>
          <w:p w:rsidR="004E6411" w:rsidRDefault="004E6411" w:rsidP="003F4F36">
            <w:pPr>
              <w:pStyle w:val="TableText"/>
              <w:jc w:val="left"/>
              <w:rPr>
                <w:szCs w:val="20"/>
              </w:rPr>
            </w:pPr>
            <w:r>
              <w:rPr>
                <w:szCs w:val="20"/>
              </w:rPr>
              <w:t>$45,000 -</w:t>
            </w:r>
            <w:r w:rsidRPr="004E6411">
              <w:rPr>
                <w:szCs w:val="20"/>
              </w:rPr>
              <w:t>$75,000/QALY</w:t>
            </w:r>
            <w:r w:rsidRPr="004E6411" w:rsidDel="004E6411">
              <w:rPr>
                <w:szCs w:val="20"/>
              </w:rPr>
              <w:t xml:space="preserve"> </w:t>
            </w:r>
          </w:p>
          <w:p w:rsidR="005D3225" w:rsidRPr="003F1F6C" w:rsidRDefault="008341AC" w:rsidP="003F4F36">
            <w:pPr>
              <w:pStyle w:val="TableText"/>
              <w:jc w:val="left"/>
              <w:rPr>
                <w:vertAlign w:val="superscript"/>
              </w:rPr>
            </w:pPr>
            <w:r>
              <w:rPr>
                <w:szCs w:val="20"/>
              </w:rPr>
              <w:t>[</w:t>
            </w:r>
            <w:r w:rsidR="004E6411">
              <w:rPr>
                <w:szCs w:val="20"/>
              </w:rPr>
              <w:t>$75,000 -</w:t>
            </w:r>
            <w:r w:rsidR="004E6411" w:rsidRPr="004E6411">
              <w:rPr>
                <w:szCs w:val="20"/>
              </w:rPr>
              <w:t>$105,000/QALY</w:t>
            </w:r>
            <w:r w:rsidR="004E6411">
              <w:rPr>
                <w:szCs w:val="20"/>
              </w:rPr>
              <w:t xml:space="preserve"> </w:t>
            </w:r>
            <w:r w:rsidR="005D3225" w:rsidRPr="003F1F6C">
              <w:rPr>
                <w:szCs w:val="20"/>
              </w:rPr>
              <w:t>corrected]</w:t>
            </w:r>
          </w:p>
        </w:tc>
        <w:tc>
          <w:tcPr>
            <w:tcW w:w="1920" w:type="pct"/>
          </w:tcPr>
          <w:p w:rsidR="004E6411" w:rsidRDefault="004E6411" w:rsidP="003F4F36">
            <w:pPr>
              <w:pStyle w:val="TableText"/>
              <w:jc w:val="left"/>
              <w:rPr>
                <w:szCs w:val="20"/>
              </w:rPr>
            </w:pPr>
            <w:r>
              <w:rPr>
                <w:szCs w:val="20"/>
              </w:rPr>
              <w:t>$15,000</w:t>
            </w:r>
            <w:r w:rsidRPr="004E6411">
              <w:rPr>
                <w:szCs w:val="20"/>
              </w:rPr>
              <w:t xml:space="preserve"> - $45,000/QALY</w:t>
            </w:r>
            <w:r w:rsidRPr="004E6411" w:rsidDel="004E6411">
              <w:rPr>
                <w:szCs w:val="20"/>
              </w:rPr>
              <w:t xml:space="preserve"> </w:t>
            </w:r>
          </w:p>
          <w:p w:rsidR="005D3225" w:rsidRPr="003F1F6C" w:rsidRDefault="008341AC" w:rsidP="003F4F36">
            <w:pPr>
              <w:pStyle w:val="TableText"/>
              <w:jc w:val="left"/>
            </w:pPr>
            <w:r>
              <w:rPr>
                <w:szCs w:val="20"/>
              </w:rPr>
              <w:t>[</w:t>
            </w:r>
            <w:r w:rsidR="004E6411" w:rsidRPr="004E6411">
              <w:rPr>
                <w:szCs w:val="20"/>
              </w:rPr>
              <w:t xml:space="preserve">$15,000 - $45,000/QALY </w:t>
            </w:r>
            <w:r w:rsidR="00DD4F6F" w:rsidRPr="003F1F6C">
              <w:rPr>
                <w:szCs w:val="20"/>
              </w:rPr>
              <w:t>corrected]</w:t>
            </w:r>
          </w:p>
        </w:tc>
      </w:tr>
    </w:tbl>
    <w:p w:rsidR="005D3225" w:rsidRPr="003F1F6C" w:rsidRDefault="005D3225" w:rsidP="00780E4D">
      <w:pPr>
        <w:pStyle w:val="TableFooter"/>
        <w:widowControl/>
      </w:pPr>
      <w:r w:rsidRPr="003F1F6C">
        <w:t>Source: Compiled during the evaluation.</w:t>
      </w:r>
    </w:p>
    <w:p w:rsidR="005D3225" w:rsidRPr="003F1F6C" w:rsidRDefault="005D3225" w:rsidP="00780E4D">
      <w:pPr>
        <w:pStyle w:val="TableFooter"/>
        <w:widowControl/>
      </w:pPr>
      <w:r w:rsidRPr="003F1F6C">
        <w:t>Abbreviations: QALY, quality adjusted life year; US, United States; SEER, Surveillance, Epidemiology, and End Results Program.</w:t>
      </w:r>
    </w:p>
    <w:p w:rsidR="005D3225" w:rsidRPr="003F1F6C" w:rsidRDefault="00D16FCF" w:rsidP="00C44233">
      <w:pPr>
        <w:pStyle w:val="ESnumberedpara"/>
        <w:ind w:left="567" w:hanging="567"/>
      </w:pPr>
      <w:r w:rsidRPr="003F1F6C">
        <w:t xml:space="preserve">Key issues with the economic model </w:t>
      </w:r>
      <w:r w:rsidR="00CC1DD0" w:rsidRPr="003F1F6C">
        <w:t xml:space="preserve">in the current resubmission </w:t>
      </w:r>
      <w:r w:rsidRPr="003F1F6C">
        <w:t>are summarised in the</w:t>
      </w:r>
      <w:r w:rsidR="00CC1DD0" w:rsidRPr="003F1F6C">
        <w:t xml:space="preserve"> following</w:t>
      </w:r>
      <w:r w:rsidRPr="003F1F6C">
        <w:t xml:space="preserve"> table.</w:t>
      </w:r>
    </w:p>
    <w:p w:rsidR="0097752E" w:rsidRDefault="0097752E" w:rsidP="0097752E">
      <w:pPr>
        <w:pStyle w:val="Caption"/>
      </w:pPr>
      <w:r>
        <w:t xml:space="preserve">Table </w:t>
      </w:r>
      <w:r>
        <w:rPr>
          <w:noProof/>
        </w:rPr>
        <w:t>7</w:t>
      </w:r>
      <w:r w:rsidRPr="008610A4">
        <w:t>: Key issues with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2"/>
        <w:gridCol w:w="6663"/>
        <w:gridCol w:w="1257"/>
      </w:tblGrid>
      <w:tr w:rsidR="00303DB6" w:rsidRPr="003F1F6C" w:rsidTr="002C290B">
        <w:trPr>
          <w:tblHeader/>
        </w:trPr>
        <w:tc>
          <w:tcPr>
            <w:tcW w:w="640" w:type="pct"/>
            <w:shd w:val="clear" w:color="auto" w:fill="auto"/>
            <w:vAlign w:val="center"/>
          </w:tcPr>
          <w:p w:rsidR="00303DB6" w:rsidRPr="003F1F6C" w:rsidRDefault="00303DB6" w:rsidP="00852CB7">
            <w:pPr>
              <w:keepNext/>
              <w:spacing w:before="40" w:after="40"/>
              <w:jc w:val="left"/>
              <w:rPr>
                <w:rFonts w:ascii="Arial Narrow" w:hAnsi="Arial Narrow"/>
                <w:b/>
                <w:sz w:val="20"/>
                <w:lang w:val="en-US"/>
              </w:rPr>
            </w:pPr>
            <w:r w:rsidRPr="003F1F6C">
              <w:rPr>
                <w:rFonts w:ascii="Arial Narrow" w:hAnsi="Arial Narrow"/>
                <w:b/>
                <w:sz w:val="20"/>
                <w:lang w:val="en-US"/>
              </w:rPr>
              <w:t>Description</w:t>
            </w:r>
          </w:p>
        </w:tc>
        <w:tc>
          <w:tcPr>
            <w:tcW w:w="3668" w:type="pct"/>
            <w:shd w:val="clear" w:color="auto" w:fill="auto"/>
            <w:vAlign w:val="center"/>
          </w:tcPr>
          <w:p w:rsidR="00303DB6" w:rsidRPr="003F1F6C" w:rsidRDefault="00303DB6" w:rsidP="00BF31EB">
            <w:pPr>
              <w:keepNext/>
              <w:spacing w:before="40" w:after="40"/>
              <w:jc w:val="center"/>
              <w:rPr>
                <w:rFonts w:ascii="Arial Narrow" w:hAnsi="Arial Narrow"/>
                <w:b/>
                <w:sz w:val="20"/>
                <w:lang w:val="en-US"/>
              </w:rPr>
            </w:pPr>
            <w:r w:rsidRPr="003F1F6C">
              <w:rPr>
                <w:rFonts w:ascii="Arial Narrow" w:hAnsi="Arial Narrow"/>
                <w:b/>
                <w:sz w:val="20"/>
                <w:lang w:val="en-US"/>
              </w:rPr>
              <w:t>Method/Value</w:t>
            </w:r>
          </w:p>
        </w:tc>
        <w:tc>
          <w:tcPr>
            <w:tcW w:w="692" w:type="pct"/>
            <w:shd w:val="clear" w:color="auto" w:fill="auto"/>
            <w:vAlign w:val="center"/>
          </w:tcPr>
          <w:p w:rsidR="00303DB6" w:rsidRPr="003F1F6C" w:rsidRDefault="00303DB6" w:rsidP="00CE5B76">
            <w:pPr>
              <w:keepNext/>
              <w:spacing w:before="40" w:after="40"/>
              <w:jc w:val="center"/>
              <w:rPr>
                <w:rFonts w:ascii="Arial Narrow" w:hAnsi="Arial Narrow"/>
                <w:b/>
                <w:sz w:val="20"/>
                <w:lang w:val="en-US"/>
              </w:rPr>
            </w:pPr>
            <w:r w:rsidRPr="003F1F6C">
              <w:rPr>
                <w:rFonts w:ascii="Arial Narrow" w:hAnsi="Arial Narrow"/>
                <w:b/>
                <w:sz w:val="20"/>
                <w:lang w:val="en-US"/>
              </w:rPr>
              <w:t>Impact</w:t>
            </w:r>
          </w:p>
        </w:tc>
      </w:tr>
      <w:tr w:rsidR="00303DB6" w:rsidRPr="003F1F6C" w:rsidTr="002C290B">
        <w:trPr>
          <w:trHeight w:val="597"/>
        </w:trPr>
        <w:tc>
          <w:tcPr>
            <w:tcW w:w="640" w:type="pct"/>
            <w:shd w:val="clear" w:color="auto" w:fill="auto"/>
            <w:vAlign w:val="center"/>
          </w:tcPr>
          <w:p w:rsidR="00303DB6" w:rsidRPr="003F1F6C" w:rsidRDefault="00303DB6" w:rsidP="00C44233">
            <w:pPr>
              <w:keepNext/>
              <w:spacing w:before="40" w:after="40"/>
              <w:jc w:val="left"/>
              <w:rPr>
                <w:rFonts w:ascii="Arial Narrow" w:hAnsi="Arial Narrow"/>
                <w:sz w:val="20"/>
                <w:lang w:val="en-US"/>
              </w:rPr>
            </w:pPr>
            <w:r w:rsidRPr="003F1F6C">
              <w:rPr>
                <w:rFonts w:ascii="Arial Narrow" w:hAnsi="Arial Narrow"/>
                <w:sz w:val="20"/>
                <w:lang w:val="en-US"/>
              </w:rPr>
              <w:t>Model structure</w:t>
            </w:r>
          </w:p>
        </w:tc>
        <w:tc>
          <w:tcPr>
            <w:tcW w:w="3668" w:type="pct"/>
            <w:shd w:val="clear" w:color="auto" w:fill="auto"/>
            <w:vAlign w:val="center"/>
          </w:tcPr>
          <w:p w:rsidR="00303DB6" w:rsidRPr="00867FBA" w:rsidRDefault="006C1F65" w:rsidP="00852CB7">
            <w:pPr>
              <w:keepNext/>
              <w:spacing w:before="40" w:after="40"/>
              <w:jc w:val="left"/>
              <w:rPr>
                <w:rFonts w:ascii="Arial Narrow" w:hAnsi="Arial Narrow"/>
                <w:sz w:val="20"/>
                <w:lang w:val="en-US"/>
              </w:rPr>
            </w:pPr>
            <w:r w:rsidRPr="00867FBA">
              <w:rPr>
                <w:rFonts w:ascii="Arial Narrow" w:hAnsi="Arial Narrow"/>
                <w:sz w:val="20"/>
                <w:lang w:val="en-US"/>
              </w:rPr>
              <w:t>T</w:t>
            </w:r>
            <w:r w:rsidR="00303DB6" w:rsidRPr="00803FC0">
              <w:rPr>
                <w:rFonts w:ascii="Arial Narrow" w:hAnsi="Arial Narrow"/>
                <w:sz w:val="20"/>
                <w:lang w:val="en-US"/>
              </w:rPr>
              <w:t>he model is based on first-line treatment</w:t>
            </w:r>
            <w:r w:rsidR="008B1576" w:rsidRPr="00803FC0">
              <w:rPr>
                <w:rFonts w:ascii="Arial Narrow" w:hAnsi="Arial Narrow"/>
                <w:sz w:val="20"/>
                <w:lang w:val="en-US"/>
              </w:rPr>
              <w:t xml:space="preserve"> and the associated </w:t>
            </w:r>
            <w:r w:rsidR="00303DB6" w:rsidRPr="00803FC0">
              <w:rPr>
                <w:rFonts w:ascii="Arial Narrow" w:hAnsi="Arial Narrow"/>
                <w:sz w:val="20"/>
                <w:lang w:val="en-US"/>
              </w:rPr>
              <w:t xml:space="preserve">downstream consequences. </w:t>
            </w:r>
            <w:r w:rsidRPr="00D16D51">
              <w:rPr>
                <w:rFonts w:ascii="Arial Narrow" w:hAnsi="Arial Narrow"/>
                <w:sz w:val="20"/>
                <w:lang w:val="en-US"/>
              </w:rPr>
              <w:t>As per the previous resubmission, the model</w:t>
            </w:r>
            <w:r w:rsidRPr="00867FBA">
              <w:rPr>
                <w:rFonts w:ascii="Arial Narrow" w:hAnsi="Arial Narrow"/>
                <w:sz w:val="20"/>
                <w:lang w:val="en-US"/>
              </w:rPr>
              <w:t xml:space="preserve"> </w:t>
            </w:r>
            <w:r w:rsidR="007372C6" w:rsidRPr="00803FC0">
              <w:rPr>
                <w:rFonts w:ascii="Arial Narrow" w:hAnsi="Arial Narrow"/>
                <w:sz w:val="20"/>
                <w:lang w:val="en-US"/>
              </w:rPr>
              <w:t>did</w:t>
            </w:r>
            <w:r w:rsidR="00303DB6" w:rsidRPr="00803FC0">
              <w:rPr>
                <w:rFonts w:ascii="Arial Narrow" w:hAnsi="Arial Narrow"/>
                <w:sz w:val="20"/>
                <w:lang w:val="en-US"/>
              </w:rPr>
              <w:t xml:space="preserve"> not address the potential for progressive patients to initiate </w:t>
            </w:r>
            <w:proofErr w:type="spellStart"/>
            <w:r w:rsidR="00303DB6" w:rsidRPr="00803FC0">
              <w:rPr>
                <w:rFonts w:ascii="Arial Narrow" w:hAnsi="Arial Narrow"/>
                <w:sz w:val="20"/>
                <w:lang w:val="en-US"/>
              </w:rPr>
              <w:t>lanreotide</w:t>
            </w:r>
            <w:proofErr w:type="spellEnd"/>
            <w:r w:rsidR="00303DB6" w:rsidRPr="00803FC0">
              <w:rPr>
                <w:rFonts w:ascii="Arial Narrow" w:hAnsi="Arial Narrow"/>
                <w:sz w:val="20"/>
                <w:lang w:val="en-US"/>
              </w:rPr>
              <w:t xml:space="preserve"> treatment (all patients in the model start in the stable state) and </w:t>
            </w:r>
            <w:r w:rsidR="007372C6" w:rsidRPr="00833A17">
              <w:rPr>
                <w:rFonts w:ascii="Arial Narrow" w:hAnsi="Arial Narrow"/>
                <w:sz w:val="20"/>
                <w:lang w:val="en-US"/>
              </w:rPr>
              <w:t xml:space="preserve">did </w:t>
            </w:r>
            <w:r w:rsidR="00303DB6" w:rsidRPr="00833A17">
              <w:rPr>
                <w:rFonts w:ascii="Arial Narrow" w:hAnsi="Arial Narrow"/>
                <w:sz w:val="20"/>
                <w:lang w:val="en-US"/>
              </w:rPr>
              <w:t>not address the underlying dise</w:t>
            </w:r>
            <w:r w:rsidR="00303DB6" w:rsidRPr="00867FBA">
              <w:rPr>
                <w:rFonts w:ascii="Arial Narrow" w:hAnsi="Arial Narrow"/>
                <w:sz w:val="20"/>
                <w:lang w:val="en-US"/>
              </w:rPr>
              <w:t xml:space="preserve">ase/treatment course of multiple periods of stable disease interspersed with disease progression events (the model </w:t>
            </w:r>
            <w:r w:rsidR="007372C6" w:rsidRPr="00867FBA">
              <w:rPr>
                <w:rFonts w:ascii="Arial Narrow" w:hAnsi="Arial Narrow"/>
                <w:sz w:val="20"/>
                <w:lang w:val="en-US"/>
              </w:rPr>
              <w:t xml:space="preserve">allowed </w:t>
            </w:r>
            <w:r w:rsidR="00303DB6" w:rsidRPr="00867FBA">
              <w:rPr>
                <w:rFonts w:ascii="Arial Narrow" w:hAnsi="Arial Narrow"/>
                <w:sz w:val="20"/>
                <w:lang w:val="en-US"/>
              </w:rPr>
              <w:t>a maximum of one progression event and patients cannot be stable with downstream treatments).</w:t>
            </w:r>
          </w:p>
        </w:tc>
        <w:tc>
          <w:tcPr>
            <w:tcW w:w="692" w:type="pct"/>
            <w:shd w:val="clear" w:color="auto" w:fill="auto"/>
            <w:vAlign w:val="center"/>
          </w:tcPr>
          <w:p w:rsidR="00303DB6" w:rsidRPr="003F1F6C" w:rsidRDefault="00303DB6" w:rsidP="00BF31EB">
            <w:pPr>
              <w:keepNext/>
              <w:spacing w:before="40" w:after="40"/>
              <w:jc w:val="center"/>
              <w:rPr>
                <w:rFonts w:ascii="Arial Narrow" w:hAnsi="Arial Narrow"/>
                <w:sz w:val="20"/>
                <w:lang w:val="en-US"/>
              </w:rPr>
            </w:pPr>
            <w:r w:rsidRPr="003F1F6C">
              <w:rPr>
                <w:rFonts w:ascii="Arial Narrow" w:hAnsi="Arial Narrow"/>
                <w:sz w:val="20"/>
                <w:lang w:val="en-US"/>
              </w:rPr>
              <w:t>Unclear</w:t>
            </w:r>
          </w:p>
        </w:tc>
      </w:tr>
      <w:tr w:rsidR="00303DB6" w:rsidRPr="003F1F6C" w:rsidTr="002C290B">
        <w:tc>
          <w:tcPr>
            <w:tcW w:w="640" w:type="pct"/>
            <w:shd w:val="clear" w:color="auto" w:fill="auto"/>
            <w:vAlign w:val="center"/>
          </w:tcPr>
          <w:p w:rsidR="00303DB6" w:rsidRPr="003F1F6C" w:rsidRDefault="00303DB6" w:rsidP="00C44233">
            <w:pPr>
              <w:keepNext/>
              <w:spacing w:before="40" w:after="40"/>
              <w:jc w:val="left"/>
              <w:rPr>
                <w:rFonts w:ascii="Arial Narrow" w:hAnsi="Arial Narrow"/>
                <w:sz w:val="20"/>
                <w:lang w:val="en-US"/>
              </w:rPr>
            </w:pPr>
            <w:r w:rsidRPr="003F1F6C">
              <w:rPr>
                <w:rFonts w:ascii="Arial Narrow" w:hAnsi="Arial Narrow"/>
                <w:sz w:val="20"/>
                <w:lang w:val="en-US"/>
              </w:rPr>
              <w:t>Survival extrapolation</w:t>
            </w:r>
          </w:p>
        </w:tc>
        <w:tc>
          <w:tcPr>
            <w:tcW w:w="3668" w:type="pct"/>
            <w:shd w:val="clear" w:color="auto" w:fill="auto"/>
            <w:vAlign w:val="center"/>
          </w:tcPr>
          <w:p w:rsidR="00303DB6" w:rsidRPr="00803FC0" w:rsidRDefault="005F4BB0" w:rsidP="00852CB7">
            <w:pPr>
              <w:keepNext/>
              <w:spacing w:before="40" w:after="40"/>
              <w:jc w:val="left"/>
              <w:rPr>
                <w:rFonts w:ascii="Arial Narrow" w:hAnsi="Arial Narrow"/>
                <w:sz w:val="20"/>
                <w:lang w:val="en-US"/>
              </w:rPr>
            </w:pPr>
            <w:r w:rsidRPr="00D16D51">
              <w:rPr>
                <w:rFonts w:ascii="Arial Narrow" w:hAnsi="Arial Narrow"/>
                <w:sz w:val="20"/>
                <w:lang w:val="en-US"/>
              </w:rPr>
              <w:t>As per the previous resubmission,</w:t>
            </w:r>
            <w:r w:rsidRPr="00867FBA">
              <w:rPr>
                <w:rFonts w:ascii="Arial Narrow" w:hAnsi="Arial Narrow"/>
                <w:sz w:val="20"/>
                <w:lang w:val="en-US"/>
              </w:rPr>
              <w:t xml:space="preserve"> t</w:t>
            </w:r>
            <w:r w:rsidR="00303DB6" w:rsidRPr="00803FC0">
              <w:rPr>
                <w:rFonts w:ascii="Arial Narrow" w:hAnsi="Arial Narrow"/>
                <w:sz w:val="20"/>
                <w:lang w:val="en-US"/>
              </w:rPr>
              <w:t xml:space="preserve">he resubmission extrapolated survival estimates by fitting a log-normal curve to progression-free survival data and a </w:t>
            </w:r>
            <w:proofErr w:type="spellStart"/>
            <w:r w:rsidR="00303DB6" w:rsidRPr="00803FC0">
              <w:rPr>
                <w:rFonts w:ascii="Arial Narrow" w:hAnsi="Arial Narrow"/>
                <w:sz w:val="20"/>
                <w:lang w:val="en-US"/>
              </w:rPr>
              <w:t>Gompertz</w:t>
            </w:r>
            <w:proofErr w:type="spellEnd"/>
            <w:r w:rsidR="00303DB6" w:rsidRPr="00803FC0">
              <w:rPr>
                <w:rFonts w:ascii="Arial Narrow" w:hAnsi="Arial Narrow"/>
                <w:sz w:val="20"/>
                <w:lang w:val="en-US"/>
              </w:rPr>
              <w:t xml:space="preserve"> curve to </w:t>
            </w:r>
            <w:r w:rsidR="00803FC0">
              <w:rPr>
                <w:rFonts w:ascii="Arial Narrow" w:hAnsi="Arial Narrow"/>
                <w:sz w:val="20"/>
                <w:lang w:val="en-US"/>
              </w:rPr>
              <w:t xml:space="preserve">OS </w:t>
            </w:r>
            <w:r w:rsidR="00303DB6" w:rsidRPr="00803FC0">
              <w:rPr>
                <w:rFonts w:ascii="Arial Narrow" w:hAnsi="Arial Narrow"/>
                <w:sz w:val="20"/>
                <w:lang w:val="en-US"/>
              </w:rPr>
              <w:t xml:space="preserve">data for the CLARINET trial. </w:t>
            </w:r>
            <w:r w:rsidR="00803FC0">
              <w:rPr>
                <w:rFonts w:ascii="Arial Narrow" w:hAnsi="Arial Narrow"/>
                <w:sz w:val="20"/>
                <w:lang w:val="en-US"/>
              </w:rPr>
              <w:t>OS</w:t>
            </w:r>
            <w:r w:rsidR="00303DB6" w:rsidRPr="00803FC0">
              <w:rPr>
                <w:rFonts w:ascii="Arial Narrow" w:hAnsi="Arial Narrow"/>
                <w:sz w:val="20"/>
                <w:lang w:val="en-US"/>
              </w:rPr>
              <w:t xml:space="preserve"> extrapolation was severely limited by the small number of deaths (4 deaths over the course of the 96-week trial) to inform estimates. Extrapolated</w:t>
            </w:r>
            <w:r w:rsidR="00803FC0">
              <w:rPr>
                <w:rFonts w:ascii="Arial Narrow" w:hAnsi="Arial Narrow"/>
                <w:sz w:val="20"/>
                <w:lang w:val="en-US"/>
              </w:rPr>
              <w:t xml:space="preserve"> OS </w:t>
            </w:r>
            <w:r w:rsidR="00303DB6" w:rsidRPr="00803FC0">
              <w:rPr>
                <w:rFonts w:ascii="Arial Narrow" w:hAnsi="Arial Narrow"/>
                <w:sz w:val="20"/>
                <w:lang w:val="en-US"/>
              </w:rPr>
              <w:t xml:space="preserve">was substantially higher than estimates from the CLARINET extension study and other published sources. </w:t>
            </w:r>
          </w:p>
        </w:tc>
        <w:tc>
          <w:tcPr>
            <w:tcW w:w="692" w:type="pct"/>
            <w:shd w:val="clear" w:color="auto" w:fill="auto"/>
            <w:vAlign w:val="center"/>
          </w:tcPr>
          <w:p w:rsidR="00303DB6" w:rsidRPr="003F1F6C" w:rsidRDefault="00303DB6" w:rsidP="00BF31EB">
            <w:pPr>
              <w:keepNext/>
              <w:spacing w:before="40" w:after="40"/>
              <w:jc w:val="center"/>
              <w:rPr>
                <w:rFonts w:ascii="Arial Narrow" w:hAnsi="Arial Narrow"/>
                <w:sz w:val="20"/>
                <w:lang w:val="en-US"/>
              </w:rPr>
            </w:pPr>
            <w:r w:rsidRPr="003F1F6C">
              <w:rPr>
                <w:rFonts w:ascii="Arial Narrow" w:hAnsi="Arial Narrow"/>
                <w:sz w:val="20"/>
                <w:lang w:val="en-US"/>
              </w:rPr>
              <w:t>High,</w:t>
            </w:r>
          </w:p>
          <w:p w:rsidR="00303DB6" w:rsidRPr="003F1F6C" w:rsidRDefault="00303DB6" w:rsidP="00CE5B76">
            <w:pPr>
              <w:keepNext/>
              <w:spacing w:before="40" w:after="40"/>
              <w:jc w:val="center"/>
              <w:rPr>
                <w:rFonts w:ascii="Arial Narrow" w:hAnsi="Arial Narrow"/>
                <w:sz w:val="20"/>
                <w:lang w:val="en-US"/>
              </w:rPr>
            </w:pPr>
            <w:proofErr w:type="spellStart"/>
            <w:r w:rsidRPr="003F1F6C">
              <w:rPr>
                <w:rFonts w:ascii="Arial Narrow" w:hAnsi="Arial Narrow"/>
                <w:sz w:val="20"/>
                <w:lang w:val="en-US"/>
              </w:rPr>
              <w:t>favours</w:t>
            </w:r>
            <w:proofErr w:type="spellEnd"/>
            <w:r w:rsidRPr="003F1F6C">
              <w:rPr>
                <w:rFonts w:ascii="Arial Narrow" w:hAnsi="Arial Narrow"/>
                <w:sz w:val="20"/>
                <w:lang w:val="en-US"/>
              </w:rPr>
              <w:t xml:space="preserve"> </w:t>
            </w:r>
            <w:proofErr w:type="spellStart"/>
            <w:r w:rsidRPr="003F1F6C">
              <w:rPr>
                <w:rFonts w:ascii="Arial Narrow" w:hAnsi="Arial Narrow"/>
                <w:sz w:val="20"/>
                <w:lang w:val="en-US"/>
              </w:rPr>
              <w:t>lanreotide</w:t>
            </w:r>
            <w:proofErr w:type="spellEnd"/>
          </w:p>
        </w:tc>
      </w:tr>
      <w:tr w:rsidR="00303DB6" w:rsidRPr="003F1F6C" w:rsidTr="002C290B">
        <w:tc>
          <w:tcPr>
            <w:tcW w:w="640" w:type="pct"/>
            <w:shd w:val="clear" w:color="auto" w:fill="auto"/>
            <w:vAlign w:val="center"/>
          </w:tcPr>
          <w:p w:rsidR="00303DB6" w:rsidRPr="003F1F6C" w:rsidRDefault="00303DB6" w:rsidP="00C44233">
            <w:pPr>
              <w:keepNext/>
              <w:spacing w:before="40" w:after="40"/>
              <w:jc w:val="left"/>
              <w:rPr>
                <w:rFonts w:ascii="Arial Narrow" w:hAnsi="Arial Narrow"/>
                <w:sz w:val="20"/>
                <w:lang w:val="en-US"/>
              </w:rPr>
            </w:pPr>
            <w:r w:rsidRPr="003F1F6C">
              <w:rPr>
                <w:rFonts w:ascii="Arial Narrow" w:hAnsi="Arial Narrow"/>
                <w:sz w:val="20"/>
                <w:lang w:val="en-US"/>
              </w:rPr>
              <w:t>Post-progression treatment</w:t>
            </w:r>
          </w:p>
        </w:tc>
        <w:tc>
          <w:tcPr>
            <w:tcW w:w="3668" w:type="pct"/>
            <w:shd w:val="clear" w:color="auto" w:fill="auto"/>
            <w:vAlign w:val="center"/>
          </w:tcPr>
          <w:p w:rsidR="00F337EC" w:rsidRPr="00833A17" w:rsidRDefault="00303DB6" w:rsidP="00852CB7">
            <w:pPr>
              <w:keepNext/>
              <w:spacing w:before="40" w:after="40"/>
              <w:jc w:val="left"/>
              <w:rPr>
                <w:rFonts w:ascii="Arial Narrow" w:hAnsi="Arial Narrow"/>
                <w:sz w:val="20"/>
                <w:lang w:val="en-US"/>
              </w:rPr>
            </w:pPr>
            <w:r w:rsidRPr="00867FBA">
              <w:rPr>
                <w:rFonts w:ascii="Arial Narrow" w:hAnsi="Arial Narrow"/>
                <w:sz w:val="20"/>
                <w:lang w:val="en-US"/>
              </w:rPr>
              <w:t>The revised post-progression treatment costs are higher than in the November 2016 model.</w:t>
            </w:r>
          </w:p>
          <w:p w:rsidR="00F337EC" w:rsidRPr="00867FBA" w:rsidRDefault="00303DB6" w:rsidP="00BF31EB">
            <w:pPr>
              <w:pStyle w:val="ListParagraph"/>
              <w:keepNext/>
              <w:numPr>
                <w:ilvl w:val="0"/>
                <w:numId w:val="10"/>
              </w:numPr>
              <w:spacing w:before="40" w:after="40"/>
              <w:ind w:left="288" w:hanging="284"/>
              <w:jc w:val="left"/>
              <w:rPr>
                <w:rFonts w:ascii="Arial Narrow" w:hAnsi="Arial Narrow"/>
                <w:sz w:val="20"/>
                <w:lang w:val="en-US"/>
              </w:rPr>
            </w:pPr>
            <w:r w:rsidRPr="00833A17">
              <w:rPr>
                <w:rFonts w:ascii="Arial Narrow" w:hAnsi="Arial Narrow"/>
                <w:sz w:val="20"/>
                <w:lang w:val="en-US"/>
              </w:rPr>
              <w:t xml:space="preserve">It is unclear whether the post-progression treatment sequences and durations of treatment reflect the physician survey on which they are based, or clinical practice. </w:t>
            </w:r>
          </w:p>
          <w:p w:rsidR="00F337EC" w:rsidRPr="00867FBA" w:rsidRDefault="00303DB6" w:rsidP="00CE5B76">
            <w:pPr>
              <w:pStyle w:val="ListParagraph"/>
              <w:numPr>
                <w:ilvl w:val="0"/>
                <w:numId w:val="10"/>
              </w:numPr>
              <w:ind w:left="290" w:hanging="284"/>
              <w:rPr>
                <w:rFonts w:ascii="Arial Narrow" w:hAnsi="Arial Narrow"/>
                <w:sz w:val="20"/>
                <w:lang w:val="en-US"/>
              </w:rPr>
            </w:pPr>
            <w:r w:rsidRPr="00867FBA">
              <w:rPr>
                <w:rFonts w:ascii="Arial Narrow" w:hAnsi="Arial Narrow"/>
                <w:sz w:val="20"/>
                <w:lang w:val="en-US"/>
              </w:rPr>
              <w:t xml:space="preserve">Patients in the post-progression setting are assumed to be treated until death (10.3 and 14.6 years in the </w:t>
            </w:r>
            <w:proofErr w:type="spellStart"/>
            <w:r w:rsidRPr="00867FBA">
              <w:rPr>
                <w:rFonts w:ascii="Arial Narrow" w:hAnsi="Arial Narrow"/>
                <w:sz w:val="20"/>
                <w:lang w:val="en-US"/>
              </w:rPr>
              <w:t>lanreotide</w:t>
            </w:r>
            <w:proofErr w:type="spellEnd"/>
            <w:r w:rsidR="00745C3B" w:rsidRPr="00867FBA">
              <w:rPr>
                <w:rFonts w:ascii="Arial Narrow" w:hAnsi="Arial Narrow"/>
                <w:sz w:val="20"/>
                <w:lang w:val="en-US"/>
              </w:rPr>
              <w:t xml:space="preserve"> and placebo arms, respectively, includ</w:t>
            </w:r>
            <w:r w:rsidR="0009427A" w:rsidRPr="00867FBA">
              <w:rPr>
                <w:rFonts w:ascii="Arial Narrow" w:hAnsi="Arial Narrow"/>
                <w:sz w:val="20"/>
                <w:lang w:val="en-US"/>
              </w:rPr>
              <w:t>ing</w:t>
            </w:r>
            <w:r w:rsidR="00745C3B" w:rsidRPr="00867FBA">
              <w:rPr>
                <w:rFonts w:ascii="Arial Narrow" w:hAnsi="Arial Narrow"/>
                <w:sz w:val="20"/>
                <w:lang w:val="en-US"/>
              </w:rPr>
              <w:t xml:space="preserve"> last-line chemotherapy</w:t>
            </w:r>
            <w:r w:rsidR="0083311D" w:rsidRPr="00780E4D">
              <w:rPr>
                <w:rFonts w:ascii="Arial Narrow" w:hAnsi="Arial Narrow"/>
                <w:sz w:val="20"/>
                <w:lang w:val="en-US"/>
              </w:rPr>
              <w:t xml:space="preserve">, with or without </w:t>
            </w:r>
            <w:proofErr w:type="spellStart"/>
            <w:r w:rsidR="0083311D" w:rsidRPr="00780E4D">
              <w:rPr>
                <w:rFonts w:ascii="Arial Narrow" w:hAnsi="Arial Narrow"/>
                <w:sz w:val="20"/>
                <w:lang w:val="en-US"/>
              </w:rPr>
              <w:t>everolimus</w:t>
            </w:r>
            <w:proofErr w:type="spellEnd"/>
            <w:r w:rsidR="0083311D" w:rsidRPr="00780E4D">
              <w:rPr>
                <w:rFonts w:ascii="Arial Narrow" w:hAnsi="Arial Narrow"/>
                <w:sz w:val="20"/>
                <w:lang w:val="en-US"/>
              </w:rPr>
              <w:t>,</w:t>
            </w:r>
            <w:r w:rsidR="00745C3B" w:rsidRPr="00780E4D">
              <w:rPr>
                <w:rFonts w:ascii="Arial Narrow" w:hAnsi="Arial Narrow"/>
                <w:sz w:val="20"/>
                <w:lang w:val="en-US"/>
              </w:rPr>
              <w:t xml:space="preserve"> </w:t>
            </w:r>
            <w:r w:rsidR="00745C3B" w:rsidRPr="00867FBA">
              <w:rPr>
                <w:rFonts w:ascii="Arial Narrow" w:hAnsi="Arial Narrow"/>
                <w:sz w:val="20"/>
                <w:lang w:val="en-US"/>
              </w:rPr>
              <w:t xml:space="preserve">for 6.7 </w:t>
            </w:r>
            <w:r w:rsidR="00745C3B" w:rsidRPr="00803FC0">
              <w:rPr>
                <w:rFonts w:ascii="Arial Narrow" w:hAnsi="Arial Narrow"/>
                <w:sz w:val="20"/>
                <w:lang w:val="en-US"/>
              </w:rPr>
              <w:t>and 10.7 years).</w:t>
            </w:r>
            <w:r w:rsidR="00E84E9B" w:rsidRPr="00780E4D">
              <w:rPr>
                <w:rFonts w:ascii="Arial Narrow" w:hAnsi="Arial Narrow"/>
                <w:sz w:val="20"/>
                <w:lang w:val="en-US"/>
              </w:rPr>
              <w:t xml:space="preserve"> </w:t>
            </w:r>
          </w:p>
          <w:p w:rsidR="00B43A94" w:rsidRPr="00833A17" w:rsidRDefault="00B43A94" w:rsidP="00CE5B76">
            <w:pPr>
              <w:pStyle w:val="ListParagraph"/>
              <w:numPr>
                <w:ilvl w:val="0"/>
                <w:numId w:val="10"/>
              </w:numPr>
              <w:ind w:left="290" w:hanging="284"/>
              <w:rPr>
                <w:rFonts w:ascii="Arial Narrow" w:hAnsi="Arial Narrow"/>
                <w:sz w:val="20"/>
                <w:lang w:val="en-US"/>
              </w:rPr>
            </w:pPr>
            <w:r w:rsidRPr="00833A17">
              <w:rPr>
                <w:rFonts w:ascii="Arial Narrow" w:hAnsi="Arial Narrow"/>
                <w:sz w:val="20"/>
                <w:lang w:val="en-US"/>
              </w:rPr>
              <w:t xml:space="preserve">The inclusion of </w:t>
            </w:r>
            <w:proofErr w:type="spellStart"/>
            <w:r w:rsidRPr="00833A17">
              <w:rPr>
                <w:rFonts w:ascii="Arial Narrow" w:hAnsi="Arial Narrow"/>
                <w:sz w:val="20"/>
                <w:lang w:val="en-US"/>
              </w:rPr>
              <w:t>everolimus</w:t>
            </w:r>
            <w:proofErr w:type="spellEnd"/>
            <w:r w:rsidRPr="00833A17">
              <w:rPr>
                <w:rFonts w:ascii="Arial Narrow" w:hAnsi="Arial Narrow"/>
                <w:sz w:val="20"/>
                <w:lang w:val="en-US"/>
              </w:rPr>
              <w:t xml:space="preserve"> in post-progression treatment sequences substantially increased post-progression treatment costs and was not adequately justified in the resubmission.</w:t>
            </w:r>
          </w:p>
          <w:p w:rsidR="00D16FCF" w:rsidRPr="00867FBA" w:rsidRDefault="00303DB6" w:rsidP="00CE5B76">
            <w:pPr>
              <w:pStyle w:val="ListParagraph"/>
              <w:keepNext/>
              <w:numPr>
                <w:ilvl w:val="0"/>
                <w:numId w:val="10"/>
              </w:numPr>
              <w:spacing w:before="40" w:after="40"/>
              <w:ind w:left="288" w:hanging="284"/>
              <w:jc w:val="left"/>
              <w:rPr>
                <w:rFonts w:ascii="Arial Narrow" w:hAnsi="Arial Narrow"/>
                <w:sz w:val="20"/>
                <w:lang w:val="en-US"/>
              </w:rPr>
            </w:pPr>
            <w:r w:rsidRPr="00833A17">
              <w:rPr>
                <w:rFonts w:ascii="Arial Narrow" w:hAnsi="Arial Narrow"/>
                <w:sz w:val="20"/>
                <w:lang w:val="en-US"/>
              </w:rPr>
              <w:t xml:space="preserve">The weighted average cost for each arm is based on the time in the post-progression state, which is then applied to patients at the point of progression, double counting the differences between treatment arms in disease progression. </w:t>
            </w:r>
          </w:p>
          <w:p w:rsidR="00303DB6" w:rsidRPr="00867FBA" w:rsidRDefault="00303DB6" w:rsidP="00CE5B76">
            <w:pPr>
              <w:pStyle w:val="ListParagraph"/>
              <w:keepNext/>
              <w:numPr>
                <w:ilvl w:val="0"/>
                <w:numId w:val="10"/>
              </w:numPr>
              <w:spacing w:before="40" w:after="40"/>
              <w:ind w:left="288" w:hanging="284"/>
              <w:jc w:val="left"/>
              <w:rPr>
                <w:rFonts w:ascii="Arial Narrow" w:hAnsi="Arial Narrow"/>
                <w:sz w:val="20"/>
                <w:lang w:val="en-US"/>
              </w:rPr>
            </w:pPr>
            <w:r w:rsidRPr="00867FBA">
              <w:rPr>
                <w:rFonts w:ascii="Arial Narrow" w:hAnsi="Arial Narrow"/>
                <w:sz w:val="20"/>
                <w:lang w:val="en-US"/>
              </w:rPr>
              <w:t>The a</w:t>
            </w:r>
            <w:r w:rsidR="00D16FCF" w:rsidRPr="00867FBA">
              <w:rPr>
                <w:rFonts w:ascii="Arial Narrow" w:hAnsi="Arial Narrow"/>
                <w:sz w:val="20"/>
                <w:lang w:val="en-US"/>
              </w:rPr>
              <w:t xml:space="preserve">ssumed rates of post-progression </w:t>
            </w:r>
            <w:proofErr w:type="spellStart"/>
            <w:r w:rsidR="00D16FCF" w:rsidRPr="00867FBA">
              <w:rPr>
                <w:rFonts w:ascii="Arial Narrow" w:hAnsi="Arial Narrow"/>
                <w:sz w:val="20"/>
                <w:lang w:val="en-US"/>
              </w:rPr>
              <w:t>lanreotide</w:t>
            </w:r>
            <w:proofErr w:type="spellEnd"/>
            <w:r w:rsidR="00D16FCF" w:rsidRPr="00867FBA">
              <w:rPr>
                <w:rFonts w:ascii="Arial Narrow" w:hAnsi="Arial Narrow"/>
                <w:sz w:val="20"/>
                <w:lang w:val="en-US"/>
              </w:rPr>
              <w:t xml:space="preserve"> use were inadequately justified. The a</w:t>
            </w:r>
            <w:r w:rsidRPr="00867FBA">
              <w:rPr>
                <w:rFonts w:ascii="Arial Narrow" w:hAnsi="Arial Narrow"/>
                <w:sz w:val="20"/>
                <w:lang w:val="en-US"/>
              </w:rPr>
              <w:t xml:space="preserve">vailability of subsidised </w:t>
            </w:r>
            <w:proofErr w:type="spellStart"/>
            <w:r w:rsidRPr="00867FBA">
              <w:rPr>
                <w:rFonts w:ascii="Arial Narrow" w:hAnsi="Arial Narrow"/>
                <w:sz w:val="20"/>
                <w:lang w:val="en-US"/>
              </w:rPr>
              <w:t>lanreotide</w:t>
            </w:r>
            <w:proofErr w:type="spellEnd"/>
            <w:r w:rsidRPr="00867FBA">
              <w:rPr>
                <w:rFonts w:ascii="Arial Narrow" w:hAnsi="Arial Narrow"/>
                <w:sz w:val="20"/>
                <w:lang w:val="en-US"/>
              </w:rPr>
              <w:t xml:space="preserve"> as a post-progression treatment is likely to</w:t>
            </w:r>
            <w:r w:rsidR="00D16FCF" w:rsidRPr="00867FBA">
              <w:rPr>
                <w:rFonts w:ascii="Arial Narrow" w:hAnsi="Arial Narrow"/>
                <w:sz w:val="20"/>
                <w:lang w:val="en-US"/>
              </w:rPr>
              <w:t xml:space="preserve"> be substantially higher with </w:t>
            </w:r>
            <w:r w:rsidR="000C25C5" w:rsidRPr="00867FBA">
              <w:rPr>
                <w:rFonts w:ascii="Arial Narrow" w:hAnsi="Arial Narrow"/>
                <w:sz w:val="20"/>
                <w:lang w:val="en-US"/>
              </w:rPr>
              <w:t>subsidis</w:t>
            </w:r>
            <w:r w:rsidR="00D16FCF" w:rsidRPr="00867FBA">
              <w:rPr>
                <w:rFonts w:ascii="Arial Narrow" w:hAnsi="Arial Narrow"/>
                <w:sz w:val="20"/>
                <w:lang w:val="en-US"/>
              </w:rPr>
              <w:t>ed access to treatment through the PBS.</w:t>
            </w:r>
          </w:p>
        </w:tc>
        <w:tc>
          <w:tcPr>
            <w:tcW w:w="692" w:type="pct"/>
            <w:shd w:val="clear" w:color="auto" w:fill="auto"/>
            <w:vAlign w:val="center"/>
          </w:tcPr>
          <w:p w:rsidR="00303DB6" w:rsidRPr="003F1F6C" w:rsidRDefault="00303DB6" w:rsidP="00CE5B76">
            <w:pPr>
              <w:keepNext/>
              <w:spacing w:before="40" w:after="40"/>
              <w:jc w:val="center"/>
              <w:rPr>
                <w:rFonts w:ascii="Arial Narrow" w:hAnsi="Arial Narrow"/>
                <w:sz w:val="20"/>
                <w:lang w:val="en-US"/>
              </w:rPr>
            </w:pPr>
            <w:r w:rsidRPr="003F1F6C">
              <w:rPr>
                <w:rFonts w:ascii="Arial Narrow" w:hAnsi="Arial Narrow"/>
                <w:sz w:val="20"/>
                <w:lang w:val="en-US"/>
              </w:rPr>
              <w:t xml:space="preserve">High, </w:t>
            </w:r>
          </w:p>
          <w:p w:rsidR="00303DB6" w:rsidRPr="003F1F6C" w:rsidRDefault="00303DB6" w:rsidP="00CE5B76">
            <w:pPr>
              <w:keepNext/>
              <w:spacing w:before="40" w:after="40"/>
              <w:jc w:val="center"/>
              <w:rPr>
                <w:rFonts w:ascii="Arial Narrow" w:hAnsi="Arial Narrow"/>
                <w:sz w:val="20"/>
                <w:lang w:val="en-US"/>
              </w:rPr>
            </w:pPr>
            <w:proofErr w:type="spellStart"/>
            <w:r w:rsidRPr="003F1F6C">
              <w:rPr>
                <w:rFonts w:ascii="Arial Narrow" w:hAnsi="Arial Narrow"/>
                <w:sz w:val="20"/>
                <w:lang w:val="en-US"/>
              </w:rPr>
              <w:t>favours</w:t>
            </w:r>
            <w:proofErr w:type="spellEnd"/>
            <w:r w:rsidRPr="003F1F6C">
              <w:rPr>
                <w:rFonts w:ascii="Arial Narrow" w:hAnsi="Arial Narrow"/>
                <w:sz w:val="20"/>
                <w:lang w:val="en-US"/>
              </w:rPr>
              <w:t xml:space="preserve"> </w:t>
            </w:r>
            <w:proofErr w:type="spellStart"/>
            <w:r w:rsidRPr="003F1F6C">
              <w:rPr>
                <w:rFonts w:ascii="Arial Narrow" w:hAnsi="Arial Narrow"/>
                <w:sz w:val="20"/>
                <w:lang w:val="en-US"/>
              </w:rPr>
              <w:t>lanreotide</w:t>
            </w:r>
            <w:proofErr w:type="spellEnd"/>
          </w:p>
        </w:tc>
      </w:tr>
      <w:tr w:rsidR="00303DB6" w:rsidRPr="003F1F6C" w:rsidTr="002C290B">
        <w:tc>
          <w:tcPr>
            <w:tcW w:w="640" w:type="pct"/>
            <w:shd w:val="clear" w:color="auto" w:fill="auto"/>
            <w:vAlign w:val="center"/>
          </w:tcPr>
          <w:p w:rsidR="00303DB6" w:rsidRPr="003F1F6C" w:rsidRDefault="00303DB6" w:rsidP="00C44233">
            <w:pPr>
              <w:keepNext/>
              <w:spacing w:before="40" w:after="40"/>
              <w:jc w:val="left"/>
              <w:rPr>
                <w:rFonts w:ascii="Arial Narrow" w:hAnsi="Arial Narrow"/>
                <w:sz w:val="20"/>
                <w:lang w:val="en-US"/>
              </w:rPr>
            </w:pPr>
            <w:r w:rsidRPr="003F1F6C">
              <w:rPr>
                <w:rFonts w:ascii="Arial Narrow" w:hAnsi="Arial Narrow"/>
                <w:sz w:val="20"/>
                <w:lang w:val="en-US"/>
              </w:rPr>
              <w:t>Utility values</w:t>
            </w:r>
          </w:p>
        </w:tc>
        <w:tc>
          <w:tcPr>
            <w:tcW w:w="3668" w:type="pct"/>
            <w:shd w:val="clear" w:color="auto" w:fill="auto"/>
            <w:vAlign w:val="center"/>
          </w:tcPr>
          <w:p w:rsidR="00D57A63" w:rsidRPr="00867FBA" w:rsidRDefault="00B13C86" w:rsidP="00852CB7">
            <w:pPr>
              <w:keepNext/>
              <w:spacing w:before="40" w:after="40"/>
              <w:jc w:val="left"/>
              <w:rPr>
                <w:rFonts w:ascii="Arial Narrow" w:hAnsi="Arial Narrow"/>
                <w:sz w:val="20"/>
                <w:lang w:val="en-US"/>
              </w:rPr>
            </w:pPr>
            <w:r w:rsidRPr="00D16D51">
              <w:rPr>
                <w:rFonts w:ascii="Arial Narrow" w:hAnsi="Arial Narrow"/>
                <w:sz w:val="20"/>
                <w:szCs w:val="20"/>
                <w:lang w:val="en-US"/>
              </w:rPr>
              <w:t>As per the previous resubmission,</w:t>
            </w:r>
            <w:r w:rsidRPr="00867FBA">
              <w:rPr>
                <w:rFonts w:ascii="Arial Narrow" w:hAnsi="Arial Narrow"/>
                <w:sz w:val="20"/>
                <w:szCs w:val="20"/>
                <w:lang w:val="en-US"/>
              </w:rPr>
              <w:t xml:space="preserve"> t</w:t>
            </w:r>
            <w:r w:rsidRPr="00803FC0">
              <w:rPr>
                <w:rFonts w:ascii="Arial Narrow" w:hAnsi="Arial Narrow"/>
                <w:sz w:val="20"/>
                <w:szCs w:val="20"/>
                <w:lang w:val="en-US"/>
              </w:rPr>
              <w:t xml:space="preserve">he </w:t>
            </w:r>
            <w:r w:rsidR="00D57A63" w:rsidRPr="00803FC0">
              <w:rPr>
                <w:rFonts w:ascii="Arial Narrow" w:hAnsi="Arial Narrow"/>
                <w:sz w:val="20"/>
                <w:szCs w:val="20"/>
                <w:lang w:val="en-US"/>
              </w:rPr>
              <w:t>model used utilities sourced from a published utility study</w:t>
            </w:r>
            <w:r w:rsidRPr="00803FC0">
              <w:rPr>
                <w:rFonts w:ascii="Arial Narrow" w:hAnsi="Arial Narrow"/>
                <w:sz w:val="20"/>
                <w:szCs w:val="20"/>
                <w:lang w:val="en-US"/>
              </w:rPr>
              <w:t xml:space="preserve"> </w:t>
            </w:r>
            <w:r w:rsidRPr="00D16D51">
              <w:rPr>
                <w:rFonts w:ascii="Arial Narrow" w:hAnsi="Arial Narrow"/>
                <w:sz w:val="20"/>
                <w:lang w:val="en-US"/>
              </w:rPr>
              <w:t>(</w:t>
            </w:r>
            <w:proofErr w:type="spellStart"/>
            <w:r w:rsidRPr="00D16D51">
              <w:rPr>
                <w:rFonts w:ascii="Arial Narrow" w:hAnsi="Arial Narrow"/>
                <w:sz w:val="20"/>
                <w:lang w:val="en-US"/>
              </w:rPr>
              <w:t>Swinburn</w:t>
            </w:r>
            <w:proofErr w:type="spellEnd"/>
            <w:r w:rsidRPr="00D16D51">
              <w:rPr>
                <w:rFonts w:ascii="Arial Narrow" w:hAnsi="Arial Narrow"/>
                <w:sz w:val="20"/>
                <w:lang w:val="en-US"/>
              </w:rPr>
              <w:t xml:space="preserve"> et al 2012)</w:t>
            </w:r>
            <w:r w:rsidRPr="00867FBA">
              <w:rPr>
                <w:rFonts w:ascii="Arial Narrow" w:hAnsi="Arial Narrow"/>
                <w:sz w:val="20"/>
                <w:lang w:val="en-US"/>
              </w:rPr>
              <w:t>.</w:t>
            </w:r>
            <w:r w:rsidR="00D57A63" w:rsidRPr="00803FC0">
              <w:rPr>
                <w:rFonts w:ascii="Arial Narrow" w:hAnsi="Arial Narrow"/>
                <w:sz w:val="20"/>
                <w:szCs w:val="20"/>
                <w:lang w:val="en-US"/>
              </w:rPr>
              <w:t xml:space="preserve"> </w:t>
            </w:r>
            <w:r w:rsidR="00D57A63" w:rsidRPr="00803FC0">
              <w:rPr>
                <w:rFonts w:ascii="Arial Narrow" w:hAnsi="Arial Narrow"/>
                <w:iCs/>
                <w:sz w:val="20"/>
                <w:szCs w:val="20"/>
                <w:lang w:val="en-US"/>
              </w:rPr>
              <w:t>The applicability of these values to the model was unclear due the limited documentation available. The disutility of progression (-0.159) was not consistent with the trial, which show</w:t>
            </w:r>
            <w:r w:rsidR="00D57A63" w:rsidRPr="00833A17">
              <w:rPr>
                <w:rFonts w:ascii="Arial Narrow" w:hAnsi="Arial Narrow"/>
                <w:iCs/>
                <w:sz w:val="20"/>
                <w:szCs w:val="20"/>
                <w:lang w:val="en-US"/>
              </w:rPr>
              <w:t xml:space="preserve">ed no difference in quality of life between treatments, despite the difference in progression free survival. Although post-hoc analyses suggested that disease progression may be accompanied with impairment in quality of life, the change in quality of life with disease progression was relatively modest compared </w:t>
            </w:r>
            <w:r w:rsidR="003572BA" w:rsidRPr="00833A17">
              <w:rPr>
                <w:rFonts w:ascii="Arial Narrow" w:hAnsi="Arial Narrow"/>
                <w:iCs/>
                <w:sz w:val="20"/>
                <w:szCs w:val="20"/>
                <w:lang w:val="en-US"/>
              </w:rPr>
              <w:t>with</w:t>
            </w:r>
            <w:r w:rsidR="003572BA" w:rsidRPr="00867FBA">
              <w:rPr>
                <w:rFonts w:ascii="Arial Narrow" w:hAnsi="Arial Narrow"/>
                <w:iCs/>
                <w:sz w:val="20"/>
                <w:szCs w:val="20"/>
                <w:lang w:val="en-US"/>
              </w:rPr>
              <w:t xml:space="preserve"> </w:t>
            </w:r>
            <w:r w:rsidR="00D57A63" w:rsidRPr="00867FBA">
              <w:rPr>
                <w:rFonts w:ascii="Arial Narrow" w:hAnsi="Arial Narrow"/>
                <w:iCs/>
                <w:sz w:val="20"/>
                <w:szCs w:val="20"/>
                <w:lang w:val="en-US"/>
              </w:rPr>
              <w:t>baseline values. Mapping from QLQ-C30 scores to utilities resulted in a similar utility to the published utility for the pre-progression state. The submission did not attempt to map both the pre- and post-progression health states (and therefore the change between states), as was previously requested by ESC (ESC Advice to the November 2015 and November 2016 PBAC meetings).</w:t>
            </w:r>
          </w:p>
        </w:tc>
        <w:tc>
          <w:tcPr>
            <w:tcW w:w="692" w:type="pct"/>
            <w:shd w:val="clear" w:color="auto" w:fill="auto"/>
            <w:vAlign w:val="center"/>
          </w:tcPr>
          <w:p w:rsidR="00303DB6" w:rsidRPr="003F1F6C" w:rsidRDefault="00303DB6" w:rsidP="00BF31EB">
            <w:pPr>
              <w:keepNext/>
              <w:spacing w:before="40" w:after="40"/>
              <w:jc w:val="center"/>
              <w:rPr>
                <w:rFonts w:ascii="Arial Narrow" w:hAnsi="Arial Narrow"/>
                <w:sz w:val="20"/>
                <w:lang w:val="en-US"/>
              </w:rPr>
            </w:pPr>
            <w:r w:rsidRPr="003F1F6C">
              <w:rPr>
                <w:rFonts w:ascii="Arial Narrow" w:hAnsi="Arial Narrow"/>
                <w:sz w:val="20"/>
                <w:lang w:val="en-US"/>
              </w:rPr>
              <w:t xml:space="preserve">High, </w:t>
            </w:r>
          </w:p>
          <w:p w:rsidR="00303DB6" w:rsidRPr="003F1F6C" w:rsidRDefault="00303DB6" w:rsidP="00CE5B76">
            <w:pPr>
              <w:keepNext/>
              <w:spacing w:before="40" w:after="40"/>
              <w:jc w:val="center"/>
              <w:rPr>
                <w:rFonts w:ascii="Arial Narrow" w:hAnsi="Arial Narrow"/>
                <w:sz w:val="20"/>
                <w:lang w:val="en-US"/>
              </w:rPr>
            </w:pPr>
            <w:proofErr w:type="spellStart"/>
            <w:r w:rsidRPr="003F1F6C">
              <w:rPr>
                <w:rFonts w:ascii="Arial Narrow" w:hAnsi="Arial Narrow"/>
                <w:sz w:val="20"/>
                <w:lang w:val="en-US"/>
              </w:rPr>
              <w:t>favours</w:t>
            </w:r>
            <w:proofErr w:type="spellEnd"/>
            <w:r w:rsidRPr="003F1F6C">
              <w:rPr>
                <w:rFonts w:ascii="Arial Narrow" w:hAnsi="Arial Narrow"/>
                <w:sz w:val="20"/>
                <w:lang w:val="en-US"/>
              </w:rPr>
              <w:t xml:space="preserve"> </w:t>
            </w:r>
            <w:proofErr w:type="spellStart"/>
            <w:r w:rsidRPr="003F1F6C">
              <w:rPr>
                <w:rFonts w:ascii="Arial Narrow" w:hAnsi="Arial Narrow"/>
                <w:sz w:val="20"/>
                <w:lang w:val="en-US"/>
              </w:rPr>
              <w:t>lanreotide</w:t>
            </w:r>
            <w:proofErr w:type="spellEnd"/>
          </w:p>
        </w:tc>
      </w:tr>
    </w:tbl>
    <w:p w:rsidR="00D16FCF" w:rsidRPr="003F1F6C" w:rsidRDefault="00EB139A" w:rsidP="00780E4D">
      <w:pPr>
        <w:pStyle w:val="TableFooter"/>
        <w:widowControl/>
      </w:pPr>
      <w:r w:rsidRPr="003F1F6C">
        <w:t>Source: Constructed during the evaluation.</w:t>
      </w:r>
    </w:p>
    <w:p w:rsidR="00B13C86" w:rsidRPr="000D028E" w:rsidRDefault="00E87082" w:rsidP="00C44233">
      <w:pPr>
        <w:pStyle w:val="ESnumberedpara"/>
        <w:ind w:left="567" w:hanging="567"/>
      </w:pPr>
      <w:r w:rsidRPr="000D028E">
        <w:t xml:space="preserve">The ESC noted that the economic model structure </w:t>
      </w:r>
      <w:r w:rsidR="006C1F65" w:rsidRPr="000D028E">
        <w:t>was</w:t>
      </w:r>
      <w:r w:rsidRPr="000D028E">
        <w:t xml:space="preserve"> unchanged from the </w:t>
      </w:r>
      <w:r w:rsidR="00B75A84" w:rsidRPr="000D028E">
        <w:t>November 2016 submission</w:t>
      </w:r>
      <w:r w:rsidR="006C1F65" w:rsidRPr="000D028E">
        <w:t xml:space="preserve">. </w:t>
      </w:r>
      <w:r w:rsidR="007D0522" w:rsidRPr="000D028E">
        <w:t xml:space="preserve">The </w:t>
      </w:r>
      <w:r w:rsidR="006C1F65" w:rsidRPr="000D028E">
        <w:t>model</w:t>
      </w:r>
      <w:r w:rsidR="00B75A84" w:rsidRPr="000D028E">
        <w:t xml:space="preserve"> </w:t>
      </w:r>
      <w:r w:rsidR="006C1F65" w:rsidRPr="000D028E">
        <w:t xml:space="preserve">simplified the underlying disease/treatment process which, given </w:t>
      </w:r>
      <w:r w:rsidR="00B75A84" w:rsidRPr="000D028E">
        <w:t>the indolent nature of the disease</w:t>
      </w:r>
      <w:r w:rsidR="006C1F65" w:rsidRPr="000D028E">
        <w:t xml:space="preserve"> and multiple lines of therapy, </w:t>
      </w:r>
      <w:r w:rsidR="00B75A84" w:rsidRPr="000D028E">
        <w:t xml:space="preserve">likely involves multiple periods of stable disease interspersed with disease progression events. </w:t>
      </w:r>
    </w:p>
    <w:p w:rsidR="007372C6" w:rsidRPr="000D028E" w:rsidRDefault="002B0F1E" w:rsidP="00852CB7">
      <w:pPr>
        <w:pStyle w:val="ESnumberedpara"/>
        <w:ind w:left="567" w:hanging="567"/>
      </w:pPr>
      <w:r w:rsidRPr="000D028E">
        <w:t xml:space="preserve">The ESC noted that the resubmission presented the same predicted estimates of </w:t>
      </w:r>
      <w:r w:rsidR="00803FC0">
        <w:t>OS</w:t>
      </w:r>
      <w:r w:rsidRPr="000D028E">
        <w:t xml:space="preserve"> (extrapolated based on a </w:t>
      </w:r>
      <w:proofErr w:type="spellStart"/>
      <w:r w:rsidRPr="000D028E">
        <w:t>Gompertz</w:t>
      </w:r>
      <w:proofErr w:type="spellEnd"/>
      <w:r w:rsidRPr="000D028E">
        <w:t xml:space="preserve"> function fitted to the CLARINET trial data) as the November 2016 resubmission. The extrapolated survival was substantially higher than the estimated survival from the CLARINET extension study (time to 75th percentile survival in the </w:t>
      </w:r>
      <w:proofErr w:type="spellStart"/>
      <w:r w:rsidRPr="000D028E">
        <w:t>lanreotide</w:t>
      </w:r>
      <w:proofErr w:type="spellEnd"/>
      <w:r w:rsidRPr="000D028E">
        <w:t xml:space="preserve"> arm was 14 years from the extrapolation v</w:t>
      </w:r>
      <w:r w:rsidR="00755AE8" w:rsidRPr="000D028E">
        <w:t>er</w:t>
      </w:r>
      <w:r w:rsidRPr="000D028E">
        <w:t>s</w:t>
      </w:r>
      <w:r w:rsidR="00755AE8" w:rsidRPr="000D028E">
        <w:t>us</w:t>
      </w:r>
      <w:r w:rsidRPr="000D028E">
        <w:t xml:space="preserve"> 4 years from the CLARINET extension data) which favour</w:t>
      </w:r>
      <w:r w:rsidR="00C5427F" w:rsidRPr="000D028E">
        <w:t>ed</w:t>
      </w:r>
      <w:r w:rsidRPr="000D028E">
        <w:t xml:space="preserve"> </w:t>
      </w:r>
      <w:proofErr w:type="spellStart"/>
      <w:r w:rsidRPr="000D028E">
        <w:t>lanreotide</w:t>
      </w:r>
      <w:proofErr w:type="spellEnd"/>
      <w:r w:rsidRPr="000D028E">
        <w:t xml:space="preserve">. </w:t>
      </w:r>
      <w:r w:rsidR="00891469" w:rsidRPr="000D028E">
        <w:t>T</w:t>
      </w:r>
      <w:r w:rsidRPr="000D028E">
        <w:t xml:space="preserve">he resubmission also presented a supplementary analysis which extrapolated </w:t>
      </w:r>
      <w:r w:rsidR="00803FC0">
        <w:t>OS</w:t>
      </w:r>
      <w:r w:rsidRPr="000D028E">
        <w:t xml:space="preserve"> using epidemiology data from Yao et al., 2008. The </w:t>
      </w:r>
      <w:r w:rsidR="00891469" w:rsidRPr="000D028E">
        <w:t>evaluation</w:t>
      </w:r>
      <w:r w:rsidRPr="000D028E">
        <w:t xml:space="preserve"> considered the applicability of this analysis to the CLARINET trial and Australian population to be unclear noting that the Yao et al., 2008 study included all NET types, </w:t>
      </w:r>
      <w:r w:rsidR="007372C6" w:rsidRPr="000D028E">
        <w:t xml:space="preserve">and may not accurately reflect </w:t>
      </w:r>
      <w:r w:rsidR="00803FC0">
        <w:t>OS</w:t>
      </w:r>
      <w:r w:rsidR="007372C6" w:rsidRPr="000D028E">
        <w:t xml:space="preserve"> of GEP-NETs, given that prognosis varies by tumour origin. Overall, the ESC considered that the data used to extrapolate survival remained limited and was a major source of uncertainty in the economic model.</w:t>
      </w:r>
    </w:p>
    <w:p w:rsidR="00AB271A" w:rsidRPr="002C290B" w:rsidRDefault="00AB271A" w:rsidP="00852CB7">
      <w:pPr>
        <w:pStyle w:val="ESnumberedpara"/>
        <w:ind w:left="567" w:hanging="567"/>
      </w:pPr>
      <w:r w:rsidRPr="002C290B">
        <w:t>Health state utility values</w:t>
      </w:r>
      <w:r w:rsidR="00631F7E" w:rsidRPr="002C290B">
        <w:t xml:space="preserve"> (</w:t>
      </w:r>
      <w:r w:rsidR="00EA5EDC" w:rsidRPr="002C290B">
        <w:t xml:space="preserve">of </w:t>
      </w:r>
      <w:r w:rsidR="00631F7E" w:rsidRPr="002C290B">
        <w:t>0.771 for stable disease and 0.612 for progressive disease)</w:t>
      </w:r>
      <w:r w:rsidRPr="002C290B">
        <w:t xml:space="preserve"> applied in the model were based on a published utility study (</w:t>
      </w:r>
      <w:proofErr w:type="spellStart"/>
      <w:r w:rsidRPr="002C290B">
        <w:t>Swinburn</w:t>
      </w:r>
      <w:proofErr w:type="spellEnd"/>
      <w:r w:rsidRPr="002C290B">
        <w:t xml:space="preserve"> et al., 2012)</w:t>
      </w:r>
      <w:r w:rsidR="00631F7E" w:rsidRPr="002C290B">
        <w:t xml:space="preserve">, and were unchanged from the November 2016 </w:t>
      </w:r>
      <w:r w:rsidR="0059228A" w:rsidRPr="002C290B">
        <w:t xml:space="preserve">and November 2015 </w:t>
      </w:r>
      <w:r w:rsidR="00631F7E" w:rsidRPr="002C290B">
        <w:t>submission</w:t>
      </w:r>
      <w:r w:rsidR="0059228A" w:rsidRPr="002C290B">
        <w:t>s</w:t>
      </w:r>
      <w:r w:rsidR="00631F7E" w:rsidRPr="002C290B">
        <w:t xml:space="preserve">. The ESC previously noted that the post-hoc analyses of the CLARINET trial suggested some impairment of </w:t>
      </w:r>
      <w:r w:rsidR="0059228A" w:rsidRPr="002C290B">
        <w:t>quality</w:t>
      </w:r>
      <w:r w:rsidR="00631F7E" w:rsidRPr="002C290B">
        <w:t xml:space="preserve"> </w:t>
      </w:r>
      <w:r w:rsidR="0059228A" w:rsidRPr="002C290B">
        <w:t xml:space="preserve">of life </w:t>
      </w:r>
      <w:r w:rsidR="00631F7E" w:rsidRPr="002C290B">
        <w:t>with disease progression</w:t>
      </w:r>
      <w:r w:rsidR="00EA5EDC" w:rsidRPr="002C290B">
        <w:t>.</w:t>
      </w:r>
      <w:r w:rsidR="00631F7E" w:rsidRPr="002C290B">
        <w:t xml:space="preserve"> </w:t>
      </w:r>
      <w:r w:rsidR="00EA5EDC" w:rsidRPr="002C290B">
        <w:t xml:space="preserve">However, </w:t>
      </w:r>
      <w:r w:rsidR="00631F7E" w:rsidRPr="00936D42">
        <w:t>the large utility loss associated with progression</w:t>
      </w:r>
      <w:r w:rsidR="001C1446" w:rsidRPr="00936D42">
        <w:t xml:space="preserve"> </w:t>
      </w:r>
      <w:r w:rsidR="00EA5EDC" w:rsidRPr="00936D42">
        <w:t>applied</w:t>
      </w:r>
      <w:r w:rsidR="00631F7E" w:rsidRPr="00936D42">
        <w:t xml:space="preserve"> in the model did not appear to be consistent with the results of the CLARINET trial</w:t>
      </w:r>
      <w:r w:rsidR="00EA5EDC" w:rsidRPr="00936D42">
        <w:t xml:space="preserve"> which showed no difference in quality of life between p</w:t>
      </w:r>
      <w:r w:rsidR="00C86BDD" w:rsidRPr="00936D42">
        <w:t xml:space="preserve">atients treated with </w:t>
      </w:r>
      <w:proofErr w:type="spellStart"/>
      <w:r w:rsidR="00C86BDD" w:rsidRPr="00936D42">
        <w:t>lanreotid</w:t>
      </w:r>
      <w:r w:rsidR="00EA5EDC" w:rsidRPr="00936D42">
        <w:t>e</w:t>
      </w:r>
      <w:proofErr w:type="spellEnd"/>
      <w:r w:rsidR="00EA5EDC" w:rsidRPr="00936D42">
        <w:t xml:space="preserve"> and placebo, despite a substantial difference in PFS between treatment arms</w:t>
      </w:r>
      <w:r w:rsidR="00631F7E" w:rsidRPr="00936D42">
        <w:t>.</w:t>
      </w:r>
      <w:r w:rsidR="005B0A07" w:rsidRPr="00936D42">
        <w:t xml:space="preserve"> Further, there were no statistically significant differences in pre-progression and post-progression utility values using the </w:t>
      </w:r>
      <w:r w:rsidR="00C86BDD" w:rsidRPr="00936D42">
        <w:t xml:space="preserve">disease specific </w:t>
      </w:r>
      <w:r w:rsidR="005B0A07" w:rsidRPr="00936D42">
        <w:t xml:space="preserve">EORTC QLQ-G.I.NET21 instrument in the CLARINET trial population. </w:t>
      </w:r>
      <w:r w:rsidR="006A3849" w:rsidRPr="002C290B">
        <w:t>The ESC previously considered that it would have been more appropriate to transform the general EORTC QLQ-C30 cancer instrument CLARINET trial results into EQ</w:t>
      </w:r>
      <w:r w:rsidR="006A3849" w:rsidRPr="002C290B">
        <w:noBreakHyphen/>
        <w:t xml:space="preserve">5D values for stable and progressive disease </w:t>
      </w:r>
      <w:r w:rsidR="00EA5EDC" w:rsidRPr="00936D42">
        <w:t>(paragraph 6.37, November 2016 PSD)</w:t>
      </w:r>
      <w:r w:rsidR="006A3849" w:rsidRPr="00936D42">
        <w:t>.</w:t>
      </w:r>
      <w:r w:rsidR="00EA5EDC" w:rsidRPr="00936D42">
        <w:t xml:space="preserve"> </w:t>
      </w:r>
      <w:r w:rsidR="006A3849" w:rsidRPr="00936D42">
        <w:t>T</w:t>
      </w:r>
      <w:r w:rsidR="005B0A07" w:rsidRPr="00936D42">
        <w:t xml:space="preserve">he </w:t>
      </w:r>
      <w:r w:rsidR="00EA5EDC" w:rsidRPr="00936D42">
        <w:t xml:space="preserve">current </w:t>
      </w:r>
      <w:r w:rsidR="005B0A07" w:rsidRPr="00936D42">
        <w:t xml:space="preserve">resubmission mapped the </w:t>
      </w:r>
      <w:r w:rsidR="0090528E" w:rsidRPr="00936D42">
        <w:t xml:space="preserve">EORTC </w:t>
      </w:r>
      <w:r w:rsidR="005B0A07" w:rsidRPr="00936D42">
        <w:t xml:space="preserve">QLQ-C30 </w:t>
      </w:r>
      <w:r w:rsidR="00C86BDD" w:rsidRPr="00936D42">
        <w:t xml:space="preserve">CLARINET </w:t>
      </w:r>
      <w:r w:rsidR="006A3849" w:rsidRPr="00936D42">
        <w:t xml:space="preserve">trial results </w:t>
      </w:r>
      <w:r w:rsidR="005B0A07" w:rsidRPr="00936D42">
        <w:t>to the QLU</w:t>
      </w:r>
      <w:r w:rsidR="00C86BDD" w:rsidRPr="00936D42">
        <w:noBreakHyphen/>
      </w:r>
      <w:r w:rsidR="005B0A07" w:rsidRPr="00936D42">
        <w:t>C10D cancer-specific health state classification system</w:t>
      </w:r>
      <w:r w:rsidR="00700B82" w:rsidRPr="00936D42">
        <w:t xml:space="preserve"> using the methodology outlined by King et al., 2016 and subsequently applied the results of an Australian valuation study by Norman et al., 2016 to derive utility values from the QLU-C10D scores.</w:t>
      </w:r>
      <w:r w:rsidR="00EA5EDC" w:rsidRPr="00936D42">
        <w:t xml:space="preserve"> However, t</w:t>
      </w:r>
      <w:r w:rsidR="00700B82" w:rsidRPr="00936D42">
        <w:t>he ESC noted that</w:t>
      </w:r>
      <w:r w:rsidR="00C25872" w:rsidRPr="00936D42">
        <w:t xml:space="preserve"> the QLQ-C30 results were only mapped for patients with stable disease</w:t>
      </w:r>
      <w:r w:rsidR="00240F70" w:rsidRPr="00936D42">
        <w:t>,</w:t>
      </w:r>
      <w:r w:rsidR="00C25872" w:rsidRPr="00936D42">
        <w:t xml:space="preserve"> </w:t>
      </w:r>
      <w:r w:rsidR="0090528E" w:rsidRPr="00936D42">
        <w:t xml:space="preserve">despite the ESC’s previous advice that it would be appropriate to </w:t>
      </w:r>
      <w:r w:rsidR="00EA5EDC" w:rsidRPr="00936D42">
        <w:t xml:space="preserve">also </w:t>
      </w:r>
      <w:r w:rsidR="0090528E" w:rsidRPr="00936D42">
        <w:t xml:space="preserve">map the results for progressive disease. </w:t>
      </w:r>
      <w:r w:rsidR="00EA5EDC" w:rsidRPr="002C290B">
        <w:t xml:space="preserve">The ESC noted that the estimated utility for the stable disease state based on the pooled sample of respondents’ valuations </w:t>
      </w:r>
      <w:r w:rsidR="00C30E3E">
        <w:t>of</w:t>
      </w:r>
      <w:r w:rsidR="00EA5EDC" w:rsidRPr="002C290B">
        <w:t xml:space="preserve"> 0.74 was comparable with the value used in the model (of 0.771). However,</w:t>
      </w:r>
      <w:r w:rsidR="00EA5EDC" w:rsidRPr="00936D42">
        <w:t xml:space="preserve"> t</w:t>
      </w:r>
      <w:r w:rsidR="0090528E" w:rsidRPr="00936D42">
        <w:t xml:space="preserve">he ESC considered that the utility value </w:t>
      </w:r>
      <w:r w:rsidR="00C86BDD" w:rsidRPr="00936D42">
        <w:t xml:space="preserve">for progressive disease </w:t>
      </w:r>
      <w:r w:rsidR="007D0522" w:rsidRPr="00936D42">
        <w:t xml:space="preserve">(and therefore the change between health states) </w:t>
      </w:r>
      <w:r w:rsidR="0090528E" w:rsidRPr="00936D42">
        <w:t>used in the model remain</w:t>
      </w:r>
      <w:r w:rsidR="00EA5EDC" w:rsidRPr="00936D42">
        <w:t>ed</w:t>
      </w:r>
      <w:r w:rsidR="0090528E" w:rsidRPr="00936D42">
        <w:t xml:space="preserve"> </w:t>
      </w:r>
      <w:r w:rsidR="00E02651" w:rsidRPr="00936D42">
        <w:t>poorly supported</w:t>
      </w:r>
      <w:r w:rsidR="0090528E" w:rsidRPr="00936D42">
        <w:t xml:space="preserve">. </w:t>
      </w:r>
    </w:p>
    <w:p w:rsidR="00D16FCF" w:rsidRPr="003F1F6C" w:rsidRDefault="00D16FCF" w:rsidP="00BF31EB">
      <w:pPr>
        <w:pStyle w:val="ESnumberedpara"/>
        <w:ind w:left="567" w:hanging="567"/>
      </w:pPr>
      <w:r w:rsidRPr="003F1F6C">
        <w:t xml:space="preserve">The results of the modelled economic evaluation, corrected for errors identified during the evaluation </w:t>
      </w:r>
      <w:r w:rsidR="00466520" w:rsidRPr="003F1F6C">
        <w:t xml:space="preserve">(an error in the application of </w:t>
      </w:r>
      <w:proofErr w:type="spellStart"/>
      <w:r w:rsidR="00466520" w:rsidRPr="003F1F6C">
        <w:t>lanreotide</w:t>
      </w:r>
      <w:proofErr w:type="spellEnd"/>
      <w:r w:rsidR="00466520" w:rsidRPr="003F1F6C">
        <w:t xml:space="preserve"> compliance and other minor errors) </w:t>
      </w:r>
      <w:r w:rsidRPr="003F1F6C">
        <w:t>are summarised in Table 8.</w:t>
      </w:r>
    </w:p>
    <w:p w:rsidR="0097752E" w:rsidRDefault="0097752E" w:rsidP="0097752E">
      <w:pPr>
        <w:pStyle w:val="Caption"/>
      </w:pPr>
      <w:r>
        <w:t xml:space="preserve">Table </w:t>
      </w:r>
      <w:r>
        <w:rPr>
          <w:noProof/>
        </w:rPr>
        <w:t>8</w:t>
      </w:r>
      <w:r w:rsidRPr="00A7468D">
        <w:t>: Results of the modelled economic evaluation (corrected)</w:t>
      </w:r>
    </w:p>
    <w:tbl>
      <w:tblPr>
        <w:tblStyle w:val="TableGridbeth1"/>
        <w:tblW w:w="5000" w:type="pct"/>
        <w:tblLook w:val="04A0" w:firstRow="1" w:lastRow="0" w:firstColumn="1" w:lastColumn="0" w:noHBand="0" w:noVBand="1"/>
        <w:tblCaption w:val="Results of the modelled economic evaluation (corrected)"/>
      </w:tblPr>
      <w:tblGrid>
        <w:gridCol w:w="2310"/>
        <w:gridCol w:w="2311"/>
        <w:gridCol w:w="2311"/>
        <w:gridCol w:w="2299"/>
        <w:gridCol w:w="11"/>
      </w:tblGrid>
      <w:tr w:rsidR="001E14F2" w:rsidRPr="003F1F6C" w:rsidTr="00BE39FF">
        <w:trPr>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1E14F2" w:rsidRPr="003F1F6C" w:rsidRDefault="008D120C" w:rsidP="00CE5B76">
            <w:pPr>
              <w:pStyle w:val="TableText"/>
              <w:rPr>
                <w:b/>
              </w:rPr>
            </w:pPr>
            <w:r w:rsidRPr="003F1F6C">
              <w:rPr>
                <w:b/>
              </w:rPr>
              <w:t>Component</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1E14F2" w:rsidRPr="003F1F6C" w:rsidRDefault="001E14F2" w:rsidP="00CE5B76">
            <w:pPr>
              <w:pStyle w:val="TableText"/>
              <w:jc w:val="center"/>
              <w:rPr>
                <w:b/>
              </w:rPr>
            </w:pPr>
            <w:proofErr w:type="spellStart"/>
            <w:r w:rsidRPr="003F1F6C">
              <w:rPr>
                <w:b/>
              </w:rPr>
              <w:t>Lanreotide</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1E14F2" w:rsidRPr="003F1F6C" w:rsidRDefault="001E14F2" w:rsidP="00CE5B76">
            <w:pPr>
              <w:pStyle w:val="TableText"/>
              <w:jc w:val="center"/>
              <w:rPr>
                <w:b/>
              </w:rPr>
            </w:pPr>
            <w:r w:rsidRPr="003F1F6C">
              <w:rPr>
                <w:b/>
              </w:rPr>
              <w:t>Placebo</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1E14F2" w:rsidRPr="003F1F6C" w:rsidRDefault="001E14F2" w:rsidP="00CE5B76">
            <w:pPr>
              <w:pStyle w:val="TableText"/>
              <w:jc w:val="center"/>
              <w:rPr>
                <w:b/>
              </w:rPr>
            </w:pPr>
            <w:r w:rsidRPr="003F1F6C">
              <w:rPr>
                <w:b/>
              </w:rPr>
              <w:t>Increment</w:t>
            </w:r>
          </w:p>
        </w:tc>
      </w:tr>
      <w:tr w:rsidR="001E14F2" w:rsidRPr="003F1F6C" w:rsidTr="00380E60">
        <w:tc>
          <w:tcPr>
            <w:tcW w:w="1250" w:type="pct"/>
            <w:tcBorders>
              <w:top w:val="single" w:sz="4" w:space="0" w:color="auto"/>
              <w:left w:val="single" w:sz="4" w:space="0" w:color="auto"/>
              <w:bottom w:val="single" w:sz="4" w:space="0" w:color="auto"/>
              <w:right w:val="single" w:sz="4" w:space="0" w:color="auto"/>
            </w:tcBorders>
            <w:shd w:val="clear" w:color="auto" w:fill="auto"/>
          </w:tcPr>
          <w:p w:rsidR="001E14F2" w:rsidRPr="003F1F6C" w:rsidRDefault="001E14F2" w:rsidP="00C44233">
            <w:pPr>
              <w:pStyle w:val="TableText"/>
            </w:pPr>
            <w:r w:rsidRPr="003F1F6C">
              <w:t>Costs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rsidR="001E14F2" w:rsidRPr="003F1F6C" w:rsidRDefault="001E14F2" w:rsidP="00852CB7">
            <w:pPr>
              <w:pStyle w:val="TableText"/>
              <w:jc w:val="center"/>
              <w:rPr>
                <w:rFonts w:eastAsia="Times New Roman" w:cs="Times New Roman"/>
                <w:color w:val="000000"/>
                <w:szCs w:val="20"/>
                <w:lang w:eastAsia="en-AU"/>
              </w:rPr>
            </w:pPr>
            <w:r w:rsidRPr="003F1F6C">
              <w:rPr>
                <w:rFonts w:eastAsia="Times New Roman" w:cs="Times New Roman"/>
                <w:color w:val="000000"/>
                <w:szCs w:val="20"/>
                <w:lang w:eastAsia="en-AU"/>
              </w:rPr>
              <w:t>$</w:t>
            </w:r>
            <w:r w:rsidR="00D2014F">
              <w:rPr>
                <w:rFonts w:eastAsia="Times New Roman" w:cs="Times New Roman"/>
                <w:noProof/>
                <w:color w:val="000000"/>
                <w:szCs w:val="20"/>
                <w:highlight w:val="black"/>
                <w:lang w:eastAsia="en-AU"/>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rsidR="001E14F2" w:rsidRPr="003F1F6C" w:rsidRDefault="001E14F2" w:rsidP="00BF31EB">
            <w:pPr>
              <w:pStyle w:val="TableText"/>
              <w:jc w:val="center"/>
              <w:rPr>
                <w:rFonts w:eastAsia="Times New Roman" w:cs="Times New Roman"/>
                <w:color w:val="000000"/>
                <w:szCs w:val="20"/>
                <w:lang w:eastAsia="en-AU"/>
              </w:rPr>
            </w:pPr>
            <w:r w:rsidRPr="003F1F6C">
              <w:rPr>
                <w:rFonts w:eastAsia="Times New Roman" w:cs="Times New Roman"/>
                <w:color w:val="000000"/>
                <w:szCs w:val="20"/>
                <w:lang w:eastAsia="en-AU"/>
              </w:rPr>
              <w:t>$</w:t>
            </w:r>
            <w:r w:rsidRPr="00CE1A15">
              <w:rPr>
                <w:rFonts w:eastAsia="Times New Roman" w:cs="Times New Roman"/>
                <w:color w:val="000000"/>
                <w:szCs w:val="20"/>
                <w:lang w:eastAsia="en-AU"/>
              </w:rPr>
              <w:t>317,722</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E14F2" w:rsidRPr="003F1F6C" w:rsidRDefault="001E14F2" w:rsidP="00CE5B76">
            <w:pPr>
              <w:pStyle w:val="TableText"/>
              <w:jc w:val="center"/>
              <w:rPr>
                <w:rFonts w:eastAsia="Times New Roman" w:cs="Times New Roman"/>
                <w:color w:val="000000"/>
                <w:szCs w:val="20"/>
                <w:lang w:eastAsia="en-AU"/>
              </w:rPr>
            </w:pPr>
            <w:r w:rsidRPr="003F1F6C">
              <w:rPr>
                <w:rFonts w:eastAsia="Times New Roman" w:cs="Times New Roman"/>
                <w:color w:val="000000"/>
                <w:szCs w:val="20"/>
                <w:lang w:eastAsia="en-AU"/>
              </w:rPr>
              <w:t>$</w:t>
            </w:r>
            <w:r w:rsidR="00D2014F">
              <w:rPr>
                <w:rFonts w:eastAsia="Times New Roman" w:cs="Times New Roman"/>
                <w:noProof/>
                <w:color w:val="000000"/>
                <w:szCs w:val="20"/>
                <w:highlight w:val="black"/>
                <w:lang w:eastAsia="en-AU"/>
              </w:rPr>
              <w:t>'''''''''''''</w:t>
            </w:r>
          </w:p>
        </w:tc>
      </w:tr>
      <w:tr w:rsidR="001E14F2" w:rsidRPr="003F1F6C" w:rsidTr="00380E60">
        <w:tc>
          <w:tcPr>
            <w:tcW w:w="1250" w:type="pct"/>
            <w:tcBorders>
              <w:top w:val="single" w:sz="4" w:space="0" w:color="auto"/>
              <w:left w:val="single" w:sz="4" w:space="0" w:color="auto"/>
              <w:bottom w:val="single" w:sz="4" w:space="0" w:color="auto"/>
              <w:right w:val="single" w:sz="4" w:space="0" w:color="auto"/>
            </w:tcBorders>
            <w:shd w:val="clear" w:color="auto" w:fill="auto"/>
          </w:tcPr>
          <w:p w:rsidR="001E14F2" w:rsidRPr="003F1F6C" w:rsidRDefault="001E14F2" w:rsidP="00C44233">
            <w:pPr>
              <w:pStyle w:val="TableText"/>
            </w:pPr>
            <w:r w:rsidRPr="003F1F6C">
              <w:t>QALYs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rsidR="001E14F2" w:rsidRPr="003F1F6C" w:rsidRDefault="001E14F2" w:rsidP="00852CB7">
            <w:pPr>
              <w:pStyle w:val="TableText"/>
              <w:jc w:val="center"/>
              <w:rPr>
                <w:rFonts w:eastAsia="Times New Roman" w:cs="Times New Roman"/>
                <w:color w:val="000000"/>
                <w:szCs w:val="20"/>
                <w:lang w:eastAsia="en-AU"/>
              </w:rPr>
            </w:pPr>
            <w:r w:rsidRPr="003F1F6C">
              <w:rPr>
                <w:rFonts w:eastAsia="Times New Roman" w:cs="Times New Roman"/>
                <w:color w:val="000000"/>
                <w:szCs w:val="20"/>
                <w:lang w:eastAsia="en-AU"/>
              </w:rPr>
              <w:t>7.403</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rsidR="001E14F2" w:rsidRPr="003F1F6C" w:rsidRDefault="001E14F2" w:rsidP="00BF31EB">
            <w:pPr>
              <w:pStyle w:val="TableText"/>
              <w:jc w:val="center"/>
              <w:rPr>
                <w:rFonts w:eastAsia="Times New Roman" w:cs="Times New Roman"/>
                <w:color w:val="000000"/>
                <w:szCs w:val="20"/>
                <w:lang w:eastAsia="en-AU"/>
              </w:rPr>
            </w:pPr>
            <w:r w:rsidRPr="003F1F6C">
              <w:rPr>
                <w:rFonts w:eastAsia="Times New Roman" w:cs="Times New Roman"/>
                <w:color w:val="000000"/>
                <w:szCs w:val="20"/>
                <w:lang w:eastAsia="en-AU"/>
              </w:rPr>
              <w:t>6.948</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E14F2" w:rsidRPr="003F1F6C" w:rsidRDefault="001E14F2" w:rsidP="00CE5B76">
            <w:pPr>
              <w:pStyle w:val="TableText"/>
              <w:jc w:val="center"/>
              <w:rPr>
                <w:rFonts w:eastAsia="Times New Roman" w:cs="Times New Roman"/>
                <w:color w:val="000000"/>
                <w:szCs w:val="20"/>
                <w:lang w:eastAsia="en-AU"/>
              </w:rPr>
            </w:pPr>
            <w:r w:rsidRPr="003F1F6C">
              <w:rPr>
                <w:rFonts w:eastAsia="Times New Roman" w:cs="Times New Roman"/>
                <w:color w:val="000000"/>
                <w:szCs w:val="20"/>
                <w:lang w:eastAsia="en-AU"/>
              </w:rPr>
              <w:t>0.455</w:t>
            </w:r>
          </w:p>
        </w:tc>
      </w:tr>
      <w:tr w:rsidR="001E14F2" w:rsidRPr="003F1F6C" w:rsidTr="00380E60">
        <w:trPr>
          <w:gridAfter w:val="1"/>
          <w:wAfter w:w="6" w:type="pc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1E14F2" w:rsidRPr="003F1F6C" w:rsidRDefault="008D120C" w:rsidP="00C44233">
            <w:pPr>
              <w:pStyle w:val="TableText"/>
              <w:rPr>
                <w:b/>
              </w:rPr>
            </w:pPr>
            <w:r w:rsidRPr="003F1F6C">
              <w:rPr>
                <w:b/>
              </w:rPr>
              <w:t xml:space="preserve">Incremental </w:t>
            </w:r>
            <w:r w:rsidR="001E14F2" w:rsidRPr="003F1F6C">
              <w:rPr>
                <w:b/>
              </w:rPr>
              <w:t>cost per QALY gained</w:t>
            </w:r>
          </w:p>
        </w:tc>
        <w:tc>
          <w:tcPr>
            <w:tcW w:w="1244" w:type="pct"/>
            <w:tcBorders>
              <w:top w:val="single" w:sz="4" w:space="0" w:color="auto"/>
              <w:left w:val="single" w:sz="4" w:space="0" w:color="auto"/>
              <w:bottom w:val="single" w:sz="4" w:space="0" w:color="auto"/>
              <w:right w:val="single" w:sz="4" w:space="0" w:color="auto"/>
            </w:tcBorders>
            <w:shd w:val="clear" w:color="auto" w:fill="auto"/>
          </w:tcPr>
          <w:p w:rsidR="001E14F2" w:rsidRPr="003F1F6C" w:rsidRDefault="001E14F2" w:rsidP="00852CB7">
            <w:pPr>
              <w:pStyle w:val="TableText"/>
              <w:jc w:val="center"/>
              <w:rPr>
                <w:b/>
              </w:rPr>
            </w:pPr>
            <w:r w:rsidRPr="003F1F6C">
              <w:rPr>
                <w:rFonts w:eastAsia="Times New Roman" w:cs="Times New Roman"/>
                <w:b/>
                <w:bCs/>
                <w:color w:val="000000"/>
                <w:szCs w:val="20"/>
                <w:lang w:eastAsia="en-AU"/>
              </w:rPr>
              <w:t>$</w:t>
            </w:r>
            <w:r w:rsidR="00D2014F">
              <w:rPr>
                <w:rFonts w:eastAsia="Times New Roman" w:cs="Times New Roman"/>
                <w:b/>
                <w:bCs/>
                <w:noProof/>
                <w:color w:val="000000"/>
                <w:szCs w:val="20"/>
                <w:highlight w:val="black"/>
                <w:lang w:eastAsia="en-AU"/>
              </w:rPr>
              <w:t>''''''''''</w:t>
            </w:r>
          </w:p>
        </w:tc>
      </w:tr>
    </w:tbl>
    <w:p w:rsidR="001E14F2" w:rsidRPr="003F1F6C" w:rsidRDefault="001E14F2" w:rsidP="00780E4D">
      <w:pPr>
        <w:pStyle w:val="TableFooter"/>
        <w:widowControl/>
      </w:pPr>
      <w:r w:rsidRPr="003F1F6C">
        <w:t>Source: Constructed during the evaluation using ‘</w:t>
      </w:r>
      <w:proofErr w:type="spellStart"/>
      <w:r w:rsidRPr="003F1F6C">
        <w:t>Somatuline</w:t>
      </w:r>
      <w:proofErr w:type="spellEnd"/>
      <w:r w:rsidRPr="003F1F6C">
        <w:t xml:space="preserve"> </w:t>
      </w:r>
      <w:proofErr w:type="spellStart"/>
      <w:r w:rsidRPr="003F1F6C">
        <w:t>Autogel</w:t>
      </w:r>
      <w:proofErr w:type="spellEnd"/>
      <w:r w:rsidRPr="003F1F6C">
        <w:t xml:space="preserve"> – Economic Evaluation workbook’ spreadsheet provided with the resubmission</w:t>
      </w:r>
    </w:p>
    <w:p w:rsidR="001E14F2" w:rsidRPr="000D028E" w:rsidRDefault="001E14F2" w:rsidP="0059774A">
      <w:pPr>
        <w:pStyle w:val="ESnumberedpara"/>
      </w:pPr>
      <w:r w:rsidRPr="000D028E">
        <w:t xml:space="preserve">Based on the corrected economic model, treatment with </w:t>
      </w:r>
      <w:proofErr w:type="spellStart"/>
      <w:r w:rsidRPr="000D028E">
        <w:t>lanreotide</w:t>
      </w:r>
      <w:proofErr w:type="spellEnd"/>
      <w:r w:rsidRPr="000D028E">
        <w:t xml:space="preserve"> </w:t>
      </w:r>
      <w:r w:rsidR="00D846C4" w:rsidRPr="000D028E">
        <w:t xml:space="preserve">compared with watchful waiting </w:t>
      </w:r>
      <w:r w:rsidRPr="000D028E">
        <w:t>was associated with a</w:t>
      </w:r>
      <w:r w:rsidR="00E44103" w:rsidRPr="000D028E">
        <w:t>n</w:t>
      </w:r>
      <w:r w:rsidRPr="000D028E">
        <w:t xml:space="preserve"> </w:t>
      </w:r>
      <w:r w:rsidR="008D120C" w:rsidRPr="000D028E">
        <w:t xml:space="preserve">incremental </w:t>
      </w:r>
      <w:r w:rsidRPr="000D028E">
        <w:t xml:space="preserve">cost per QALY gained of </w:t>
      </w:r>
      <w:r w:rsidR="0059774A" w:rsidRPr="0059774A">
        <w:t xml:space="preserve">less than $15,000 </w:t>
      </w:r>
      <w:r w:rsidRPr="000D028E">
        <w:t xml:space="preserve">(uncorrected estimate </w:t>
      </w:r>
      <w:r w:rsidR="0059774A">
        <w:t xml:space="preserve">$15,000 - $45,000 </w:t>
      </w:r>
      <w:r w:rsidR="008D120C" w:rsidRPr="000D028E">
        <w:t>per QALY gained</w:t>
      </w:r>
      <w:r w:rsidRPr="000D028E">
        <w:t>). The resubmission noted that the PBAC has previously accepted an estimated ICER of $45,000</w:t>
      </w:r>
      <w:r w:rsidR="008341AC">
        <w:t xml:space="preserve"> </w:t>
      </w:r>
      <w:r w:rsidRPr="000D028E">
        <w:t>-</w:t>
      </w:r>
      <w:r w:rsidR="008341AC">
        <w:t xml:space="preserve"> </w:t>
      </w:r>
      <w:r w:rsidRPr="000D028E">
        <w:t xml:space="preserve">$75,000 per QALY </w:t>
      </w:r>
      <w:r w:rsidR="00D92F41">
        <w:t xml:space="preserve">gained </w:t>
      </w:r>
      <w:r w:rsidRPr="000D028E">
        <w:t xml:space="preserve">in </w:t>
      </w:r>
      <w:r w:rsidR="009A5D7B" w:rsidRPr="000D028E">
        <w:t xml:space="preserve">its </w:t>
      </w:r>
      <w:r w:rsidRPr="000D028E">
        <w:t xml:space="preserve">consideration of </w:t>
      </w:r>
      <w:proofErr w:type="spellStart"/>
      <w:r w:rsidRPr="000D028E">
        <w:t>sunitinib</w:t>
      </w:r>
      <w:proofErr w:type="spellEnd"/>
      <w:r w:rsidRPr="000D028E">
        <w:t xml:space="preserve"> for </w:t>
      </w:r>
      <w:proofErr w:type="spellStart"/>
      <w:r w:rsidRPr="000D028E">
        <w:t>pNETs</w:t>
      </w:r>
      <w:proofErr w:type="spellEnd"/>
      <w:r w:rsidRPr="000D028E">
        <w:t xml:space="preserve"> </w:t>
      </w:r>
      <w:r w:rsidR="009A5D7B" w:rsidRPr="000D028E">
        <w:t xml:space="preserve">in </w:t>
      </w:r>
      <w:r w:rsidRPr="000D028E">
        <w:t>August 2013.</w:t>
      </w:r>
      <w:r w:rsidR="00A264A0" w:rsidRPr="000D028E">
        <w:t xml:space="preserve"> In its consideration of the November 2016 resubmission, the PBAC considered that a resubmission should present a revised base case ICER of no more than </w:t>
      </w:r>
      <w:r w:rsidR="0059774A">
        <w:t xml:space="preserve">$15,000– $45,000 </w:t>
      </w:r>
      <w:r w:rsidR="00A264A0" w:rsidRPr="000D028E">
        <w:t>per QALY gained</w:t>
      </w:r>
      <w:r w:rsidR="00E3649F" w:rsidRPr="000D028E">
        <w:t xml:space="preserve"> given the likelihood that some patients who would be better served by watchful waiting may receive active treatment through a broad listing for non</w:t>
      </w:r>
      <w:r w:rsidR="00E3649F" w:rsidRPr="000D028E">
        <w:noBreakHyphen/>
        <w:t>functional GEP-NETs (paragraph 7.15,</w:t>
      </w:r>
      <w:r w:rsidR="00922ED5">
        <w:t>November 2016 PSD</w:t>
      </w:r>
      <w:r w:rsidR="00E3649F" w:rsidRPr="000D028E">
        <w:t>).</w:t>
      </w:r>
    </w:p>
    <w:p w:rsidR="00D16FCF" w:rsidRPr="003F1F6C" w:rsidRDefault="00D16FCF" w:rsidP="00CE5B76">
      <w:pPr>
        <w:pStyle w:val="ESnumberedpara"/>
        <w:ind w:left="567" w:hanging="567"/>
      </w:pPr>
      <w:r w:rsidRPr="003F1F6C">
        <w:t xml:space="preserve">Table </w:t>
      </w:r>
      <w:r w:rsidR="00E767A9" w:rsidRPr="003F1F6C">
        <w:t>9</w:t>
      </w:r>
      <w:r w:rsidRPr="003F1F6C">
        <w:t xml:space="preserve"> summarises the impact of differences </w:t>
      </w:r>
      <w:r w:rsidR="00D659AE">
        <w:t xml:space="preserve">between </w:t>
      </w:r>
      <w:r w:rsidRPr="003F1F6C">
        <w:t xml:space="preserve">the corrected November 2016 base </w:t>
      </w:r>
      <w:proofErr w:type="gramStart"/>
      <w:r w:rsidRPr="003F1F6C">
        <w:t>case</w:t>
      </w:r>
      <w:proofErr w:type="gramEnd"/>
      <w:r w:rsidRPr="003F1F6C">
        <w:t xml:space="preserve"> to the corrected July 2017 base case</w:t>
      </w:r>
      <w:r w:rsidR="00D659AE">
        <w:t xml:space="preserve"> </w:t>
      </w:r>
      <w:r w:rsidR="00D659AE" w:rsidRPr="003F1F6C">
        <w:t>using a stepped analysis</w:t>
      </w:r>
      <w:r w:rsidRPr="003F1F6C">
        <w:t>.</w:t>
      </w:r>
    </w:p>
    <w:p w:rsidR="0097752E" w:rsidRDefault="0097752E" w:rsidP="0097752E">
      <w:pPr>
        <w:pStyle w:val="Caption"/>
      </w:pPr>
      <w:r>
        <w:t xml:space="preserve">Table </w:t>
      </w:r>
      <w:r>
        <w:rPr>
          <w:noProof/>
        </w:rPr>
        <w:t>9</w:t>
      </w:r>
      <w:r w:rsidRPr="00996BBC">
        <w:t>: Stepped analysis from corrected November 2016 base case to corrected July 2017 base case</w:t>
      </w:r>
    </w:p>
    <w:tbl>
      <w:tblPr>
        <w:tblStyle w:val="TableGridbeth1"/>
        <w:tblW w:w="0" w:type="auto"/>
        <w:tblLook w:val="04A0" w:firstRow="1" w:lastRow="0" w:firstColumn="1" w:lastColumn="0" w:noHBand="0" w:noVBand="1"/>
        <w:tblCaption w:val="Stepped analysis from corrected November 2016 base case to corrected July 2017 base case"/>
      </w:tblPr>
      <w:tblGrid>
        <w:gridCol w:w="4531"/>
        <w:gridCol w:w="1495"/>
        <w:gridCol w:w="1495"/>
        <w:gridCol w:w="1495"/>
      </w:tblGrid>
      <w:tr w:rsidR="00DD4F6F" w:rsidRPr="003F1F6C" w:rsidTr="004C3ED9">
        <w:trPr>
          <w:tblHeader/>
        </w:trPr>
        <w:tc>
          <w:tcPr>
            <w:tcW w:w="4531" w:type="dxa"/>
            <w:vAlign w:val="center"/>
          </w:tcPr>
          <w:p w:rsidR="00DD4F6F" w:rsidRPr="003F1F6C" w:rsidRDefault="00DD4F6F" w:rsidP="00CE5B76">
            <w:pPr>
              <w:keepNext/>
              <w:spacing w:before="0"/>
              <w:jc w:val="left"/>
              <w:rPr>
                <w:rFonts w:ascii="Arial Narrow" w:hAnsi="Arial Narrow"/>
                <w:b/>
                <w:sz w:val="20"/>
                <w:szCs w:val="20"/>
              </w:rPr>
            </w:pPr>
            <w:r w:rsidRPr="003F1F6C">
              <w:rPr>
                <w:rFonts w:ascii="Arial Narrow" w:hAnsi="Arial Narrow"/>
                <w:b/>
                <w:sz w:val="20"/>
                <w:szCs w:val="20"/>
              </w:rPr>
              <w:t>Step</w:t>
            </w:r>
          </w:p>
        </w:tc>
        <w:tc>
          <w:tcPr>
            <w:tcW w:w="1495" w:type="dxa"/>
            <w:tcBorders>
              <w:bottom w:val="single" w:sz="4" w:space="0" w:color="auto"/>
            </w:tcBorders>
            <w:vAlign w:val="center"/>
          </w:tcPr>
          <w:p w:rsidR="00DD4F6F" w:rsidRPr="003F1F6C" w:rsidRDefault="00DD4F6F" w:rsidP="00CE5B76">
            <w:pPr>
              <w:keepNext/>
              <w:spacing w:before="0"/>
              <w:jc w:val="center"/>
              <w:rPr>
                <w:rFonts w:ascii="Arial Narrow" w:hAnsi="Arial Narrow"/>
                <w:b/>
                <w:sz w:val="20"/>
                <w:szCs w:val="20"/>
              </w:rPr>
            </w:pPr>
            <w:r w:rsidRPr="003F1F6C">
              <w:rPr>
                <w:rFonts w:ascii="Arial Narrow" w:hAnsi="Arial Narrow"/>
                <w:b/>
                <w:sz w:val="20"/>
                <w:szCs w:val="20"/>
              </w:rPr>
              <w:t>Incremental cost</w:t>
            </w:r>
          </w:p>
        </w:tc>
        <w:tc>
          <w:tcPr>
            <w:tcW w:w="1495" w:type="dxa"/>
            <w:tcBorders>
              <w:bottom w:val="single" w:sz="4" w:space="0" w:color="auto"/>
            </w:tcBorders>
            <w:vAlign w:val="center"/>
          </w:tcPr>
          <w:p w:rsidR="00DD4F6F" w:rsidRPr="003F1F6C" w:rsidRDefault="00DD4F6F" w:rsidP="00CE5B76">
            <w:pPr>
              <w:keepNext/>
              <w:spacing w:before="0"/>
              <w:jc w:val="center"/>
              <w:rPr>
                <w:rFonts w:ascii="Arial Narrow" w:hAnsi="Arial Narrow"/>
                <w:b/>
                <w:sz w:val="20"/>
                <w:szCs w:val="20"/>
              </w:rPr>
            </w:pPr>
            <w:r w:rsidRPr="003F1F6C">
              <w:rPr>
                <w:rFonts w:ascii="Arial Narrow" w:hAnsi="Arial Narrow"/>
                <w:b/>
                <w:sz w:val="20"/>
                <w:szCs w:val="20"/>
              </w:rPr>
              <w:t>Incremental QALYs</w:t>
            </w:r>
          </w:p>
        </w:tc>
        <w:tc>
          <w:tcPr>
            <w:tcW w:w="1495" w:type="dxa"/>
            <w:tcBorders>
              <w:bottom w:val="single" w:sz="4" w:space="0" w:color="auto"/>
            </w:tcBorders>
            <w:vAlign w:val="center"/>
          </w:tcPr>
          <w:p w:rsidR="00DD4F6F" w:rsidRPr="003F1F6C" w:rsidRDefault="00DD4F6F" w:rsidP="00CE5B76">
            <w:pPr>
              <w:keepNext/>
              <w:spacing w:before="0"/>
              <w:jc w:val="center"/>
              <w:rPr>
                <w:rFonts w:ascii="Arial Narrow" w:hAnsi="Arial Narrow"/>
                <w:b/>
                <w:sz w:val="20"/>
                <w:szCs w:val="20"/>
              </w:rPr>
            </w:pPr>
            <w:r w:rsidRPr="003F1F6C">
              <w:rPr>
                <w:rFonts w:ascii="Arial Narrow" w:hAnsi="Arial Narrow"/>
                <w:b/>
                <w:sz w:val="20"/>
                <w:szCs w:val="20"/>
              </w:rPr>
              <w:t>ICER</w:t>
            </w:r>
          </w:p>
        </w:tc>
      </w:tr>
      <w:tr w:rsidR="00DD4F6F" w:rsidRPr="003F1F6C" w:rsidTr="004C3ED9">
        <w:tc>
          <w:tcPr>
            <w:tcW w:w="4531" w:type="dxa"/>
            <w:vAlign w:val="center"/>
          </w:tcPr>
          <w:p w:rsidR="00DD4F6F" w:rsidRPr="003F1F6C" w:rsidRDefault="00DD4F6F" w:rsidP="00C44233">
            <w:pPr>
              <w:pStyle w:val="TableText"/>
              <w:jc w:val="left"/>
            </w:pPr>
            <w:r w:rsidRPr="003F1F6C">
              <w:t>November 2016 revised base case</w:t>
            </w:r>
          </w:p>
        </w:tc>
        <w:tc>
          <w:tcPr>
            <w:tcW w:w="1495" w:type="dxa"/>
            <w:tcBorders>
              <w:bottom w:val="single" w:sz="4" w:space="0" w:color="auto"/>
            </w:tcBorders>
            <w:vAlign w:val="center"/>
          </w:tcPr>
          <w:p w:rsidR="00DD4F6F" w:rsidRPr="003F1F6C" w:rsidRDefault="00DD4F6F" w:rsidP="00852CB7">
            <w:pPr>
              <w:pStyle w:val="TableText"/>
              <w:jc w:val="center"/>
              <w:rPr>
                <w:b/>
              </w:rPr>
            </w:pPr>
            <w:r w:rsidRPr="003F1F6C">
              <w:rPr>
                <w:b/>
              </w:rPr>
              <w:t>$</w:t>
            </w:r>
            <w:r w:rsidR="00D2014F">
              <w:rPr>
                <w:b/>
                <w:noProof/>
                <w:color w:val="000000"/>
                <w:highlight w:val="black"/>
              </w:rPr>
              <w:t>'''''''''''''''</w:t>
            </w:r>
          </w:p>
        </w:tc>
        <w:tc>
          <w:tcPr>
            <w:tcW w:w="1495" w:type="dxa"/>
            <w:tcBorders>
              <w:bottom w:val="single" w:sz="4" w:space="0" w:color="auto"/>
            </w:tcBorders>
            <w:vAlign w:val="center"/>
          </w:tcPr>
          <w:p w:rsidR="00DD4F6F" w:rsidRPr="003F1F6C" w:rsidRDefault="00DD4F6F" w:rsidP="00BF31EB">
            <w:pPr>
              <w:pStyle w:val="TableText"/>
              <w:jc w:val="center"/>
              <w:rPr>
                <w:b/>
              </w:rPr>
            </w:pPr>
            <w:r w:rsidRPr="003F1F6C">
              <w:rPr>
                <w:b/>
              </w:rPr>
              <w:t>0.530</w:t>
            </w:r>
          </w:p>
        </w:tc>
        <w:tc>
          <w:tcPr>
            <w:tcW w:w="1495" w:type="dxa"/>
            <w:tcBorders>
              <w:bottom w:val="single" w:sz="4" w:space="0" w:color="auto"/>
            </w:tcBorders>
            <w:vAlign w:val="center"/>
          </w:tcPr>
          <w:p w:rsidR="00DD4F6F" w:rsidRPr="003F1F6C" w:rsidRDefault="00DD4F6F" w:rsidP="00CE5B76">
            <w:pPr>
              <w:pStyle w:val="TableText"/>
              <w:jc w:val="center"/>
              <w:rPr>
                <w:b/>
              </w:rPr>
            </w:pPr>
            <w:r w:rsidRPr="003F1F6C">
              <w:rPr>
                <w:b/>
              </w:rPr>
              <w:t>$</w:t>
            </w:r>
            <w:r w:rsidR="00D2014F">
              <w:rPr>
                <w:b/>
                <w:noProof/>
                <w:color w:val="000000"/>
                <w:highlight w:val="black"/>
              </w:rPr>
              <w:t>'''''''''''''</w:t>
            </w:r>
          </w:p>
        </w:tc>
      </w:tr>
      <w:tr w:rsidR="00DD4F6F" w:rsidRPr="003F1F6C" w:rsidTr="004C3ED9">
        <w:tc>
          <w:tcPr>
            <w:tcW w:w="9016" w:type="dxa"/>
            <w:gridSpan w:val="4"/>
            <w:vAlign w:val="center"/>
          </w:tcPr>
          <w:p w:rsidR="00DD4F6F" w:rsidRPr="003F1F6C" w:rsidRDefault="00DD4F6F" w:rsidP="00C44233">
            <w:pPr>
              <w:pStyle w:val="TableText"/>
              <w:jc w:val="left"/>
              <w:rPr>
                <w:b/>
              </w:rPr>
            </w:pPr>
            <w:r w:rsidRPr="003F1F6C">
              <w:rPr>
                <w:b/>
              </w:rPr>
              <w:t>Changes to reflect July 2017 model</w:t>
            </w:r>
          </w:p>
        </w:tc>
      </w:tr>
      <w:tr w:rsidR="00DD4F6F" w:rsidRPr="003F1F6C" w:rsidTr="004C3ED9">
        <w:tc>
          <w:tcPr>
            <w:tcW w:w="4531" w:type="dxa"/>
            <w:vAlign w:val="center"/>
          </w:tcPr>
          <w:p w:rsidR="00DD4F6F" w:rsidRPr="003F1F6C" w:rsidRDefault="00DD4F6F" w:rsidP="00C44233">
            <w:pPr>
              <w:pStyle w:val="TableText"/>
              <w:jc w:val="left"/>
            </w:pPr>
            <w:r w:rsidRPr="003F1F6C">
              <w:t>Half-cycle correction applied; updated discount rate per cycle; no. days/year 365.25 (previously 365)</w:t>
            </w:r>
          </w:p>
        </w:tc>
        <w:tc>
          <w:tcPr>
            <w:tcW w:w="1495" w:type="dxa"/>
            <w:tcBorders>
              <w:top w:val="single" w:sz="4" w:space="0" w:color="auto"/>
              <w:left w:val="nil"/>
              <w:bottom w:val="single" w:sz="4" w:space="0" w:color="auto"/>
              <w:right w:val="single" w:sz="4" w:space="0" w:color="auto"/>
            </w:tcBorders>
            <w:shd w:val="clear" w:color="000000" w:fill="FFFFFF"/>
            <w:vAlign w:val="center"/>
          </w:tcPr>
          <w:p w:rsidR="00DD4F6F" w:rsidRPr="003F1F6C" w:rsidRDefault="00DD4F6F" w:rsidP="00852CB7">
            <w:pPr>
              <w:pStyle w:val="TableText"/>
              <w:jc w:val="center"/>
              <w:rPr>
                <w:rFonts w:cs="Arial"/>
                <w:color w:val="000000"/>
              </w:rPr>
            </w:pPr>
            <w:r w:rsidRPr="003F1F6C">
              <w:rPr>
                <w:rFonts w:cs="Arial"/>
                <w:color w:val="000000"/>
              </w:rPr>
              <w:t>$</w:t>
            </w:r>
            <w:r w:rsidR="00D2014F">
              <w:rPr>
                <w:rFonts w:cs="Arial"/>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BF31EB">
            <w:pPr>
              <w:pStyle w:val="TableText"/>
              <w:jc w:val="center"/>
              <w:rPr>
                <w:rFonts w:cs="Arial"/>
                <w:color w:val="000000"/>
              </w:rPr>
            </w:pPr>
            <w:r w:rsidRPr="003F1F6C">
              <w:rPr>
                <w:rFonts w:cs="Arial"/>
                <w:color w:val="000000"/>
              </w:rPr>
              <w:t>0.515</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CE5B76">
            <w:pPr>
              <w:pStyle w:val="TableText"/>
              <w:jc w:val="center"/>
              <w:rPr>
                <w:rFonts w:cs="Arial"/>
                <w:color w:val="000000"/>
              </w:rPr>
            </w:pPr>
            <w:r w:rsidRPr="003F1F6C">
              <w:rPr>
                <w:rFonts w:cs="Arial"/>
                <w:color w:val="000000"/>
              </w:rPr>
              <w:t>$</w:t>
            </w:r>
            <w:r w:rsidR="00D2014F">
              <w:rPr>
                <w:rFonts w:cs="Arial"/>
                <w:noProof/>
                <w:color w:val="000000"/>
                <w:highlight w:val="black"/>
              </w:rPr>
              <w:t>'''''''''''''''</w:t>
            </w:r>
          </w:p>
        </w:tc>
      </w:tr>
      <w:tr w:rsidR="00DD4F6F" w:rsidRPr="003F1F6C" w:rsidTr="004C3ED9">
        <w:tc>
          <w:tcPr>
            <w:tcW w:w="4531" w:type="dxa"/>
            <w:vAlign w:val="center"/>
          </w:tcPr>
          <w:p w:rsidR="00DD4F6F" w:rsidRPr="003F1F6C" w:rsidRDefault="00DD4F6F" w:rsidP="00C44233">
            <w:pPr>
              <w:pStyle w:val="TableText"/>
              <w:jc w:val="left"/>
            </w:pPr>
            <w:proofErr w:type="spellStart"/>
            <w:r w:rsidRPr="003F1F6C">
              <w:t>Lanreotide</w:t>
            </w:r>
            <w:proofErr w:type="spellEnd"/>
            <w:r w:rsidRPr="003F1F6C">
              <w:t xml:space="preserve"> use in post-progression (previously: 100% both arms; current model: 48% </w:t>
            </w:r>
            <w:proofErr w:type="spellStart"/>
            <w:r w:rsidRPr="003F1F6C">
              <w:t>lanreotide</w:t>
            </w:r>
            <w:proofErr w:type="spellEnd"/>
            <w:r w:rsidRPr="003F1F6C">
              <w:t>/30% placebo)</w:t>
            </w:r>
          </w:p>
        </w:tc>
        <w:tc>
          <w:tcPr>
            <w:tcW w:w="1495" w:type="dxa"/>
            <w:tcBorders>
              <w:top w:val="single" w:sz="4" w:space="0" w:color="auto"/>
              <w:left w:val="nil"/>
              <w:bottom w:val="single" w:sz="4" w:space="0" w:color="auto"/>
              <w:right w:val="single" w:sz="4" w:space="0" w:color="auto"/>
            </w:tcBorders>
            <w:shd w:val="clear" w:color="000000" w:fill="FFFFFF"/>
            <w:vAlign w:val="center"/>
          </w:tcPr>
          <w:p w:rsidR="00DD4F6F" w:rsidRPr="003F1F6C" w:rsidRDefault="00DD4F6F" w:rsidP="00852CB7">
            <w:pPr>
              <w:pStyle w:val="TableText"/>
              <w:jc w:val="center"/>
              <w:rPr>
                <w:rFonts w:cs="Arial"/>
                <w:color w:val="000000"/>
              </w:rPr>
            </w:pPr>
            <w:r w:rsidRPr="003F1F6C">
              <w:rPr>
                <w:rFonts w:cs="Arial"/>
                <w:color w:val="000000"/>
              </w:rPr>
              <w:t>$</w:t>
            </w:r>
            <w:r w:rsidR="00D2014F">
              <w:rPr>
                <w:rFonts w:cs="Arial"/>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BF31EB">
            <w:pPr>
              <w:pStyle w:val="TableText"/>
              <w:jc w:val="center"/>
              <w:rPr>
                <w:rFonts w:cs="Arial"/>
                <w:color w:val="000000"/>
              </w:rPr>
            </w:pPr>
            <w:r w:rsidRPr="003F1F6C">
              <w:rPr>
                <w:rFonts w:cs="Arial"/>
                <w:color w:val="000000"/>
              </w:rPr>
              <w:t>0.515</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CE5B76">
            <w:pPr>
              <w:pStyle w:val="TableText"/>
              <w:jc w:val="center"/>
              <w:rPr>
                <w:rFonts w:cs="Arial"/>
                <w:color w:val="000000"/>
              </w:rPr>
            </w:pPr>
            <w:r w:rsidRPr="003F1F6C">
              <w:rPr>
                <w:rFonts w:cs="Arial"/>
                <w:color w:val="000000"/>
              </w:rPr>
              <w:t>$</w:t>
            </w:r>
            <w:r w:rsidR="00D2014F">
              <w:rPr>
                <w:rFonts w:cs="Arial"/>
                <w:noProof/>
                <w:color w:val="000000"/>
                <w:highlight w:val="black"/>
              </w:rPr>
              <w:t>'''''''''''''''''''</w:t>
            </w:r>
          </w:p>
        </w:tc>
      </w:tr>
      <w:tr w:rsidR="00DD4F6F" w:rsidRPr="003F1F6C" w:rsidTr="004C3ED9">
        <w:tc>
          <w:tcPr>
            <w:tcW w:w="4531" w:type="dxa"/>
            <w:vAlign w:val="center"/>
          </w:tcPr>
          <w:p w:rsidR="00DD4F6F" w:rsidRPr="003F1F6C" w:rsidRDefault="00DD4F6F" w:rsidP="00C44233">
            <w:pPr>
              <w:pStyle w:val="TableText"/>
              <w:jc w:val="left"/>
            </w:pPr>
            <w:r w:rsidRPr="003F1F6C">
              <w:t xml:space="preserve">Updated cost of adverse events associated with </w:t>
            </w:r>
            <w:proofErr w:type="spellStart"/>
            <w:r w:rsidRPr="003F1F6C">
              <w:t>lanreotide</w:t>
            </w:r>
            <w:proofErr w:type="spellEnd"/>
            <w:r w:rsidRPr="003F1F6C">
              <w:t xml:space="preserve"> and placebo</w:t>
            </w:r>
          </w:p>
        </w:tc>
        <w:tc>
          <w:tcPr>
            <w:tcW w:w="1495" w:type="dxa"/>
            <w:tcBorders>
              <w:top w:val="single" w:sz="4" w:space="0" w:color="auto"/>
              <w:left w:val="nil"/>
              <w:bottom w:val="single" w:sz="4" w:space="0" w:color="auto"/>
              <w:right w:val="single" w:sz="4" w:space="0" w:color="auto"/>
            </w:tcBorders>
            <w:shd w:val="clear" w:color="000000" w:fill="FFFFFF"/>
            <w:vAlign w:val="center"/>
          </w:tcPr>
          <w:p w:rsidR="00DD4F6F" w:rsidRPr="003F1F6C" w:rsidRDefault="00DD4F6F" w:rsidP="00852CB7">
            <w:pPr>
              <w:pStyle w:val="TableText"/>
              <w:jc w:val="center"/>
              <w:rPr>
                <w:rFonts w:cs="Arial"/>
                <w:color w:val="000000"/>
              </w:rPr>
            </w:pPr>
            <w:r w:rsidRPr="003F1F6C">
              <w:rPr>
                <w:rFonts w:cs="Arial"/>
                <w:color w:val="000000"/>
              </w:rPr>
              <w:t>$</w:t>
            </w:r>
            <w:r w:rsidR="00D2014F">
              <w:rPr>
                <w:rFonts w:cs="Arial"/>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BF31EB">
            <w:pPr>
              <w:pStyle w:val="TableText"/>
              <w:jc w:val="center"/>
              <w:rPr>
                <w:rFonts w:cs="Arial"/>
                <w:color w:val="000000"/>
              </w:rPr>
            </w:pPr>
            <w:r w:rsidRPr="003F1F6C">
              <w:rPr>
                <w:rFonts w:cs="Arial"/>
                <w:color w:val="000000"/>
              </w:rPr>
              <w:t>0.515</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CE5B76">
            <w:pPr>
              <w:pStyle w:val="TableText"/>
              <w:jc w:val="center"/>
              <w:rPr>
                <w:rFonts w:cs="Arial"/>
                <w:color w:val="000000"/>
              </w:rPr>
            </w:pPr>
            <w:r w:rsidRPr="003F1F6C">
              <w:rPr>
                <w:rFonts w:cs="Arial"/>
                <w:color w:val="000000"/>
              </w:rPr>
              <w:t>$</w:t>
            </w:r>
            <w:r w:rsidR="00D2014F">
              <w:rPr>
                <w:rFonts w:cs="Arial"/>
                <w:noProof/>
                <w:color w:val="000000"/>
                <w:highlight w:val="black"/>
              </w:rPr>
              <w:t>'''''''''''''''''''</w:t>
            </w:r>
          </w:p>
        </w:tc>
      </w:tr>
      <w:tr w:rsidR="00DD4F6F" w:rsidRPr="003F1F6C" w:rsidTr="004C3ED9">
        <w:tc>
          <w:tcPr>
            <w:tcW w:w="4531" w:type="dxa"/>
            <w:vAlign w:val="center"/>
          </w:tcPr>
          <w:p w:rsidR="00DD4F6F" w:rsidRPr="003F1F6C" w:rsidRDefault="00DD4F6F" w:rsidP="00C44233">
            <w:pPr>
              <w:pStyle w:val="TableText"/>
              <w:jc w:val="left"/>
            </w:pPr>
            <w:r w:rsidRPr="003F1F6C">
              <w:t xml:space="preserve">Same disease monitoring costs in </w:t>
            </w:r>
            <w:proofErr w:type="spellStart"/>
            <w:r w:rsidRPr="003F1F6C">
              <w:t>lanreotide</w:t>
            </w:r>
            <w:proofErr w:type="spellEnd"/>
            <w:r w:rsidRPr="003F1F6C">
              <w:t xml:space="preserve"> and placebo arms</w:t>
            </w:r>
          </w:p>
        </w:tc>
        <w:tc>
          <w:tcPr>
            <w:tcW w:w="1495" w:type="dxa"/>
            <w:tcBorders>
              <w:top w:val="single" w:sz="4" w:space="0" w:color="auto"/>
              <w:left w:val="nil"/>
              <w:bottom w:val="single" w:sz="4" w:space="0" w:color="auto"/>
              <w:right w:val="single" w:sz="4" w:space="0" w:color="auto"/>
            </w:tcBorders>
            <w:shd w:val="clear" w:color="000000" w:fill="FFFFFF"/>
            <w:vAlign w:val="center"/>
          </w:tcPr>
          <w:p w:rsidR="00DD4F6F" w:rsidRPr="003F1F6C" w:rsidRDefault="00DD4F6F" w:rsidP="00852CB7">
            <w:pPr>
              <w:pStyle w:val="TableText"/>
              <w:jc w:val="center"/>
              <w:rPr>
                <w:rFonts w:cs="Arial"/>
                <w:color w:val="000000"/>
              </w:rPr>
            </w:pPr>
            <w:r w:rsidRPr="003F1F6C">
              <w:rPr>
                <w:rFonts w:cs="Arial"/>
                <w:color w:val="000000"/>
              </w:rPr>
              <w:t>$</w:t>
            </w:r>
            <w:r w:rsidR="00D2014F">
              <w:rPr>
                <w:rFonts w:cs="Arial"/>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BF31EB">
            <w:pPr>
              <w:pStyle w:val="TableText"/>
              <w:jc w:val="center"/>
              <w:rPr>
                <w:rFonts w:cs="Arial"/>
                <w:color w:val="000000"/>
              </w:rPr>
            </w:pPr>
            <w:r w:rsidRPr="003F1F6C">
              <w:rPr>
                <w:rFonts w:cs="Arial"/>
                <w:color w:val="000000"/>
              </w:rPr>
              <w:t>0.515</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CE5B76">
            <w:pPr>
              <w:pStyle w:val="TableText"/>
              <w:jc w:val="center"/>
              <w:rPr>
                <w:rFonts w:cs="Arial"/>
                <w:color w:val="000000"/>
              </w:rPr>
            </w:pPr>
            <w:r w:rsidRPr="003F1F6C">
              <w:rPr>
                <w:rFonts w:cs="Arial"/>
                <w:color w:val="000000"/>
              </w:rPr>
              <w:t>$</w:t>
            </w:r>
            <w:r w:rsidR="00D2014F">
              <w:rPr>
                <w:rFonts w:cs="Arial"/>
                <w:noProof/>
                <w:color w:val="000000"/>
                <w:highlight w:val="black"/>
              </w:rPr>
              <w:t>'''''''''''''''''''''</w:t>
            </w:r>
          </w:p>
        </w:tc>
      </w:tr>
      <w:tr w:rsidR="00DD4F6F" w:rsidRPr="003F1F6C" w:rsidTr="004C3ED9">
        <w:tc>
          <w:tcPr>
            <w:tcW w:w="4531" w:type="dxa"/>
            <w:vAlign w:val="center"/>
          </w:tcPr>
          <w:p w:rsidR="00DD4F6F" w:rsidRPr="003F1F6C" w:rsidRDefault="00DD4F6F" w:rsidP="00C44233">
            <w:pPr>
              <w:pStyle w:val="TableText"/>
              <w:jc w:val="left"/>
            </w:pPr>
            <w:r w:rsidRPr="003F1F6C">
              <w:t>Remove disutility associated with  post-progression treatment</w:t>
            </w:r>
          </w:p>
        </w:tc>
        <w:tc>
          <w:tcPr>
            <w:tcW w:w="1495" w:type="dxa"/>
            <w:tcBorders>
              <w:top w:val="single" w:sz="4" w:space="0" w:color="auto"/>
              <w:left w:val="nil"/>
              <w:bottom w:val="single" w:sz="4" w:space="0" w:color="auto"/>
              <w:right w:val="single" w:sz="4" w:space="0" w:color="auto"/>
            </w:tcBorders>
            <w:shd w:val="clear" w:color="000000" w:fill="FFFFFF"/>
            <w:vAlign w:val="center"/>
          </w:tcPr>
          <w:p w:rsidR="00DD4F6F" w:rsidRPr="003F1F6C" w:rsidRDefault="00DD4F6F" w:rsidP="00852CB7">
            <w:pPr>
              <w:pStyle w:val="TableText"/>
              <w:jc w:val="center"/>
              <w:rPr>
                <w:rFonts w:cs="Arial"/>
                <w:color w:val="000000"/>
              </w:rPr>
            </w:pPr>
            <w:r w:rsidRPr="003F1F6C">
              <w:rPr>
                <w:rFonts w:cs="Arial"/>
                <w:color w:val="000000"/>
              </w:rPr>
              <w:t>$</w:t>
            </w:r>
            <w:r w:rsidR="00D2014F">
              <w:rPr>
                <w:rFonts w:cs="Arial"/>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BF31EB">
            <w:pPr>
              <w:pStyle w:val="TableText"/>
              <w:jc w:val="center"/>
              <w:rPr>
                <w:rFonts w:cs="Arial"/>
                <w:color w:val="000000"/>
              </w:rPr>
            </w:pPr>
            <w:r w:rsidRPr="003F1F6C">
              <w:rPr>
                <w:rFonts w:cs="Arial"/>
                <w:color w:val="000000"/>
              </w:rPr>
              <w:t>0.455</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CE5B76">
            <w:pPr>
              <w:pStyle w:val="TableText"/>
              <w:jc w:val="center"/>
              <w:rPr>
                <w:rFonts w:cs="Arial"/>
                <w:color w:val="000000"/>
              </w:rPr>
            </w:pPr>
            <w:r w:rsidRPr="003F1F6C">
              <w:rPr>
                <w:rFonts w:cs="Arial"/>
                <w:color w:val="000000"/>
              </w:rPr>
              <w:t>$</w:t>
            </w:r>
            <w:r w:rsidR="00D2014F">
              <w:rPr>
                <w:rFonts w:cs="Arial"/>
                <w:noProof/>
                <w:color w:val="000000"/>
                <w:highlight w:val="black"/>
              </w:rPr>
              <w:t>'''''''''''''''''''</w:t>
            </w:r>
          </w:p>
        </w:tc>
      </w:tr>
      <w:tr w:rsidR="00DD4F6F" w:rsidRPr="003F1F6C" w:rsidTr="004C3ED9">
        <w:tc>
          <w:tcPr>
            <w:tcW w:w="4531" w:type="dxa"/>
            <w:vAlign w:val="center"/>
          </w:tcPr>
          <w:p w:rsidR="00DD4F6F" w:rsidRPr="003F1F6C" w:rsidRDefault="00DD4F6F" w:rsidP="00C44233">
            <w:pPr>
              <w:pStyle w:val="TableText"/>
              <w:jc w:val="left"/>
            </w:pPr>
            <w:r w:rsidRPr="003F1F6C">
              <w:t>Post-progression treatment costs updated based on expert opinion: differential costs applied to each arm; one-off cost</w:t>
            </w:r>
          </w:p>
        </w:tc>
        <w:tc>
          <w:tcPr>
            <w:tcW w:w="1495" w:type="dxa"/>
            <w:tcBorders>
              <w:top w:val="single" w:sz="4" w:space="0" w:color="auto"/>
              <w:left w:val="nil"/>
              <w:bottom w:val="single" w:sz="4" w:space="0" w:color="auto"/>
              <w:right w:val="single" w:sz="4" w:space="0" w:color="auto"/>
            </w:tcBorders>
            <w:shd w:val="clear" w:color="000000" w:fill="FFFFFF"/>
            <w:vAlign w:val="center"/>
          </w:tcPr>
          <w:p w:rsidR="00DD4F6F" w:rsidRPr="003F1F6C" w:rsidRDefault="00DD4F6F" w:rsidP="00852CB7">
            <w:pPr>
              <w:pStyle w:val="TableText"/>
              <w:jc w:val="center"/>
              <w:rPr>
                <w:rFonts w:cs="Arial"/>
                <w:color w:val="000000"/>
              </w:rPr>
            </w:pPr>
            <w:r w:rsidRPr="003F1F6C">
              <w:rPr>
                <w:rFonts w:cs="Arial"/>
                <w:color w:val="000000"/>
              </w:rPr>
              <w:t>$</w:t>
            </w:r>
            <w:r w:rsidR="00D2014F">
              <w:rPr>
                <w:rFonts w:cs="Arial"/>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BF31EB">
            <w:pPr>
              <w:pStyle w:val="TableText"/>
              <w:jc w:val="center"/>
              <w:rPr>
                <w:rFonts w:cs="Arial"/>
                <w:color w:val="000000"/>
              </w:rPr>
            </w:pPr>
            <w:r w:rsidRPr="003F1F6C">
              <w:rPr>
                <w:rFonts w:cs="Arial"/>
                <w:color w:val="000000"/>
              </w:rPr>
              <w:t>0.455</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CE5B76">
            <w:pPr>
              <w:pStyle w:val="TableText"/>
              <w:jc w:val="center"/>
              <w:rPr>
                <w:rFonts w:cs="Arial"/>
                <w:color w:val="000000"/>
              </w:rPr>
            </w:pPr>
            <w:r w:rsidRPr="003F1F6C">
              <w:rPr>
                <w:rFonts w:cs="Arial"/>
                <w:color w:val="000000"/>
              </w:rPr>
              <w:t>$</w:t>
            </w:r>
            <w:r w:rsidR="00D2014F">
              <w:rPr>
                <w:rFonts w:cs="Arial"/>
                <w:noProof/>
                <w:color w:val="000000"/>
                <w:highlight w:val="black"/>
              </w:rPr>
              <w:t>'''''''''''''''''</w:t>
            </w:r>
          </w:p>
        </w:tc>
      </w:tr>
      <w:tr w:rsidR="00DD4F6F" w:rsidRPr="003F1F6C" w:rsidTr="002C290B">
        <w:trPr>
          <w:trHeight w:val="271"/>
        </w:trPr>
        <w:tc>
          <w:tcPr>
            <w:tcW w:w="4531" w:type="dxa"/>
            <w:tcBorders>
              <w:bottom w:val="single" w:sz="4" w:space="0" w:color="auto"/>
            </w:tcBorders>
            <w:vAlign w:val="center"/>
          </w:tcPr>
          <w:p w:rsidR="00DD4F6F" w:rsidRPr="003F1F6C" w:rsidRDefault="00DD4F6F" w:rsidP="00C44233">
            <w:pPr>
              <w:pStyle w:val="TableText"/>
              <w:jc w:val="left"/>
            </w:pPr>
            <w:proofErr w:type="spellStart"/>
            <w:r w:rsidRPr="003F1F6C">
              <w:t>Lanreotide</w:t>
            </w:r>
            <w:proofErr w:type="spellEnd"/>
            <w:r w:rsidRPr="003F1F6C">
              <w:t xml:space="preserve"> </w:t>
            </w:r>
            <w:r w:rsidR="00D2014F">
              <w:rPr>
                <w:noProof/>
                <w:color w:val="000000"/>
                <w:highlight w:val="black"/>
              </w:rPr>
              <w:t>'''''''</w:t>
            </w:r>
            <w:r w:rsidRPr="003F1F6C">
              <w:t xml:space="preserve">% price reduction applied to </w:t>
            </w:r>
            <w:proofErr w:type="spellStart"/>
            <w:r w:rsidRPr="003F1F6C">
              <w:t>lanreotide</w:t>
            </w:r>
            <w:proofErr w:type="spellEnd"/>
            <w:r w:rsidRPr="003F1F6C">
              <w:t xml:space="preserve"> arm; update public/private weighting in cost of </w:t>
            </w:r>
            <w:proofErr w:type="spellStart"/>
            <w:r w:rsidRPr="003F1F6C">
              <w:t>lanreotide</w:t>
            </w:r>
            <w:proofErr w:type="spellEnd"/>
          </w:p>
        </w:tc>
        <w:tc>
          <w:tcPr>
            <w:tcW w:w="1495" w:type="dxa"/>
            <w:tcBorders>
              <w:top w:val="single" w:sz="4" w:space="0" w:color="auto"/>
              <w:left w:val="nil"/>
              <w:bottom w:val="single" w:sz="4" w:space="0" w:color="auto"/>
              <w:right w:val="single" w:sz="4" w:space="0" w:color="auto"/>
            </w:tcBorders>
            <w:shd w:val="clear" w:color="000000" w:fill="FFFFFF"/>
            <w:vAlign w:val="center"/>
          </w:tcPr>
          <w:p w:rsidR="00DD4F6F" w:rsidRPr="003F1F6C" w:rsidRDefault="00DD4F6F" w:rsidP="00852CB7">
            <w:pPr>
              <w:pStyle w:val="TableText"/>
              <w:jc w:val="center"/>
              <w:rPr>
                <w:rFonts w:cs="Arial"/>
                <w:b/>
                <w:color w:val="000000"/>
              </w:rPr>
            </w:pPr>
            <w:r w:rsidRPr="003F1F6C">
              <w:rPr>
                <w:rFonts w:cs="Arial"/>
                <w:b/>
                <w:color w:val="000000"/>
              </w:rPr>
              <w:t>$</w:t>
            </w:r>
            <w:r w:rsidR="00D2014F">
              <w:rPr>
                <w:rFonts w:cs="Arial"/>
                <w:b/>
                <w:noProof/>
                <w:color w:val="00000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BF31EB">
            <w:pPr>
              <w:pStyle w:val="TableText"/>
              <w:jc w:val="center"/>
              <w:rPr>
                <w:rFonts w:cs="Arial"/>
                <w:b/>
                <w:color w:val="000000"/>
              </w:rPr>
            </w:pPr>
            <w:r w:rsidRPr="003F1F6C">
              <w:rPr>
                <w:rFonts w:cs="Arial"/>
                <w:b/>
                <w:color w:val="000000"/>
              </w:rPr>
              <w:t>0.455</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tcPr>
          <w:p w:rsidR="00DD4F6F" w:rsidRPr="003F1F6C" w:rsidRDefault="00DD4F6F" w:rsidP="00CE5B76">
            <w:pPr>
              <w:pStyle w:val="TableText"/>
              <w:jc w:val="center"/>
              <w:rPr>
                <w:rFonts w:cs="Arial"/>
                <w:b/>
                <w:color w:val="000000"/>
              </w:rPr>
            </w:pPr>
            <w:r w:rsidRPr="003F1F6C">
              <w:rPr>
                <w:rFonts w:cs="Arial"/>
                <w:b/>
                <w:color w:val="000000"/>
              </w:rPr>
              <w:t>$</w:t>
            </w:r>
            <w:r w:rsidR="00D2014F">
              <w:rPr>
                <w:rFonts w:cs="Arial"/>
                <w:b/>
                <w:noProof/>
                <w:color w:val="000000"/>
                <w:highlight w:val="black"/>
              </w:rPr>
              <w:t>'''''''''''</w:t>
            </w:r>
          </w:p>
        </w:tc>
      </w:tr>
    </w:tbl>
    <w:p w:rsidR="00DD4F6F" w:rsidRPr="003F1F6C" w:rsidRDefault="00DD4F6F" w:rsidP="00780E4D">
      <w:pPr>
        <w:pStyle w:val="TableFooter"/>
        <w:keepNext/>
        <w:widowControl/>
      </w:pPr>
      <w:r w:rsidRPr="003F1F6C">
        <w:t>Source: constructed during the evaluation using ‘</w:t>
      </w:r>
      <w:proofErr w:type="spellStart"/>
      <w:r w:rsidRPr="003F1F6C">
        <w:t>Somatuline</w:t>
      </w:r>
      <w:proofErr w:type="spellEnd"/>
      <w:r w:rsidRPr="003F1F6C">
        <w:t xml:space="preserve"> </w:t>
      </w:r>
      <w:proofErr w:type="spellStart"/>
      <w:r w:rsidRPr="003F1F6C">
        <w:t>Autogel</w:t>
      </w:r>
      <w:proofErr w:type="spellEnd"/>
      <w:r w:rsidRPr="003F1F6C">
        <w:t xml:space="preserve"> – Economic Evaluation workbook’ spreadsheet provided with the resubmission and ‘</w:t>
      </w:r>
      <w:proofErr w:type="spellStart"/>
      <w:r w:rsidRPr="003F1F6C">
        <w:t>Somatuline</w:t>
      </w:r>
      <w:proofErr w:type="spellEnd"/>
      <w:r w:rsidRPr="003F1F6C">
        <w:t xml:space="preserve"> </w:t>
      </w:r>
      <w:proofErr w:type="spellStart"/>
      <w:r w:rsidRPr="003F1F6C">
        <w:t>Autogel</w:t>
      </w:r>
      <w:proofErr w:type="spellEnd"/>
      <w:r w:rsidRPr="003F1F6C">
        <w:t xml:space="preserve"> – Economic Model </w:t>
      </w:r>
      <w:r w:rsidRPr="009F6A92">
        <w:t>(Section D)’</w:t>
      </w:r>
      <w:r w:rsidRPr="003F1F6C">
        <w:t xml:space="preserve"> provided with the November 2016 submission</w:t>
      </w:r>
    </w:p>
    <w:p w:rsidR="00B25487" w:rsidRDefault="001E14F2" w:rsidP="00C44233">
      <w:pPr>
        <w:pStyle w:val="ESnumberedpara"/>
        <w:ind w:left="567" w:hanging="567"/>
      </w:pPr>
      <w:r w:rsidRPr="003F1F6C">
        <w:t xml:space="preserve">The main drivers of the difference between </w:t>
      </w:r>
      <w:r w:rsidR="00E15E91">
        <w:t xml:space="preserve">the November 2016 and July 2017 </w:t>
      </w:r>
      <w:r w:rsidRPr="003F1F6C">
        <w:t xml:space="preserve">model results are the inclusion of a </w:t>
      </w:r>
      <w:r w:rsidR="00D2014F">
        <w:rPr>
          <w:noProof/>
          <w:color w:val="000000"/>
          <w:highlight w:val="black"/>
        </w:rPr>
        <w:t>'''''</w:t>
      </w:r>
      <w:r w:rsidRPr="003F1F6C">
        <w:t xml:space="preserve">% price </w:t>
      </w:r>
      <w:r w:rsidRPr="00E15E91">
        <w:t xml:space="preserve">discount for </w:t>
      </w:r>
      <w:proofErr w:type="spellStart"/>
      <w:r w:rsidRPr="00E15E91">
        <w:t>lanreotide</w:t>
      </w:r>
      <w:proofErr w:type="spellEnd"/>
      <w:r w:rsidRPr="00E15E91">
        <w:t xml:space="preserve"> and changes to post-progression treatment costs</w:t>
      </w:r>
      <w:r w:rsidR="00BE2C07" w:rsidRPr="00E15E91">
        <w:t>.</w:t>
      </w:r>
      <w:r w:rsidR="00A52CE8" w:rsidRPr="00936D42">
        <w:t xml:space="preserve"> </w:t>
      </w:r>
      <w:r w:rsidR="00B25487" w:rsidRPr="00DB5703">
        <w:t xml:space="preserve">The results of key sensitivity analyses are summarised </w:t>
      </w:r>
      <w:r w:rsidR="00DB5703">
        <w:t>in Table 10</w:t>
      </w:r>
      <w:r w:rsidR="00B25487" w:rsidRPr="00DB5703">
        <w:t>.</w:t>
      </w:r>
    </w:p>
    <w:p w:rsidR="0097752E" w:rsidRDefault="0097752E" w:rsidP="0097752E">
      <w:pPr>
        <w:pStyle w:val="Caption"/>
      </w:pPr>
      <w:r>
        <w:t xml:space="preserve">Table </w:t>
      </w:r>
      <w:r>
        <w:rPr>
          <w:noProof/>
        </w:rPr>
        <w:t>10</w:t>
      </w:r>
      <w:r w:rsidRPr="00605721">
        <w:t>: Results of key sensitivity analyses</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043"/>
        <w:gridCol w:w="1337"/>
        <w:gridCol w:w="1337"/>
        <w:gridCol w:w="1338"/>
      </w:tblGrid>
      <w:tr w:rsidR="00857572" w:rsidRPr="003F1F6C" w:rsidTr="0075028D">
        <w:trPr>
          <w:tblHeader/>
        </w:trPr>
        <w:tc>
          <w:tcPr>
            <w:tcW w:w="2785" w:type="pct"/>
            <w:shd w:val="clear" w:color="auto" w:fill="auto"/>
            <w:vAlign w:val="center"/>
          </w:tcPr>
          <w:p w:rsidR="00857572" w:rsidRPr="003F1F6C" w:rsidRDefault="00857572" w:rsidP="00BF31EB">
            <w:pPr>
              <w:pStyle w:val="TableText"/>
              <w:rPr>
                <w:b/>
              </w:rPr>
            </w:pPr>
          </w:p>
        </w:tc>
        <w:tc>
          <w:tcPr>
            <w:tcW w:w="738" w:type="pct"/>
            <w:shd w:val="clear" w:color="auto" w:fill="auto"/>
            <w:vAlign w:val="center"/>
          </w:tcPr>
          <w:p w:rsidR="00857572" w:rsidRPr="003F1F6C" w:rsidRDefault="00857572" w:rsidP="00CE5B76">
            <w:pPr>
              <w:pStyle w:val="TableText"/>
              <w:jc w:val="center"/>
              <w:rPr>
                <w:b/>
              </w:rPr>
            </w:pPr>
            <w:r w:rsidRPr="003F1F6C">
              <w:rPr>
                <w:b/>
              </w:rPr>
              <w:t>Incremental</w:t>
            </w:r>
          </w:p>
          <w:p w:rsidR="00857572" w:rsidRPr="003F1F6C" w:rsidRDefault="00857572" w:rsidP="00CE5B76">
            <w:pPr>
              <w:pStyle w:val="TableText"/>
              <w:jc w:val="center"/>
              <w:rPr>
                <w:b/>
              </w:rPr>
            </w:pPr>
            <w:r w:rsidRPr="003F1F6C">
              <w:rPr>
                <w:b/>
              </w:rPr>
              <w:t>costs</w:t>
            </w:r>
          </w:p>
        </w:tc>
        <w:tc>
          <w:tcPr>
            <w:tcW w:w="738" w:type="pct"/>
            <w:shd w:val="clear" w:color="auto" w:fill="auto"/>
            <w:vAlign w:val="center"/>
          </w:tcPr>
          <w:p w:rsidR="00857572" w:rsidRPr="003F1F6C" w:rsidRDefault="00857572" w:rsidP="00CE5B76">
            <w:pPr>
              <w:pStyle w:val="TableText"/>
              <w:jc w:val="center"/>
              <w:rPr>
                <w:b/>
              </w:rPr>
            </w:pPr>
            <w:r w:rsidRPr="003F1F6C">
              <w:rPr>
                <w:b/>
              </w:rPr>
              <w:t>Incremental</w:t>
            </w:r>
          </w:p>
          <w:p w:rsidR="00857572" w:rsidRPr="003F1F6C" w:rsidRDefault="00857572" w:rsidP="00CE5B76">
            <w:pPr>
              <w:pStyle w:val="TableText"/>
              <w:jc w:val="center"/>
              <w:rPr>
                <w:b/>
              </w:rPr>
            </w:pPr>
            <w:r w:rsidRPr="003F1F6C">
              <w:rPr>
                <w:b/>
              </w:rPr>
              <w:t>QALYs</w:t>
            </w:r>
          </w:p>
        </w:tc>
        <w:tc>
          <w:tcPr>
            <w:tcW w:w="739" w:type="pct"/>
            <w:shd w:val="clear" w:color="auto" w:fill="auto"/>
            <w:vAlign w:val="center"/>
          </w:tcPr>
          <w:p w:rsidR="00857572" w:rsidRPr="003F1F6C" w:rsidRDefault="00857572" w:rsidP="00CE5B76">
            <w:pPr>
              <w:pStyle w:val="TableText"/>
              <w:jc w:val="center"/>
              <w:rPr>
                <w:b/>
              </w:rPr>
            </w:pPr>
            <w:r w:rsidRPr="003F1F6C">
              <w:rPr>
                <w:b/>
              </w:rPr>
              <w:t>ICER</w:t>
            </w:r>
          </w:p>
        </w:tc>
      </w:tr>
      <w:tr w:rsidR="00857572" w:rsidRPr="003F1F6C" w:rsidTr="0075028D">
        <w:tc>
          <w:tcPr>
            <w:tcW w:w="5000" w:type="pct"/>
            <w:gridSpan w:val="4"/>
            <w:shd w:val="clear" w:color="auto" w:fill="auto"/>
            <w:vAlign w:val="center"/>
          </w:tcPr>
          <w:p w:rsidR="00857572" w:rsidRPr="003F1F6C" w:rsidRDefault="00857572" w:rsidP="00C44233">
            <w:pPr>
              <w:pStyle w:val="TableText"/>
              <w:jc w:val="left"/>
              <w:rPr>
                <w:b/>
              </w:rPr>
            </w:pPr>
            <w:r w:rsidRPr="003F1F6C">
              <w:rPr>
                <w:b/>
              </w:rPr>
              <w:t>Univariate analyses</w:t>
            </w:r>
          </w:p>
        </w:tc>
      </w:tr>
      <w:tr w:rsidR="00857572" w:rsidRPr="003F1F6C" w:rsidTr="0075028D">
        <w:tc>
          <w:tcPr>
            <w:tcW w:w="2785" w:type="pct"/>
            <w:shd w:val="clear" w:color="auto" w:fill="auto"/>
            <w:vAlign w:val="center"/>
          </w:tcPr>
          <w:p w:rsidR="00857572" w:rsidRPr="003F1F6C" w:rsidRDefault="00857572" w:rsidP="00C44233">
            <w:pPr>
              <w:pStyle w:val="TableText"/>
            </w:pPr>
            <w:r w:rsidRPr="003F1F6C">
              <w:t>Base case</w:t>
            </w:r>
          </w:p>
        </w:tc>
        <w:tc>
          <w:tcPr>
            <w:tcW w:w="738" w:type="pct"/>
            <w:shd w:val="clear" w:color="auto" w:fill="auto"/>
            <w:vAlign w:val="center"/>
          </w:tcPr>
          <w:p w:rsidR="00857572" w:rsidRPr="003F1F6C" w:rsidRDefault="00857572" w:rsidP="00852CB7">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w:t>
            </w:r>
            <w:r w:rsidR="00D2014F">
              <w:rPr>
                <w:rFonts w:ascii="Arial Narrow" w:hAnsi="Arial Narrow"/>
                <w:noProof/>
                <w:color w:val="000000"/>
                <w:sz w:val="20"/>
                <w:szCs w:val="20"/>
                <w:highlight w:val="black"/>
              </w:rPr>
              <w:t>'''''''''''''</w:t>
            </w:r>
          </w:p>
        </w:tc>
        <w:tc>
          <w:tcPr>
            <w:tcW w:w="738" w:type="pct"/>
            <w:shd w:val="clear" w:color="auto" w:fill="auto"/>
            <w:vAlign w:val="center"/>
          </w:tcPr>
          <w:p w:rsidR="00857572" w:rsidRPr="003F1F6C" w:rsidRDefault="00857572" w:rsidP="00BF31EB">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0.455</w:t>
            </w:r>
          </w:p>
        </w:tc>
        <w:tc>
          <w:tcPr>
            <w:tcW w:w="739" w:type="pct"/>
            <w:shd w:val="clear" w:color="auto" w:fill="auto"/>
            <w:vAlign w:val="center"/>
          </w:tcPr>
          <w:p w:rsidR="00857572" w:rsidRPr="003F1F6C" w:rsidRDefault="00857572" w:rsidP="00CE5B76">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w:t>
            </w:r>
            <w:r w:rsidR="00D2014F">
              <w:rPr>
                <w:rFonts w:ascii="Arial Narrow" w:hAnsi="Arial Narrow"/>
                <w:noProof/>
                <w:color w:val="000000"/>
                <w:sz w:val="2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pPr>
            <w:r w:rsidRPr="003F1F6C">
              <w:t>Time horizon 10 years</w:t>
            </w:r>
          </w:p>
        </w:tc>
        <w:tc>
          <w:tcPr>
            <w:tcW w:w="738" w:type="pct"/>
            <w:tcBorders>
              <w:bottom w:val="single" w:sz="4" w:space="0" w:color="auto"/>
            </w:tcBorders>
            <w:shd w:val="clear" w:color="auto" w:fill="auto"/>
            <w:vAlign w:val="center"/>
          </w:tcPr>
          <w:p w:rsidR="00857572" w:rsidRPr="003F1F6C" w:rsidRDefault="00857572" w:rsidP="00852CB7">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w:t>
            </w:r>
            <w:r w:rsidR="00D2014F">
              <w:rPr>
                <w:rFonts w:ascii="Arial Narrow" w:hAnsi="Arial Narrow"/>
                <w:noProof/>
                <w:color w:val="000000"/>
                <w:sz w:val="20"/>
                <w:szCs w:val="20"/>
                <w:highlight w:val="black"/>
              </w:rPr>
              <w:t>'''''''''''''</w:t>
            </w:r>
          </w:p>
        </w:tc>
        <w:tc>
          <w:tcPr>
            <w:tcW w:w="738" w:type="pct"/>
            <w:tcBorders>
              <w:bottom w:val="single" w:sz="4" w:space="0" w:color="auto"/>
            </w:tcBorders>
            <w:shd w:val="clear" w:color="auto" w:fill="auto"/>
            <w:vAlign w:val="center"/>
          </w:tcPr>
          <w:p w:rsidR="00857572" w:rsidRPr="003F1F6C" w:rsidRDefault="00857572" w:rsidP="00BF31EB">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0.334</w:t>
            </w:r>
          </w:p>
        </w:tc>
        <w:tc>
          <w:tcPr>
            <w:tcW w:w="739" w:type="pct"/>
            <w:tcBorders>
              <w:bottom w:val="single" w:sz="4" w:space="0" w:color="auto"/>
            </w:tcBorders>
            <w:shd w:val="clear" w:color="auto" w:fill="auto"/>
            <w:vAlign w:val="center"/>
          </w:tcPr>
          <w:p w:rsidR="00857572" w:rsidRPr="003F1F6C" w:rsidRDefault="00857572" w:rsidP="00CE5B76">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w:t>
            </w:r>
            <w:r w:rsidR="00D2014F">
              <w:rPr>
                <w:rFonts w:ascii="Arial Narrow" w:hAnsi="Arial Narrow"/>
                <w:noProof/>
                <w:color w:val="000000"/>
                <w:sz w:val="2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pPr>
            <w:r w:rsidRPr="003F1F6C">
              <w:t>Time horizon 15 years</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w:t>
            </w:r>
            <w:r w:rsidR="00D2014F">
              <w:rPr>
                <w:rFonts w:ascii="Arial Narrow" w:hAnsi="Arial Narrow"/>
                <w:noProof/>
                <w:color w:val="000000"/>
                <w:sz w:val="2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0.412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CE5B76">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w:t>
            </w:r>
            <w:r w:rsidR="00D2014F">
              <w:rPr>
                <w:rFonts w:ascii="Arial Narrow" w:hAnsi="Arial Narrow"/>
                <w:noProof/>
                <w:color w:val="000000"/>
                <w:sz w:val="2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pPr>
            <w:r w:rsidRPr="003F1F6C">
              <w:t>PFS modelled using Weibull distribution</w:t>
            </w:r>
          </w:p>
        </w:tc>
        <w:tc>
          <w:tcPr>
            <w:tcW w:w="738" w:type="pct"/>
            <w:shd w:val="clear" w:color="auto" w:fill="auto"/>
            <w:vAlign w:val="center"/>
          </w:tcPr>
          <w:p w:rsidR="00857572" w:rsidRPr="003F1F6C" w:rsidRDefault="00857572" w:rsidP="00852CB7">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w:t>
            </w:r>
            <w:r w:rsidR="00D2014F">
              <w:rPr>
                <w:rFonts w:ascii="Arial Narrow" w:hAnsi="Arial Narrow"/>
                <w:noProof/>
                <w:color w:val="000000"/>
                <w:sz w:val="20"/>
                <w:szCs w:val="20"/>
                <w:highlight w:val="black"/>
              </w:rPr>
              <w:t>'''''''''''''''''</w:t>
            </w:r>
          </w:p>
        </w:tc>
        <w:tc>
          <w:tcPr>
            <w:tcW w:w="738" w:type="pct"/>
            <w:shd w:val="clear" w:color="auto" w:fill="auto"/>
            <w:vAlign w:val="center"/>
          </w:tcPr>
          <w:p w:rsidR="00857572" w:rsidRPr="003F1F6C" w:rsidRDefault="00857572" w:rsidP="00BF31EB">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0.282</w:t>
            </w:r>
          </w:p>
        </w:tc>
        <w:tc>
          <w:tcPr>
            <w:tcW w:w="739" w:type="pct"/>
            <w:shd w:val="clear" w:color="auto" w:fill="auto"/>
            <w:vAlign w:val="center"/>
          </w:tcPr>
          <w:p w:rsidR="00857572" w:rsidRPr="003F1F6C" w:rsidRDefault="00857572" w:rsidP="00CE5B76">
            <w:pPr>
              <w:keepNext/>
              <w:spacing w:before="40" w:after="40"/>
              <w:jc w:val="center"/>
              <w:rPr>
                <w:rFonts w:ascii="Arial Narrow" w:hAnsi="Arial Narrow"/>
                <w:color w:val="000000"/>
                <w:sz w:val="20"/>
                <w:szCs w:val="20"/>
              </w:rPr>
            </w:pPr>
            <w:r w:rsidRPr="003F1F6C">
              <w:rPr>
                <w:rFonts w:ascii="Arial Narrow" w:hAnsi="Arial Narrow"/>
                <w:color w:val="000000"/>
                <w:sz w:val="20"/>
                <w:szCs w:val="20"/>
              </w:rPr>
              <w:t>$</w:t>
            </w:r>
            <w:r w:rsidR="00D2014F">
              <w:rPr>
                <w:rFonts w:ascii="Arial Narrow" w:hAnsi="Arial Narrow"/>
                <w:noProof/>
                <w:color w:val="000000"/>
                <w:sz w:val="20"/>
                <w:szCs w:val="20"/>
                <w:highlight w:val="black"/>
              </w:rPr>
              <w:t>''''''''''''''''</w:t>
            </w:r>
          </w:p>
        </w:tc>
      </w:tr>
      <w:tr w:rsidR="00857572" w:rsidRPr="003F1F6C" w:rsidTr="0075028D">
        <w:tc>
          <w:tcPr>
            <w:tcW w:w="2785" w:type="pct"/>
            <w:tcBorders>
              <w:top w:val="single" w:sz="4" w:space="0" w:color="auto"/>
              <w:bottom w:val="single" w:sz="4" w:space="0" w:color="auto"/>
              <w:right w:val="single" w:sz="4" w:space="0" w:color="auto"/>
            </w:tcBorders>
            <w:shd w:val="clear" w:color="auto" w:fill="auto"/>
            <w:vAlign w:val="center"/>
          </w:tcPr>
          <w:p w:rsidR="00857572" w:rsidRPr="003F1F6C" w:rsidRDefault="00803FC0" w:rsidP="00C44233">
            <w:pPr>
              <w:pStyle w:val="TableText"/>
            </w:pPr>
            <w:r>
              <w:t>OS</w:t>
            </w:r>
            <w:r w:rsidR="00857572" w:rsidRPr="003F1F6C">
              <w:t xml:space="preserve"> modelled using epidemiology data (Yao, 2008)</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CE5B76">
            <w:pPr>
              <w:pStyle w:val="TableText"/>
              <w:jc w:val="center"/>
              <w:rPr>
                <w:color w:val="000000"/>
                <w:szCs w:val="20"/>
              </w:rPr>
            </w:pPr>
            <w:proofErr w:type="spellStart"/>
            <w:r w:rsidRPr="003F1F6C">
              <w:rPr>
                <w:color w:val="000000"/>
                <w:szCs w:val="20"/>
              </w:rPr>
              <w:t>Lanreotide</w:t>
            </w:r>
            <w:proofErr w:type="spellEnd"/>
            <w:r w:rsidRPr="003F1F6C">
              <w:rPr>
                <w:color w:val="000000"/>
                <w:szCs w:val="20"/>
              </w:rPr>
              <w:t xml:space="preserve"> dominant</w:t>
            </w:r>
          </w:p>
        </w:tc>
      </w:tr>
      <w:tr w:rsidR="00857572" w:rsidRPr="003F1F6C" w:rsidTr="0075028D">
        <w:tc>
          <w:tcPr>
            <w:tcW w:w="2785" w:type="pct"/>
            <w:tcBorders>
              <w:top w:val="single" w:sz="4" w:space="0" w:color="auto"/>
            </w:tcBorders>
            <w:shd w:val="clear" w:color="auto" w:fill="auto"/>
            <w:vAlign w:val="center"/>
          </w:tcPr>
          <w:p w:rsidR="00857572" w:rsidRPr="003F1F6C" w:rsidRDefault="00857572" w:rsidP="00C44233">
            <w:pPr>
              <w:pStyle w:val="TableText"/>
            </w:pPr>
            <w:r w:rsidRPr="003F1F6C">
              <w:t xml:space="preserve">Using SPAs for </w:t>
            </w:r>
            <w:proofErr w:type="spellStart"/>
            <w:r w:rsidRPr="003F1F6C">
              <w:t>everolimus</w:t>
            </w:r>
            <w:proofErr w:type="spellEnd"/>
            <w:r w:rsidRPr="003F1F6C">
              <w:t xml:space="preserve"> and </w:t>
            </w:r>
            <w:proofErr w:type="spellStart"/>
            <w:r w:rsidRPr="003F1F6C">
              <w:t>sunitinib</w:t>
            </w:r>
            <w:proofErr w:type="spellEnd"/>
            <w:r w:rsidRPr="003F1F6C">
              <w:t xml:space="preserve"> post-progression treatments</w:t>
            </w:r>
          </w:p>
        </w:tc>
        <w:tc>
          <w:tcPr>
            <w:tcW w:w="738" w:type="pct"/>
            <w:tcBorders>
              <w:top w:val="single" w:sz="4" w:space="0" w:color="auto"/>
              <w:left w:val="nil"/>
              <w:bottom w:val="single" w:sz="4" w:space="0" w:color="auto"/>
              <w:right w:val="single" w:sz="4" w:space="0" w:color="auto"/>
            </w:tcBorders>
            <w:shd w:val="clear" w:color="auto" w:fill="auto"/>
            <w:vAlign w:val="center"/>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r w:rsidR="00857572" w:rsidRPr="003F1F6C" w:rsidTr="0075028D">
        <w:tc>
          <w:tcPr>
            <w:tcW w:w="2785" w:type="pct"/>
            <w:tcBorders>
              <w:top w:val="single" w:sz="4" w:space="0" w:color="auto"/>
              <w:bottom w:val="single" w:sz="4" w:space="0" w:color="auto"/>
              <w:right w:val="single" w:sz="4" w:space="0" w:color="auto"/>
            </w:tcBorders>
            <w:shd w:val="clear" w:color="auto" w:fill="auto"/>
            <w:vAlign w:val="center"/>
          </w:tcPr>
          <w:p w:rsidR="00857572" w:rsidRPr="003F1F6C" w:rsidRDefault="00857572" w:rsidP="00C44233">
            <w:pPr>
              <w:pStyle w:val="TableText"/>
              <w:rPr>
                <w:rFonts w:cstheme="minorHAnsi"/>
                <w:szCs w:val="20"/>
              </w:rPr>
            </w:pPr>
            <w:r w:rsidRPr="003F1F6C">
              <w:rPr>
                <w:rFonts w:cstheme="minorHAnsi"/>
                <w:szCs w:val="20"/>
              </w:rPr>
              <w:t xml:space="preserve">No </w:t>
            </w:r>
            <w:proofErr w:type="spellStart"/>
            <w:r w:rsidRPr="003F1F6C">
              <w:rPr>
                <w:rFonts w:cstheme="minorHAnsi"/>
                <w:szCs w:val="20"/>
              </w:rPr>
              <w:t>everolimus</w:t>
            </w:r>
            <w:proofErr w:type="spellEnd"/>
            <w:r w:rsidRPr="003F1F6C">
              <w:rPr>
                <w:rFonts w:cstheme="minorHAnsi"/>
                <w:szCs w:val="20"/>
              </w:rPr>
              <w:t xml:space="preserve"> in the GI-NETs post-progression treatment sequences</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rPr>
                <w:rFonts w:cstheme="minorHAnsi"/>
                <w:szCs w:val="20"/>
              </w:rPr>
            </w:pPr>
            <w:r w:rsidRPr="003F1F6C">
              <w:rPr>
                <w:rFonts w:cstheme="minorHAnsi"/>
                <w:szCs w:val="20"/>
              </w:rPr>
              <w:t>Duration of last-line chemotherapy</w:t>
            </w:r>
            <w:r w:rsidRPr="003F1F6C">
              <w:rPr>
                <w:rFonts w:cstheme="minorHAnsi"/>
                <w:szCs w:val="20"/>
                <w:vertAlign w:val="superscript"/>
              </w:rPr>
              <w:t>1</w:t>
            </w:r>
            <w:r w:rsidRPr="003F1F6C">
              <w:rPr>
                <w:rFonts w:cstheme="minorHAnsi"/>
                <w:szCs w:val="20"/>
              </w:rPr>
              <w:t xml:space="preserve"> 5 years (base case until death)</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r w:rsidR="00857572" w:rsidRPr="003F1F6C" w:rsidTr="0075028D">
        <w:tc>
          <w:tcPr>
            <w:tcW w:w="5000" w:type="pct"/>
            <w:gridSpan w:val="4"/>
            <w:tcBorders>
              <w:right w:val="single" w:sz="4" w:space="0" w:color="auto"/>
            </w:tcBorders>
            <w:shd w:val="clear" w:color="auto" w:fill="auto"/>
            <w:vAlign w:val="center"/>
          </w:tcPr>
          <w:p w:rsidR="00857572" w:rsidRPr="003F1F6C" w:rsidRDefault="00857572" w:rsidP="00C44233">
            <w:pPr>
              <w:pStyle w:val="TableText"/>
              <w:jc w:val="left"/>
              <w:rPr>
                <w:color w:val="000000"/>
                <w:szCs w:val="20"/>
              </w:rPr>
            </w:pPr>
            <w:r w:rsidRPr="003F1F6C">
              <w:rPr>
                <w:szCs w:val="20"/>
              </w:rPr>
              <w:t xml:space="preserve">Post-progression </w:t>
            </w:r>
            <w:proofErr w:type="spellStart"/>
            <w:r w:rsidRPr="003F1F6C">
              <w:rPr>
                <w:szCs w:val="20"/>
              </w:rPr>
              <w:t>lanreotide</w:t>
            </w:r>
            <w:proofErr w:type="spellEnd"/>
            <w:r w:rsidRPr="003F1F6C">
              <w:rPr>
                <w:szCs w:val="20"/>
              </w:rPr>
              <w:t xml:space="preserve"> use [base case: </w:t>
            </w:r>
            <w:proofErr w:type="spellStart"/>
            <w:r w:rsidRPr="003F1F6C">
              <w:rPr>
                <w:szCs w:val="20"/>
              </w:rPr>
              <w:t>lanreotide</w:t>
            </w:r>
            <w:proofErr w:type="spellEnd"/>
            <w:r w:rsidRPr="003F1F6C">
              <w:rPr>
                <w:szCs w:val="20"/>
              </w:rPr>
              <w:t xml:space="preserve"> 48%; placebo </w:t>
            </w:r>
            <w:r w:rsidRPr="00780E4D">
              <w:rPr>
                <w:szCs w:val="20"/>
              </w:rPr>
              <w:t>30%</w:t>
            </w:r>
            <w:r w:rsidRPr="003F1F6C">
              <w:rPr>
                <w:szCs w:val="20"/>
              </w:rPr>
              <w:t>]</w:t>
            </w:r>
          </w:p>
        </w:tc>
      </w:tr>
      <w:tr w:rsidR="00857572" w:rsidRPr="003F1F6C" w:rsidTr="0075028D">
        <w:tc>
          <w:tcPr>
            <w:tcW w:w="2785" w:type="pct"/>
            <w:shd w:val="clear" w:color="auto" w:fill="auto"/>
            <w:vAlign w:val="center"/>
          </w:tcPr>
          <w:p w:rsidR="00857572" w:rsidRPr="003F1F6C" w:rsidRDefault="00857572" w:rsidP="00C44233">
            <w:pPr>
              <w:pStyle w:val="TableText"/>
              <w:rPr>
                <w:rFonts w:cstheme="minorHAnsi"/>
                <w:szCs w:val="20"/>
              </w:rPr>
            </w:pPr>
            <w:r w:rsidRPr="003F1F6C">
              <w:rPr>
                <w:szCs w:val="20"/>
              </w:rPr>
              <w:t xml:space="preserve">- </w:t>
            </w:r>
            <w:proofErr w:type="spellStart"/>
            <w:r w:rsidRPr="003F1F6C">
              <w:rPr>
                <w:szCs w:val="20"/>
              </w:rPr>
              <w:t>lanreotide</w:t>
            </w:r>
            <w:proofErr w:type="spellEnd"/>
            <w:r w:rsidRPr="003F1F6C">
              <w:rPr>
                <w:szCs w:val="20"/>
              </w:rPr>
              <w:t xml:space="preserve"> 100%; placebo 0%</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rPr>
                <w:rFonts w:cstheme="minorHAnsi"/>
                <w:szCs w:val="20"/>
              </w:rPr>
            </w:pPr>
            <w:r w:rsidRPr="003F1F6C">
              <w:rPr>
                <w:szCs w:val="20"/>
              </w:rPr>
              <w:t xml:space="preserve">- </w:t>
            </w:r>
            <w:proofErr w:type="spellStart"/>
            <w:r w:rsidRPr="003F1F6C">
              <w:rPr>
                <w:szCs w:val="20"/>
              </w:rPr>
              <w:t>lanreotide</w:t>
            </w:r>
            <w:proofErr w:type="spellEnd"/>
            <w:r w:rsidRPr="003F1F6C">
              <w:rPr>
                <w:szCs w:val="20"/>
              </w:rPr>
              <w:t xml:space="preserve"> 75%; placebo 0%</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rPr>
                <w:rFonts w:cstheme="minorHAnsi"/>
                <w:szCs w:val="20"/>
              </w:rPr>
            </w:pPr>
            <w:r w:rsidRPr="003F1F6C">
              <w:rPr>
                <w:szCs w:val="20"/>
              </w:rPr>
              <w:t xml:space="preserve">- </w:t>
            </w:r>
            <w:proofErr w:type="spellStart"/>
            <w:r w:rsidRPr="003F1F6C">
              <w:rPr>
                <w:szCs w:val="20"/>
              </w:rPr>
              <w:t>lanreotide</w:t>
            </w:r>
            <w:proofErr w:type="spellEnd"/>
            <w:r w:rsidRPr="003F1F6C">
              <w:rPr>
                <w:szCs w:val="20"/>
              </w:rPr>
              <w:t xml:space="preserve"> 50%; placebo 0%</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rPr>
                <w:rFonts w:cstheme="minorHAnsi"/>
                <w:szCs w:val="20"/>
              </w:rPr>
            </w:pPr>
            <w:r w:rsidRPr="003F1F6C">
              <w:rPr>
                <w:szCs w:val="20"/>
              </w:rPr>
              <w:t xml:space="preserve">- </w:t>
            </w:r>
            <w:proofErr w:type="spellStart"/>
            <w:r w:rsidRPr="003F1F6C">
              <w:rPr>
                <w:szCs w:val="20"/>
              </w:rPr>
              <w:t>lanreotide</w:t>
            </w:r>
            <w:proofErr w:type="spellEnd"/>
            <w:r w:rsidRPr="003F1F6C">
              <w:rPr>
                <w:szCs w:val="20"/>
              </w:rPr>
              <w:t xml:space="preserve"> 25%; placebo 0%</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rPr>
                <w:rFonts w:cstheme="minorHAnsi"/>
                <w:szCs w:val="20"/>
              </w:rPr>
            </w:pPr>
            <w:r w:rsidRPr="003F1F6C">
              <w:rPr>
                <w:szCs w:val="20"/>
              </w:rPr>
              <w:t xml:space="preserve">- </w:t>
            </w:r>
            <w:proofErr w:type="spellStart"/>
            <w:r w:rsidRPr="003F1F6C">
              <w:rPr>
                <w:szCs w:val="20"/>
              </w:rPr>
              <w:t>lanreotide</w:t>
            </w:r>
            <w:proofErr w:type="spellEnd"/>
            <w:r w:rsidRPr="003F1F6C">
              <w:rPr>
                <w:szCs w:val="20"/>
              </w:rPr>
              <w:t xml:space="preserve"> 0%; placebo 0%</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rPr>
                <w:rFonts w:cstheme="minorHAnsi"/>
                <w:szCs w:val="20"/>
              </w:rPr>
            </w:pPr>
            <w:r w:rsidRPr="003F1F6C">
              <w:rPr>
                <w:szCs w:val="20"/>
              </w:rPr>
              <w:t xml:space="preserve">- </w:t>
            </w:r>
            <w:proofErr w:type="spellStart"/>
            <w:r w:rsidRPr="003F1F6C">
              <w:rPr>
                <w:szCs w:val="20"/>
              </w:rPr>
              <w:t>lanreotide</w:t>
            </w:r>
            <w:proofErr w:type="spellEnd"/>
            <w:r w:rsidRPr="003F1F6C">
              <w:rPr>
                <w:szCs w:val="20"/>
              </w:rPr>
              <w:t xml:space="preserve"> 100%; placebo 25%</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rPr>
                <w:rFonts w:cstheme="minorHAnsi"/>
                <w:szCs w:val="20"/>
              </w:rPr>
            </w:pPr>
            <w:r w:rsidRPr="003F1F6C">
              <w:rPr>
                <w:szCs w:val="20"/>
              </w:rPr>
              <w:t xml:space="preserve">- </w:t>
            </w:r>
            <w:proofErr w:type="spellStart"/>
            <w:r w:rsidRPr="003F1F6C">
              <w:rPr>
                <w:szCs w:val="20"/>
              </w:rPr>
              <w:t>lanreotide</w:t>
            </w:r>
            <w:proofErr w:type="spellEnd"/>
            <w:r w:rsidRPr="003F1F6C">
              <w:rPr>
                <w:szCs w:val="20"/>
              </w:rPr>
              <w:t xml:space="preserve"> 100%; placebo 50%</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r w:rsidR="00857572" w:rsidRPr="003F1F6C" w:rsidTr="0075028D">
        <w:tc>
          <w:tcPr>
            <w:tcW w:w="2785" w:type="pct"/>
            <w:shd w:val="clear" w:color="auto" w:fill="auto"/>
            <w:vAlign w:val="center"/>
          </w:tcPr>
          <w:p w:rsidR="00857572" w:rsidRPr="003F1F6C" w:rsidRDefault="00857572" w:rsidP="00C44233">
            <w:pPr>
              <w:pStyle w:val="TableText"/>
              <w:rPr>
                <w:rFonts w:cstheme="minorHAnsi"/>
                <w:szCs w:val="20"/>
              </w:rPr>
            </w:pPr>
            <w:r w:rsidRPr="003F1F6C">
              <w:rPr>
                <w:szCs w:val="20"/>
              </w:rPr>
              <w:t xml:space="preserve">- </w:t>
            </w:r>
            <w:proofErr w:type="spellStart"/>
            <w:r w:rsidRPr="003F1F6C">
              <w:rPr>
                <w:szCs w:val="20"/>
              </w:rPr>
              <w:t>lanreotide</w:t>
            </w:r>
            <w:proofErr w:type="spellEnd"/>
            <w:r w:rsidRPr="003F1F6C">
              <w:rPr>
                <w:szCs w:val="20"/>
              </w:rPr>
              <w:t xml:space="preserve"> 100%; placebo 75%</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CE5B76">
            <w:pPr>
              <w:pStyle w:val="TableText"/>
              <w:jc w:val="center"/>
              <w:rPr>
                <w:color w:val="000000"/>
                <w:szCs w:val="20"/>
              </w:rPr>
            </w:pPr>
            <w:proofErr w:type="spellStart"/>
            <w:r w:rsidRPr="003F1F6C">
              <w:rPr>
                <w:color w:val="000000"/>
                <w:szCs w:val="20"/>
              </w:rPr>
              <w:t>Lanreotide</w:t>
            </w:r>
            <w:proofErr w:type="spellEnd"/>
            <w:r w:rsidRPr="003F1F6C">
              <w:rPr>
                <w:color w:val="000000"/>
                <w:szCs w:val="20"/>
              </w:rPr>
              <w:t xml:space="preserve"> dominant</w:t>
            </w:r>
          </w:p>
        </w:tc>
      </w:tr>
      <w:tr w:rsidR="00857572" w:rsidRPr="003F1F6C" w:rsidTr="0075028D">
        <w:tc>
          <w:tcPr>
            <w:tcW w:w="2785" w:type="pct"/>
            <w:shd w:val="clear" w:color="auto" w:fill="auto"/>
            <w:vAlign w:val="center"/>
          </w:tcPr>
          <w:p w:rsidR="00857572" w:rsidRPr="003F1F6C" w:rsidRDefault="00857572" w:rsidP="00C44233">
            <w:pPr>
              <w:pStyle w:val="TableText"/>
              <w:rPr>
                <w:rFonts w:cstheme="minorHAnsi"/>
                <w:szCs w:val="20"/>
              </w:rPr>
            </w:pPr>
            <w:r w:rsidRPr="003F1F6C">
              <w:rPr>
                <w:szCs w:val="20"/>
              </w:rPr>
              <w:t xml:space="preserve">- </w:t>
            </w:r>
            <w:proofErr w:type="spellStart"/>
            <w:r w:rsidRPr="003F1F6C">
              <w:rPr>
                <w:szCs w:val="20"/>
              </w:rPr>
              <w:t>lanreotide</w:t>
            </w:r>
            <w:proofErr w:type="spellEnd"/>
            <w:r w:rsidRPr="003F1F6C">
              <w:rPr>
                <w:szCs w:val="20"/>
              </w:rPr>
              <w:t xml:space="preserve"> 100%; placebo 100%</w:t>
            </w:r>
          </w:p>
        </w:tc>
        <w:tc>
          <w:tcPr>
            <w:tcW w:w="738" w:type="pct"/>
            <w:tcBorders>
              <w:top w:val="single" w:sz="4" w:space="0" w:color="auto"/>
              <w:left w:val="nil"/>
              <w:bottom w:val="single" w:sz="4" w:space="0" w:color="auto"/>
              <w:right w:val="single" w:sz="4" w:space="0" w:color="auto"/>
            </w:tcBorders>
            <w:shd w:val="clear" w:color="auto" w:fill="auto"/>
            <w:vAlign w:val="bottom"/>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CE5B76">
            <w:pPr>
              <w:pStyle w:val="TableText"/>
              <w:jc w:val="center"/>
              <w:rPr>
                <w:color w:val="000000"/>
                <w:szCs w:val="20"/>
              </w:rPr>
            </w:pPr>
            <w:proofErr w:type="spellStart"/>
            <w:r w:rsidRPr="003F1F6C">
              <w:rPr>
                <w:color w:val="000000"/>
                <w:szCs w:val="20"/>
              </w:rPr>
              <w:t>Lanreotide</w:t>
            </w:r>
            <w:proofErr w:type="spellEnd"/>
            <w:r w:rsidRPr="003F1F6C">
              <w:rPr>
                <w:color w:val="000000"/>
                <w:szCs w:val="20"/>
              </w:rPr>
              <w:t xml:space="preserve"> dominant</w:t>
            </w:r>
          </w:p>
        </w:tc>
      </w:tr>
      <w:tr w:rsidR="00857572" w:rsidRPr="003F1F6C" w:rsidTr="0075028D">
        <w:tc>
          <w:tcPr>
            <w:tcW w:w="5000" w:type="pct"/>
            <w:gridSpan w:val="4"/>
            <w:shd w:val="clear" w:color="auto" w:fill="auto"/>
            <w:vAlign w:val="center"/>
          </w:tcPr>
          <w:p w:rsidR="00857572" w:rsidRPr="003F1F6C" w:rsidRDefault="00857572" w:rsidP="00C44233">
            <w:pPr>
              <w:pStyle w:val="TableText"/>
              <w:jc w:val="left"/>
              <w:rPr>
                <w:b/>
                <w:color w:val="000000"/>
                <w:szCs w:val="20"/>
              </w:rPr>
            </w:pPr>
            <w:r w:rsidRPr="003F1F6C">
              <w:rPr>
                <w:b/>
              </w:rPr>
              <w:t>Multivariate analysis</w:t>
            </w:r>
          </w:p>
        </w:tc>
      </w:tr>
      <w:tr w:rsidR="00857572" w:rsidRPr="003F1F6C" w:rsidTr="0075028D">
        <w:tc>
          <w:tcPr>
            <w:tcW w:w="2785" w:type="pct"/>
          </w:tcPr>
          <w:p w:rsidR="00857572" w:rsidRPr="003F1F6C" w:rsidRDefault="00857572" w:rsidP="00C44233">
            <w:pPr>
              <w:pStyle w:val="TableText"/>
            </w:pPr>
            <w:r w:rsidRPr="003F1F6C">
              <w:t xml:space="preserve">No </w:t>
            </w:r>
            <w:proofErr w:type="spellStart"/>
            <w:r w:rsidRPr="003F1F6C">
              <w:t>everolimus</w:t>
            </w:r>
            <w:proofErr w:type="spellEnd"/>
            <w:r w:rsidRPr="003F1F6C">
              <w:t xml:space="preserve"> in GI-NET treatment sequences; effective prices used for </w:t>
            </w:r>
            <w:proofErr w:type="spellStart"/>
            <w:r w:rsidRPr="003F1F6C">
              <w:t>everolimus</w:t>
            </w:r>
            <w:proofErr w:type="spellEnd"/>
            <w:r w:rsidRPr="003F1F6C">
              <w:t xml:space="preserve"> and </w:t>
            </w:r>
            <w:proofErr w:type="spellStart"/>
            <w:r w:rsidRPr="003F1F6C">
              <w:t>sunitinib</w:t>
            </w:r>
            <w:proofErr w:type="spellEnd"/>
          </w:p>
        </w:tc>
        <w:tc>
          <w:tcPr>
            <w:tcW w:w="738" w:type="pct"/>
            <w:tcBorders>
              <w:top w:val="single" w:sz="4" w:space="0" w:color="auto"/>
              <w:left w:val="nil"/>
              <w:bottom w:val="single" w:sz="4" w:space="0" w:color="auto"/>
              <w:right w:val="single" w:sz="4" w:space="0" w:color="auto"/>
            </w:tcBorders>
            <w:shd w:val="clear" w:color="auto" w:fill="auto"/>
            <w:vAlign w:val="center"/>
          </w:tcPr>
          <w:p w:rsidR="00857572" w:rsidRPr="003F1F6C" w:rsidRDefault="00857572" w:rsidP="00852CB7">
            <w:pPr>
              <w:pStyle w:val="TableText"/>
              <w:jc w:val="center"/>
              <w:rPr>
                <w:color w:val="000000"/>
                <w:szCs w:val="20"/>
              </w:rPr>
            </w:pPr>
            <w:r w:rsidRPr="003F1F6C">
              <w:rPr>
                <w:color w:val="000000"/>
                <w:szCs w:val="20"/>
              </w:rPr>
              <w:t>$</w:t>
            </w:r>
            <w:r w:rsidR="00D2014F">
              <w:rPr>
                <w:noProof/>
                <w:color w:val="000000"/>
                <w:szCs w:val="20"/>
                <w:highlight w:val="black"/>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BF31EB">
            <w:pPr>
              <w:pStyle w:val="TableText"/>
              <w:jc w:val="center"/>
              <w:rPr>
                <w:color w:val="000000"/>
                <w:szCs w:val="20"/>
              </w:rPr>
            </w:pPr>
            <w:r w:rsidRPr="003F1F6C">
              <w:rPr>
                <w:color w:val="000000"/>
                <w:szCs w:val="20"/>
              </w:rPr>
              <w:t>0.455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857572" w:rsidRPr="003F1F6C" w:rsidRDefault="00857572" w:rsidP="00CE5B76">
            <w:pPr>
              <w:pStyle w:val="TableText"/>
              <w:jc w:val="center"/>
              <w:rPr>
                <w:color w:val="000000"/>
                <w:szCs w:val="20"/>
              </w:rPr>
            </w:pPr>
            <w:r w:rsidRPr="003F1F6C">
              <w:rPr>
                <w:color w:val="000000"/>
                <w:szCs w:val="20"/>
              </w:rPr>
              <w:t>$</w:t>
            </w:r>
            <w:r w:rsidR="00D2014F">
              <w:rPr>
                <w:noProof/>
                <w:color w:val="000000"/>
                <w:szCs w:val="20"/>
                <w:highlight w:val="black"/>
              </w:rPr>
              <w:t>'''''''''''''''''</w:t>
            </w:r>
          </w:p>
        </w:tc>
      </w:tr>
    </w:tbl>
    <w:p w:rsidR="00857572" w:rsidRPr="003F1F6C" w:rsidRDefault="00857572" w:rsidP="00780E4D">
      <w:pPr>
        <w:pStyle w:val="TableFooter"/>
        <w:widowControl/>
      </w:pPr>
      <w:r w:rsidRPr="003F1F6C">
        <w:t>Source: Constructed during the evaluation based on ‘</w:t>
      </w:r>
      <w:proofErr w:type="spellStart"/>
      <w:r w:rsidRPr="003F1F6C">
        <w:t>Somatuline</w:t>
      </w:r>
      <w:proofErr w:type="spellEnd"/>
      <w:r w:rsidRPr="003F1F6C">
        <w:t xml:space="preserve"> </w:t>
      </w:r>
      <w:proofErr w:type="spellStart"/>
      <w:r w:rsidRPr="003F1F6C">
        <w:t>Autogel</w:t>
      </w:r>
      <w:proofErr w:type="spellEnd"/>
      <w:r w:rsidRPr="003F1F6C">
        <w:t xml:space="preserve"> Economic Model’ Excel Workbook</w:t>
      </w:r>
    </w:p>
    <w:p w:rsidR="00857572" w:rsidRPr="003F1F6C" w:rsidRDefault="00857572" w:rsidP="00780E4D">
      <w:pPr>
        <w:pStyle w:val="TableFooter"/>
        <w:widowControl/>
      </w:pPr>
      <w:r w:rsidRPr="003F1F6C">
        <w:t>Abbreviations: ICER, incremental cost-effectiveness ratio; QALYS, quality-adjusted life years; SPA, special pricing arrangements</w:t>
      </w:r>
    </w:p>
    <w:p w:rsidR="00857572" w:rsidRPr="003F1F6C" w:rsidRDefault="00857572" w:rsidP="00780E4D">
      <w:pPr>
        <w:pStyle w:val="TableFooter"/>
        <w:widowControl/>
      </w:pPr>
      <w:r w:rsidRPr="003F1F6C">
        <w:rPr>
          <w:vertAlign w:val="superscript"/>
        </w:rPr>
        <w:t>1</w:t>
      </w:r>
      <w:r w:rsidRPr="003F1F6C">
        <w:t xml:space="preserve"> Weighted average cost of carboplatin/etoposide, cisplatin/etoposide and </w:t>
      </w:r>
      <w:proofErr w:type="spellStart"/>
      <w:r w:rsidRPr="003F1F6C">
        <w:t>capecitabine</w:t>
      </w:r>
      <w:proofErr w:type="spellEnd"/>
      <w:r w:rsidRPr="003F1F6C">
        <w:t>/</w:t>
      </w:r>
      <w:proofErr w:type="spellStart"/>
      <w:r w:rsidRPr="003F1F6C">
        <w:t>temozolomide</w:t>
      </w:r>
      <w:proofErr w:type="spellEnd"/>
      <w:r w:rsidRPr="003F1F6C">
        <w:t xml:space="preserve">, with or without </w:t>
      </w:r>
      <w:proofErr w:type="spellStart"/>
      <w:r w:rsidRPr="003F1F6C">
        <w:t>everolimus</w:t>
      </w:r>
      <w:proofErr w:type="spellEnd"/>
      <w:r w:rsidRPr="003F1F6C">
        <w:t xml:space="preserve"> </w:t>
      </w:r>
    </w:p>
    <w:p w:rsidR="00DB5703" w:rsidRPr="000D028E" w:rsidRDefault="00DB5703" w:rsidP="00C44233">
      <w:pPr>
        <w:pStyle w:val="ESnumberedpara"/>
        <w:ind w:left="567" w:hanging="567"/>
      </w:pPr>
      <w:r w:rsidRPr="000D028E">
        <w:t xml:space="preserve">The November 2016 submission assumed that all patients in both treatment arms would receive </w:t>
      </w:r>
      <w:proofErr w:type="spellStart"/>
      <w:r w:rsidRPr="000D028E">
        <w:t>lanreotide</w:t>
      </w:r>
      <w:proofErr w:type="spellEnd"/>
      <w:r w:rsidRPr="000D028E">
        <w:t xml:space="preserve"> in combination with other post-progression treatments. In line with PBAC advice (paragraph 7.12, November 2016 PSD), the resubmission included a differential rate of post-progression </w:t>
      </w:r>
      <w:proofErr w:type="spellStart"/>
      <w:r w:rsidRPr="000D028E">
        <w:t>lanreotide</w:t>
      </w:r>
      <w:proofErr w:type="spellEnd"/>
      <w:r w:rsidRPr="000D028E">
        <w:t xml:space="preserve"> use between treatment arms. </w:t>
      </w:r>
    </w:p>
    <w:p w:rsidR="00DB5703" w:rsidRPr="000D028E" w:rsidRDefault="00D659AE" w:rsidP="00852CB7">
      <w:pPr>
        <w:pStyle w:val="ESnumberedparablue"/>
        <w:numPr>
          <w:ilvl w:val="2"/>
          <w:numId w:val="11"/>
        </w:numPr>
        <w:ind w:left="851" w:hanging="284"/>
        <w:rPr>
          <w:color w:val="auto"/>
        </w:rPr>
      </w:pPr>
      <w:r w:rsidRPr="000D028E">
        <w:rPr>
          <w:color w:val="auto"/>
        </w:rPr>
        <w:t xml:space="preserve">The ESC considered that the assumed 30% use of </w:t>
      </w:r>
      <w:proofErr w:type="spellStart"/>
      <w:r w:rsidRPr="000D028E">
        <w:rPr>
          <w:color w:val="auto"/>
        </w:rPr>
        <w:t>lanreotide</w:t>
      </w:r>
      <w:proofErr w:type="spellEnd"/>
      <w:r w:rsidRPr="000D028E">
        <w:rPr>
          <w:color w:val="auto"/>
        </w:rPr>
        <w:t xml:space="preserve"> in the watchful waiting arm was not adequately justified.</w:t>
      </w:r>
    </w:p>
    <w:p w:rsidR="00DB5703" w:rsidRPr="000D028E" w:rsidRDefault="00DB5703" w:rsidP="00BF31EB">
      <w:pPr>
        <w:pStyle w:val="ESnumberedparablue"/>
        <w:numPr>
          <w:ilvl w:val="2"/>
          <w:numId w:val="11"/>
        </w:numPr>
        <w:tabs>
          <w:tab w:val="left" w:pos="3544"/>
        </w:tabs>
        <w:ind w:left="851" w:hanging="284"/>
        <w:rPr>
          <w:color w:val="auto"/>
        </w:rPr>
      </w:pPr>
      <w:r w:rsidRPr="000D028E">
        <w:rPr>
          <w:color w:val="auto"/>
        </w:rPr>
        <w:t xml:space="preserve">The proportion of post-progression use of </w:t>
      </w:r>
      <w:proofErr w:type="spellStart"/>
      <w:r w:rsidRPr="000D028E">
        <w:rPr>
          <w:color w:val="auto"/>
        </w:rPr>
        <w:t>lanreotide</w:t>
      </w:r>
      <w:proofErr w:type="spellEnd"/>
      <w:r w:rsidRPr="000D028E">
        <w:rPr>
          <w:color w:val="auto"/>
        </w:rPr>
        <w:t xml:space="preserve"> in the </w:t>
      </w:r>
      <w:proofErr w:type="spellStart"/>
      <w:r w:rsidRPr="000D028E">
        <w:rPr>
          <w:color w:val="auto"/>
        </w:rPr>
        <w:t>lanreotide</w:t>
      </w:r>
      <w:proofErr w:type="spellEnd"/>
      <w:r w:rsidRPr="000D028E">
        <w:rPr>
          <w:color w:val="auto"/>
        </w:rPr>
        <w:t xml:space="preserve"> arm was assumed to be 48%, based on an international pattern of use study (</w:t>
      </w:r>
      <w:proofErr w:type="spellStart"/>
      <w:r w:rsidRPr="000D028E">
        <w:rPr>
          <w:color w:val="auto"/>
        </w:rPr>
        <w:t>Casciano</w:t>
      </w:r>
      <w:proofErr w:type="spellEnd"/>
      <w:r w:rsidRPr="000D028E">
        <w:rPr>
          <w:color w:val="auto"/>
        </w:rPr>
        <w:t xml:space="preserve"> et al 2013). The results of the study may not be applicable to current Australian practice given the substantial differences in treatment practices, and medication accessibility between countries. However, alternative international publications suggest post-progression </w:t>
      </w:r>
      <w:proofErr w:type="spellStart"/>
      <w:r w:rsidRPr="000D028E">
        <w:rPr>
          <w:color w:val="auto"/>
        </w:rPr>
        <w:t>lanreotide</w:t>
      </w:r>
      <w:proofErr w:type="spellEnd"/>
      <w:r w:rsidRPr="000D028E">
        <w:rPr>
          <w:color w:val="auto"/>
        </w:rPr>
        <w:t xml:space="preserve"> utilisa</w:t>
      </w:r>
      <w:r w:rsidR="00482FB0" w:rsidRPr="000D028E">
        <w:rPr>
          <w:color w:val="auto"/>
        </w:rPr>
        <w:t>tion rates of up to 80-90% (</w:t>
      </w:r>
      <w:proofErr w:type="spellStart"/>
      <w:r w:rsidR="00482FB0" w:rsidRPr="000D028E">
        <w:rPr>
          <w:color w:val="auto"/>
        </w:rPr>
        <w:t>Ter</w:t>
      </w:r>
      <w:r w:rsidR="00482FB0" w:rsidRPr="000D028E">
        <w:rPr>
          <w:color w:val="auto"/>
        </w:rPr>
        <w:noBreakHyphen/>
      </w:r>
      <w:r w:rsidRPr="000D028E">
        <w:rPr>
          <w:color w:val="auto"/>
        </w:rPr>
        <w:t>Minassian</w:t>
      </w:r>
      <w:proofErr w:type="spellEnd"/>
      <w:r w:rsidRPr="000D028E">
        <w:rPr>
          <w:color w:val="auto"/>
        </w:rPr>
        <w:t xml:space="preserve"> et al, 2015; </w:t>
      </w:r>
      <w:proofErr w:type="spellStart"/>
      <w:r w:rsidRPr="000D028E">
        <w:rPr>
          <w:color w:val="auto"/>
        </w:rPr>
        <w:t>Jalbert</w:t>
      </w:r>
      <w:proofErr w:type="spellEnd"/>
      <w:r w:rsidRPr="000D028E">
        <w:rPr>
          <w:color w:val="auto"/>
        </w:rPr>
        <w:t xml:space="preserve"> et al, 2017). The PSCR (p3) argued that the higher estimates may be unreliable</w:t>
      </w:r>
      <w:r w:rsidR="00D659AE" w:rsidRPr="000D028E">
        <w:rPr>
          <w:color w:val="auto"/>
        </w:rPr>
        <w:t>,</w:t>
      </w:r>
      <w:r w:rsidRPr="000D028E">
        <w:rPr>
          <w:color w:val="auto"/>
        </w:rPr>
        <w:t xml:space="preserve"> as this assumes that 80% of patients would be receiving </w:t>
      </w:r>
      <w:proofErr w:type="spellStart"/>
      <w:r w:rsidRPr="000D028E">
        <w:rPr>
          <w:color w:val="auto"/>
        </w:rPr>
        <w:t>lanreotide</w:t>
      </w:r>
      <w:proofErr w:type="spellEnd"/>
      <w:r w:rsidRPr="000D028E">
        <w:rPr>
          <w:color w:val="auto"/>
        </w:rPr>
        <w:t xml:space="preserve"> in perpetuity. Nevertheless, the ESC considered that p</w:t>
      </w:r>
      <w:r w:rsidR="00D659AE" w:rsidRPr="000D028E">
        <w:rPr>
          <w:color w:val="auto"/>
        </w:rPr>
        <w:t>ost</w:t>
      </w:r>
      <w:r w:rsidR="00D659AE" w:rsidRPr="000D028E">
        <w:rPr>
          <w:color w:val="auto"/>
        </w:rPr>
        <w:noBreakHyphen/>
      </w:r>
      <w:r w:rsidRPr="000D028E">
        <w:rPr>
          <w:color w:val="auto"/>
        </w:rPr>
        <w:t xml:space="preserve">progression use of </w:t>
      </w:r>
      <w:proofErr w:type="spellStart"/>
      <w:r w:rsidRPr="000D028E">
        <w:rPr>
          <w:color w:val="auto"/>
        </w:rPr>
        <w:t>lanreotide</w:t>
      </w:r>
      <w:proofErr w:type="spellEnd"/>
      <w:r w:rsidRPr="000D028E">
        <w:rPr>
          <w:color w:val="auto"/>
        </w:rPr>
        <w:t xml:space="preserve"> may be substantially higher than predicted with subsidised access to treatment through the PBS. </w:t>
      </w:r>
    </w:p>
    <w:p w:rsidR="00DB5703" w:rsidRPr="000D028E" w:rsidRDefault="00DB5703" w:rsidP="007A5C2A">
      <w:pPr>
        <w:pStyle w:val="ESnumberedparablue"/>
        <w:numPr>
          <w:ilvl w:val="0"/>
          <w:numId w:val="17"/>
        </w:numPr>
        <w:ind w:left="851" w:hanging="284"/>
        <w:rPr>
          <w:color w:val="auto"/>
        </w:rPr>
      </w:pPr>
      <w:r w:rsidRPr="000D028E">
        <w:rPr>
          <w:color w:val="auto"/>
        </w:rPr>
        <w:t xml:space="preserve">The ESC noted that the model is sensitive to assumptions regarding the differential use of </w:t>
      </w:r>
      <w:proofErr w:type="spellStart"/>
      <w:r w:rsidRPr="000D028E">
        <w:rPr>
          <w:color w:val="auto"/>
        </w:rPr>
        <w:t>lanreotide</w:t>
      </w:r>
      <w:proofErr w:type="spellEnd"/>
      <w:r w:rsidRPr="000D028E">
        <w:rPr>
          <w:color w:val="auto"/>
        </w:rPr>
        <w:t xml:space="preserve"> between treatment arms in the post-progression setting, with the results ranging from </w:t>
      </w:r>
      <w:proofErr w:type="spellStart"/>
      <w:r w:rsidRPr="000D028E">
        <w:rPr>
          <w:color w:val="auto"/>
        </w:rPr>
        <w:t>lanreotide</w:t>
      </w:r>
      <w:proofErr w:type="spellEnd"/>
      <w:r w:rsidRPr="000D028E">
        <w:rPr>
          <w:color w:val="auto"/>
        </w:rPr>
        <w:t xml:space="preserve"> being dominant to costs per QALY gained of </w:t>
      </w:r>
      <w:r w:rsidR="002B2671">
        <w:rPr>
          <w:color w:val="auto"/>
        </w:rPr>
        <w:t xml:space="preserve">more than </w:t>
      </w:r>
      <w:r w:rsidRPr="000D028E">
        <w:rPr>
          <w:color w:val="auto"/>
        </w:rPr>
        <w:t>$</w:t>
      </w:r>
      <w:r w:rsidR="002B2671">
        <w:rPr>
          <w:color w:val="auto"/>
        </w:rPr>
        <w:t>2</w:t>
      </w:r>
      <w:r w:rsidRPr="000D028E">
        <w:rPr>
          <w:color w:val="auto"/>
        </w:rPr>
        <w:t xml:space="preserve">00,000 (see Table 10). </w:t>
      </w:r>
    </w:p>
    <w:p w:rsidR="00692162" w:rsidRPr="000D028E" w:rsidRDefault="00D659AE" w:rsidP="00CE5B76">
      <w:pPr>
        <w:pStyle w:val="ESnumberedpara"/>
        <w:ind w:left="567" w:hanging="567"/>
      </w:pPr>
      <w:r w:rsidRPr="000D028E">
        <w:t>T</w:t>
      </w:r>
      <w:r w:rsidR="00692162" w:rsidRPr="000D028E">
        <w:t xml:space="preserve">he ESC considered it was inappropriate to not include </w:t>
      </w:r>
      <w:proofErr w:type="spellStart"/>
      <w:r w:rsidR="00692162" w:rsidRPr="000D028E">
        <w:t>lanreotide</w:t>
      </w:r>
      <w:proofErr w:type="spellEnd"/>
      <w:r w:rsidR="00692162" w:rsidRPr="000D028E">
        <w:t xml:space="preserve"> monotherapy as a post-progression treatment option for patients previously managed with watchful waiting pre-progression, noting this was inconsistent with current treatment guidelines and the requested listing. </w:t>
      </w:r>
    </w:p>
    <w:p w:rsidR="002229A7" w:rsidRPr="000D028E" w:rsidRDefault="008C309A" w:rsidP="00CE5B76">
      <w:pPr>
        <w:pStyle w:val="ESnumberedpara"/>
        <w:ind w:left="567" w:hanging="567"/>
      </w:pPr>
      <w:r w:rsidRPr="000D028E">
        <w:t>The ESC noted that post-progression costs</w:t>
      </w:r>
      <w:r w:rsidR="00463407" w:rsidRPr="000D028E">
        <w:t xml:space="preserve"> of treatments</w:t>
      </w:r>
      <w:r w:rsidR="00E15E91" w:rsidRPr="000D028E">
        <w:t xml:space="preserve"> other than </w:t>
      </w:r>
      <w:proofErr w:type="spellStart"/>
      <w:r w:rsidR="00463407" w:rsidRPr="000D028E">
        <w:t>lanreotide</w:t>
      </w:r>
      <w:proofErr w:type="spellEnd"/>
      <w:r w:rsidR="00463407" w:rsidRPr="000D028E">
        <w:t xml:space="preserve"> applied in the current model were substantially higher than </w:t>
      </w:r>
      <w:r w:rsidR="00E15E91" w:rsidRPr="000D028E">
        <w:t xml:space="preserve">those applied </w:t>
      </w:r>
      <w:r w:rsidR="00463407" w:rsidRPr="000D028E">
        <w:t xml:space="preserve">in </w:t>
      </w:r>
      <w:r w:rsidRPr="000D028E">
        <w:t xml:space="preserve">the November 2016 </w:t>
      </w:r>
      <w:r w:rsidR="00463407" w:rsidRPr="000D028E">
        <w:t>model</w:t>
      </w:r>
      <w:r w:rsidR="00DB5703" w:rsidRPr="000D028E">
        <w:t xml:space="preserve"> (see Table 11</w:t>
      </w:r>
      <w:r w:rsidR="00E15E91" w:rsidRPr="000D028E">
        <w:t>)</w:t>
      </w:r>
      <w:r w:rsidR="00DE62E0" w:rsidRPr="000D028E">
        <w:t>,</w:t>
      </w:r>
      <w:r w:rsidR="00E15E91" w:rsidRPr="000D028E">
        <w:t xml:space="preserve"> which more than offset the decrease in the</w:t>
      </w:r>
      <w:r w:rsidR="00DB5703" w:rsidRPr="000D028E">
        <w:t xml:space="preserve"> assumed</w:t>
      </w:r>
      <w:r w:rsidR="00E15E91" w:rsidRPr="000D028E">
        <w:t xml:space="preserve"> use of </w:t>
      </w:r>
      <w:proofErr w:type="spellStart"/>
      <w:r w:rsidR="00E15E91" w:rsidRPr="000D028E">
        <w:t>lanreotide</w:t>
      </w:r>
      <w:proofErr w:type="spellEnd"/>
      <w:r w:rsidR="00DB5703" w:rsidRPr="000D028E">
        <w:t xml:space="preserve"> post-progression</w:t>
      </w:r>
      <w:r w:rsidRPr="000D028E">
        <w:t xml:space="preserve">. The ESC noted that </w:t>
      </w:r>
      <w:r w:rsidR="00023DBC" w:rsidRPr="000D028E">
        <w:t>these</w:t>
      </w:r>
      <w:r w:rsidRPr="000D028E">
        <w:t xml:space="preserve"> </w:t>
      </w:r>
      <w:r w:rsidR="00DB5703" w:rsidRPr="000D028E">
        <w:t xml:space="preserve">costs were based on </w:t>
      </w:r>
      <w:r w:rsidRPr="000D028E">
        <w:t xml:space="preserve">the results of </w:t>
      </w:r>
      <w:r w:rsidR="00463407" w:rsidRPr="000D028E">
        <w:t>a</w:t>
      </w:r>
      <w:r w:rsidRPr="000D028E">
        <w:t xml:space="preserve"> survey of </w:t>
      </w:r>
      <w:r w:rsidR="00463407" w:rsidRPr="000D028E">
        <w:t xml:space="preserve">only three </w:t>
      </w:r>
      <w:r w:rsidRPr="000D028E">
        <w:t>Australian physicians</w:t>
      </w:r>
      <w:r w:rsidR="00463407" w:rsidRPr="000D028E">
        <w:t xml:space="preserve"> </w:t>
      </w:r>
      <w:r w:rsidR="00023DBC" w:rsidRPr="000D028E">
        <w:t xml:space="preserve">on </w:t>
      </w:r>
      <w:r w:rsidR="00DB5703" w:rsidRPr="000D028E">
        <w:t>post</w:t>
      </w:r>
      <w:r w:rsidR="00DB5703" w:rsidRPr="000D028E">
        <w:noBreakHyphen/>
      </w:r>
      <w:r w:rsidR="00023DBC" w:rsidRPr="000D028E">
        <w:t xml:space="preserve">progression treatment sequences </w:t>
      </w:r>
      <w:r w:rsidR="00463407" w:rsidRPr="000D028E">
        <w:t>and</w:t>
      </w:r>
      <w:r w:rsidR="00DB5703" w:rsidRPr="000D028E">
        <w:t xml:space="preserve"> questioned whether the survey results</w:t>
      </w:r>
      <w:r w:rsidR="00463407" w:rsidRPr="000D028E">
        <w:t xml:space="preserve"> reflected Australian clinical practice</w:t>
      </w:r>
      <w:r w:rsidRPr="000D028E">
        <w:t xml:space="preserve">. The evaluation </w:t>
      </w:r>
      <w:r w:rsidR="00DE62E0" w:rsidRPr="000D028E">
        <w:t>stated</w:t>
      </w:r>
      <w:r w:rsidRPr="000D028E">
        <w:t xml:space="preserve"> it was unclear how the original survey responses were adapted for presentation in the resubmission, as the individual survey responses were not provided. Further, the survey did not adequately account for patients previously treated with watchful waiting who may use standard dose </w:t>
      </w:r>
      <w:proofErr w:type="spellStart"/>
      <w:r w:rsidRPr="000D028E">
        <w:t>lanreotide</w:t>
      </w:r>
      <w:proofErr w:type="spellEnd"/>
      <w:r w:rsidRPr="000D028E">
        <w:t xml:space="preserve"> as their first post-progression treatment and physicians were not queried about expected rates of post-progression </w:t>
      </w:r>
      <w:proofErr w:type="spellStart"/>
      <w:r w:rsidRPr="000D028E">
        <w:t>lanreotide</w:t>
      </w:r>
      <w:proofErr w:type="spellEnd"/>
      <w:r w:rsidRPr="000D028E">
        <w:t xml:space="preserve"> use in combination with post</w:t>
      </w:r>
      <w:r w:rsidR="00023DBC" w:rsidRPr="000D028E">
        <w:noBreakHyphen/>
      </w:r>
      <w:r w:rsidRPr="000D028E">
        <w:t>progression treatments.</w:t>
      </w:r>
    </w:p>
    <w:p w:rsidR="0097752E" w:rsidRDefault="0097752E" w:rsidP="0097752E">
      <w:pPr>
        <w:pStyle w:val="Caption"/>
      </w:pPr>
      <w:r>
        <w:t xml:space="preserve">Table </w:t>
      </w:r>
      <w:r>
        <w:rPr>
          <w:noProof/>
        </w:rPr>
        <w:t>11</w:t>
      </w:r>
      <w:r w:rsidRPr="004F01CC">
        <w:t>: Results of the modelled evaluation – comparison of post-progression costs from the November 2016 and July 2017 models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Results of the modelled evaluation – comparison of post-progression costs from the November 2016 and July 2017 models"/>
      </w:tblPr>
      <w:tblGrid>
        <w:gridCol w:w="1528"/>
        <w:gridCol w:w="1248"/>
        <w:gridCol w:w="1248"/>
        <w:gridCol w:w="1248"/>
        <w:gridCol w:w="1248"/>
        <w:gridCol w:w="1248"/>
        <w:gridCol w:w="1248"/>
      </w:tblGrid>
      <w:tr w:rsidR="009B7703" w:rsidRPr="00936D42" w:rsidTr="00BE39FF">
        <w:trPr>
          <w:cnfStyle w:val="100000000000" w:firstRow="1" w:lastRow="0" w:firstColumn="0" w:lastColumn="0" w:oddVBand="0" w:evenVBand="0" w:oddHBand="0" w:evenHBand="0" w:firstRowFirstColumn="0" w:firstRowLastColumn="0" w:lastRowFirstColumn="0" w:lastRowLastColumn="0"/>
          <w:tblHeader/>
        </w:trPr>
        <w:tc>
          <w:tcPr>
            <w:tcW w:w="1528" w:type="dxa"/>
            <w:vMerge w:val="restart"/>
            <w:shd w:val="clear" w:color="auto" w:fill="auto"/>
            <w:vAlign w:val="center"/>
          </w:tcPr>
          <w:p w:rsidR="009B7703" w:rsidRPr="00936D42" w:rsidRDefault="009B7703" w:rsidP="00CE5B76">
            <w:pPr>
              <w:spacing w:before="0"/>
              <w:rPr>
                <w:rFonts w:ascii="Arial Narrow" w:hAnsi="Arial Narrow"/>
                <w:sz w:val="20"/>
                <w:szCs w:val="20"/>
              </w:rPr>
            </w:pPr>
          </w:p>
        </w:tc>
        <w:tc>
          <w:tcPr>
            <w:tcW w:w="3744" w:type="dxa"/>
            <w:gridSpan w:val="3"/>
            <w:shd w:val="clear" w:color="auto" w:fill="auto"/>
            <w:vAlign w:val="center"/>
          </w:tcPr>
          <w:p w:rsidR="009B7703" w:rsidRPr="00936D42" w:rsidRDefault="009B7703" w:rsidP="00CE5B76">
            <w:pPr>
              <w:spacing w:before="0"/>
              <w:jc w:val="center"/>
              <w:rPr>
                <w:rFonts w:ascii="Arial Narrow" w:hAnsi="Arial Narrow"/>
                <w:sz w:val="20"/>
                <w:szCs w:val="20"/>
              </w:rPr>
            </w:pPr>
            <w:r w:rsidRPr="00936D42">
              <w:rPr>
                <w:rFonts w:ascii="Arial Narrow" w:hAnsi="Arial Narrow"/>
                <w:sz w:val="20"/>
                <w:szCs w:val="20"/>
              </w:rPr>
              <w:t>November 2016</w:t>
            </w:r>
            <w:r w:rsidR="00991A12">
              <w:rPr>
                <w:rFonts w:ascii="Arial Narrow" w:hAnsi="Arial Narrow"/>
                <w:sz w:val="20"/>
                <w:szCs w:val="20"/>
              </w:rPr>
              <w:t xml:space="preserve"> model</w:t>
            </w:r>
          </w:p>
        </w:tc>
        <w:tc>
          <w:tcPr>
            <w:tcW w:w="3744" w:type="dxa"/>
            <w:gridSpan w:val="3"/>
            <w:shd w:val="clear" w:color="auto" w:fill="auto"/>
            <w:vAlign w:val="center"/>
          </w:tcPr>
          <w:p w:rsidR="009B7703" w:rsidRPr="00936D42" w:rsidRDefault="009B7703" w:rsidP="00CE5B76">
            <w:pPr>
              <w:spacing w:before="0"/>
              <w:jc w:val="center"/>
              <w:rPr>
                <w:rFonts w:ascii="Arial Narrow" w:hAnsi="Arial Narrow"/>
                <w:sz w:val="20"/>
                <w:szCs w:val="20"/>
              </w:rPr>
            </w:pPr>
            <w:r w:rsidRPr="00936D42">
              <w:rPr>
                <w:rFonts w:ascii="Arial Narrow" w:hAnsi="Arial Narrow"/>
                <w:sz w:val="20"/>
                <w:szCs w:val="20"/>
              </w:rPr>
              <w:t>July 2017</w:t>
            </w:r>
            <w:r w:rsidR="00991A12">
              <w:rPr>
                <w:rFonts w:ascii="Arial Narrow" w:hAnsi="Arial Narrow"/>
                <w:sz w:val="20"/>
                <w:szCs w:val="20"/>
              </w:rPr>
              <w:t xml:space="preserve"> model</w:t>
            </w:r>
          </w:p>
        </w:tc>
      </w:tr>
      <w:tr w:rsidR="009B7703" w:rsidRPr="00936D42" w:rsidTr="00BE39FF">
        <w:trPr>
          <w:cnfStyle w:val="100000000000" w:firstRow="1" w:lastRow="0" w:firstColumn="0" w:lastColumn="0" w:oddVBand="0" w:evenVBand="0" w:oddHBand="0" w:evenHBand="0" w:firstRowFirstColumn="0" w:firstRowLastColumn="0" w:lastRowFirstColumn="0" w:lastRowLastColumn="0"/>
          <w:tblHeader/>
        </w:trPr>
        <w:tc>
          <w:tcPr>
            <w:tcW w:w="1528" w:type="dxa"/>
            <w:vMerge/>
            <w:shd w:val="clear" w:color="auto" w:fill="auto"/>
            <w:vAlign w:val="center"/>
          </w:tcPr>
          <w:p w:rsidR="009B7703" w:rsidRPr="00936D42" w:rsidRDefault="009B7703" w:rsidP="00CE5B76">
            <w:pPr>
              <w:spacing w:before="0"/>
              <w:rPr>
                <w:rFonts w:ascii="Arial Narrow" w:hAnsi="Arial Narrow"/>
                <w:sz w:val="20"/>
                <w:szCs w:val="20"/>
              </w:rPr>
            </w:pPr>
          </w:p>
        </w:tc>
        <w:tc>
          <w:tcPr>
            <w:tcW w:w="1248" w:type="dxa"/>
            <w:shd w:val="clear" w:color="auto" w:fill="auto"/>
            <w:vAlign w:val="center"/>
          </w:tcPr>
          <w:p w:rsidR="009B7703" w:rsidRPr="00936D42" w:rsidRDefault="009B7703" w:rsidP="00CE5B76">
            <w:pPr>
              <w:spacing w:before="0"/>
              <w:jc w:val="center"/>
              <w:rPr>
                <w:rFonts w:ascii="Arial Narrow" w:hAnsi="Arial Narrow" w:cstheme="minorHAnsi"/>
                <w:b w:val="0"/>
                <w:sz w:val="20"/>
                <w:szCs w:val="20"/>
              </w:rPr>
            </w:pPr>
            <w:proofErr w:type="spellStart"/>
            <w:r w:rsidRPr="00936D42">
              <w:rPr>
                <w:rFonts w:ascii="Arial Narrow" w:hAnsi="Arial Narrow" w:cstheme="minorHAnsi"/>
                <w:b w:val="0"/>
                <w:sz w:val="20"/>
                <w:szCs w:val="20"/>
              </w:rPr>
              <w:t>Lanreotide</w:t>
            </w:r>
            <w:proofErr w:type="spellEnd"/>
          </w:p>
        </w:tc>
        <w:tc>
          <w:tcPr>
            <w:tcW w:w="1248" w:type="dxa"/>
            <w:shd w:val="clear" w:color="auto" w:fill="auto"/>
            <w:vAlign w:val="center"/>
          </w:tcPr>
          <w:p w:rsidR="009B7703" w:rsidRPr="00936D42" w:rsidRDefault="009B7703" w:rsidP="00CE5B76">
            <w:pPr>
              <w:spacing w:before="0"/>
              <w:jc w:val="center"/>
              <w:rPr>
                <w:rFonts w:ascii="Arial Narrow" w:hAnsi="Arial Narrow" w:cstheme="minorHAnsi"/>
                <w:b w:val="0"/>
                <w:sz w:val="20"/>
                <w:szCs w:val="20"/>
              </w:rPr>
            </w:pPr>
            <w:r w:rsidRPr="00936D42">
              <w:rPr>
                <w:rFonts w:ascii="Arial Narrow" w:hAnsi="Arial Narrow" w:cstheme="minorHAnsi"/>
                <w:b w:val="0"/>
                <w:sz w:val="20"/>
                <w:szCs w:val="20"/>
              </w:rPr>
              <w:t>Placebo</w:t>
            </w:r>
          </w:p>
        </w:tc>
        <w:tc>
          <w:tcPr>
            <w:tcW w:w="1248" w:type="dxa"/>
            <w:vAlign w:val="center"/>
          </w:tcPr>
          <w:p w:rsidR="009B7703" w:rsidRPr="00936D42" w:rsidRDefault="009B7703" w:rsidP="00CE5B76">
            <w:pPr>
              <w:spacing w:before="0"/>
              <w:jc w:val="center"/>
              <w:rPr>
                <w:rFonts w:ascii="Arial Narrow" w:hAnsi="Arial Narrow" w:cstheme="minorHAnsi"/>
                <w:b w:val="0"/>
                <w:sz w:val="20"/>
                <w:szCs w:val="20"/>
              </w:rPr>
            </w:pPr>
            <w:r w:rsidRPr="00936D42">
              <w:rPr>
                <w:rFonts w:ascii="Arial Narrow" w:hAnsi="Arial Narrow" w:cstheme="minorHAnsi"/>
                <w:b w:val="0"/>
                <w:sz w:val="20"/>
                <w:szCs w:val="20"/>
              </w:rPr>
              <w:t>Incr.</w:t>
            </w:r>
          </w:p>
        </w:tc>
        <w:tc>
          <w:tcPr>
            <w:tcW w:w="1248" w:type="dxa"/>
            <w:shd w:val="clear" w:color="auto" w:fill="auto"/>
            <w:vAlign w:val="center"/>
          </w:tcPr>
          <w:p w:rsidR="009B7703" w:rsidRPr="00936D42" w:rsidRDefault="009B7703" w:rsidP="00CE5B76">
            <w:pPr>
              <w:spacing w:before="0"/>
              <w:jc w:val="center"/>
              <w:rPr>
                <w:rFonts w:ascii="Arial Narrow" w:hAnsi="Arial Narrow" w:cstheme="minorHAnsi"/>
                <w:b w:val="0"/>
                <w:sz w:val="20"/>
                <w:szCs w:val="20"/>
              </w:rPr>
            </w:pPr>
            <w:proofErr w:type="spellStart"/>
            <w:r w:rsidRPr="00936D42">
              <w:rPr>
                <w:rFonts w:ascii="Arial Narrow" w:hAnsi="Arial Narrow" w:cstheme="minorHAnsi"/>
                <w:b w:val="0"/>
                <w:sz w:val="20"/>
                <w:szCs w:val="20"/>
              </w:rPr>
              <w:t>Lanreotide</w:t>
            </w:r>
            <w:proofErr w:type="spellEnd"/>
          </w:p>
        </w:tc>
        <w:tc>
          <w:tcPr>
            <w:tcW w:w="1248" w:type="dxa"/>
            <w:shd w:val="clear" w:color="auto" w:fill="auto"/>
            <w:vAlign w:val="center"/>
          </w:tcPr>
          <w:p w:rsidR="009B7703" w:rsidRPr="00936D42" w:rsidRDefault="009B7703" w:rsidP="00CE5B76">
            <w:pPr>
              <w:spacing w:before="0"/>
              <w:jc w:val="center"/>
              <w:rPr>
                <w:rFonts w:ascii="Arial Narrow" w:hAnsi="Arial Narrow" w:cstheme="minorHAnsi"/>
                <w:b w:val="0"/>
                <w:sz w:val="20"/>
                <w:szCs w:val="20"/>
              </w:rPr>
            </w:pPr>
            <w:r w:rsidRPr="00936D42">
              <w:rPr>
                <w:rFonts w:ascii="Arial Narrow" w:hAnsi="Arial Narrow" w:cstheme="minorHAnsi"/>
                <w:b w:val="0"/>
                <w:sz w:val="20"/>
                <w:szCs w:val="20"/>
              </w:rPr>
              <w:t>Placebo</w:t>
            </w:r>
          </w:p>
        </w:tc>
        <w:tc>
          <w:tcPr>
            <w:tcW w:w="1248" w:type="dxa"/>
            <w:vAlign w:val="center"/>
          </w:tcPr>
          <w:p w:rsidR="009B7703" w:rsidRPr="00936D42" w:rsidRDefault="009B7703" w:rsidP="00CE5B76">
            <w:pPr>
              <w:spacing w:before="0"/>
              <w:jc w:val="center"/>
              <w:rPr>
                <w:rFonts w:ascii="Arial Narrow" w:hAnsi="Arial Narrow" w:cstheme="minorHAnsi"/>
                <w:b w:val="0"/>
                <w:sz w:val="20"/>
                <w:szCs w:val="20"/>
              </w:rPr>
            </w:pPr>
            <w:r w:rsidRPr="00936D42">
              <w:rPr>
                <w:rFonts w:ascii="Arial Narrow" w:hAnsi="Arial Narrow" w:cstheme="minorHAnsi"/>
                <w:b w:val="0"/>
                <w:sz w:val="20"/>
                <w:szCs w:val="20"/>
              </w:rPr>
              <w:t>Incr.</w:t>
            </w:r>
          </w:p>
        </w:tc>
      </w:tr>
      <w:tr w:rsidR="009B7703" w:rsidRPr="00936D42" w:rsidTr="0075028D">
        <w:tc>
          <w:tcPr>
            <w:tcW w:w="1528" w:type="dxa"/>
            <w:shd w:val="clear" w:color="auto" w:fill="auto"/>
            <w:vAlign w:val="center"/>
          </w:tcPr>
          <w:p w:rsidR="009B7703" w:rsidRPr="00936D42" w:rsidRDefault="009B7703" w:rsidP="00C44233">
            <w:pPr>
              <w:spacing w:before="0"/>
              <w:jc w:val="left"/>
              <w:rPr>
                <w:rFonts w:ascii="Arial Narrow" w:hAnsi="Arial Narrow"/>
                <w:sz w:val="20"/>
                <w:szCs w:val="20"/>
              </w:rPr>
            </w:pPr>
            <w:r w:rsidRPr="00936D42">
              <w:rPr>
                <w:rFonts w:ascii="Arial Narrow" w:hAnsi="Arial Narrow"/>
                <w:sz w:val="20"/>
                <w:szCs w:val="20"/>
              </w:rPr>
              <w:t>Drug costs</w:t>
            </w:r>
          </w:p>
        </w:tc>
        <w:tc>
          <w:tcPr>
            <w:tcW w:w="1248" w:type="dxa"/>
            <w:shd w:val="clear" w:color="auto" w:fill="auto"/>
            <w:vAlign w:val="center"/>
          </w:tcPr>
          <w:p w:rsidR="009B7703" w:rsidRPr="00936D42" w:rsidRDefault="009B7703" w:rsidP="00852CB7">
            <w:pPr>
              <w:spacing w:before="0"/>
              <w:jc w:val="center"/>
              <w:rPr>
                <w:rFonts w:ascii="Arial Narrow" w:hAnsi="Arial Narrow" w:cs="Times New Roman"/>
                <w:sz w:val="20"/>
              </w:rPr>
            </w:pPr>
            <w:r w:rsidRPr="00936D42">
              <w:rPr>
                <w:rFonts w:ascii="Arial Narrow" w:hAnsi="Arial Narrow" w:cs="Times New Roman"/>
                <w:sz w:val="20"/>
              </w:rPr>
              <w:t>$</w:t>
            </w:r>
            <w:r w:rsidR="00D2014F">
              <w:rPr>
                <w:rFonts w:ascii="Arial Narrow" w:hAnsi="Arial Narrow" w:cs="Times New Roman"/>
                <w:noProof/>
                <w:color w:val="000000"/>
                <w:sz w:val="20"/>
                <w:highlight w:val="black"/>
              </w:rPr>
              <w:t>'''''''''''''''''''''</w:t>
            </w:r>
          </w:p>
        </w:tc>
        <w:tc>
          <w:tcPr>
            <w:tcW w:w="1248" w:type="dxa"/>
            <w:shd w:val="clear" w:color="auto" w:fill="auto"/>
            <w:vAlign w:val="center"/>
          </w:tcPr>
          <w:p w:rsidR="009B7703" w:rsidRPr="00936D42" w:rsidRDefault="009B7703" w:rsidP="00BF31EB">
            <w:pPr>
              <w:spacing w:before="0"/>
              <w:jc w:val="center"/>
              <w:rPr>
                <w:rFonts w:ascii="Arial Narrow" w:hAnsi="Arial Narrow" w:cs="Times New Roman"/>
                <w:sz w:val="20"/>
              </w:rPr>
            </w:pPr>
            <w:r w:rsidRPr="00936D42">
              <w:rPr>
                <w:rFonts w:ascii="Arial Narrow" w:hAnsi="Arial Narrow" w:cs="Times New Roman"/>
                <w:sz w:val="20"/>
              </w:rPr>
              <w:t>$242,789</w:t>
            </w:r>
          </w:p>
        </w:tc>
        <w:tc>
          <w:tcPr>
            <w:tcW w:w="1248" w:type="dxa"/>
            <w:vAlign w:val="center"/>
          </w:tcPr>
          <w:p w:rsidR="009B7703" w:rsidRPr="00936D42" w:rsidRDefault="009B7703" w:rsidP="00CE5B76">
            <w:pPr>
              <w:spacing w:before="0"/>
              <w:jc w:val="center"/>
              <w:rPr>
                <w:rFonts w:ascii="Arial Narrow" w:hAnsi="Arial Narrow"/>
                <w:color w:val="000000"/>
                <w:sz w:val="20"/>
                <w:szCs w:val="20"/>
              </w:rPr>
            </w:pPr>
            <w:r w:rsidRPr="00936D42">
              <w:rPr>
                <w:rFonts w:ascii="Arial Narrow" w:hAnsi="Arial Narrow"/>
                <w:color w:val="000000"/>
                <w:sz w:val="20"/>
                <w:szCs w:val="20"/>
              </w:rPr>
              <w:t>-$</w:t>
            </w:r>
            <w:r w:rsidR="00D2014F">
              <w:rPr>
                <w:rFonts w:ascii="Arial Narrow" w:hAnsi="Arial Narrow"/>
                <w:noProof/>
                <w:color w:val="000000"/>
                <w:sz w:val="20"/>
                <w:szCs w:val="20"/>
                <w:highlight w:val="black"/>
              </w:rPr>
              <w:t>''''''''''''''''''</w:t>
            </w:r>
          </w:p>
        </w:tc>
        <w:tc>
          <w:tcPr>
            <w:tcW w:w="1248" w:type="dxa"/>
            <w:shd w:val="clear" w:color="auto" w:fill="auto"/>
            <w:vAlign w:val="center"/>
          </w:tcPr>
          <w:p w:rsidR="009B7703" w:rsidRPr="00936D42" w:rsidRDefault="009B7703" w:rsidP="00CE5B76">
            <w:pPr>
              <w:spacing w:before="0"/>
              <w:jc w:val="center"/>
              <w:rPr>
                <w:rFonts w:ascii="Arial Narrow" w:eastAsia="Times New Roman" w:hAnsi="Arial Narrow" w:cs="Times New Roman"/>
                <w:color w:val="000000"/>
                <w:sz w:val="20"/>
                <w:szCs w:val="20"/>
                <w:lang w:eastAsia="en-AU"/>
              </w:rPr>
            </w:pPr>
            <w:r w:rsidRPr="00936D42">
              <w:rPr>
                <w:rFonts w:ascii="Arial Narrow" w:hAnsi="Arial Narrow"/>
                <w:color w:val="000000"/>
                <w:sz w:val="20"/>
                <w:szCs w:val="20"/>
              </w:rPr>
              <w:t>$</w:t>
            </w:r>
            <w:r w:rsidR="00D2014F">
              <w:rPr>
                <w:rFonts w:ascii="Arial Narrow" w:hAnsi="Arial Narrow"/>
                <w:noProof/>
                <w:color w:val="000000"/>
                <w:sz w:val="20"/>
                <w:szCs w:val="20"/>
                <w:highlight w:val="black"/>
              </w:rPr>
              <w:t>''''''''''''''''''''</w:t>
            </w:r>
          </w:p>
        </w:tc>
        <w:tc>
          <w:tcPr>
            <w:tcW w:w="1248" w:type="dxa"/>
            <w:shd w:val="clear" w:color="auto" w:fill="auto"/>
            <w:vAlign w:val="center"/>
          </w:tcPr>
          <w:p w:rsidR="009B7703" w:rsidRPr="00936D42" w:rsidRDefault="009B7703" w:rsidP="00CE5B76">
            <w:pPr>
              <w:spacing w:before="0"/>
              <w:jc w:val="center"/>
              <w:rPr>
                <w:rFonts w:ascii="Arial Narrow" w:eastAsia="Times New Roman" w:hAnsi="Arial Narrow" w:cs="Times New Roman"/>
                <w:color w:val="000000"/>
                <w:sz w:val="20"/>
                <w:szCs w:val="20"/>
                <w:lang w:eastAsia="en-AU"/>
              </w:rPr>
            </w:pPr>
            <w:r w:rsidRPr="00936D42">
              <w:rPr>
                <w:rFonts w:ascii="Arial Narrow" w:hAnsi="Arial Narrow"/>
                <w:color w:val="000000"/>
                <w:sz w:val="20"/>
                <w:szCs w:val="20"/>
              </w:rPr>
              <w:t>$253,393</w:t>
            </w:r>
          </w:p>
        </w:tc>
        <w:tc>
          <w:tcPr>
            <w:tcW w:w="1248" w:type="dxa"/>
            <w:vAlign w:val="center"/>
          </w:tcPr>
          <w:p w:rsidR="009B7703" w:rsidRPr="00936D42" w:rsidRDefault="009B7703" w:rsidP="00CE5B76">
            <w:pPr>
              <w:spacing w:before="0"/>
              <w:jc w:val="center"/>
              <w:rPr>
                <w:rFonts w:ascii="Arial Narrow" w:hAnsi="Arial Narrow"/>
                <w:color w:val="000000"/>
                <w:sz w:val="20"/>
                <w:szCs w:val="20"/>
              </w:rPr>
            </w:pPr>
            <w:r w:rsidRPr="00936D42">
              <w:rPr>
                <w:rFonts w:ascii="Arial Narrow" w:hAnsi="Arial Narrow"/>
                <w:color w:val="000000"/>
                <w:sz w:val="20"/>
                <w:szCs w:val="20"/>
              </w:rPr>
              <w:t>-$</w:t>
            </w:r>
            <w:r w:rsidR="00D2014F">
              <w:rPr>
                <w:rFonts w:ascii="Arial Narrow" w:hAnsi="Arial Narrow"/>
                <w:noProof/>
                <w:color w:val="000000"/>
                <w:sz w:val="20"/>
                <w:szCs w:val="20"/>
                <w:highlight w:val="black"/>
              </w:rPr>
              <w:t>'''''''''''''''</w:t>
            </w:r>
          </w:p>
        </w:tc>
      </w:tr>
      <w:tr w:rsidR="009B7703" w:rsidRPr="00936D42" w:rsidTr="0075028D">
        <w:tc>
          <w:tcPr>
            <w:tcW w:w="1528" w:type="dxa"/>
            <w:shd w:val="clear" w:color="auto" w:fill="auto"/>
            <w:vAlign w:val="center"/>
          </w:tcPr>
          <w:p w:rsidR="009B7703" w:rsidRPr="00936D42" w:rsidRDefault="009B7703" w:rsidP="00C44233">
            <w:pPr>
              <w:spacing w:before="0"/>
              <w:jc w:val="left"/>
              <w:rPr>
                <w:rFonts w:ascii="Arial Narrow" w:hAnsi="Arial Narrow"/>
                <w:sz w:val="20"/>
                <w:szCs w:val="20"/>
              </w:rPr>
            </w:pPr>
            <w:r w:rsidRPr="00936D42">
              <w:rPr>
                <w:rFonts w:ascii="Arial Narrow" w:hAnsi="Arial Narrow"/>
                <w:sz w:val="20"/>
                <w:szCs w:val="20"/>
              </w:rPr>
              <w:t xml:space="preserve">- post-progression </w:t>
            </w:r>
            <w:proofErr w:type="spellStart"/>
            <w:r w:rsidRPr="00936D42">
              <w:rPr>
                <w:rFonts w:ascii="Arial Narrow" w:hAnsi="Arial Narrow"/>
                <w:sz w:val="20"/>
                <w:szCs w:val="20"/>
              </w:rPr>
              <w:t>lanreotide</w:t>
            </w:r>
            <w:proofErr w:type="spellEnd"/>
          </w:p>
        </w:tc>
        <w:tc>
          <w:tcPr>
            <w:tcW w:w="1248" w:type="dxa"/>
            <w:shd w:val="clear" w:color="auto" w:fill="auto"/>
            <w:vAlign w:val="center"/>
          </w:tcPr>
          <w:p w:rsidR="009B7703" w:rsidRPr="00936D42" w:rsidRDefault="009B7703" w:rsidP="00852CB7">
            <w:pPr>
              <w:spacing w:before="0"/>
              <w:jc w:val="center"/>
              <w:rPr>
                <w:rFonts w:ascii="Arial Narrow" w:hAnsi="Arial Narrow" w:cs="Times New Roman"/>
                <w:sz w:val="20"/>
              </w:rPr>
            </w:pPr>
            <w:r w:rsidRPr="00936D42">
              <w:rPr>
                <w:rFonts w:ascii="Arial Narrow" w:hAnsi="Arial Narrow" w:cs="Times New Roman"/>
                <w:sz w:val="20"/>
              </w:rPr>
              <w:t>$</w:t>
            </w:r>
            <w:r w:rsidR="00D2014F">
              <w:rPr>
                <w:rFonts w:ascii="Arial Narrow" w:hAnsi="Arial Narrow" w:cs="Times New Roman"/>
                <w:noProof/>
                <w:color w:val="000000"/>
                <w:sz w:val="20"/>
                <w:highlight w:val="black"/>
              </w:rPr>
              <w:t>'''''''''''''''''</w:t>
            </w:r>
          </w:p>
        </w:tc>
        <w:tc>
          <w:tcPr>
            <w:tcW w:w="1248" w:type="dxa"/>
            <w:shd w:val="clear" w:color="auto" w:fill="auto"/>
            <w:vAlign w:val="center"/>
          </w:tcPr>
          <w:p w:rsidR="009B7703" w:rsidRPr="00936D42" w:rsidRDefault="009B7703" w:rsidP="00BF31EB">
            <w:pPr>
              <w:spacing w:before="0"/>
              <w:jc w:val="center"/>
              <w:rPr>
                <w:rFonts w:ascii="Arial Narrow" w:hAnsi="Arial Narrow" w:cs="Times New Roman"/>
                <w:sz w:val="20"/>
              </w:rPr>
            </w:pPr>
            <w:r w:rsidRPr="00936D42">
              <w:rPr>
                <w:rFonts w:ascii="Arial Narrow" w:hAnsi="Arial Narrow" w:cs="Times New Roman"/>
                <w:sz w:val="20"/>
              </w:rPr>
              <w:t>$235,978</w:t>
            </w:r>
          </w:p>
        </w:tc>
        <w:tc>
          <w:tcPr>
            <w:tcW w:w="1248" w:type="dxa"/>
            <w:vAlign w:val="center"/>
          </w:tcPr>
          <w:p w:rsidR="009B7703" w:rsidRPr="00936D42" w:rsidRDefault="009B7703" w:rsidP="00CE5B76">
            <w:pPr>
              <w:spacing w:before="0"/>
              <w:jc w:val="center"/>
              <w:rPr>
                <w:rFonts w:ascii="Arial Narrow" w:eastAsia="Times New Roman" w:hAnsi="Arial Narrow" w:cs="Times New Roman"/>
                <w:sz w:val="20"/>
                <w:szCs w:val="20"/>
                <w:lang w:eastAsia="en-AU"/>
              </w:rPr>
            </w:pPr>
            <w:r w:rsidRPr="00936D42">
              <w:rPr>
                <w:rFonts w:ascii="Arial Narrow" w:eastAsia="Times New Roman" w:hAnsi="Arial Narrow" w:cs="Times New Roman"/>
                <w:sz w:val="20"/>
                <w:szCs w:val="20"/>
                <w:lang w:eastAsia="en-AU"/>
              </w:rPr>
              <w:t>-$</w:t>
            </w:r>
            <w:r w:rsidR="00D2014F">
              <w:rPr>
                <w:rFonts w:ascii="Arial Narrow" w:eastAsia="Times New Roman" w:hAnsi="Arial Narrow" w:cs="Times New Roman"/>
                <w:noProof/>
                <w:color w:val="000000"/>
                <w:sz w:val="20"/>
                <w:szCs w:val="20"/>
                <w:highlight w:val="black"/>
                <w:lang w:eastAsia="en-AU"/>
              </w:rPr>
              <w:t>'''''''''''''''</w:t>
            </w:r>
          </w:p>
        </w:tc>
        <w:tc>
          <w:tcPr>
            <w:tcW w:w="1248" w:type="dxa"/>
            <w:shd w:val="clear" w:color="auto" w:fill="auto"/>
            <w:vAlign w:val="center"/>
          </w:tcPr>
          <w:p w:rsidR="009B7703" w:rsidRPr="00936D42" w:rsidRDefault="009B7703" w:rsidP="00CE5B76">
            <w:pPr>
              <w:spacing w:before="0"/>
              <w:jc w:val="center"/>
              <w:rPr>
                <w:rFonts w:ascii="Arial Narrow" w:hAnsi="Arial Narrow"/>
                <w:color w:val="000000"/>
                <w:sz w:val="20"/>
                <w:szCs w:val="20"/>
              </w:rPr>
            </w:pPr>
            <w:r w:rsidRPr="00936D42">
              <w:rPr>
                <w:rFonts w:ascii="Arial Narrow" w:eastAsia="Times New Roman" w:hAnsi="Arial Narrow" w:cs="Times New Roman"/>
                <w:sz w:val="20"/>
                <w:szCs w:val="20"/>
                <w:lang w:eastAsia="en-AU"/>
              </w:rPr>
              <w:t>$</w:t>
            </w:r>
            <w:r w:rsidR="00D2014F">
              <w:rPr>
                <w:rFonts w:ascii="Arial Narrow" w:eastAsia="Times New Roman" w:hAnsi="Arial Narrow" w:cs="Times New Roman"/>
                <w:noProof/>
                <w:color w:val="000000"/>
                <w:sz w:val="20"/>
                <w:szCs w:val="20"/>
                <w:highlight w:val="black"/>
                <w:lang w:eastAsia="en-AU"/>
              </w:rPr>
              <w:t>'''''''''''''''''</w:t>
            </w:r>
          </w:p>
        </w:tc>
        <w:tc>
          <w:tcPr>
            <w:tcW w:w="1248" w:type="dxa"/>
            <w:shd w:val="clear" w:color="auto" w:fill="auto"/>
            <w:vAlign w:val="center"/>
          </w:tcPr>
          <w:p w:rsidR="009B7703" w:rsidRPr="00936D42" w:rsidRDefault="009B7703" w:rsidP="00CE5B76">
            <w:pPr>
              <w:spacing w:before="0"/>
              <w:jc w:val="center"/>
              <w:rPr>
                <w:rFonts w:ascii="Arial Narrow" w:hAnsi="Arial Narrow"/>
                <w:color w:val="000000"/>
                <w:sz w:val="20"/>
                <w:szCs w:val="20"/>
              </w:rPr>
            </w:pPr>
            <w:r w:rsidRPr="00936D42">
              <w:rPr>
                <w:rFonts w:ascii="Arial Narrow" w:eastAsia="Times New Roman" w:hAnsi="Arial Narrow" w:cs="Times New Roman"/>
                <w:sz w:val="20"/>
                <w:szCs w:val="20"/>
                <w:lang w:eastAsia="en-AU"/>
              </w:rPr>
              <w:t>$68,781</w:t>
            </w:r>
          </w:p>
        </w:tc>
        <w:tc>
          <w:tcPr>
            <w:tcW w:w="1248" w:type="dxa"/>
            <w:vAlign w:val="center"/>
          </w:tcPr>
          <w:p w:rsidR="009B7703" w:rsidRPr="00936D42" w:rsidRDefault="009B7703" w:rsidP="00CE5B76">
            <w:pPr>
              <w:spacing w:before="0"/>
              <w:jc w:val="center"/>
              <w:rPr>
                <w:rFonts w:ascii="Arial Narrow" w:eastAsia="Times New Roman" w:hAnsi="Arial Narrow" w:cs="Times New Roman"/>
                <w:sz w:val="20"/>
                <w:szCs w:val="20"/>
                <w:lang w:eastAsia="en-AU"/>
              </w:rPr>
            </w:pPr>
            <w:r w:rsidRPr="00936D42">
              <w:rPr>
                <w:rFonts w:ascii="Arial Narrow" w:eastAsia="Times New Roman" w:hAnsi="Arial Narrow" w:cs="Times New Roman"/>
                <w:sz w:val="20"/>
                <w:szCs w:val="20"/>
                <w:lang w:eastAsia="en-AU"/>
              </w:rPr>
              <w:t>-$</w:t>
            </w:r>
            <w:r w:rsidR="00D2014F">
              <w:rPr>
                <w:rFonts w:ascii="Arial Narrow" w:eastAsia="Times New Roman" w:hAnsi="Arial Narrow" w:cs="Times New Roman"/>
                <w:noProof/>
                <w:color w:val="000000"/>
                <w:sz w:val="20"/>
                <w:szCs w:val="20"/>
                <w:highlight w:val="black"/>
                <w:lang w:eastAsia="en-AU"/>
              </w:rPr>
              <w:t>'''''''''''''</w:t>
            </w:r>
          </w:p>
        </w:tc>
      </w:tr>
      <w:tr w:rsidR="009B7703" w:rsidRPr="00936D42" w:rsidTr="0075028D">
        <w:tc>
          <w:tcPr>
            <w:tcW w:w="1528" w:type="dxa"/>
            <w:shd w:val="clear" w:color="auto" w:fill="auto"/>
            <w:vAlign w:val="center"/>
          </w:tcPr>
          <w:p w:rsidR="009B7703" w:rsidRPr="00936D42" w:rsidRDefault="009B7703" w:rsidP="00C44233">
            <w:pPr>
              <w:spacing w:before="0"/>
              <w:jc w:val="left"/>
              <w:rPr>
                <w:rFonts w:ascii="Arial Narrow" w:hAnsi="Arial Narrow"/>
                <w:sz w:val="20"/>
                <w:szCs w:val="20"/>
              </w:rPr>
            </w:pPr>
            <w:r w:rsidRPr="00936D42">
              <w:rPr>
                <w:rFonts w:ascii="Arial Narrow" w:hAnsi="Arial Narrow"/>
                <w:sz w:val="20"/>
                <w:szCs w:val="20"/>
              </w:rPr>
              <w:t>- other treatments</w:t>
            </w:r>
          </w:p>
        </w:tc>
        <w:tc>
          <w:tcPr>
            <w:tcW w:w="1248" w:type="dxa"/>
            <w:shd w:val="clear" w:color="auto" w:fill="auto"/>
            <w:vAlign w:val="center"/>
          </w:tcPr>
          <w:p w:rsidR="009B7703" w:rsidRPr="00936D42" w:rsidRDefault="009B7703" w:rsidP="00852CB7">
            <w:pPr>
              <w:spacing w:before="0"/>
              <w:jc w:val="center"/>
              <w:rPr>
                <w:rFonts w:ascii="Arial Narrow" w:hAnsi="Arial Narrow" w:cs="Times New Roman"/>
                <w:sz w:val="20"/>
              </w:rPr>
            </w:pPr>
            <w:r w:rsidRPr="00936D42">
              <w:rPr>
                <w:rFonts w:ascii="Arial Narrow" w:hAnsi="Arial Narrow" w:cs="Times New Roman"/>
                <w:sz w:val="20"/>
              </w:rPr>
              <w:t>$</w:t>
            </w:r>
            <w:r w:rsidR="00D2014F">
              <w:rPr>
                <w:rFonts w:ascii="Arial Narrow" w:hAnsi="Arial Narrow" w:cs="Times New Roman"/>
                <w:noProof/>
                <w:color w:val="000000"/>
                <w:sz w:val="20"/>
                <w:highlight w:val="black"/>
              </w:rPr>
              <w:t>''''''''''''''</w:t>
            </w:r>
          </w:p>
        </w:tc>
        <w:tc>
          <w:tcPr>
            <w:tcW w:w="1248" w:type="dxa"/>
            <w:shd w:val="clear" w:color="auto" w:fill="auto"/>
            <w:vAlign w:val="center"/>
          </w:tcPr>
          <w:p w:rsidR="009B7703" w:rsidRPr="00936D42" w:rsidRDefault="009B7703" w:rsidP="00BF31EB">
            <w:pPr>
              <w:spacing w:before="0"/>
              <w:jc w:val="center"/>
              <w:rPr>
                <w:rFonts w:ascii="Arial Narrow" w:hAnsi="Arial Narrow" w:cs="Times New Roman"/>
                <w:sz w:val="20"/>
              </w:rPr>
            </w:pPr>
            <w:r w:rsidRPr="00936D42">
              <w:rPr>
                <w:rFonts w:ascii="Arial Narrow" w:hAnsi="Arial Narrow" w:cs="Times New Roman"/>
                <w:sz w:val="20"/>
              </w:rPr>
              <w:t>$6,811</w:t>
            </w:r>
          </w:p>
        </w:tc>
        <w:tc>
          <w:tcPr>
            <w:tcW w:w="1248" w:type="dxa"/>
            <w:vAlign w:val="center"/>
          </w:tcPr>
          <w:p w:rsidR="009B7703" w:rsidRPr="00936D42" w:rsidRDefault="009B7703" w:rsidP="00CE5B76">
            <w:pPr>
              <w:spacing w:before="0"/>
              <w:jc w:val="center"/>
              <w:rPr>
                <w:rFonts w:ascii="Arial Narrow" w:hAnsi="Arial Narrow"/>
                <w:color w:val="000000"/>
                <w:sz w:val="20"/>
                <w:szCs w:val="20"/>
              </w:rPr>
            </w:pPr>
            <w:r w:rsidRPr="00936D42">
              <w:rPr>
                <w:rFonts w:ascii="Arial Narrow" w:hAnsi="Arial Narrow"/>
                <w:color w:val="000000"/>
                <w:sz w:val="20"/>
                <w:szCs w:val="20"/>
              </w:rPr>
              <w:t>-$</w:t>
            </w:r>
            <w:r w:rsidR="00D2014F">
              <w:rPr>
                <w:rFonts w:ascii="Arial Narrow" w:hAnsi="Arial Narrow"/>
                <w:noProof/>
                <w:color w:val="000000"/>
                <w:sz w:val="20"/>
                <w:szCs w:val="20"/>
                <w:highlight w:val="black"/>
              </w:rPr>
              <w:t>'''''''''''''</w:t>
            </w:r>
          </w:p>
        </w:tc>
        <w:tc>
          <w:tcPr>
            <w:tcW w:w="1248" w:type="dxa"/>
            <w:shd w:val="clear" w:color="auto" w:fill="auto"/>
            <w:vAlign w:val="center"/>
          </w:tcPr>
          <w:p w:rsidR="009B7703" w:rsidRPr="00936D42" w:rsidRDefault="009B7703" w:rsidP="00CE5B76">
            <w:pPr>
              <w:spacing w:before="0"/>
              <w:jc w:val="center"/>
              <w:rPr>
                <w:rFonts w:ascii="Arial Narrow" w:hAnsi="Arial Narrow"/>
                <w:color w:val="000000"/>
                <w:sz w:val="20"/>
                <w:szCs w:val="20"/>
              </w:rPr>
            </w:pPr>
            <w:r w:rsidRPr="00936D42">
              <w:rPr>
                <w:rFonts w:ascii="Arial Narrow" w:hAnsi="Arial Narrow"/>
                <w:color w:val="000000"/>
                <w:sz w:val="20"/>
                <w:szCs w:val="20"/>
              </w:rPr>
              <w:t>$</w:t>
            </w:r>
            <w:r w:rsidR="00D2014F">
              <w:rPr>
                <w:rFonts w:ascii="Arial Narrow" w:hAnsi="Arial Narrow"/>
                <w:noProof/>
                <w:color w:val="000000"/>
                <w:sz w:val="20"/>
                <w:szCs w:val="20"/>
                <w:highlight w:val="black"/>
              </w:rPr>
              <w:t>'''''''''''''''''''</w:t>
            </w:r>
          </w:p>
        </w:tc>
        <w:tc>
          <w:tcPr>
            <w:tcW w:w="1248" w:type="dxa"/>
            <w:shd w:val="clear" w:color="auto" w:fill="auto"/>
            <w:vAlign w:val="center"/>
          </w:tcPr>
          <w:p w:rsidR="009B7703" w:rsidRPr="00936D42" w:rsidRDefault="009B7703" w:rsidP="00CE5B76">
            <w:pPr>
              <w:spacing w:before="0"/>
              <w:jc w:val="center"/>
              <w:rPr>
                <w:rFonts w:ascii="Arial Narrow" w:hAnsi="Arial Narrow"/>
                <w:color w:val="000000"/>
                <w:sz w:val="20"/>
                <w:szCs w:val="20"/>
              </w:rPr>
            </w:pPr>
            <w:r w:rsidRPr="00936D42">
              <w:rPr>
                <w:rFonts w:ascii="Arial Narrow" w:hAnsi="Arial Narrow"/>
                <w:color w:val="000000"/>
                <w:sz w:val="20"/>
                <w:szCs w:val="20"/>
              </w:rPr>
              <w:t>$184,611</w:t>
            </w:r>
          </w:p>
        </w:tc>
        <w:tc>
          <w:tcPr>
            <w:tcW w:w="1248" w:type="dxa"/>
            <w:vAlign w:val="center"/>
          </w:tcPr>
          <w:p w:rsidR="009B7703" w:rsidRPr="00936D42" w:rsidRDefault="009B7703" w:rsidP="00CE5B76">
            <w:pPr>
              <w:spacing w:before="0"/>
              <w:jc w:val="center"/>
              <w:rPr>
                <w:rFonts w:ascii="Arial Narrow" w:hAnsi="Arial Narrow"/>
                <w:color w:val="000000"/>
                <w:sz w:val="20"/>
                <w:szCs w:val="20"/>
              </w:rPr>
            </w:pPr>
            <w:r w:rsidRPr="00936D42">
              <w:rPr>
                <w:rFonts w:ascii="Arial Narrow" w:hAnsi="Arial Narrow"/>
                <w:color w:val="000000"/>
                <w:sz w:val="20"/>
                <w:szCs w:val="20"/>
              </w:rPr>
              <w:t>-$</w:t>
            </w:r>
            <w:r w:rsidR="00D2014F">
              <w:rPr>
                <w:rFonts w:ascii="Arial Narrow" w:hAnsi="Arial Narrow"/>
                <w:noProof/>
                <w:color w:val="000000"/>
                <w:sz w:val="20"/>
                <w:szCs w:val="20"/>
                <w:highlight w:val="black"/>
              </w:rPr>
              <w:t>'''''''''''''''</w:t>
            </w:r>
          </w:p>
        </w:tc>
      </w:tr>
      <w:tr w:rsidR="009B7703" w:rsidRPr="00936D42" w:rsidTr="0075028D">
        <w:tc>
          <w:tcPr>
            <w:tcW w:w="1528" w:type="dxa"/>
            <w:shd w:val="clear" w:color="auto" w:fill="auto"/>
            <w:vAlign w:val="center"/>
          </w:tcPr>
          <w:p w:rsidR="009B7703" w:rsidRPr="00936D42" w:rsidRDefault="009B7703" w:rsidP="00C44233">
            <w:pPr>
              <w:spacing w:before="0"/>
              <w:jc w:val="left"/>
              <w:rPr>
                <w:rFonts w:ascii="Arial Narrow" w:hAnsi="Arial Narrow"/>
                <w:sz w:val="20"/>
                <w:szCs w:val="20"/>
              </w:rPr>
            </w:pPr>
            <w:r w:rsidRPr="00936D42">
              <w:rPr>
                <w:rFonts w:ascii="Arial Narrow" w:hAnsi="Arial Narrow"/>
                <w:sz w:val="20"/>
                <w:szCs w:val="20"/>
              </w:rPr>
              <w:t>Administration costs</w:t>
            </w:r>
          </w:p>
        </w:tc>
        <w:tc>
          <w:tcPr>
            <w:tcW w:w="1248" w:type="dxa"/>
            <w:shd w:val="clear" w:color="auto" w:fill="auto"/>
            <w:vAlign w:val="center"/>
          </w:tcPr>
          <w:p w:rsidR="009B7703" w:rsidRPr="00936D42" w:rsidRDefault="009B7703" w:rsidP="00852CB7">
            <w:pPr>
              <w:spacing w:before="0"/>
              <w:jc w:val="center"/>
              <w:rPr>
                <w:rFonts w:ascii="Arial Narrow" w:hAnsi="Arial Narrow" w:cs="Times New Roman"/>
                <w:sz w:val="20"/>
              </w:rPr>
            </w:pPr>
            <w:r w:rsidRPr="00936D42">
              <w:rPr>
                <w:rFonts w:ascii="Arial Narrow" w:hAnsi="Arial Narrow" w:cs="Times New Roman"/>
                <w:sz w:val="20"/>
              </w:rPr>
              <w:t>$</w:t>
            </w:r>
            <w:r w:rsidR="00D2014F">
              <w:rPr>
                <w:rFonts w:ascii="Arial Narrow" w:hAnsi="Arial Narrow" w:cs="Times New Roman"/>
                <w:noProof/>
                <w:color w:val="000000"/>
                <w:sz w:val="20"/>
                <w:highlight w:val="black"/>
              </w:rPr>
              <w:t>'''''''''''''''</w:t>
            </w:r>
          </w:p>
        </w:tc>
        <w:tc>
          <w:tcPr>
            <w:tcW w:w="1248" w:type="dxa"/>
            <w:shd w:val="clear" w:color="auto" w:fill="auto"/>
            <w:vAlign w:val="center"/>
          </w:tcPr>
          <w:p w:rsidR="009B7703" w:rsidRPr="00936D42" w:rsidRDefault="009B7703" w:rsidP="00BF31EB">
            <w:pPr>
              <w:spacing w:before="0"/>
              <w:jc w:val="center"/>
              <w:rPr>
                <w:rFonts w:ascii="Arial Narrow" w:hAnsi="Arial Narrow" w:cs="Times New Roman"/>
                <w:sz w:val="20"/>
              </w:rPr>
            </w:pPr>
            <w:r w:rsidRPr="00936D42">
              <w:rPr>
                <w:rFonts w:ascii="Arial Narrow" w:hAnsi="Arial Narrow" w:cs="Times New Roman"/>
                <w:sz w:val="20"/>
              </w:rPr>
              <w:t>$5,360</w:t>
            </w:r>
          </w:p>
        </w:tc>
        <w:tc>
          <w:tcPr>
            <w:tcW w:w="1248" w:type="dxa"/>
            <w:vAlign w:val="center"/>
          </w:tcPr>
          <w:p w:rsidR="009B7703" w:rsidRPr="00936D42" w:rsidRDefault="009B7703" w:rsidP="00CE5B76">
            <w:pPr>
              <w:spacing w:before="0"/>
              <w:jc w:val="center"/>
              <w:rPr>
                <w:rFonts w:ascii="Arial Narrow" w:hAnsi="Arial Narrow"/>
                <w:sz w:val="20"/>
                <w:szCs w:val="20"/>
              </w:rPr>
            </w:pPr>
            <w:r w:rsidRPr="00936D42">
              <w:rPr>
                <w:rFonts w:ascii="Arial Narrow" w:hAnsi="Arial Narrow"/>
                <w:sz w:val="20"/>
                <w:szCs w:val="20"/>
              </w:rPr>
              <w:t>-$</w:t>
            </w:r>
            <w:r w:rsidR="00D2014F">
              <w:rPr>
                <w:rFonts w:ascii="Arial Narrow" w:hAnsi="Arial Narrow"/>
                <w:noProof/>
                <w:color w:val="000000"/>
                <w:sz w:val="20"/>
                <w:szCs w:val="20"/>
                <w:highlight w:val="black"/>
              </w:rPr>
              <w:t>'''''''''''''</w:t>
            </w:r>
          </w:p>
        </w:tc>
        <w:tc>
          <w:tcPr>
            <w:tcW w:w="1248" w:type="dxa"/>
            <w:shd w:val="clear" w:color="auto" w:fill="auto"/>
            <w:vAlign w:val="center"/>
          </w:tcPr>
          <w:p w:rsidR="009B7703" w:rsidRPr="00936D42" w:rsidRDefault="009B7703" w:rsidP="00CE5B76">
            <w:pPr>
              <w:spacing w:before="0"/>
              <w:jc w:val="center"/>
              <w:rPr>
                <w:rFonts w:ascii="Arial Narrow" w:eastAsia="Times New Roman" w:hAnsi="Arial Narrow" w:cs="Times New Roman"/>
                <w:sz w:val="20"/>
                <w:szCs w:val="20"/>
                <w:lang w:eastAsia="en-AU"/>
              </w:rPr>
            </w:pPr>
            <w:r w:rsidRPr="00936D42">
              <w:rPr>
                <w:rFonts w:ascii="Arial Narrow" w:hAnsi="Arial Narrow"/>
                <w:sz w:val="20"/>
                <w:szCs w:val="20"/>
              </w:rPr>
              <w:t>$</w:t>
            </w:r>
            <w:r w:rsidR="00D2014F">
              <w:rPr>
                <w:rFonts w:ascii="Arial Narrow" w:hAnsi="Arial Narrow"/>
                <w:noProof/>
                <w:color w:val="000000"/>
                <w:sz w:val="20"/>
                <w:szCs w:val="20"/>
                <w:highlight w:val="black"/>
              </w:rPr>
              <w:t>''''''''''''''</w:t>
            </w:r>
          </w:p>
        </w:tc>
        <w:tc>
          <w:tcPr>
            <w:tcW w:w="1248" w:type="dxa"/>
            <w:shd w:val="clear" w:color="auto" w:fill="auto"/>
            <w:vAlign w:val="center"/>
          </w:tcPr>
          <w:p w:rsidR="009B7703" w:rsidRPr="00936D42" w:rsidRDefault="009B7703" w:rsidP="00CE5B76">
            <w:pPr>
              <w:spacing w:before="0"/>
              <w:jc w:val="center"/>
              <w:rPr>
                <w:rFonts w:ascii="Arial Narrow" w:eastAsia="Times New Roman" w:hAnsi="Arial Narrow" w:cs="Times New Roman"/>
                <w:sz w:val="20"/>
                <w:szCs w:val="20"/>
                <w:lang w:eastAsia="en-AU"/>
              </w:rPr>
            </w:pPr>
            <w:r w:rsidRPr="00936D42">
              <w:rPr>
                <w:rFonts w:ascii="Arial Narrow" w:hAnsi="Arial Narrow"/>
                <w:sz w:val="20"/>
                <w:szCs w:val="20"/>
              </w:rPr>
              <w:t>$13,956</w:t>
            </w:r>
          </w:p>
        </w:tc>
        <w:tc>
          <w:tcPr>
            <w:tcW w:w="1248" w:type="dxa"/>
            <w:vAlign w:val="center"/>
          </w:tcPr>
          <w:p w:rsidR="009B7703" w:rsidRPr="00936D42" w:rsidRDefault="009B7703" w:rsidP="00CE5B76">
            <w:pPr>
              <w:spacing w:before="0"/>
              <w:jc w:val="center"/>
              <w:rPr>
                <w:rFonts w:ascii="Arial Narrow" w:hAnsi="Arial Narrow"/>
                <w:sz w:val="20"/>
                <w:szCs w:val="20"/>
              </w:rPr>
            </w:pPr>
            <w:r w:rsidRPr="00936D42">
              <w:rPr>
                <w:rFonts w:ascii="Arial Narrow" w:hAnsi="Arial Narrow"/>
                <w:sz w:val="20"/>
                <w:szCs w:val="20"/>
              </w:rPr>
              <w:t>-$</w:t>
            </w:r>
            <w:r w:rsidR="00D2014F">
              <w:rPr>
                <w:rFonts w:ascii="Arial Narrow" w:hAnsi="Arial Narrow"/>
                <w:noProof/>
                <w:color w:val="000000"/>
                <w:sz w:val="20"/>
                <w:szCs w:val="20"/>
                <w:highlight w:val="black"/>
              </w:rPr>
              <w:t>'''''''''''''</w:t>
            </w:r>
          </w:p>
        </w:tc>
      </w:tr>
      <w:tr w:rsidR="009B7703" w:rsidRPr="00936D42" w:rsidTr="0075028D">
        <w:tc>
          <w:tcPr>
            <w:tcW w:w="1528" w:type="dxa"/>
            <w:shd w:val="clear" w:color="auto" w:fill="auto"/>
            <w:vAlign w:val="center"/>
          </w:tcPr>
          <w:p w:rsidR="009B7703" w:rsidRPr="00936D42" w:rsidRDefault="009B7703" w:rsidP="00C44233">
            <w:pPr>
              <w:spacing w:before="0"/>
              <w:jc w:val="left"/>
              <w:rPr>
                <w:rFonts w:ascii="Arial Narrow" w:hAnsi="Arial Narrow"/>
                <w:sz w:val="20"/>
                <w:szCs w:val="20"/>
              </w:rPr>
            </w:pPr>
            <w:r w:rsidRPr="00936D42">
              <w:rPr>
                <w:rFonts w:ascii="Arial Narrow" w:hAnsi="Arial Narrow"/>
                <w:sz w:val="20"/>
                <w:szCs w:val="20"/>
              </w:rPr>
              <w:t>Monitoring costs</w:t>
            </w:r>
          </w:p>
        </w:tc>
        <w:tc>
          <w:tcPr>
            <w:tcW w:w="1248" w:type="dxa"/>
            <w:shd w:val="clear" w:color="auto" w:fill="auto"/>
            <w:vAlign w:val="center"/>
          </w:tcPr>
          <w:p w:rsidR="009B7703" w:rsidRPr="00936D42" w:rsidRDefault="009B7703" w:rsidP="00852CB7">
            <w:pPr>
              <w:spacing w:before="0"/>
              <w:jc w:val="center"/>
              <w:rPr>
                <w:rFonts w:ascii="Arial Narrow" w:hAnsi="Arial Narrow" w:cs="Times New Roman"/>
                <w:sz w:val="20"/>
              </w:rPr>
            </w:pPr>
            <w:r w:rsidRPr="00936D42">
              <w:rPr>
                <w:rFonts w:ascii="Arial Narrow" w:hAnsi="Arial Narrow" w:cs="Times New Roman"/>
                <w:sz w:val="20"/>
              </w:rPr>
              <w:t>$</w:t>
            </w:r>
            <w:r w:rsidR="00D2014F">
              <w:rPr>
                <w:rFonts w:ascii="Arial Narrow" w:hAnsi="Arial Narrow" w:cs="Times New Roman"/>
                <w:noProof/>
                <w:color w:val="000000"/>
                <w:sz w:val="20"/>
                <w:highlight w:val="black"/>
              </w:rPr>
              <w:t>''''''''''''''''''</w:t>
            </w:r>
          </w:p>
        </w:tc>
        <w:tc>
          <w:tcPr>
            <w:tcW w:w="1248" w:type="dxa"/>
            <w:shd w:val="clear" w:color="auto" w:fill="auto"/>
            <w:vAlign w:val="center"/>
          </w:tcPr>
          <w:p w:rsidR="009B7703" w:rsidRPr="00936D42" w:rsidRDefault="009B7703" w:rsidP="00BF31EB">
            <w:pPr>
              <w:spacing w:before="0"/>
              <w:jc w:val="center"/>
              <w:rPr>
                <w:rFonts w:ascii="Arial Narrow" w:hAnsi="Arial Narrow" w:cs="Times New Roman"/>
                <w:sz w:val="20"/>
              </w:rPr>
            </w:pPr>
            <w:r w:rsidRPr="00936D42">
              <w:rPr>
                <w:rFonts w:ascii="Arial Narrow" w:hAnsi="Arial Narrow" w:cs="Times New Roman"/>
                <w:sz w:val="20"/>
              </w:rPr>
              <w:t>$25,139</w:t>
            </w:r>
          </w:p>
        </w:tc>
        <w:tc>
          <w:tcPr>
            <w:tcW w:w="1248" w:type="dxa"/>
            <w:vAlign w:val="center"/>
          </w:tcPr>
          <w:p w:rsidR="009B7703" w:rsidRPr="00936D42" w:rsidRDefault="009B7703" w:rsidP="00CE5B76">
            <w:pPr>
              <w:spacing w:before="0"/>
              <w:jc w:val="center"/>
              <w:rPr>
                <w:rFonts w:ascii="Arial Narrow" w:hAnsi="Arial Narrow"/>
                <w:sz w:val="20"/>
                <w:szCs w:val="20"/>
              </w:rPr>
            </w:pPr>
            <w:r w:rsidRPr="00936D42">
              <w:rPr>
                <w:rFonts w:ascii="Arial Narrow" w:hAnsi="Arial Narrow"/>
                <w:sz w:val="20"/>
                <w:szCs w:val="20"/>
              </w:rPr>
              <w:t>-$</w:t>
            </w:r>
            <w:r w:rsidR="00D2014F">
              <w:rPr>
                <w:rFonts w:ascii="Arial Narrow" w:hAnsi="Arial Narrow"/>
                <w:noProof/>
                <w:color w:val="000000"/>
                <w:sz w:val="20"/>
                <w:szCs w:val="20"/>
                <w:highlight w:val="black"/>
              </w:rPr>
              <w:t>''''''''''''</w:t>
            </w:r>
          </w:p>
        </w:tc>
        <w:tc>
          <w:tcPr>
            <w:tcW w:w="1248" w:type="dxa"/>
            <w:shd w:val="clear" w:color="auto" w:fill="auto"/>
            <w:vAlign w:val="center"/>
          </w:tcPr>
          <w:p w:rsidR="009B7703" w:rsidRPr="00936D42" w:rsidRDefault="009B7703" w:rsidP="00CE5B76">
            <w:pPr>
              <w:spacing w:before="0"/>
              <w:jc w:val="center"/>
              <w:rPr>
                <w:rFonts w:ascii="Arial Narrow" w:eastAsia="Times New Roman" w:hAnsi="Arial Narrow" w:cs="Times New Roman"/>
                <w:sz w:val="20"/>
                <w:szCs w:val="20"/>
                <w:lang w:eastAsia="en-AU"/>
              </w:rPr>
            </w:pPr>
            <w:r w:rsidRPr="00936D42">
              <w:rPr>
                <w:rFonts w:ascii="Arial Narrow" w:hAnsi="Arial Narrow"/>
                <w:sz w:val="20"/>
                <w:szCs w:val="20"/>
              </w:rPr>
              <w:t>$</w:t>
            </w:r>
            <w:r w:rsidR="00D2014F">
              <w:rPr>
                <w:rFonts w:ascii="Arial Narrow" w:hAnsi="Arial Narrow"/>
                <w:noProof/>
                <w:color w:val="000000"/>
                <w:sz w:val="20"/>
                <w:szCs w:val="20"/>
                <w:highlight w:val="black"/>
              </w:rPr>
              <w:t>''''''''''''''''''</w:t>
            </w:r>
          </w:p>
        </w:tc>
        <w:tc>
          <w:tcPr>
            <w:tcW w:w="1248" w:type="dxa"/>
            <w:shd w:val="clear" w:color="auto" w:fill="auto"/>
            <w:vAlign w:val="center"/>
          </w:tcPr>
          <w:p w:rsidR="009B7703" w:rsidRPr="00936D42" w:rsidRDefault="009B7703" w:rsidP="00CE5B76">
            <w:pPr>
              <w:spacing w:before="0"/>
              <w:jc w:val="center"/>
              <w:rPr>
                <w:rFonts w:ascii="Arial Narrow" w:eastAsia="Times New Roman" w:hAnsi="Arial Narrow" w:cs="Times New Roman"/>
                <w:sz w:val="20"/>
                <w:szCs w:val="20"/>
                <w:lang w:eastAsia="en-AU"/>
              </w:rPr>
            </w:pPr>
            <w:r w:rsidRPr="00936D42">
              <w:rPr>
                <w:rFonts w:ascii="Arial Narrow" w:hAnsi="Arial Narrow"/>
                <w:sz w:val="20"/>
                <w:szCs w:val="20"/>
              </w:rPr>
              <w:t>$41,918</w:t>
            </w:r>
          </w:p>
        </w:tc>
        <w:tc>
          <w:tcPr>
            <w:tcW w:w="1248" w:type="dxa"/>
            <w:vAlign w:val="center"/>
          </w:tcPr>
          <w:p w:rsidR="009B7703" w:rsidRPr="00936D42" w:rsidRDefault="009B7703" w:rsidP="00CE5B76">
            <w:pPr>
              <w:spacing w:before="0"/>
              <w:jc w:val="center"/>
              <w:rPr>
                <w:rFonts w:ascii="Arial Narrow" w:hAnsi="Arial Narrow"/>
                <w:sz w:val="20"/>
                <w:szCs w:val="20"/>
              </w:rPr>
            </w:pPr>
            <w:r w:rsidRPr="00936D42">
              <w:rPr>
                <w:rFonts w:ascii="Arial Narrow" w:hAnsi="Arial Narrow"/>
                <w:sz w:val="20"/>
                <w:szCs w:val="20"/>
              </w:rPr>
              <w:t>-$</w:t>
            </w:r>
            <w:r w:rsidR="00D2014F">
              <w:rPr>
                <w:rFonts w:ascii="Arial Narrow" w:hAnsi="Arial Narrow"/>
                <w:noProof/>
                <w:color w:val="000000"/>
                <w:sz w:val="20"/>
                <w:szCs w:val="20"/>
                <w:highlight w:val="black"/>
              </w:rPr>
              <w:t>'''''''''''''''</w:t>
            </w:r>
          </w:p>
        </w:tc>
      </w:tr>
      <w:tr w:rsidR="009B7703" w:rsidRPr="00936D42" w:rsidTr="002C290B">
        <w:tc>
          <w:tcPr>
            <w:tcW w:w="1528" w:type="dxa"/>
            <w:shd w:val="clear" w:color="auto" w:fill="auto"/>
            <w:vAlign w:val="center"/>
          </w:tcPr>
          <w:p w:rsidR="009B7703" w:rsidRPr="00936D42" w:rsidRDefault="009B7703" w:rsidP="00C44233">
            <w:pPr>
              <w:spacing w:before="0"/>
              <w:jc w:val="left"/>
              <w:rPr>
                <w:rFonts w:ascii="Arial Narrow" w:hAnsi="Arial Narrow" w:cstheme="minorHAnsi"/>
                <w:sz w:val="20"/>
                <w:szCs w:val="20"/>
              </w:rPr>
            </w:pPr>
            <w:r w:rsidRPr="00936D42">
              <w:rPr>
                <w:rFonts w:ascii="Arial Narrow" w:hAnsi="Arial Narrow"/>
                <w:sz w:val="20"/>
                <w:szCs w:val="20"/>
              </w:rPr>
              <w:t>Adverse event costs</w:t>
            </w:r>
          </w:p>
        </w:tc>
        <w:tc>
          <w:tcPr>
            <w:tcW w:w="1248" w:type="dxa"/>
            <w:shd w:val="clear" w:color="auto" w:fill="auto"/>
            <w:vAlign w:val="center"/>
          </w:tcPr>
          <w:p w:rsidR="009B7703" w:rsidRPr="00936D42" w:rsidRDefault="009B7703" w:rsidP="00852CB7">
            <w:pPr>
              <w:spacing w:before="0"/>
              <w:jc w:val="center"/>
              <w:rPr>
                <w:rFonts w:ascii="Arial Narrow" w:hAnsi="Arial Narrow" w:cs="Times New Roman"/>
                <w:sz w:val="20"/>
              </w:rPr>
            </w:pPr>
            <w:r w:rsidRPr="00936D42">
              <w:rPr>
                <w:rFonts w:ascii="Arial Narrow" w:hAnsi="Arial Narrow" w:cs="Times New Roman"/>
                <w:sz w:val="20"/>
              </w:rPr>
              <w:t>$</w:t>
            </w:r>
            <w:r w:rsidR="00D2014F">
              <w:rPr>
                <w:rFonts w:ascii="Arial Narrow" w:hAnsi="Arial Narrow" w:cs="Times New Roman"/>
                <w:noProof/>
                <w:color w:val="000000"/>
                <w:sz w:val="20"/>
                <w:highlight w:val="black"/>
              </w:rPr>
              <w:t>''''''''''</w:t>
            </w:r>
          </w:p>
        </w:tc>
        <w:tc>
          <w:tcPr>
            <w:tcW w:w="1248" w:type="dxa"/>
            <w:shd w:val="clear" w:color="auto" w:fill="auto"/>
            <w:vAlign w:val="center"/>
          </w:tcPr>
          <w:p w:rsidR="009B7703" w:rsidRPr="00936D42" w:rsidRDefault="009B7703" w:rsidP="00BF31EB">
            <w:pPr>
              <w:spacing w:before="0"/>
              <w:jc w:val="center"/>
              <w:rPr>
                <w:rFonts w:ascii="Arial Narrow" w:hAnsi="Arial Narrow" w:cs="Times New Roman"/>
                <w:sz w:val="20"/>
              </w:rPr>
            </w:pPr>
            <w:r w:rsidRPr="00936D42">
              <w:rPr>
                <w:rFonts w:ascii="Arial Narrow" w:hAnsi="Arial Narrow" w:cs="Times New Roman"/>
                <w:sz w:val="20"/>
              </w:rPr>
              <w:t>$827</w:t>
            </w:r>
          </w:p>
        </w:tc>
        <w:tc>
          <w:tcPr>
            <w:tcW w:w="1248" w:type="dxa"/>
            <w:vAlign w:val="center"/>
          </w:tcPr>
          <w:p w:rsidR="009B7703" w:rsidRPr="00936D42" w:rsidRDefault="009B7703" w:rsidP="00CE5B76">
            <w:pPr>
              <w:spacing w:before="0"/>
              <w:jc w:val="center"/>
              <w:rPr>
                <w:rFonts w:ascii="Arial Narrow" w:hAnsi="Arial Narrow"/>
                <w:sz w:val="20"/>
                <w:szCs w:val="20"/>
              </w:rPr>
            </w:pPr>
            <w:r w:rsidRPr="00936D42">
              <w:rPr>
                <w:rFonts w:ascii="Arial Narrow" w:hAnsi="Arial Narrow"/>
                <w:sz w:val="20"/>
                <w:szCs w:val="20"/>
              </w:rPr>
              <w:t>-$</w:t>
            </w:r>
            <w:r w:rsidR="00D2014F">
              <w:rPr>
                <w:rFonts w:ascii="Arial Narrow" w:hAnsi="Arial Narrow"/>
                <w:noProof/>
                <w:color w:val="000000"/>
                <w:sz w:val="20"/>
                <w:szCs w:val="20"/>
                <w:highlight w:val="black"/>
              </w:rPr>
              <w:t>''''''''''</w:t>
            </w:r>
          </w:p>
        </w:tc>
        <w:tc>
          <w:tcPr>
            <w:tcW w:w="1248" w:type="dxa"/>
            <w:shd w:val="clear" w:color="auto" w:fill="auto"/>
            <w:vAlign w:val="center"/>
          </w:tcPr>
          <w:p w:rsidR="009B7703" w:rsidRPr="00936D42" w:rsidRDefault="009B7703" w:rsidP="00CE5B76">
            <w:pPr>
              <w:spacing w:before="0"/>
              <w:jc w:val="center"/>
              <w:rPr>
                <w:rFonts w:ascii="Arial Narrow" w:eastAsia="Times New Roman" w:hAnsi="Arial Narrow" w:cs="Times New Roman"/>
                <w:sz w:val="20"/>
                <w:szCs w:val="20"/>
                <w:lang w:eastAsia="en-AU"/>
              </w:rPr>
            </w:pPr>
            <w:r w:rsidRPr="00936D42">
              <w:rPr>
                <w:rFonts w:ascii="Arial Narrow" w:hAnsi="Arial Narrow"/>
                <w:sz w:val="20"/>
                <w:szCs w:val="20"/>
              </w:rPr>
              <w:t>$</w:t>
            </w:r>
            <w:r w:rsidR="00D2014F">
              <w:rPr>
                <w:rFonts w:ascii="Arial Narrow" w:hAnsi="Arial Narrow"/>
                <w:noProof/>
                <w:color w:val="000000"/>
                <w:sz w:val="20"/>
                <w:szCs w:val="20"/>
                <w:highlight w:val="black"/>
              </w:rPr>
              <w:t>'''''''''''''</w:t>
            </w:r>
          </w:p>
        </w:tc>
        <w:tc>
          <w:tcPr>
            <w:tcW w:w="1248" w:type="dxa"/>
            <w:shd w:val="clear" w:color="auto" w:fill="auto"/>
            <w:vAlign w:val="center"/>
          </w:tcPr>
          <w:p w:rsidR="009B7703" w:rsidRPr="00936D42" w:rsidRDefault="009B7703" w:rsidP="00CE5B76">
            <w:pPr>
              <w:spacing w:before="0"/>
              <w:jc w:val="center"/>
              <w:rPr>
                <w:rFonts w:ascii="Arial Narrow" w:eastAsia="Times New Roman" w:hAnsi="Arial Narrow" w:cs="Times New Roman"/>
                <w:sz w:val="20"/>
                <w:szCs w:val="20"/>
                <w:lang w:eastAsia="en-AU"/>
              </w:rPr>
            </w:pPr>
            <w:r w:rsidRPr="00936D42">
              <w:rPr>
                <w:rFonts w:ascii="Arial Narrow" w:hAnsi="Arial Narrow"/>
                <w:sz w:val="20"/>
                <w:szCs w:val="20"/>
              </w:rPr>
              <w:t>$4,961</w:t>
            </w:r>
          </w:p>
        </w:tc>
        <w:tc>
          <w:tcPr>
            <w:tcW w:w="1248" w:type="dxa"/>
            <w:vAlign w:val="center"/>
          </w:tcPr>
          <w:p w:rsidR="009B7703" w:rsidRPr="00936D42" w:rsidRDefault="009B7703" w:rsidP="00CE5B76">
            <w:pPr>
              <w:spacing w:before="0"/>
              <w:jc w:val="center"/>
              <w:rPr>
                <w:rFonts w:ascii="Arial Narrow" w:hAnsi="Arial Narrow"/>
                <w:sz w:val="20"/>
                <w:szCs w:val="20"/>
              </w:rPr>
            </w:pPr>
            <w:r w:rsidRPr="00936D42">
              <w:rPr>
                <w:rFonts w:ascii="Arial Narrow" w:hAnsi="Arial Narrow"/>
                <w:sz w:val="20"/>
                <w:szCs w:val="20"/>
              </w:rPr>
              <w:t>-$</w:t>
            </w:r>
            <w:r w:rsidR="00D2014F">
              <w:rPr>
                <w:rFonts w:ascii="Arial Narrow" w:hAnsi="Arial Narrow"/>
                <w:noProof/>
                <w:color w:val="000000"/>
                <w:sz w:val="20"/>
                <w:szCs w:val="20"/>
                <w:highlight w:val="black"/>
              </w:rPr>
              <w:t>''''''''''''''</w:t>
            </w:r>
          </w:p>
        </w:tc>
      </w:tr>
      <w:tr w:rsidR="009B7703" w:rsidRPr="00936D42" w:rsidTr="002C290B">
        <w:tc>
          <w:tcPr>
            <w:tcW w:w="1528" w:type="dxa"/>
            <w:shd w:val="clear" w:color="auto" w:fill="auto"/>
            <w:vAlign w:val="center"/>
          </w:tcPr>
          <w:p w:rsidR="009B7703" w:rsidRPr="00936D42" w:rsidRDefault="009B7703" w:rsidP="00C44233">
            <w:pPr>
              <w:spacing w:before="0"/>
              <w:jc w:val="left"/>
              <w:rPr>
                <w:rFonts w:ascii="Arial Narrow" w:hAnsi="Arial Narrow"/>
                <w:b/>
                <w:sz w:val="20"/>
                <w:szCs w:val="20"/>
              </w:rPr>
            </w:pPr>
            <w:r w:rsidRPr="00936D42">
              <w:rPr>
                <w:rFonts w:ascii="Arial Narrow" w:hAnsi="Arial Narrow"/>
                <w:b/>
                <w:sz w:val="20"/>
                <w:szCs w:val="20"/>
              </w:rPr>
              <w:t>Total</w:t>
            </w:r>
          </w:p>
        </w:tc>
        <w:tc>
          <w:tcPr>
            <w:tcW w:w="1248" w:type="dxa"/>
            <w:shd w:val="clear" w:color="auto" w:fill="auto"/>
            <w:vAlign w:val="center"/>
          </w:tcPr>
          <w:p w:rsidR="009B7703" w:rsidRPr="00936D42" w:rsidRDefault="009B7703" w:rsidP="00852CB7">
            <w:pPr>
              <w:spacing w:before="0"/>
              <w:jc w:val="center"/>
              <w:rPr>
                <w:rFonts w:ascii="Arial Narrow" w:hAnsi="Arial Narrow"/>
                <w:b/>
                <w:sz w:val="20"/>
                <w:szCs w:val="20"/>
              </w:rPr>
            </w:pPr>
            <w:r w:rsidRPr="00936D42">
              <w:rPr>
                <w:rFonts w:ascii="Arial Narrow" w:hAnsi="Arial Narrow"/>
                <w:b/>
                <w:bCs/>
                <w:iCs/>
                <w:sz w:val="20"/>
                <w:szCs w:val="20"/>
              </w:rPr>
              <w:t>$</w:t>
            </w:r>
            <w:r w:rsidR="00D2014F">
              <w:rPr>
                <w:rFonts w:ascii="Arial Narrow" w:hAnsi="Arial Narrow"/>
                <w:b/>
                <w:bCs/>
                <w:iCs/>
                <w:noProof/>
                <w:color w:val="000000"/>
                <w:sz w:val="20"/>
                <w:szCs w:val="20"/>
                <w:highlight w:val="black"/>
              </w:rPr>
              <w:t>''''''''''''''''</w:t>
            </w:r>
          </w:p>
        </w:tc>
        <w:tc>
          <w:tcPr>
            <w:tcW w:w="1248" w:type="dxa"/>
            <w:shd w:val="clear" w:color="auto" w:fill="auto"/>
            <w:vAlign w:val="center"/>
          </w:tcPr>
          <w:p w:rsidR="009B7703" w:rsidRPr="00936D42" w:rsidRDefault="009B7703" w:rsidP="00BF31EB">
            <w:pPr>
              <w:spacing w:before="0"/>
              <w:jc w:val="center"/>
              <w:rPr>
                <w:rFonts w:ascii="Arial Narrow" w:hAnsi="Arial Narrow"/>
                <w:b/>
                <w:sz w:val="20"/>
                <w:szCs w:val="20"/>
              </w:rPr>
            </w:pPr>
            <w:r w:rsidRPr="00936D42">
              <w:rPr>
                <w:rFonts w:ascii="Arial Narrow" w:hAnsi="Arial Narrow"/>
                <w:b/>
                <w:bCs/>
                <w:iCs/>
                <w:sz w:val="20"/>
                <w:szCs w:val="20"/>
              </w:rPr>
              <w:t>$274,115</w:t>
            </w:r>
          </w:p>
        </w:tc>
        <w:tc>
          <w:tcPr>
            <w:tcW w:w="1248" w:type="dxa"/>
            <w:shd w:val="clear" w:color="auto" w:fill="auto"/>
            <w:vAlign w:val="center"/>
          </w:tcPr>
          <w:p w:rsidR="009B7703" w:rsidRPr="00936D42" w:rsidRDefault="009B7703" w:rsidP="00CE5B76">
            <w:pPr>
              <w:spacing w:before="0"/>
              <w:jc w:val="center"/>
              <w:rPr>
                <w:rFonts w:ascii="Arial Narrow" w:hAnsi="Arial Narrow"/>
                <w:b/>
                <w:sz w:val="20"/>
                <w:szCs w:val="20"/>
              </w:rPr>
            </w:pPr>
            <w:r w:rsidRPr="00936D42">
              <w:rPr>
                <w:rFonts w:ascii="Arial Narrow" w:hAnsi="Arial Narrow"/>
                <w:b/>
                <w:bCs/>
                <w:iCs/>
                <w:sz w:val="20"/>
                <w:szCs w:val="20"/>
              </w:rPr>
              <w:t>-$</w:t>
            </w:r>
            <w:r w:rsidR="00D2014F">
              <w:rPr>
                <w:rFonts w:ascii="Arial Narrow" w:hAnsi="Arial Narrow"/>
                <w:b/>
                <w:bCs/>
                <w:iCs/>
                <w:noProof/>
                <w:color w:val="000000"/>
                <w:sz w:val="20"/>
                <w:szCs w:val="20"/>
                <w:highlight w:val="black"/>
              </w:rPr>
              <w:t>'''''''''''''</w:t>
            </w:r>
          </w:p>
        </w:tc>
        <w:tc>
          <w:tcPr>
            <w:tcW w:w="1248" w:type="dxa"/>
            <w:vAlign w:val="center"/>
          </w:tcPr>
          <w:p w:rsidR="009B7703" w:rsidRPr="00936D42" w:rsidRDefault="009B7703" w:rsidP="00CE5B76">
            <w:pPr>
              <w:spacing w:before="0"/>
              <w:jc w:val="center"/>
              <w:rPr>
                <w:rFonts w:ascii="Arial Narrow" w:eastAsia="Times New Roman" w:hAnsi="Arial Narrow" w:cs="Times New Roman"/>
                <w:b/>
                <w:color w:val="000000"/>
                <w:sz w:val="20"/>
                <w:szCs w:val="20"/>
                <w:lang w:eastAsia="en-AU"/>
              </w:rPr>
            </w:pPr>
            <w:r w:rsidRPr="00936D42">
              <w:rPr>
                <w:rFonts w:ascii="Arial Narrow" w:hAnsi="Arial Narrow"/>
                <w:b/>
                <w:color w:val="000000"/>
                <w:sz w:val="20"/>
                <w:szCs w:val="20"/>
              </w:rPr>
              <w:t>$</w:t>
            </w:r>
            <w:r w:rsidR="00D2014F">
              <w:rPr>
                <w:rFonts w:ascii="Arial Narrow" w:hAnsi="Arial Narrow"/>
                <w:b/>
                <w:noProof/>
                <w:color w:val="000000"/>
                <w:sz w:val="20"/>
                <w:szCs w:val="20"/>
                <w:highlight w:val="black"/>
              </w:rPr>
              <w:t>'''''''''''''''</w:t>
            </w:r>
          </w:p>
        </w:tc>
        <w:tc>
          <w:tcPr>
            <w:tcW w:w="1248" w:type="dxa"/>
            <w:vAlign w:val="center"/>
          </w:tcPr>
          <w:p w:rsidR="009B7703" w:rsidRPr="00936D42" w:rsidRDefault="009B7703" w:rsidP="00CE5B76">
            <w:pPr>
              <w:spacing w:before="0"/>
              <w:jc w:val="center"/>
              <w:rPr>
                <w:rFonts w:ascii="Arial Narrow" w:eastAsia="Times New Roman" w:hAnsi="Arial Narrow" w:cs="Times New Roman"/>
                <w:b/>
                <w:color w:val="000000"/>
                <w:sz w:val="20"/>
                <w:szCs w:val="20"/>
                <w:lang w:eastAsia="en-AU"/>
              </w:rPr>
            </w:pPr>
            <w:r w:rsidRPr="00936D42">
              <w:rPr>
                <w:rFonts w:ascii="Arial Narrow" w:hAnsi="Arial Narrow"/>
                <w:b/>
                <w:color w:val="000000"/>
                <w:sz w:val="20"/>
                <w:szCs w:val="20"/>
              </w:rPr>
              <w:t>$314,228</w:t>
            </w:r>
          </w:p>
        </w:tc>
        <w:tc>
          <w:tcPr>
            <w:tcW w:w="1248" w:type="dxa"/>
            <w:vAlign w:val="center"/>
          </w:tcPr>
          <w:p w:rsidR="009B7703" w:rsidRPr="00936D42" w:rsidRDefault="009B7703" w:rsidP="00CE5B76">
            <w:pPr>
              <w:spacing w:before="0"/>
              <w:jc w:val="center"/>
              <w:rPr>
                <w:rFonts w:ascii="Arial Narrow" w:hAnsi="Arial Narrow"/>
                <w:b/>
                <w:color w:val="000000"/>
                <w:sz w:val="20"/>
                <w:szCs w:val="20"/>
              </w:rPr>
            </w:pPr>
            <w:r w:rsidRPr="00936D42">
              <w:rPr>
                <w:rFonts w:ascii="Arial Narrow" w:hAnsi="Arial Narrow"/>
                <w:b/>
                <w:color w:val="000000"/>
                <w:sz w:val="20"/>
                <w:szCs w:val="20"/>
              </w:rPr>
              <w:t>-$</w:t>
            </w:r>
            <w:r w:rsidR="00D2014F">
              <w:rPr>
                <w:rFonts w:ascii="Arial Narrow" w:hAnsi="Arial Narrow"/>
                <w:b/>
                <w:noProof/>
                <w:color w:val="000000"/>
                <w:sz w:val="20"/>
                <w:szCs w:val="20"/>
                <w:highlight w:val="black"/>
              </w:rPr>
              <w:t>''''''''''''''''''</w:t>
            </w:r>
          </w:p>
        </w:tc>
      </w:tr>
    </w:tbl>
    <w:p w:rsidR="009B7703" w:rsidRDefault="009B7703" w:rsidP="00C44233">
      <w:pPr>
        <w:spacing w:before="0" w:after="120"/>
        <w:rPr>
          <w:rFonts w:ascii="Arial Narrow" w:hAnsi="Arial Narrow"/>
          <w:sz w:val="18"/>
          <w:szCs w:val="18"/>
        </w:rPr>
      </w:pPr>
      <w:r w:rsidRPr="00936D42">
        <w:rPr>
          <w:rFonts w:ascii="Arial Narrow" w:hAnsi="Arial Narrow"/>
          <w:sz w:val="18"/>
          <w:szCs w:val="18"/>
        </w:rPr>
        <w:t>Source: Constructed during the preparation of the ESC Advice</w:t>
      </w:r>
    </w:p>
    <w:p w:rsidR="007A5C2A" w:rsidRPr="00936D42" w:rsidRDefault="007A5C2A" w:rsidP="00C44233">
      <w:pPr>
        <w:spacing w:before="0" w:after="120"/>
        <w:rPr>
          <w:rFonts w:ascii="Arial Narrow" w:hAnsi="Arial Narrow"/>
          <w:sz w:val="18"/>
          <w:szCs w:val="18"/>
        </w:rPr>
      </w:pPr>
    </w:p>
    <w:p w:rsidR="003739B4" w:rsidRPr="00936D42" w:rsidRDefault="003739B4" w:rsidP="00852CB7">
      <w:pPr>
        <w:pStyle w:val="ESnumberedpara"/>
        <w:ind w:left="567" w:hanging="567"/>
      </w:pPr>
      <w:r w:rsidRPr="000D028E">
        <w:t xml:space="preserve">The ESC considered that the application of post-progression treatment costs based on the total time in the progressive disease health state until death (10.3 years in the </w:t>
      </w:r>
      <w:proofErr w:type="spellStart"/>
      <w:r w:rsidRPr="000D028E">
        <w:t>lanreotide</w:t>
      </w:r>
      <w:proofErr w:type="spellEnd"/>
      <w:r w:rsidRPr="000D028E">
        <w:t xml:space="preserve"> arm; 14.6 years in the placebo arm) to be inappropriate and favoured </w:t>
      </w:r>
      <w:proofErr w:type="spellStart"/>
      <w:r w:rsidRPr="000D028E">
        <w:t>lanreotide</w:t>
      </w:r>
      <w:proofErr w:type="spellEnd"/>
      <w:r w:rsidRPr="000D028E">
        <w:t xml:space="preserve"> as it is unlikely that patients would receive post-progression treatments continuously with 100% compliance. </w:t>
      </w:r>
      <w:r w:rsidR="003A41F8" w:rsidRPr="000D028E">
        <w:t xml:space="preserve">The submission assumed treatment with a mix of three chemotherapies with or without </w:t>
      </w:r>
      <w:proofErr w:type="spellStart"/>
      <w:r w:rsidR="003A41F8" w:rsidRPr="000D028E">
        <w:t>everolimus</w:t>
      </w:r>
      <w:proofErr w:type="spellEnd"/>
      <w:r w:rsidR="003A41F8" w:rsidRPr="000D028E">
        <w:t xml:space="preserve"> with the cost weighted between the therapies</w:t>
      </w:r>
      <w:r w:rsidR="0078339F">
        <w:t xml:space="preserve"> and</w:t>
      </w:r>
      <w:r w:rsidR="00164DBE" w:rsidRPr="000D028E">
        <w:t xml:space="preserve"> </w:t>
      </w:r>
      <w:r w:rsidR="003A41F8" w:rsidRPr="000D028E">
        <w:t xml:space="preserve">applied for approximately 6.7 and 10.7 years for </w:t>
      </w:r>
      <w:proofErr w:type="spellStart"/>
      <w:r w:rsidR="003A41F8" w:rsidRPr="000D028E">
        <w:t>lanreotide</w:t>
      </w:r>
      <w:proofErr w:type="spellEnd"/>
      <w:r w:rsidR="003A41F8" w:rsidRPr="000D028E">
        <w:t xml:space="preserve"> and placebo respectively. The ESC considered it is unlikely that patients would receive chemotherapy and/or </w:t>
      </w:r>
      <w:proofErr w:type="spellStart"/>
      <w:r w:rsidR="003A41F8" w:rsidRPr="000D028E">
        <w:t>everolimus</w:t>
      </w:r>
      <w:proofErr w:type="spellEnd"/>
      <w:r w:rsidR="003A41F8" w:rsidRPr="000D028E">
        <w:t xml:space="preserve"> for this duration. </w:t>
      </w:r>
    </w:p>
    <w:p w:rsidR="00DE62E0" w:rsidRPr="00936D42" w:rsidRDefault="00E84E9B" w:rsidP="00C4755E">
      <w:pPr>
        <w:pStyle w:val="ESnumberedpara"/>
      </w:pPr>
      <w:r w:rsidRPr="000D028E">
        <w:t xml:space="preserve">The evaluation noted that as </w:t>
      </w:r>
      <w:proofErr w:type="spellStart"/>
      <w:r w:rsidRPr="000D028E">
        <w:t>everolimus</w:t>
      </w:r>
      <w:proofErr w:type="spellEnd"/>
      <w:r w:rsidRPr="000D028E">
        <w:t xml:space="preserve"> is only PBS listed for the treatment of pancreatic NETs, the high cost of </w:t>
      </w:r>
      <w:proofErr w:type="spellStart"/>
      <w:r w:rsidRPr="000D028E">
        <w:t>everolimus</w:t>
      </w:r>
      <w:proofErr w:type="spellEnd"/>
      <w:r w:rsidRPr="000D028E">
        <w:t xml:space="preserve"> is likely to limit its use in the management of non-pancreatic GEP-NETs. The inclusion of </w:t>
      </w:r>
      <w:proofErr w:type="spellStart"/>
      <w:r w:rsidRPr="000D028E">
        <w:t>everolimus</w:t>
      </w:r>
      <w:proofErr w:type="spellEnd"/>
      <w:r w:rsidRPr="000D028E">
        <w:t xml:space="preserve"> in the mix of last-line therapies un</w:t>
      </w:r>
      <w:r w:rsidR="003A41F8" w:rsidRPr="000D028E">
        <w:t>til death significantly inflated</w:t>
      </w:r>
      <w:r w:rsidRPr="000D028E">
        <w:t xml:space="preserve"> the cost of post-progr</w:t>
      </w:r>
      <w:r w:rsidR="003572BA" w:rsidRPr="000D028E">
        <w:t>ession treatments, which favoured</w:t>
      </w:r>
      <w:r w:rsidRPr="000D028E">
        <w:t xml:space="preserve"> </w:t>
      </w:r>
      <w:proofErr w:type="spellStart"/>
      <w:r w:rsidRPr="000D028E">
        <w:t>lanreotide</w:t>
      </w:r>
      <w:proofErr w:type="spellEnd"/>
      <w:r w:rsidRPr="000D028E">
        <w:t xml:space="preserve">. </w:t>
      </w:r>
      <w:r w:rsidR="00DE62E0" w:rsidRPr="00936D42">
        <w:t xml:space="preserve">The ESC noted that removing </w:t>
      </w:r>
      <w:proofErr w:type="spellStart"/>
      <w:r w:rsidR="00DE62E0" w:rsidRPr="00936D42">
        <w:t>everolimus</w:t>
      </w:r>
      <w:proofErr w:type="spellEnd"/>
      <w:r w:rsidR="00DE62E0" w:rsidRPr="00936D42">
        <w:t xml:space="preserve"> as a post-progression treatment</w:t>
      </w:r>
      <w:r w:rsidR="003572BA" w:rsidRPr="00936D42">
        <w:t xml:space="preserve"> for gastrointestinal NETs</w:t>
      </w:r>
      <w:r w:rsidR="00DE62E0" w:rsidRPr="00936D42">
        <w:t xml:space="preserve"> from the model increased the ICER to </w:t>
      </w:r>
      <w:r w:rsidR="00C4755E">
        <w:t xml:space="preserve">$45,000 - </w:t>
      </w:r>
      <w:r w:rsidR="00C4755E" w:rsidRPr="00C4755E">
        <w:t>$75,000</w:t>
      </w:r>
      <w:r w:rsidR="00C4755E">
        <w:t xml:space="preserve"> </w:t>
      </w:r>
      <w:r w:rsidR="00DE62E0" w:rsidRPr="00936D42">
        <w:t xml:space="preserve">per QALY </w:t>
      </w:r>
      <w:r w:rsidR="00A13B74">
        <w:t xml:space="preserve">gained </w:t>
      </w:r>
      <w:r w:rsidR="00DE62E0" w:rsidRPr="00936D42">
        <w:t xml:space="preserve">(see Table 10). The PSCR (p2) argued that consensus on the treatment pathways for patients with primary tumour sites in the midgut recommend the use of </w:t>
      </w:r>
      <w:proofErr w:type="spellStart"/>
      <w:r w:rsidR="00DE62E0" w:rsidRPr="00936D42">
        <w:t>everolimus</w:t>
      </w:r>
      <w:proofErr w:type="spellEnd"/>
      <w:r w:rsidR="00DE62E0" w:rsidRPr="00936D42">
        <w:t xml:space="preserve"> in patients with progressive disease. </w:t>
      </w:r>
      <w:r w:rsidR="005F7D5E" w:rsidRPr="00936D42">
        <w:t xml:space="preserve">The ESC agreed with the evaluation that not all the use of </w:t>
      </w:r>
      <w:proofErr w:type="spellStart"/>
      <w:r w:rsidR="005F7D5E" w:rsidRPr="00936D42">
        <w:t>everolimus</w:t>
      </w:r>
      <w:proofErr w:type="spellEnd"/>
      <w:r w:rsidR="005F7D5E" w:rsidRPr="00936D42">
        <w:t xml:space="preserve"> assumed in the model had been sufficiently justified.</w:t>
      </w:r>
    </w:p>
    <w:p w:rsidR="00DE62E0" w:rsidRPr="008068C8" w:rsidRDefault="00DE62E0" w:rsidP="00C4755E">
      <w:pPr>
        <w:pStyle w:val="ESnumberedpara"/>
      </w:pPr>
      <w:r w:rsidRPr="008068C8">
        <w:t xml:space="preserve">Overall, the ESC considered that the post-progression health state costs </w:t>
      </w:r>
      <w:r w:rsidR="00164DBE">
        <w:t>were</w:t>
      </w:r>
      <w:r w:rsidRPr="008068C8">
        <w:t xml:space="preserve"> overestimated. Accordingly, the ESC considered that the revised base case ICER of </w:t>
      </w:r>
      <w:r w:rsidR="00C4755E">
        <w:t xml:space="preserve">less than $15,000 </w:t>
      </w:r>
      <w:r w:rsidRPr="008068C8">
        <w:t xml:space="preserve">(corrected) per QALY </w:t>
      </w:r>
      <w:r w:rsidR="00A13B74">
        <w:t xml:space="preserve">gained </w:t>
      </w:r>
      <w:r w:rsidRPr="008068C8">
        <w:t xml:space="preserve">was uncertain and likely to be </w:t>
      </w:r>
      <w:r w:rsidR="00C94B92">
        <w:t xml:space="preserve">significantly </w:t>
      </w:r>
      <w:r w:rsidRPr="008068C8">
        <w:t>underestimated.</w:t>
      </w:r>
    </w:p>
    <w:p w:rsidR="005D3225" w:rsidRPr="003F1F6C" w:rsidRDefault="005D3225" w:rsidP="00CE5B76">
      <w:pPr>
        <w:pStyle w:val="Heading2"/>
        <w:tabs>
          <w:tab w:val="left" w:pos="2835"/>
        </w:tabs>
      </w:pPr>
      <w:bookmarkStart w:id="35" w:name="_Toc413139283"/>
      <w:bookmarkStart w:id="36" w:name="_Toc476306893"/>
      <w:bookmarkStart w:id="37" w:name="_Toc482193599"/>
      <w:r w:rsidRPr="003F1F6C">
        <w:t>Drug cost/patient/year: $</w:t>
      </w:r>
      <w:bookmarkEnd w:id="35"/>
      <w:bookmarkEnd w:id="36"/>
      <w:bookmarkEnd w:id="37"/>
      <w:r w:rsidR="00D2014F">
        <w:rPr>
          <w:noProof/>
          <w:color w:val="000000"/>
          <w:highlight w:val="black"/>
        </w:rPr>
        <w:t>'''''''''''''</w:t>
      </w:r>
    </w:p>
    <w:p w:rsidR="005D3225" w:rsidRPr="003F1F6C" w:rsidRDefault="005D3225" w:rsidP="00CE5B76">
      <w:pPr>
        <w:pStyle w:val="ESnumberedpara"/>
        <w:ind w:left="567" w:hanging="567"/>
      </w:pPr>
      <w:r w:rsidRPr="003F1F6C">
        <w:t xml:space="preserve">The estimated annual cost for </w:t>
      </w:r>
      <w:proofErr w:type="spellStart"/>
      <w:r w:rsidRPr="003F1F6C">
        <w:t>lanreotide</w:t>
      </w:r>
      <w:proofErr w:type="spellEnd"/>
      <w:r w:rsidRPr="003F1F6C">
        <w:t xml:space="preserve"> was $</w:t>
      </w:r>
      <w:r w:rsidR="00D2014F">
        <w:rPr>
          <w:noProof/>
          <w:color w:val="000000"/>
          <w:highlight w:val="black"/>
        </w:rPr>
        <w:t>''''''''''''</w:t>
      </w:r>
      <w:r w:rsidRPr="003F1F6C">
        <w:t xml:space="preserve"> (Section 100 public hospital) or $</w:t>
      </w:r>
      <w:r w:rsidR="00D2014F">
        <w:rPr>
          <w:noProof/>
          <w:color w:val="000000"/>
          <w:highlight w:val="black"/>
        </w:rPr>
        <w:t>'''''''''''''</w:t>
      </w:r>
      <w:r w:rsidRPr="003F1F6C">
        <w:t xml:space="preserve"> (Section 100 private hospital) based on 13 injections per year (i.e. 6.5</w:t>
      </w:r>
      <w:r w:rsidR="009A0E14" w:rsidRPr="003F1F6C">
        <w:t> </w:t>
      </w:r>
      <w:r w:rsidRPr="003F1F6C">
        <w:t>scripts of the maximum quantity of 2×120 mg injection at $</w:t>
      </w:r>
      <w:r w:rsidR="00D2014F">
        <w:rPr>
          <w:noProof/>
          <w:color w:val="000000"/>
          <w:highlight w:val="black"/>
        </w:rPr>
        <w:t>'''''''''''''''</w:t>
      </w:r>
      <w:r w:rsidRPr="003F1F6C">
        <w:t>/script for public hospital and $</w:t>
      </w:r>
      <w:r w:rsidR="00D2014F">
        <w:rPr>
          <w:noProof/>
          <w:color w:val="000000"/>
          <w:highlight w:val="black"/>
        </w:rPr>
        <w:t>'''''''''''''''</w:t>
      </w:r>
      <w:r w:rsidRPr="003F1F6C">
        <w:t xml:space="preserve">/script for private hospital use. </w:t>
      </w:r>
      <w:r w:rsidR="00744BC4" w:rsidRPr="00936D42">
        <w:t>A</w:t>
      </w:r>
      <w:r w:rsidR="003739B4" w:rsidRPr="00936D42">
        <w:t>n a</w:t>
      </w:r>
      <w:r w:rsidR="00744BC4" w:rsidRPr="00936D42">
        <w:t>verage cost of $</w:t>
      </w:r>
      <w:r w:rsidR="00D2014F">
        <w:rPr>
          <w:noProof/>
          <w:color w:val="000000"/>
          <w:highlight w:val="black"/>
        </w:rPr>
        <w:t>''''''''''''''</w:t>
      </w:r>
      <w:r w:rsidR="00744BC4" w:rsidRPr="00936D42">
        <w:t xml:space="preserve"> per patient per year </w:t>
      </w:r>
      <w:r w:rsidR="003739B4" w:rsidRPr="00936D42">
        <w:t>assumed</w:t>
      </w:r>
      <w:r w:rsidR="00744BC4" w:rsidRPr="00936D42">
        <w:t xml:space="preserve"> 64% of use is through public hospitals. </w:t>
      </w:r>
      <w:r w:rsidRPr="003F1F6C">
        <w:t>The estimated cost was lower than in the November 2016 submission (Section 100 public hospital: $</w:t>
      </w:r>
      <w:r w:rsidR="00D2014F">
        <w:rPr>
          <w:noProof/>
          <w:color w:val="000000"/>
          <w:highlight w:val="black"/>
        </w:rPr>
        <w:t>'''''''''''''</w:t>
      </w:r>
      <w:r w:rsidRPr="003F1F6C">
        <w:t>; Section 100 private hospital: $</w:t>
      </w:r>
      <w:r w:rsidR="00D2014F">
        <w:rPr>
          <w:noProof/>
          <w:color w:val="000000"/>
          <w:highlight w:val="black"/>
        </w:rPr>
        <w:t>''''''''''''''</w:t>
      </w:r>
      <w:r w:rsidRPr="003F1F6C">
        <w:t xml:space="preserve">) due to the application of a </w:t>
      </w:r>
      <w:r w:rsidR="00D2014F">
        <w:rPr>
          <w:noProof/>
          <w:color w:val="000000"/>
          <w:highlight w:val="black"/>
        </w:rPr>
        <w:t>'''''</w:t>
      </w:r>
      <w:r w:rsidRPr="003F1F6C">
        <w:t xml:space="preserve">% </w:t>
      </w:r>
      <w:r w:rsidR="009A20FC" w:rsidRPr="003F1F6C">
        <w:t>SPA rebate</w:t>
      </w:r>
      <w:r w:rsidRPr="003F1F6C">
        <w:t>.</w:t>
      </w:r>
    </w:p>
    <w:p w:rsidR="005D3225" w:rsidRPr="003F1F6C" w:rsidRDefault="005D3225" w:rsidP="00CE5B76">
      <w:pPr>
        <w:pStyle w:val="Heading2"/>
      </w:pPr>
      <w:bookmarkStart w:id="38" w:name="_Toc413139284"/>
      <w:bookmarkStart w:id="39" w:name="_Toc476306894"/>
      <w:bookmarkStart w:id="40" w:name="_Toc482193600"/>
      <w:r w:rsidRPr="003F1F6C">
        <w:t>Estimated PBS usage &amp; financial implications</w:t>
      </w:r>
      <w:bookmarkEnd w:id="38"/>
      <w:bookmarkEnd w:id="39"/>
      <w:bookmarkEnd w:id="40"/>
    </w:p>
    <w:p w:rsidR="005D3225" w:rsidRPr="003F1F6C" w:rsidRDefault="005D3225" w:rsidP="00CE5B76">
      <w:pPr>
        <w:pStyle w:val="ESnumberedpara"/>
        <w:ind w:left="567" w:hanging="567"/>
      </w:pPr>
      <w:r w:rsidRPr="003F1F6C">
        <w:t xml:space="preserve">This </w:t>
      </w:r>
      <w:r w:rsidR="00473ABD">
        <w:t>re</w:t>
      </w:r>
      <w:r w:rsidRPr="003F1F6C">
        <w:t xml:space="preserve">submission </w:t>
      </w:r>
      <w:r w:rsidR="00640AE2">
        <w:t>was not</w:t>
      </w:r>
      <w:r w:rsidRPr="003F1F6C">
        <w:t xml:space="preserve"> considered b</w:t>
      </w:r>
      <w:r w:rsidR="00A336E7" w:rsidRPr="003F1F6C">
        <w:t>y DUSC. The resubmission used a prevalence-based</w:t>
      </w:r>
      <w:r w:rsidRPr="003F1F6C">
        <w:t xml:space="preserve"> epidemiological approach to estimate the utilisation and financial implications associated with the PBS listing of </w:t>
      </w:r>
      <w:proofErr w:type="spellStart"/>
      <w:r w:rsidRPr="003F1F6C">
        <w:t>lanr</w:t>
      </w:r>
      <w:r w:rsidR="00482FB0">
        <w:t>eotide</w:t>
      </w:r>
      <w:proofErr w:type="spellEnd"/>
      <w:r w:rsidR="00482FB0">
        <w:t xml:space="preserve"> for the treatment of GEP</w:t>
      </w:r>
      <w:r w:rsidR="00482FB0">
        <w:noBreakHyphen/>
      </w:r>
      <w:r w:rsidRPr="003F1F6C">
        <w:t>NETs over the first five years of listing.</w:t>
      </w:r>
      <w:r w:rsidR="00640AE2">
        <w:t xml:space="preserve"> </w:t>
      </w:r>
    </w:p>
    <w:p w:rsidR="0097752E" w:rsidRDefault="0097752E" w:rsidP="0097752E">
      <w:pPr>
        <w:pStyle w:val="Caption"/>
      </w:pPr>
      <w:r>
        <w:t xml:space="preserve">Table </w:t>
      </w:r>
      <w:r>
        <w:rPr>
          <w:noProof/>
        </w:rPr>
        <w:t>12</w:t>
      </w:r>
      <w:r w:rsidRPr="00247922">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44"/>
        <w:gridCol w:w="1148"/>
        <w:gridCol w:w="1150"/>
        <w:gridCol w:w="1150"/>
        <w:gridCol w:w="1148"/>
        <w:gridCol w:w="1100"/>
      </w:tblGrid>
      <w:tr w:rsidR="005D3225" w:rsidRPr="003F1F6C" w:rsidTr="00893613">
        <w:trPr>
          <w:tblHeader/>
        </w:trPr>
        <w:tc>
          <w:tcPr>
            <w:tcW w:w="1884" w:type="pct"/>
            <w:tcBorders>
              <w:left w:val="single" w:sz="4" w:space="0" w:color="auto"/>
              <w:bottom w:val="single" w:sz="4" w:space="0" w:color="auto"/>
            </w:tcBorders>
            <w:shd w:val="clear" w:color="auto" w:fill="auto"/>
            <w:vAlign w:val="bottom"/>
            <w:hideMark/>
          </w:tcPr>
          <w:p w:rsidR="005D3225" w:rsidRPr="003F1F6C" w:rsidRDefault="005D3225" w:rsidP="00CE5B76">
            <w:pPr>
              <w:pStyle w:val="TableText"/>
              <w:jc w:val="left"/>
              <w:rPr>
                <w:snapToGrid w:val="0"/>
                <w:lang w:eastAsia="en-AU"/>
              </w:rPr>
            </w:pPr>
          </w:p>
        </w:tc>
        <w:tc>
          <w:tcPr>
            <w:tcW w:w="628" w:type="pct"/>
            <w:tcBorders>
              <w:bottom w:val="single" w:sz="4" w:space="0" w:color="auto"/>
            </w:tcBorders>
            <w:shd w:val="clear" w:color="auto" w:fill="auto"/>
            <w:vAlign w:val="center"/>
            <w:hideMark/>
          </w:tcPr>
          <w:p w:rsidR="005D3225" w:rsidRPr="003F1F6C" w:rsidRDefault="005D3225" w:rsidP="00CE5B76">
            <w:pPr>
              <w:pStyle w:val="TableText"/>
              <w:jc w:val="center"/>
              <w:rPr>
                <w:b/>
                <w:bCs/>
                <w:snapToGrid w:val="0"/>
                <w:lang w:eastAsia="en-AU"/>
              </w:rPr>
            </w:pPr>
            <w:r w:rsidRPr="003F1F6C">
              <w:rPr>
                <w:b/>
                <w:bCs/>
                <w:snapToGrid w:val="0"/>
                <w:lang w:eastAsia="en-AU"/>
              </w:rPr>
              <w:t>Year 1</w:t>
            </w:r>
          </w:p>
        </w:tc>
        <w:tc>
          <w:tcPr>
            <w:tcW w:w="629" w:type="pct"/>
            <w:tcBorders>
              <w:bottom w:val="single" w:sz="4" w:space="0" w:color="auto"/>
            </w:tcBorders>
            <w:shd w:val="clear" w:color="auto" w:fill="auto"/>
            <w:vAlign w:val="center"/>
            <w:hideMark/>
          </w:tcPr>
          <w:p w:rsidR="005D3225" w:rsidRPr="003F1F6C" w:rsidRDefault="005D3225" w:rsidP="00CE5B76">
            <w:pPr>
              <w:pStyle w:val="TableText"/>
              <w:jc w:val="center"/>
              <w:rPr>
                <w:b/>
                <w:bCs/>
                <w:snapToGrid w:val="0"/>
                <w:lang w:eastAsia="en-AU"/>
              </w:rPr>
            </w:pPr>
            <w:r w:rsidRPr="003F1F6C">
              <w:rPr>
                <w:b/>
                <w:bCs/>
                <w:snapToGrid w:val="0"/>
                <w:lang w:eastAsia="en-AU"/>
              </w:rPr>
              <w:t>Year 2</w:t>
            </w:r>
          </w:p>
        </w:tc>
        <w:tc>
          <w:tcPr>
            <w:tcW w:w="629" w:type="pct"/>
            <w:tcBorders>
              <w:bottom w:val="single" w:sz="4" w:space="0" w:color="auto"/>
            </w:tcBorders>
            <w:shd w:val="clear" w:color="auto" w:fill="auto"/>
            <w:vAlign w:val="center"/>
            <w:hideMark/>
          </w:tcPr>
          <w:p w:rsidR="005D3225" w:rsidRPr="003F1F6C" w:rsidRDefault="005D3225" w:rsidP="00CE5B76">
            <w:pPr>
              <w:pStyle w:val="TableText"/>
              <w:jc w:val="center"/>
              <w:rPr>
                <w:b/>
                <w:bCs/>
                <w:snapToGrid w:val="0"/>
                <w:lang w:eastAsia="en-AU"/>
              </w:rPr>
            </w:pPr>
            <w:r w:rsidRPr="003F1F6C">
              <w:rPr>
                <w:b/>
                <w:bCs/>
                <w:snapToGrid w:val="0"/>
                <w:lang w:eastAsia="en-AU"/>
              </w:rPr>
              <w:t>Year 3</w:t>
            </w:r>
          </w:p>
        </w:tc>
        <w:tc>
          <w:tcPr>
            <w:tcW w:w="628" w:type="pct"/>
            <w:tcBorders>
              <w:bottom w:val="single" w:sz="4" w:space="0" w:color="auto"/>
            </w:tcBorders>
            <w:shd w:val="clear" w:color="auto" w:fill="auto"/>
            <w:vAlign w:val="center"/>
            <w:hideMark/>
          </w:tcPr>
          <w:p w:rsidR="005D3225" w:rsidRPr="003F1F6C" w:rsidRDefault="005D3225" w:rsidP="00CE5B76">
            <w:pPr>
              <w:pStyle w:val="TableText"/>
              <w:jc w:val="center"/>
              <w:rPr>
                <w:b/>
                <w:bCs/>
                <w:snapToGrid w:val="0"/>
                <w:lang w:eastAsia="en-AU"/>
              </w:rPr>
            </w:pPr>
            <w:r w:rsidRPr="003F1F6C">
              <w:rPr>
                <w:b/>
                <w:bCs/>
                <w:snapToGrid w:val="0"/>
                <w:lang w:eastAsia="en-AU"/>
              </w:rPr>
              <w:t>Year 4</w:t>
            </w:r>
          </w:p>
        </w:tc>
        <w:tc>
          <w:tcPr>
            <w:tcW w:w="602" w:type="pct"/>
            <w:tcBorders>
              <w:bottom w:val="single" w:sz="4" w:space="0" w:color="auto"/>
              <w:right w:val="single" w:sz="4" w:space="0" w:color="auto"/>
            </w:tcBorders>
            <w:shd w:val="clear" w:color="auto" w:fill="auto"/>
            <w:vAlign w:val="center"/>
            <w:hideMark/>
          </w:tcPr>
          <w:p w:rsidR="005D3225" w:rsidRPr="003F1F6C" w:rsidRDefault="005D3225" w:rsidP="00CE5B76">
            <w:pPr>
              <w:pStyle w:val="TableText"/>
              <w:jc w:val="center"/>
              <w:rPr>
                <w:b/>
                <w:bCs/>
                <w:snapToGrid w:val="0"/>
                <w:lang w:eastAsia="en-AU"/>
              </w:rPr>
            </w:pPr>
            <w:r w:rsidRPr="003F1F6C">
              <w:rPr>
                <w:b/>
                <w:bCs/>
                <w:snapToGrid w:val="0"/>
                <w:lang w:eastAsia="en-AU"/>
              </w:rPr>
              <w:t>Year 5</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r w:rsidRPr="003F1F6C">
              <w:t>Adult Australian population</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D2014F" w:rsidRDefault="00D2014F" w:rsidP="00852CB7">
            <w:pPr>
              <w:pStyle w:val="TableText"/>
              <w:jc w:val="center"/>
              <w:rPr>
                <w:highlight w:val="black"/>
              </w:rPr>
            </w:pPr>
            <w:r>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BF31EB">
            <w:pPr>
              <w:pStyle w:val="TableText"/>
              <w:jc w:val="center"/>
              <w:rPr>
                <w:highlight w:val="black"/>
              </w:rPr>
            </w:pPr>
            <w:r>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r w:rsidRPr="003F1F6C">
              <w:t>Prevalence of NETs (35/100,000 population)</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D2014F" w:rsidRDefault="00D2014F" w:rsidP="00852CB7">
            <w:pPr>
              <w:pStyle w:val="TableText"/>
              <w:jc w:val="center"/>
              <w:rPr>
                <w:highlight w:val="black"/>
              </w:rPr>
            </w:pPr>
            <w:r>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BF31EB">
            <w:pPr>
              <w:pStyle w:val="TableText"/>
              <w:jc w:val="center"/>
              <w:rPr>
                <w:highlight w:val="black"/>
              </w:rPr>
            </w:pPr>
            <w:r>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r w:rsidRPr="003F1F6C">
              <w:t>Proportion that are GEP-NETs (60.52%)</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D2014F" w:rsidRDefault="00D2014F" w:rsidP="00852CB7">
            <w:pPr>
              <w:pStyle w:val="TableText"/>
              <w:jc w:val="center"/>
              <w:rPr>
                <w:highlight w:val="black"/>
              </w:rPr>
            </w:pPr>
            <w:r>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BF31EB">
            <w:pPr>
              <w:pStyle w:val="TableText"/>
              <w:jc w:val="center"/>
              <w:rPr>
                <w:highlight w:val="black"/>
              </w:rPr>
            </w:pPr>
            <w:r>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r w:rsidRPr="003F1F6C">
              <w:t>Proportion with metastatic or locally advanced disease (65%)</w:t>
            </w:r>
          </w:p>
        </w:tc>
        <w:tc>
          <w:tcPr>
            <w:tcW w:w="628" w:type="pct"/>
            <w:tcBorders>
              <w:top w:val="nil"/>
              <w:left w:val="single" w:sz="4" w:space="0" w:color="auto"/>
              <w:bottom w:val="single" w:sz="4" w:space="0" w:color="auto"/>
              <w:right w:val="single" w:sz="4" w:space="0" w:color="auto"/>
            </w:tcBorders>
            <w:shd w:val="clear" w:color="auto" w:fill="auto"/>
            <w:vAlign w:val="center"/>
          </w:tcPr>
          <w:p w:rsidR="005D3225" w:rsidRPr="00D2014F" w:rsidRDefault="00D2014F" w:rsidP="00852CB7">
            <w:pPr>
              <w:pStyle w:val="TableText"/>
              <w:jc w:val="center"/>
              <w:rPr>
                <w:highlight w:val="black"/>
              </w:rPr>
            </w:pPr>
            <w:r>
              <w:rPr>
                <w:noProof/>
                <w:color w:val="000000"/>
                <w:highlight w:val="black"/>
              </w:rPr>
              <w:t>'''''''''''''''</w:t>
            </w:r>
          </w:p>
        </w:tc>
        <w:tc>
          <w:tcPr>
            <w:tcW w:w="629" w:type="pct"/>
            <w:tcBorders>
              <w:top w:val="nil"/>
              <w:left w:val="nil"/>
              <w:bottom w:val="single" w:sz="4" w:space="0" w:color="auto"/>
              <w:right w:val="single" w:sz="4" w:space="0" w:color="auto"/>
            </w:tcBorders>
            <w:shd w:val="clear" w:color="auto" w:fill="auto"/>
            <w:vAlign w:val="center"/>
          </w:tcPr>
          <w:p w:rsidR="005D3225" w:rsidRPr="00D2014F" w:rsidRDefault="00D2014F" w:rsidP="00BF31EB">
            <w:pPr>
              <w:pStyle w:val="TableText"/>
              <w:jc w:val="center"/>
              <w:rPr>
                <w:highlight w:val="black"/>
              </w:rPr>
            </w:pPr>
            <w:r>
              <w:rPr>
                <w:noProof/>
                <w:color w:val="000000"/>
                <w:highlight w:val="black"/>
              </w:rPr>
              <w:t>'''''''''''''</w:t>
            </w:r>
          </w:p>
        </w:tc>
        <w:tc>
          <w:tcPr>
            <w:tcW w:w="629"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28"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02"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r w:rsidRPr="003F1F6C">
              <w:t>Proportion with non-functional disease (68.19%)</w:t>
            </w:r>
          </w:p>
        </w:tc>
        <w:tc>
          <w:tcPr>
            <w:tcW w:w="628" w:type="pct"/>
            <w:tcBorders>
              <w:top w:val="nil"/>
              <w:left w:val="single" w:sz="4" w:space="0" w:color="auto"/>
              <w:bottom w:val="single" w:sz="4" w:space="0" w:color="auto"/>
              <w:right w:val="single" w:sz="4" w:space="0" w:color="auto"/>
            </w:tcBorders>
            <w:shd w:val="clear" w:color="auto" w:fill="auto"/>
            <w:vAlign w:val="center"/>
          </w:tcPr>
          <w:p w:rsidR="005D3225" w:rsidRPr="00D2014F" w:rsidRDefault="00D2014F" w:rsidP="00852CB7">
            <w:pPr>
              <w:pStyle w:val="TableText"/>
              <w:jc w:val="center"/>
              <w:rPr>
                <w:highlight w:val="black"/>
              </w:rPr>
            </w:pPr>
            <w:r>
              <w:rPr>
                <w:noProof/>
                <w:color w:val="000000"/>
                <w:highlight w:val="black"/>
              </w:rPr>
              <w:t>''''''''''''''</w:t>
            </w:r>
          </w:p>
        </w:tc>
        <w:tc>
          <w:tcPr>
            <w:tcW w:w="629" w:type="pct"/>
            <w:tcBorders>
              <w:top w:val="nil"/>
              <w:left w:val="nil"/>
              <w:bottom w:val="single" w:sz="4" w:space="0" w:color="auto"/>
              <w:right w:val="single" w:sz="4" w:space="0" w:color="auto"/>
            </w:tcBorders>
            <w:shd w:val="clear" w:color="auto" w:fill="auto"/>
            <w:vAlign w:val="center"/>
          </w:tcPr>
          <w:p w:rsidR="005D3225" w:rsidRPr="00D2014F" w:rsidRDefault="00D2014F" w:rsidP="00BF31EB">
            <w:pPr>
              <w:pStyle w:val="TableText"/>
              <w:jc w:val="center"/>
              <w:rPr>
                <w:highlight w:val="black"/>
              </w:rPr>
            </w:pPr>
            <w:r>
              <w:rPr>
                <w:noProof/>
                <w:color w:val="000000"/>
                <w:highlight w:val="black"/>
              </w:rPr>
              <w:t>''''''''''''''</w:t>
            </w:r>
          </w:p>
        </w:tc>
        <w:tc>
          <w:tcPr>
            <w:tcW w:w="629"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28"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02"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r w:rsidRPr="003F1F6C">
              <w:t>Proportion with a WHO Grade 1 or Grade 2 tumour (68.79%)</w:t>
            </w:r>
          </w:p>
        </w:tc>
        <w:tc>
          <w:tcPr>
            <w:tcW w:w="628" w:type="pct"/>
            <w:tcBorders>
              <w:top w:val="nil"/>
              <w:left w:val="single" w:sz="4" w:space="0" w:color="auto"/>
              <w:bottom w:val="single" w:sz="4" w:space="0" w:color="auto"/>
              <w:right w:val="single" w:sz="4" w:space="0" w:color="auto"/>
            </w:tcBorders>
            <w:shd w:val="clear" w:color="auto" w:fill="auto"/>
            <w:vAlign w:val="center"/>
          </w:tcPr>
          <w:p w:rsidR="005D3225" w:rsidRPr="00D2014F" w:rsidRDefault="00D2014F" w:rsidP="00852CB7">
            <w:pPr>
              <w:pStyle w:val="TableText"/>
              <w:jc w:val="center"/>
              <w:rPr>
                <w:highlight w:val="black"/>
              </w:rPr>
            </w:pPr>
            <w:r>
              <w:rPr>
                <w:noProof/>
                <w:color w:val="000000"/>
                <w:highlight w:val="black"/>
              </w:rPr>
              <w:t>''''''''''''''</w:t>
            </w:r>
          </w:p>
        </w:tc>
        <w:tc>
          <w:tcPr>
            <w:tcW w:w="629" w:type="pct"/>
            <w:tcBorders>
              <w:top w:val="nil"/>
              <w:left w:val="nil"/>
              <w:bottom w:val="single" w:sz="4" w:space="0" w:color="auto"/>
              <w:right w:val="single" w:sz="4" w:space="0" w:color="auto"/>
            </w:tcBorders>
            <w:shd w:val="clear" w:color="auto" w:fill="auto"/>
            <w:vAlign w:val="center"/>
          </w:tcPr>
          <w:p w:rsidR="005D3225" w:rsidRPr="00D2014F" w:rsidRDefault="00D2014F" w:rsidP="00BF31EB">
            <w:pPr>
              <w:pStyle w:val="TableText"/>
              <w:jc w:val="center"/>
              <w:rPr>
                <w:highlight w:val="black"/>
              </w:rPr>
            </w:pPr>
            <w:r>
              <w:rPr>
                <w:noProof/>
                <w:color w:val="000000"/>
                <w:highlight w:val="black"/>
              </w:rPr>
              <w:t>''''''''''''''</w:t>
            </w:r>
          </w:p>
        </w:tc>
        <w:tc>
          <w:tcPr>
            <w:tcW w:w="629"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28"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02"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r w:rsidRPr="003F1F6C">
              <w:t>Proportion not suitable for watchful waiting (77%)</w:t>
            </w:r>
          </w:p>
        </w:tc>
        <w:tc>
          <w:tcPr>
            <w:tcW w:w="628" w:type="pct"/>
            <w:tcBorders>
              <w:top w:val="nil"/>
              <w:left w:val="single" w:sz="4" w:space="0" w:color="auto"/>
              <w:bottom w:val="single" w:sz="4" w:space="0" w:color="auto"/>
              <w:right w:val="single" w:sz="4" w:space="0" w:color="auto"/>
            </w:tcBorders>
            <w:shd w:val="clear" w:color="auto" w:fill="auto"/>
            <w:vAlign w:val="center"/>
          </w:tcPr>
          <w:p w:rsidR="005D3225" w:rsidRPr="00D2014F" w:rsidRDefault="00D2014F" w:rsidP="00852CB7">
            <w:pPr>
              <w:pStyle w:val="TableText"/>
              <w:jc w:val="center"/>
              <w:rPr>
                <w:highlight w:val="black"/>
              </w:rPr>
            </w:pPr>
            <w:r>
              <w:rPr>
                <w:noProof/>
                <w:color w:val="000000"/>
                <w:highlight w:val="black"/>
              </w:rPr>
              <w:t>'''''''''</w:t>
            </w:r>
          </w:p>
        </w:tc>
        <w:tc>
          <w:tcPr>
            <w:tcW w:w="629" w:type="pct"/>
            <w:tcBorders>
              <w:top w:val="nil"/>
              <w:left w:val="nil"/>
              <w:bottom w:val="single" w:sz="4" w:space="0" w:color="auto"/>
              <w:right w:val="single" w:sz="4" w:space="0" w:color="auto"/>
            </w:tcBorders>
            <w:shd w:val="clear" w:color="auto" w:fill="auto"/>
            <w:vAlign w:val="center"/>
          </w:tcPr>
          <w:p w:rsidR="005D3225" w:rsidRPr="00D2014F" w:rsidRDefault="00D2014F" w:rsidP="00BF31EB">
            <w:pPr>
              <w:pStyle w:val="TableText"/>
              <w:jc w:val="center"/>
              <w:rPr>
                <w:highlight w:val="black"/>
              </w:rPr>
            </w:pPr>
            <w:r>
              <w:rPr>
                <w:noProof/>
                <w:color w:val="000000"/>
                <w:highlight w:val="black"/>
              </w:rPr>
              <w:t>''''''''''</w:t>
            </w:r>
          </w:p>
        </w:tc>
        <w:tc>
          <w:tcPr>
            <w:tcW w:w="629"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28"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02" w:type="pct"/>
            <w:tcBorders>
              <w:top w:val="nil"/>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rPr>
                <w:b/>
              </w:rPr>
            </w:pPr>
            <w:r w:rsidRPr="003F1F6C">
              <w:rPr>
                <w:b/>
              </w:rPr>
              <w:t>Total number of patients per year (uptake 65% increasing to 80%)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D2014F" w:rsidRDefault="00D2014F" w:rsidP="00852CB7">
            <w:pPr>
              <w:pStyle w:val="TableText"/>
              <w:jc w:val="center"/>
              <w:rPr>
                <w:b/>
                <w:highlight w:val="black"/>
              </w:rPr>
            </w:pPr>
            <w:r>
              <w:rPr>
                <w:b/>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BF31EB">
            <w:pPr>
              <w:pStyle w:val="TableText"/>
              <w:jc w:val="center"/>
              <w:rPr>
                <w:b/>
                <w:highlight w:val="black"/>
              </w:rPr>
            </w:pPr>
            <w:r>
              <w:rPr>
                <w:b/>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b/>
                <w:highlight w:val="black"/>
              </w:rPr>
            </w:pPr>
            <w:r>
              <w:rPr>
                <w:b/>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b/>
                <w:highlight w:val="black"/>
              </w:rPr>
            </w:pPr>
            <w:r>
              <w:rPr>
                <w:b/>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b/>
                <w:highlight w:val="black"/>
              </w:rPr>
            </w:pPr>
            <w:r>
              <w:rPr>
                <w:b/>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r w:rsidRPr="003F1F6C">
              <w:t>Number of packs dispensed per year</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D2014F" w:rsidRDefault="00D2014F" w:rsidP="00852CB7">
            <w:pPr>
              <w:pStyle w:val="TableText"/>
              <w:jc w:val="center"/>
              <w:rPr>
                <w:highlight w:val="black"/>
              </w:rPr>
            </w:pPr>
            <w:r>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BF31EB">
            <w:pPr>
              <w:pStyle w:val="TableText"/>
              <w:jc w:val="center"/>
              <w:rPr>
                <w:highlight w:val="black"/>
              </w:rPr>
            </w:pPr>
            <w:r>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proofErr w:type="spellStart"/>
            <w:r w:rsidRPr="003F1F6C">
              <w:t>Lanreotide</w:t>
            </w:r>
            <w:proofErr w:type="spellEnd"/>
            <w:r w:rsidRPr="003F1F6C">
              <w:t xml:space="preserve"> compliance (90%)</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D2014F" w:rsidRDefault="00D2014F" w:rsidP="00852CB7">
            <w:pPr>
              <w:pStyle w:val="TableText"/>
              <w:jc w:val="center"/>
              <w:rPr>
                <w:highlight w:val="black"/>
              </w:rPr>
            </w:pPr>
            <w:r>
              <w:rPr>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D2014F" w:rsidRDefault="00D2014F" w:rsidP="00BF31EB">
            <w:pPr>
              <w:pStyle w:val="TableText"/>
              <w:jc w:val="center"/>
              <w:rPr>
                <w:highlight w:val="black"/>
              </w:rPr>
            </w:pPr>
            <w:r>
              <w:rPr>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D2014F" w:rsidRDefault="00D2014F" w:rsidP="00CE5B76">
            <w:pPr>
              <w:pStyle w:val="TableText"/>
              <w:jc w:val="center"/>
              <w:rPr>
                <w:highlight w:val="black"/>
              </w:rPr>
            </w:pPr>
            <w:r>
              <w:rPr>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r w:rsidRPr="003F1F6C">
              <w:t xml:space="preserve">Cost of </w:t>
            </w:r>
            <w:proofErr w:type="spellStart"/>
            <w:r w:rsidRPr="003F1F6C">
              <w:t>lanreotide</w:t>
            </w:r>
            <w:proofErr w:type="spellEnd"/>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3F1F6C" w:rsidRDefault="005D3225" w:rsidP="00852CB7">
            <w:pPr>
              <w:pStyle w:val="TableText"/>
              <w:jc w:val="center"/>
            </w:pPr>
            <w:r w:rsidRPr="003F1F6C">
              <w:t>$</w:t>
            </w:r>
            <w:r w:rsidR="00D2014F">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BF31EB">
            <w:pPr>
              <w:pStyle w:val="TableText"/>
              <w:jc w:val="center"/>
            </w:pPr>
            <w:r w:rsidRPr="003F1F6C">
              <w:t>$</w:t>
            </w:r>
            <w:r w:rsidR="00D2014F">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r>
      <w:tr w:rsidR="005D3225" w:rsidRPr="003F1F6C" w:rsidTr="00893613">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pPr>
            <w:r w:rsidRPr="003F1F6C">
              <w:t>Patient co-payment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3F1F6C" w:rsidRDefault="005D3225" w:rsidP="00852CB7">
            <w:pPr>
              <w:pStyle w:val="TableText"/>
              <w:jc w:val="center"/>
            </w:pPr>
            <w:r w:rsidRPr="003F1F6C">
              <w:t>$</w:t>
            </w:r>
            <w:r w:rsidR="00D2014F">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BF31EB">
            <w:pPr>
              <w:pStyle w:val="TableText"/>
              <w:jc w:val="center"/>
            </w:pPr>
            <w:r w:rsidRPr="003F1F6C">
              <w:t>$</w:t>
            </w:r>
            <w:r w:rsidR="00D2014F">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r>
      <w:tr w:rsidR="005D3225" w:rsidRPr="003F1F6C" w:rsidTr="00893613">
        <w:trPr>
          <w:trHeight w:val="60"/>
        </w:trPr>
        <w:tc>
          <w:tcPr>
            <w:tcW w:w="1884" w:type="pct"/>
            <w:tcBorders>
              <w:top w:val="single" w:sz="4" w:space="0" w:color="auto"/>
              <w:left w:val="single" w:sz="4" w:space="0" w:color="auto"/>
              <w:bottom w:val="single" w:sz="4" w:space="0" w:color="auto"/>
            </w:tcBorders>
            <w:shd w:val="clear" w:color="auto" w:fill="auto"/>
            <w:noWrap/>
            <w:vAlign w:val="bottom"/>
          </w:tcPr>
          <w:p w:rsidR="005D3225" w:rsidRPr="003F1F6C" w:rsidRDefault="005D3225" w:rsidP="00C44233">
            <w:pPr>
              <w:pStyle w:val="TableText"/>
              <w:jc w:val="left"/>
              <w:rPr>
                <w:b/>
              </w:rPr>
            </w:pPr>
            <w:r w:rsidRPr="003F1F6C">
              <w:rPr>
                <w:b/>
              </w:rPr>
              <w:t>Net cost to the PBS/RPBS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3F1F6C" w:rsidRDefault="005D3225" w:rsidP="00852CB7">
            <w:pPr>
              <w:pStyle w:val="TableText"/>
              <w:jc w:val="center"/>
              <w:rPr>
                <w:b/>
              </w:rPr>
            </w:pPr>
            <w:r w:rsidRPr="003F1F6C">
              <w:rPr>
                <w:b/>
              </w:rPr>
              <w:t>$</w:t>
            </w:r>
            <w:r w:rsidR="00D2014F">
              <w:rPr>
                <w:b/>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BF31EB">
            <w:pPr>
              <w:pStyle w:val="TableText"/>
              <w:jc w:val="center"/>
              <w:rPr>
                <w:b/>
              </w:rPr>
            </w:pPr>
            <w:r w:rsidRPr="003F1F6C">
              <w:rPr>
                <w:b/>
              </w:rPr>
              <w:t>$</w:t>
            </w:r>
            <w:r w:rsidR="00D2014F">
              <w:rPr>
                <w:b/>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rPr>
                <w:b/>
              </w:rPr>
            </w:pPr>
            <w:r w:rsidRPr="003F1F6C">
              <w:rPr>
                <w:b/>
              </w:rPr>
              <w:t>$</w:t>
            </w:r>
            <w:r w:rsidR="00D2014F">
              <w:rPr>
                <w:b/>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rPr>
                <w:b/>
              </w:rPr>
            </w:pPr>
            <w:r w:rsidRPr="003F1F6C">
              <w:rPr>
                <w:b/>
              </w:rPr>
              <w:t>$</w:t>
            </w:r>
            <w:r w:rsidR="00D2014F">
              <w:rPr>
                <w:b/>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rPr>
                <w:b/>
              </w:rPr>
            </w:pPr>
            <w:r w:rsidRPr="003F1F6C">
              <w:rPr>
                <w:b/>
              </w:rPr>
              <w:t>$</w:t>
            </w:r>
            <w:r w:rsidR="00D2014F">
              <w:rPr>
                <w:b/>
                <w:noProof/>
                <w:color w:val="000000"/>
                <w:highlight w:val="black"/>
              </w:rPr>
              <w:t>'''''''''''''''''''''</w:t>
            </w:r>
          </w:p>
        </w:tc>
      </w:tr>
      <w:tr w:rsidR="005D3225" w:rsidRPr="003F1F6C" w:rsidTr="00893613">
        <w:trPr>
          <w:trHeight w:val="60"/>
        </w:trPr>
        <w:tc>
          <w:tcPr>
            <w:tcW w:w="1884" w:type="pct"/>
            <w:tcBorders>
              <w:left w:val="single" w:sz="4" w:space="0" w:color="auto"/>
            </w:tcBorders>
            <w:shd w:val="clear" w:color="auto" w:fill="auto"/>
            <w:noWrap/>
            <w:vAlign w:val="bottom"/>
          </w:tcPr>
          <w:p w:rsidR="005D3225" w:rsidRPr="003F1F6C" w:rsidRDefault="005D3225" w:rsidP="00C44233">
            <w:pPr>
              <w:pStyle w:val="TableText"/>
              <w:jc w:val="left"/>
            </w:pPr>
            <w:r w:rsidRPr="003F1F6C">
              <w:t>MBS cost for administration</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3F1F6C" w:rsidRDefault="005D3225" w:rsidP="00852CB7">
            <w:pPr>
              <w:pStyle w:val="TableText"/>
              <w:jc w:val="center"/>
            </w:pPr>
            <w:r w:rsidRPr="003F1F6C">
              <w:t>$</w:t>
            </w:r>
            <w:r w:rsidR="00D2014F">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BF31EB">
            <w:pPr>
              <w:pStyle w:val="TableText"/>
              <w:jc w:val="center"/>
            </w:pPr>
            <w:r w:rsidRPr="003F1F6C">
              <w:t>$</w:t>
            </w:r>
            <w:r w:rsidR="00D2014F">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r>
      <w:tr w:rsidR="005D3225" w:rsidRPr="003F1F6C" w:rsidTr="00893613">
        <w:trPr>
          <w:trHeight w:val="60"/>
        </w:trPr>
        <w:tc>
          <w:tcPr>
            <w:tcW w:w="1884" w:type="pct"/>
            <w:tcBorders>
              <w:left w:val="single" w:sz="4" w:space="0" w:color="auto"/>
            </w:tcBorders>
            <w:shd w:val="clear" w:color="auto" w:fill="auto"/>
            <w:noWrap/>
            <w:vAlign w:val="bottom"/>
          </w:tcPr>
          <w:p w:rsidR="005D3225" w:rsidRPr="003F1F6C" w:rsidRDefault="005D3225" w:rsidP="00C44233">
            <w:pPr>
              <w:pStyle w:val="TableText"/>
              <w:jc w:val="left"/>
            </w:pPr>
            <w:r w:rsidRPr="003F1F6C">
              <w:t xml:space="preserve">AE costs associated with </w:t>
            </w:r>
            <w:proofErr w:type="spellStart"/>
            <w:r w:rsidRPr="003F1F6C">
              <w:t>lanreotide</w:t>
            </w:r>
            <w:proofErr w:type="spellEnd"/>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3F1F6C" w:rsidRDefault="005D3225" w:rsidP="00852CB7">
            <w:pPr>
              <w:pStyle w:val="TableText"/>
              <w:jc w:val="center"/>
            </w:pPr>
            <w:r w:rsidRPr="003F1F6C">
              <w:t>$</w:t>
            </w:r>
            <w:r w:rsidR="00D2014F">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BF31EB">
            <w:pPr>
              <w:pStyle w:val="TableText"/>
              <w:jc w:val="center"/>
            </w:pPr>
            <w:r w:rsidRPr="003F1F6C">
              <w:t>$</w:t>
            </w:r>
            <w:r w:rsidR="00D2014F">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pPr>
            <w:r w:rsidRPr="003F1F6C">
              <w:t>$</w:t>
            </w:r>
            <w:r w:rsidR="00D2014F">
              <w:rPr>
                <w:noProof/>
                <w:color w:val="000000"/>
                <w:highlight w:val="black"/>
              </w:rPr>
              <w:t>''''''''''''''''</w:t>
            </w:r>
          </w:p>
        </w:tc>
      </w:tr>
      <w:tr w:rsidR="005D3225" w:rsidRPr="003F1F6C" w:rsidTr="00893613">
        <w:trPr>
          <w:trHeight w:val="60"/>
        </w:trPr>
        <w:tc>
          <w:tcPr>
            <w:tcW w:w="1884" w:type="pct"/>
            <w:tcBorders>
              <w:left w:val="single" w:sz="4" w:space="0" w:color="auto"/>
            </w:tcBorders>
            <w:shd w:val="clear" w:color="auto" w:fill="auto"/>
            <w:noWrap/>
            <w:vAlign w:val="bottom"/>
          </w:tcPr>
          <w:p w:rsidR="005D3225" w:rsidRPr="003F1F6C" w:rsidRDefault="005D3225" w:rsidP="00C44233">
            <w:pPr>
              <w:pStyle w:val="TableText"/>
              <w:jc w:val="left"/>
              <w:rPr>
                <w:b/>
              </w:rPr>
            </w:pPr>
            <w:r w:rsidRPr="003F1F6C">
              <w:rPr>
                <w:b/>
              </w:rPr>
              <w:t>Total cost to government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D3225" w:rsidRPr="003F1F6C" w:rsidRDefault="005D3225" w:rsidP="00852CB7">
            <w:pPr>
              <w:pStyle w:val="TableText"/>
              <w:jc w:val="center"/>
              <w:rPr>
                <w:b/>
              </w:rPr>
            </w:pPr>
            <w:r w:rsidRPr="003F1F6C">
              <w:rPr>
                <w:b/>
              </w:rPr>
              <w:t>$</w:t>
            </w:r>
            <w:r w:rsidR="00D2014F">
              <w:rPr>
                <w:b/>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BF31EB">
            <w:pPr>
              <w:pStyle w:val="TableText"/>
              <w:jc w:val="center"/>
              <w:rPr>
                <w:b/>
              </w:rPr>
            </w:pPr>
            <w:r w:rsidRPr="003F1F6C">
              <w:rPr>
                <w:b/>
              </w:rPr>
              <w:t>$</w:t>
            </w:r>
            <w:r w:rsidR="00D2014F">
              <w:rPr>
                <w:b/>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rPr>
                <w:b/>
              </w:rPr>
            </w:pPr>
            <w:r w:rsidRPr="003F1F6C">
              <w:rPr>
                <w:b/>
              </w:rPr>
              <w:t>$</w:t>
            </w:r>
            <w:r w:rsidR="00D2014F">
              <w:rPr>
                <w:b/>
                <w:noProof/>
                <w:color w:val="000000"/>
                <w:highlight w:val="black"/>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rPr>
                <w:b/>
              </w:rPr>
            </w:pPr>
            <w:r w:rsidRPr="003F1F6C">
              <w:rPr>
                <w:b/>
              </w:rPr>
              <w:t>$</w:t>
            </w:r>
            <w:r w:rsidR="00D2014F">
              <w:rPr>
                <w:b/>
                <w:noProof/>
                <w:color w:val="000000"/>
                <w:highlight w:val="black"/>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5D3225" w:rsidRPr="003F1F6C" w:rsidRDefault="005D3225" w:rsidP="00CE5B76">
            <w:pPr>
              <w:pStyle w:val="TableText"/>
              <w:jc w:val="center"/>
              <w:rPr>
                <w:b/>
              </w:rPr>
            </w:pPr>
            <w:r w:rsidRPr="003F1F6C">
              <w:rPr>
                <w:b/>
              </w:rPr>
              <w:t>$</w:t>
            </w:r>
            <w:r w:rsidR="00D2014F">
              <w:rPr>
                <w:b/>
                <w:noProof/>
                <w:color w:val="000000"/>
                <w:highlight w:val="black"/>
              </w:rPr>
              <w:t>'''''''''''''''''''''''</w:t>
            </w:r>
          </w:p>
        </w:tc>
      </w:tr>
    </w:tbl>
    <w:p w:rsidR="005D3225" w:rsidRPr="003F1F6C" w:rsidRDefault="005D3225" w:rsidP="00780E4D">
      <w:pPr>
        <w:pStyle w:val="TableFooter"/>
        <w:widowControl/>
      </w:pPr>
      <w:r w:rsidRPr="007C4429">
        <w:t>Source: Table 45, p.94; Table 46, p.95; Table 55, p.104; Tables 56, p.104 of the resubmission.</w:t>
      </w:r>
    </w:p>
    <w:p w:rsidR="005D3225" w:rsidRPr="003F1F6C" w:rsidRDefault="005D3225" w:rsidP="00780E4D">
      <w:pPr>
        <w:pStyle w:val="TableFooter"/>
        <w:widowControl/>
      </w:pPr>
      <w:r w:rsidRPr="003F1F6C">
        <w:t xml:space="preserve">Abbreviations: GEP-NETs, </w:t>
      </w:r>
      <w:proofErr w:type="spellStart"/>
      <w:r w:rsidRPr="003F1F6C">
        <w:t>gastroenteropancreatic</w:t>
      </w:r>
      <w:proofErr w:type="spellEnd"/>
      <w:r w:rsidRPr="003F1F6C">
        <w:t xml:space="preserve"> neuroendocrine tumours; WHO, World Health Organization.</w:t>
      </w:r>
    </w:p>
    <w:p w:rsidR="00E34CBC" w:rsidRDefault="005D3225" w:rsidP="00E54E7C">
      <w:pPr>
        <w:pStyle w:val="ESnumberedpara"/>
      </w:pPr>
      <w:r w:rsidRPr="003F1F6C">
        <w:t xml:space="preserve">The </w:t>
      </w:r>
      <w:r w:rsidR="00440EE3" w:rsidRPr="003F1F6C">
        <w:t xml:space="preserve">submission estimated that at year 5, the number of patients treated would be </w:t>
      </w:r>
      <w:r w:rsidR="008341AC">
        <w:t>less than 10,000</w:t>
      </w:r>
      <w:r w:rsidR="00440EE3" w:rsidRPr="003F1F6C">
        <w:t xml:space="preserve"> and the </w:t>
      </w:r>
      <w:r w:rsidRPr="003F1F6C">
        <w:t xml:space="preserve">net cost </w:t>
      </w:r>
      <w:r w:rsidR="00440EE3" w:rsidRPr="003F1F6C">
        <w:t xml:space="preserve">to </w:t>
      </w:r>
      <w:r w:rsidRPr="003F1F6C">
        <w:t xml:space="preserve">the PBS </w:t>
      </w:r>
      <w:r w:rsidR="00440EE3" w:rsidRPr="003F1F6C">
        <w:t xml:space="preserve">would be </w:t>
      </w:r>
      <w:r w:rsidR="00E54E7C" w:rsidRPr="00E54E7C">
        <w:t xml:space="preserve">$10 – $20 million </w:t>
      </w:r>
      <w:r w:rsidR="002E6EA4" w:rsidRPr="003F1F6C">
        <w:t xml:space="preserve">(compared with </w:t>
      </w:r>
      <w:r w:rsidR="00E54E7C">
        <w:t xml:space="preserve">less than 10,000 </w:t>
      </w:r>
      <w:r w:rsidR="00440EE3" w:rsidRPr="003F1F6C">
        <w:t xml:space="preserve">patients and </w:t>
      </w:r>
      <w:r w:rsidR="00E54E7C" w:rsidRPr="00E54E7C">
        <w:t xml:space="preserve">$10 – $20 </w:t>
      </w:r>
      <w:r w:rsidR="002E6EA4" w:rsidRPr="003F1F6C">
        <w:t xml:space="preserve">million </w:t>
      </w:r>
      <w:r w:rsidR="00440EE3" w:rsidRPr="003F1F6C">
        <w:t xml:space="preserve">in year 5 </w:t>
      </w:r>
      <w:r w:rsidR="002E6EA4" w:rsidRPr="003F1F6C">
        <w:t>in the November 2016 resubmission</w:t>
      </w:r>
      <w:r w:rsidR="00E34CBC">
        <w:t>,</w:t>
      </w:r>
      <w:r w:rsidR="009B40C4">
        <w:t xml:space="preserve"> </w:t>
      </w:r>
      <w:r w:rsidR="009B40C4" w:rsidRPr="00936D42">
        <w:t>which did not account for the treatment of prevalent patients</w:t>
      </w:r>
      <w:r w:rsidR="002E6EA4" w:rsidRPr="003F1F6C">
        <w:t>)</w:t>
      </w:r>
      <w:r w:rsidRPr="003F1F6C">
        <w:t xml:space="preserve">. </w:t>
      </w:r>
    </w:p>
    <w:p w:rsidR="005D3225" w:rsidRPr="003F1F6C" w:rsidRDefault="005D3225" w:rsidP="00852CB7">
      <w:pPr>
        <w:pStyle w:val="ESnumberedpara"/>
        <w:ind w:left="567" w:hanging="567"/>
      </w:pPr>
      <w:r w:rsidRPr="003F1F6C">
        <w:t xml:space="preserve">The estimated utilisation and financial implications were uncertain due to the following issues: </w:t>
      </w:r>
    </w:p>
    <w:p w:rsidR="005D3225" w:rsidRPr="003F1F6C" w:rsidRDefault="005D3225" w:rsidP="00BF31EB">
      <w:pPr>
        <w:pStyle w:val="ESnumberedparablue"/>
        <w:numPr>
          <w:ilvl w:val="2"/>
          <w:numId w:val="8"/>
        </w:numPr>
        <w:ind w:left="851" w:hanging="284"/>
        <w:rPr>
          <w:iCs/>
          <w:color w:val="auto"/>
        </w:rPr>
      </w:pPr>
      <w:r w:rsidRPr="003F1F6C">
        <w:rPr>
          <w:iCs/>
          <w:color w:val="auto"/>
        </w:rPr>
        <w:t xml:space="preserve">There were limited available Australian data to inform </w:t>
      </w:r>
      <w:r w:rsidR="00386E50" w:rsidRPr="003F1F6C">
        <w:rPr>
          <w:iCs/>
          <w:color w:val="auto"/>
        </w:rPr>
        <w:t xml:space="preserve">Australian </w:t>
      </w:r>
      <w:r w:rsidRPr="003F1F6C">
        <w:rPr>
          <w:iCs/>
          <w:color w:val="auto"/>
        </w:rPr>
        <w:t>utilisation estimates. The underlying incidence/prevalence rates used in the resubmission were based on the Yao study (2004 US SEER data) rather than the Van der Swan (2013) study u</w:t>
      </w:r>
      <w:r w:rsidR="00FC5732" w:rsidRPr="003F1F6C">
        <w:rPr>
          <w:iCs/>
          <w:color w:val="auto"/>
        </w:rPr>
        <w:t>sed in the previous submission.</w:t>
      </w:r>
    </w:p>
    <w:p w:rsidR="0082513D" w:rsidRPr="003F1F6C" w:rsidRDefault="005D3225" w:rsidP="00CE5B76">
      <w:pPr>
        <w:pStyle w:val="ESnumberedparablue"/>
        <w:numPr>
          <w:ilvl w:val="2"/>
          <w:numId w:val="8"/>
        </w:numPr>
        <w:ind w:left="851" w:hanging="284"/>
        <w:rPr>
          <w:color w:val="auto"/>
        </w:rPr>
      </w:pPr>
      <w:r w:rsidRPr="003F1F6C">
        <w:rPr>
          <w:color w:val="auto"/>
        </w:rPr>
        <w:t xml:space="preserve">The resubmission assumed that 23% of the eligible PBS population would be managed with a watchful waiting approach based on </w:t>
      </w:r>
      <w:r w:rsidR="00D823F3" w:rsidRPr="003F1F6C">
        <w:rPr>
          <w:color w:val="auto"/>
        </w:rPr>
        <w:t>the proportion of patients from the CLARINET trial with WHO Grade 1 tumour</w:t>
      </w:r>
      <w:r w:rsidR="00D007A9">
        <w:rPr>
          <w:color w:val="auto"/>
        </w:rPr>
        <w:t>, a primary location in the mid</w:t>
      </w:r>
      <w:r w:rsidR="00D007A9">
        <w:rPr>
          <w:color w:val="auto"/>
        </w:rPr>
        <w:noBreakHyphen/>
      </w:r>
      <w:r w:rsidR="00D823F3" w:rsidRPr="003F1F6C">
        <w:rPr>
          <w:color w:val="auto"/>
        </w:rPr>
        <w:t>gut,</w:t>
      </w:r>
      <w:r w:rsidR="00E2215C">
        <w:rPr>
          <w:color w:val="auto"/>
        </w:rPr>
        <w:t xml:space="preserve"> and a hepatic tumour burden </w:t>
      </w:r>
      <w:r w:rsidR="00E2215C" w:rsidRPr="00D007A9">
        <w:rPr>
          <w:color w:val="auto"/>
        </w:rPr>
        <w:t>≤25</w:t>
      </w:r>
      <w:r w:rsidR="00D823F3" w:rsidRPr="00D007A9">
        <w:rPr>
          <w:color w:val="auto"/>
        </w:rPr>
        <w:t>%</w:t>
      </w:r>
      <w:r w:rsidR="00D823F3" w:rsidRPr="003F1F6C">
        <w:rPr>
          <w:color w:val="auto"/>
        </w:rPr>
        <w:t>)</w:t>
      </w:r>
      <w:r w:rsidRPr="003F1F6C">
        <w:rPr>
          <w:color w:val="auto"/>
        </w:rPr>
        <w:t>. However, application of this proportion to the prevalent PBS GEP-NET population was likely to overestimate the number of patients suitable for watchful waiting.</w:t>
      </w:r>
      <w:r w:rsidR="00D52AC8" w:rsidRPr="003F1F6C">
        <w:rPr>
          <w:color w:val="auto"/>
        </w:rPr>
        <w:t xml:space="preserve"> </w:t>
      </w:r>
    </w:p>
    <w:p w:rsidR="005D3225" w:rsidRPr="003F1F6C" w:rsidRDefault="00F300D3" w:rsidP="00CE5B76">
      <w:pPr>
        <w:pStyle w:val="ESnumberedparablue"/>
        <w:numPr>
          <w:ilvl w:val="2"/>
          <w:numId w:val="8"/>
        </w:numPr>
        <w:ind w:left="851" w:hanging="284"/>
        <w:rPr>
          <w:color w:val="auto"/>
        </w:rPr>
      </w:pPr>
      <w:r w:rsidRPr="003F1F6C">
        <w:rPr>
          <w:color w:val="auto"/>
        </w:rPr>
        <w:t>T</w:t>
      </w:r>
      <w:r w:rsidR="0082513D" w:rsidRPr="003F1F6C">
        <w:rPr>
          <w:color w:val="auto"/>
        </w:rPr>
        <w:t xml:space="preserve">he consumer comments and the meeting with the </w:t>
      </w:r>
      <w:r w:rsidR="00D52AC8" w:rsidRPr="003F1F6C">
        <w:rPr>
          <w:color w:val="auto"/>
        </w:rPr>
        <w:t xml:space="preserve">Unicorn Foundation for the </w:t>
      </w:r>
      <w:r w:rsidR="0082513D" w:rsidRPr="003F1F6C">
        <w:rPr>
          <w:color w:val="auto"/>
        </w:rPr>
        <w:t xml:space="preserve">PBAC’s </w:t>
      </w:r>
      <w:r w:rsidR="00D52AC8" w:rsidRPr="003F1F6C">
        <w:rPr>
          <w:color w:val="auto"/>
        </w:rPr>
        <w:t xml:space="preserve">November 2016 </w:t>
      </w:r>
      <w:r w:rsidR="0082513D" w:rsidRPr="003F1F6C">
        <w:rPr>
          <w:color w:val="auto"/>
        </w:rPr>
        <w:t xml:space="preserve">consideration of </w:t>
      </w:r>
      <w:proofErr w:type="spellStart"/>
      <w:r w:rsidR="0082513D" w:rsidRPr="003F1F6C">
        <w:rPr>
          <w:color w:val="auto"/>
        </w:rPr>
        <w:t>lanreotide</w:t>
      </w:r>
      <w:proofErr w:type="spellEnd"/>
      <w:r w:rsidR="00D52AC8" w:rsidRPr="003F1F6C">
        <w:rPr>
          <w:color w:val="auto"/>
        </w:rPr>
        <w:t xml:space="preserve"> s</w:t>
      </w:r>
      <w:r w:rsidR="0082513D" w:rsidRPr="003F1F6C">
        <w:rPr>
          <w:color w:val="auto"/>
        </w:rPr>
        <w:t>uggested that patients with GEP</w:t>
      </w:r>
      <w:r w:rsidR="0082513D" w:rsidRPr="003F1F6C">
        <w:rPr>
          <w:color w:val="auto"/>
        </w:rPr>
        <w:noBreakHyphen/>
      </w:r>
      <w:r w:rsidR="00D52AC8" w:rsidRPr="003F1F6C">
        <w:rPr>
          <w:color w:val="auto"/>
        </w:rPr>
        <w:t>NETs perceive a watchful waiting approach to be inadequate</w:t>
      </w:r>
      <w:r w:rsidR="00D57A63" w:rsidRPr="003F1F6C">
        <w:rPr>
          <w:color w:val="auto"/>
        </w:rPr>
        <w:t xml:space="preserve"> (November 2016 PSD, paragraph 7.2)</w:t>
      </w:r>
      <w:r w:rsidR="00D52AC8" w:rsidRPr="003F1F6C">
        <w:rPr>
          <w:color w:val="auto"/>
        </w:rPr>
        <w:t>.</w:t>
      </w:r>
      <w:r w:rsidR="0082513D" w:rsidRPr="003F1F6C">
        <w:rPr>
          <w:color w:val="auto"/>
        </w:rPr>
        <w:t xml:space="preserve"> Accordingly, the PBAC considered that some patients who would be better served by watchful waiting may receive active treatment if subsidised </w:t>
      </w:r>
      <w:proofErr w:type="spellStart"/>
      <w:r w:rsidR="0082513D" w:rsidRPr="003F1F6C">
        <w:rPr>
          <w:color w:val="auto"/>
        </w:rPr>
        <w:t>lanreotide</w:t>
      </w:r>
      <w:proofErr w:type="spellEnd"/>
      <w:r w:rsidR="0082513D" w:rsidRPr="003F1F6C">
        <w:rPr>
          <w:color w:val="auto"/>
        </w:rPr>
        <w:t xml:space="preserve"> was available for all patients with non-functional GEP-NETs</w:t>
      </w:r>
      <w:r w:rsidR="00D57A63" w:rsidRPr="003F1F6C">
        <w:rPr>
          <w:color w:val="auto"/>
        </w:rPr>
        <w:t xml:space="preserve"> (November 2016 PSD, paragraph 7.15)</w:t>
      </w:r>
      <w:r w:rsidR="0082513D" w:rsidRPr="003F1F6C">
        <w:rPr>
          <w:color w:val="auto"/>
        </w:rPr>
        <w:t>.</w:t>
      </w:r>
    </w:p>
    <w:p w:rsidR="005D3225" w:rsidRPr="003F1F6C" w:rsidRDefault="005D3225" w:rsidP="00CE5B76">
      <w:pPr>
        <w:pStyle w:val="ESnumberedparablue"/>
        <w:numPr>
          <w:ilvl w:val="2"/>
          <w:numId w:val="8"/>
        </w:numPr>
        <w:ind w:left="851" w:hanging="284"/>
        <w:rPr>
          <w:color w:val="auto"/>
        </w:rPr>
      </w:pPr>
      <w:r w:rsidRPr="003F1F6C">
        <w:rPr>
          <w:color w:val="auto"/>
        </w:rPr>
        <w:t xml:space="preserve">The prevalence-based approach used to estimate the budget impacts did not distinguish between first-line and post-progression use, and therefore, the proportion of </w:t>
      </w:r>
      <w:proofErr w:type="spellStart"/>
      <w:r w:rsidRPr="003F1F6C">
        <w:rPr>
          <w:color w:val="auto"/>
        </w:rPr>
        <w:t>lanreotide</w:t>
      </w:r>
      <w:proofErr w:type="spellEnd"/>
      <w:r w:rsidRPr="003F1F6C">
        <w:rPr>
          <w:color w:val="auto"/>
        </w:rPr>
        <w:t xml:space="preserve"> use in the post-progression setting was unclear. </w:t>
      </w:r>
    </w:p>
    <w:p w:rsidR="005D3225" w:rsidRPr="003F1F6C" w:rsidRDefault="005D3225" w:rsidP="00CE5B76">
      <w:pPr>
        <w:pStyle w:val="ESnumberedparablue"/>
        <w:numPr>
          <w:ilvl w:val="2"/>
          <w:numId w:val="8"/>
        </w:numPr>
        <w:ind w:left="851" w:hanging="284"/>
        <w:rPr>
          <w:color w:val="auto"/>
        </w:rPr>
      </w:pPr>
      <w:r w:rsidRPr="003F1F6C">
        <w:rPr>
          <w:color w:val="auto"/>
        </w:rPr>
        <w:t xml:space="preserve">The resubmission did not account for the potential use of </w:t>
      </w:r>
      <w:proofErr w:type="spellStart"/>
      <w:r w:rsidRPr="003F1F6C">
        <w:rPr>
          <w:color w:val="auto"/>
        </w:rPr>
        <w:t>lanreotide</w:t>
      </w:r>
      <w:proofErr w:type="spellEnd"/>
      <w:r w:rsidRPr="003F1F6C">
        <w:rPr>
          <w:color w:val="auto"/>
        </w:rPr>
        <w:t xml:space="preserve"> at a higher dose (or higher dose frequency) in patients who experience disease progression whilst on </w:t>
      </w:r>
      <w:proofErr w:type="spellStart"/>
      <w:r w:rsidRPr="003F1F6C">
        <w:rPr>
          <w:color w:val="auto"/>
        </w:rPr>
        <w:t>lanreotide</w:t>
      </w:r>
      <w:proofErr w:type="spellEnd"/>
      <w:r w:rsidRPr="003F1F6C">
        <w:rPr>
          <w:color w:val="auto"/>
        </w:rPr>
        <w:t xml:space="preserve">. </w:t>
      </w:r>
    </w:p>
    <w:p w:rsidR="005D3225" w:rsidRPr="003F1F6C" w:rsidRDefault="005D3225" w:rsidP="00CE5B76">
      <w:pPr>
        <w:pStyle w:val="ESnumberedparablue"/>
        <w:numPr>
          <w:ilvl w:val="2"/>
          <w:numId w:val="8"/>
        </w:numPr>
        <w:ind w:left="851" w:hanging="284"/>
        <w:rPr>
          <w:color w:val="auto"/>
        </w:rPr>
      </w:pPr>
      <w:r w:rsidRPr="003F1F6C">
        <w:rPr>
          <w:color w:val="auto"/>
        </w:rPr>
        <w:t xml:space="preserve">Substitution of </w:t>
      </w:r>
      <w:proofErr w:type="spellStart"/>
      <w:r w:rsidRPr="003F1F6C">
        <w:rPr>
          <w:color w:val="auto"/>
        </w:rPr>
        <w:t>lanreotide</w:t>
      </w:r>
      <w:proofErr w:type="spellEnd"/>
      <w:r w:rsidRPr="003F1F6C">
        <w:rPr>
          <w:color w:val="auto"/>
        </w:rPr>
        <w:t xml:space="preserve"> </w:t>
      </w:r>
      <w:r w:rsidR="002B3D43" w:rsidRPr="003F1F6C">
        <w:rPr>
          <w:color w:val="auto"/>
        </w:rPr>
        <w:t xml:space="preserve">currently </w:t>
      </w:r>
      <w:r w:rsidRPr="003F1F6C">
        <w:rPr>
          <w:color w:val="auto"/>
        </w:rPr>
        <w:t xml:space="preserve">being used in the prevalent GEP-NET population outside of current PBS restrictions (i.e. leakage) </w:t>
      </w:r>
      <w:r w:rsidR="002B3D43" w:rsidRPr="003F1F6C">
        <w:rPr>
          <w:color w:val="auto"/>
        </w:rPr>
        <w:t xml:space="preserve">may </w:t>
      </w:r>
      <w:r w:rsidRPr="003F1F6C">
        <w:rPr>
          <w:color w:val="auto"/>
        </w:rPr>
        <w:t>represent a cost offset that was not quantified in the resubmission.</w:t>
      </w:r>
    </w:p>
    <w:p w:rsidR="005D3225" w:rsidRPr="003F1F6C" w:rsidRDefault="005D3225" w:rsidP="00CE5B76">
      <w:pPr>
        <w:pStyle w:val="Heading2"/>
      </w:pPr>
      <w:bookmarkStart w:id="41" w:name="_Toc413139286"/>
      <w:bookmarkStart w:id="42" w:name="_Toc476306896"/>
      <w:bookmarkStart w:id="43" w:name="_Toc482193602"/>
      <w:r w:rsidRPr="003F1F6C">
        <w:t>Financial Management – Risk Sharing Arrangements</w:t>
      </w:r>
      <w:bookmarkEnd w:id="41"/>
      <w:bookmarkEnd w:id="42"/>
      <w:bookmarkEnd w:id="43"/>
    </w:p>
    <w:p w:rsidR="00897330" w:rsidRPr="003F1F6C" w:rsidRDefault="005D3225" w:rsidP="00CE5B76">
      <w:pPr>
        <w:pStyle w:val="ESnumberedpara"/>
        <w:ind w:left="567" w:hanging="567"/>
      </w:pPr>
      <w:r w:rsidRPr="003F1F6C">
        <w:t xml:space="preserve">The </w:t>
      </w:r>
      <w:r w:rsidR="00897330" w:rsidRPr="003F1F6C">
        <w:t xml:space="preserve">submission </w:t>
      </w:r>
      <w:r w:rsidR="00DA2477" w:rsidRPr="00936D42">
        <w:t>(with further details provided in the PSCR, p5)</w:t>
      </w:r>
      <w:r w:rsidR="00DA2477">
        <w:t xml:space="preserve"> </w:t>
      </w:r>
      <w:r w:rsidRPr="003F1F6C">
        <w:t>proposed a risk shar</w:t>
      </w:r>
      <w:r w:rsidR="00897330" w:rsidRPr="003F1F6C">
        <w:t>ing</w:t>
      </w:r>
      <w:r w:rsidRPr="003F1F6C">
        <w:t xml:space="preserve"> arrangement </w:t>
      </w:r>
      <w:r w:rsidR="00897330" w:rsidRPr="003F1F6C">
        <w:t xml:space="preserve">(RSA) </w:t>
      </w:r>
      <w:r w:rsidRPr="003F1F6C">
        <w:t>where an annual cap is applied (</w:t>
      </w:r>
      <w:r w:rsidR="00DA2477" w:rsidRPr="00E1482A">
        <w:t>see Table 1</w:t>
      </w:r>
      <w:r w:rsidR="0097752E">
        <w:t>3</w:t>
      </w:r>
      <w:r w:rsidRPr="003F1F6C">
        <w:t>), with a</w:t>
      </w:r>
      <w:r w:rsidRPr="00936D42">
        <w:t xml:space="preserve"> </w:t>
      </w:r>
      <w:r w:rsidR="00D2014F">
        <w:rPr>
          <w:noProof/>
          <w:color w:val="000000"/>
          <w:highlight w:val="black"/>
        </w:rPr>
        <w:t>'''''</w:t>
      </w:r>
      <w:r w:rsidR="00DA2477" w:rsidRPr="00C62603">
        <w:t>%</w:t>
      </w:r>
      <w:r w:rsidR="00DA2477">
        <w:t xml:space="preserve"> </w:t>
      </w:r>
      <w:r w:rsidRPr="003F1F6C">
        <w:t>rebate for expenditure above that amount.</w:t>
      </w:r>
      <w:r w:rsidR="00897330" w:rsidRPr="003F1F6C">
        <w:t xml:space="preserve"> The</w:t>
      </w:r>
      <w:r w:rsidR="00DA2477">
        <w:t xml:space="preserve"> resubmission stated that the</w:t>
      </w:r>
      <w:r w:rsidR="00897330" w:rsidRPr="003F1F6C">
        <w:t xml:space="preserve"> purpose of the RSA would be to mitigate against: </w:t>
      </w:r>
    </w:p>
    <w:p w:rsidR="00380E60" w:rsidRPr="003F1F6C" w:rsidRDefault="00897330" w:rsidP="00CE5B76">
      <w:pPr>
        <w:pStyle w:val="ESnumberedparablue"/>
        <w:numPr>
          <w:ilvl w:val="2"/>
          <w:numId w:val="8"/>
        </w:numPr>
        <w:ind w:left="851" w:hanging="284"/>
        <w:rPr>
          <w:color w:val="auto"/>
        </w:rPr>
      </w:pPr>
      <w:r w:rsidRPr="003F1F6C">
        <w:rPr>
          <w:color w:val="auto"/>
        </w:rPr>
        <w:t xml:space="preserve">a higher than reasonable rate of conversion for patients suitable for watchful waiting to active treatment with </w:t>
      </w:r>
      <w:proofErr w:type="spellStart"/>
      <w:r w:rsidRPr="003F1F6C">
        <w:rPr>
          <w:color w:val="auto"/>
        </w:rPr>
        <w:t>lanreotide</w:t>
      </w:r>
      <w:proofErr w:type="spellEnd"/>
      <w:r w:rsidRPr="003F1F6C">
        <w:rPr>
          <w:color w:val="auto"/>
        </w:rPr>
        <w:t>; and</w:t>
      </w:r>
    </w:p>
    <w:p w:rsidR="00897330" w:rsidRDefault="00897330" w:rsidP="00CE5B76">
      <w:pPr>
        <w:pStyle w:val="ESnumberedparablue"/>
        <w:numPr>
          <w:ilvl w:val="2"/>
          <w:numId w:val="8"/>
        </w:numPr>
        <w:ind w:left="851" w:hanging="284"/>
        <w:rPr>
          <w:color w:val="auto"/>
        </w:rPr>
      </w:pPr>
      <w:proofErr w:type="gramStart"/>
      <w:r w:rsidRPr="003F1F6C">
        <w:rPr>
          <w:color w:val="auto"/>
        </w:rPr>
        <w:t>a</w:t>
      </w:r>
      <w:proofErr w:type="gramEnd"/>
      <w:r w:rsidRPr="003F1F6C">
        <w:rPr>
          <w:color w:val="auto"/>
        </w:rPr>
        <w:t xml:space="preserve"> higher than reasonable utilisation of </w:t>
      </w:r>
      <w:proofErr w:type="spellStart"/>
      <w:r w:rsidRPr="003F1F6C">
        <w:rPr>
          <w:color w:val="auto"/>
        </w:rPr>
        <w:t>lanreotide</w:t>
      </w:r>
      <w:proofErr w:type="spellEnd"/>
      <w:r w:rsidRPr="003F1F6C">
        <w:rPr>
          <w:color w:val="auto"/>
        </w:rPr>
        <w:t xml:space="preserve"> in post-progressive disease, which is currently outside the intended PBS restriction.</w:t>
      </w:r>
    </w:p>
    <w:p w:rsidR="0097752E" w:rsidRDefault="0097752E" w:rsidP="0097752E">
      <w:pPr>
        <w:pStyle w:val="Caption"/>
      </w:pPr>
      <w:r>
        <w:t xml:space="preserve">Table </w:t>
      </w:r>
      <w:r>
        <w:rPr>
          <w:noProof/>
        </w:rPr>
        <w:t>13</w:t>
      </w:r>
      <w:r w:rsidRPr="008B4121">
        <w:t>: Proposed financial cap through an RSA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00"/>
        <w:gridCol w:w="1108"/>
        <w:gridCol w:w="1108"/>
        <w:gridCol w:w="1108"/>
        <w:gridCol w:w="1108"/>
        <w:gridCol w:w="1108"/>
      </w:tblGrid>
      <w:tr w:rsidR="00DA2477" w:rsidRPr="00936D42" w:rsidTr="002C290B">
        <w:trPr>
          <w:tblHeader/>
        </w:trPr>
        <w:tc>
          <w:tcPr>
            <w:tcW w:w="1969" w:type="pct"/>
            <w:tcBorders>
              <w:left w:val="single" w:sz="4" w:space="0" w:color="auto"/>
              <w:bottom w:val="single" w:sz="4" w:space="0" w:color="auto"/>
            </w:tcBorders>
            <w:shd w:val="clear" w:color="auto" w:fill="auto"/>
            <w:vAlign w:val="bottom"/>
            <w:hideMark/>
          </w:tcPr>
          <w:p w:rsidR="00DA2477" w:rsidRPr="00936D42" w:rsidRDefault="00DA2477" w:rsidP="00CE5B76">
            <w:pPr>
              <w:pStyle w:val="TableText"/>
              <w:jc w:val="left"/>
              <w:rPr>
                <w:snapToGrid w:val="0"/>
                <w:lang w:eastAsia="en-AU"/>
              </w:rPr>
            </w:pPr>
          </w:p>
        </w:tc>
        <w:tc>
          <w:tcPr>
            <w:tcW w:w="606" w:type="pct"/>
            <w:tcBorders>
              <w:bottom w:val="single" w:sz="4" w:space="0" w:color="auto"/>
            </w:tcBorders>
            <w:shd w:val="clear" w:color="auto" w:fill="auto"/>
            <w:vAlign w:val="center"/>
            <w:hideMark/>
          </w:tcPr>
          <w:p w:rsidR="00DA2477" w:rsidRPr="00936D42" w:rsidRDefault="00DA2477" w:rsidP="00CE5B76">
            <w:pPr>
              <w:pStyle w:val="TableText"/>
              <w:jc w:val="center"/>
              <w:rPr>
                <w:b/>
                <w:bCs/>
                <w:snapToGrid w:val="0"/>
                <w:lang w:eastAsia="en-AU"/>
              </w:rPr>
            </w:pPr>
            <w:r w:rsidRPr="00936D42">
              <w:rPr>
                <w:b/>
                <w:bCs/>
                <w:snapToGrid w:val="0"/>
                <w:lang w:eastAsia="en-AU"/>
              </w:rPr>
              <w:t>Year 1</w:t>
            </w:r>
          </w:p>
        </w:tc>
        <w:tc>
          <w:tcPr>
            <w:tcW w:w="606" w:type="pct"/>
            <w:tcBorders>
              <w:bottom w:val="single" w:sz="4" w:space="0" w:color="auto"/>
            </w:tcBorders>
            <w:shd w:val="clear" w:color="auto" w:fill="auto"/>
            <w:vAlign w:val="center"/>
            <w:hideMark/>
          </w:tcPr>
          <w:p w:rsidR="00DA2477" w:rsidRPr="00936D42" w:rsidRDefault="00DA2477" w:rsidP="00CE5B76">
            <w:pPr>
              <w:pStyle w:val="TableText"/>
              <w:jc w:val="center"/>
              <w:rPr>
                <w:b/>
                <w:bCs/>
                <w:snapToGrid w:val="0"/>
                <w:lang w:eastAsia="en-AU"/>
              </w:rPr>
            </w:pPr>
            <w:r w:rsidRPr="00936D42">
              <w:rPr>
                <w:b/>
                <w:bCs/>
                <w:snapToGrid w:val="0"/>
                <w:lang w:eastAsia="en-AU"/>
              </w:rPr>
              <w:t>Year 2</w:t>
            </w:r>
          </w:p>
        </w:tc>
        <w:tc>
          <w:tcPr>
            <w:tcW w:w="606" w:type="pct"/>
            <w:tcBorders>
              <w:bottom w:val="single" w:sz="4" w:space="0" w:color="auto"/>
            </w:tcBorders>
            <w:shd w:val="clear" w:color="auto" w:fill="auto"/>
            <w:vAlign w:val="center"/>
            <w:hideMark/>
          </w:tcPr>
          <w:p w:rsidR="00DA2477" w:rsidRPr="00936D42" w:rsidRDefault="00DA2477" w:rsidP="00CE5B76">
            <w:pPr>
              <w:pStyle w:val="TableText"/>
              <w:jc w:val="center"/>
              <w:rPr>
                <w:b/>
                <w:bCs/>
                <w:snapToGrid w:val="0"/>
                <w:lang w:eastAsia="en-AU"/>
              </w:rPr>
            </w:pPr>
            <w:r w:rsidRPr="00936D42">
              <w:rPr>
                <w:b/>
                <w:bCs/>
                <w:snapToGrid w:val="0"/>
                <w:lang w:eastAsia="en-AU"/>
              </w:rPr>
              <w:t>Year 3</w:t>
            </w:r>
          </w:p>
        </w:tc>
        <w:tc>
          <w:tcPr>
            <w:tcW w:w="606" w:type="pct"/>
            <w:tcBorders>
              <w:bottom w:val="single" w:sz="4" w:space="0" w:color="auto"/>
            </w:tcBorders>
            <w:shd w:val="clear" w:color="auto" w:fill="auto"/>
            <w:vAlign w:val="center"/>
            <w:hideMark/>
          </w:tcPr>
          <w:p w:rsidR="00DA2477" w:rsidRPr="00936D42" w:rsidRDefault="00DA2477" w:rsidP="00CE5B76">
            <w:pPr>
              <w:pStyle w:val="TableText"/>
              <w:jc w:val="center"/>
              <w:rPr>
                <w:b/>
                <w:bCs/>
                <w:snapToGrid w:val="0"/>
                <w:lang w:eastAsia="en-AU"/>
              </w:rPr>
            </w:pPr>
            <w:r w:rsidRPr="00936D42">
              <w:rPr>
                <w:b/>
                <w:bCs/>
                <w:snapToGrid w:val="0"/>
                <w:lang w:eastAsia="en-AU"/>
              </w:rPr>
              <w:t>Year 4</w:t>
            </w:r>
          </w:p>
        </w:tc>
        <w:tc>
          <w:tcPr>
            <w:tcW w:w="606" w:type="pct"/>
            <w:tcBorders>
              <w:bottom w:val="single" w:sz="4" w:space="0" w:color="auto"/>
              <w:right w:val="single" w:sz="4" w:space="0" w:color="auto"/>
            </w:tcBorders>
            <w:shd w:val="clear" w:color="auto" w:fill="auto"/>
            <w:vAlign w:val="center"/>
            <w:hideMark/>
          </w:tcPr>
          <w:p w:rsidR="00DA2477" w:rsidRPr="00936D42" w:rsidRDefault="00DA2477" w:rsidP="00CE5B76">
            <w:pPr>
              <w:pStyle w:val="TableText"/>
              <w:jc w:val="center"/>
              <w:rPr>
                <w:b/>
                <w:bCs/>
                <w:snapToGrid w:val="0"/>
                <w:lang w:eastAsia="en-AU"/>
              </w:rPr>
            </w:pPr>
            <w:r w:rsidRPr="00936D42">
              <w:rPr>
                <w:b/>
                <w:bCs/>
                <w:snapToGrid w:val="0"/>
                <w:lang w:eastAsia="en-AU"/>
              </w:rPr>
              <w:t>Year 5</w:t>
            </w:r>
          </w:p>
        </w:tc>
      </w:tr>
      <w:tr w:rsidR="00DA2477" w:rsidRPr="00936D42" w:rsidTr="002C290B">
        <w:trPr>
          <w:trHeight w:val="60"/>
        </w:trPr>
        <w:tc>
          <w:tcPr>
            <w:tcW w:w="1969" w:type="pct"/>
            <w:tcBorders>
              <w:left w:val="single" w:sz="4" w:space="0" w:color="auto"/>
            </w:tcBorders>
            <w:shd w:val="clear" w:color="auto" w:fill="auto"/>
            <w:noWrap/>
            <w:vAlign w:val="bottom"/>
          </w:tcPr>
          <w:p w:rsidR="00DA2477" w:rsidRPr="00936D42" w:rsidRDefault="00DA2477" w:rsidP="00C44233">
            <w:pPr>
              <w:pStyle w:val="TableText"/>
              <w:jc w:val="left"/>
              <w:rPr>
                <w:b/>
              </w:rPr>
            </w:pPr>
            <w:r w:rsidRPr="00936D42">
              <w:rPr>
                <w:b/>
              </w:rPr>
              <w:t xml:space="preserve">Estimated cost to government </w:t>
            </w:r>
            <w:r w:rsidRPr="00936D42">
              <w:t>(see Table 11)</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DA2477" w:rsidRPr="00936D42" w:rsidRDefault="00DA2477" w:rsidP="00852CB7">
            <w:pPr>
              <w:pStyle w:val="TableText"/>
              <w:jc w:val="center"/>
            </w:pPr>
            <w:r w:rsidRPr="00936D42">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DA2477" w:rsidRPr="00936D42" w:rsidRDefault="00DA2477" w:rsidP="00BF31EB">
            <w:pPr>
              <w:pStyle w:val="TableText"/>
              <w:jc w:val="center"/>
            </w:pPr>
            <w:r w:rsidRPr="00936D42">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DA2477" w:rsidRPr="00936D42" w:rsidRDefault="00DA2477" w:rsidP="00CE5B76">
            <w:pPr>
              <w:pStyle w:val="TableText"/>
              <w:jc w:val="center"/>
            </w:pPr>
            <w:r w:rsidRPr="00936D42">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DA2477" w:rsidRPr="00936D42" w:rsidRDefault="00DA2477" w:rsidP="00CE5B76">
            <w:pPr>
              <w:pStyle w:val="TableText"/>
              <w:jc w:val="center"/>
            </w:pPr>
            <w:r w:rsidRPr="00936D42">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DA2477" w:rsidRPr="00936D42" w:rsidRDefault="00DA2477" w:rsidP="00CE5B76">
            <w:pPr>
              <w:pStyle w:val="TableText"/>
              <w:jc w:val="center"/>
            </w:pPr>
            <w:r w:rsidRPr="00936D42">
              <w:t>$</w:t>
            </w:r>
            <w:r w:rsidR="00D2014F">
              <w:rPr>
                <w:noProof/>
                <w:color w:val="000000"/>
                <w:highlight w:val="black"/>
              </w:rPr>
              <w:t>'''''''''''''''''''''''</w:t>
            </w:r>
          </w:p>
        </w:tc>
      </w:tr>
      <w:tr w:rsidR="00DA2477" w:rsidRPr="00936D42" w:rsidTr="002C290B">
        <w:trPr>
          <w:trHeight w:val="60"/>
        </w:trPr>
        <w:tc>
          <w:tcPr>
            <w:tcW w:w="1969" w:type="pct"/>
            <w:tcBorders>
              <w:left w:val="single" w:sz="4" w:space="0" w:color="auto"/>
            </w:tcBorders>
            <w:shd w:val="clear" w:color="auto" w:fill="auto"/>
            <w:noWrap/>
            <w:vAlign w:val="bottom"/>
          </w:tcPr>
          <w:p w:rsidR="00DA2477" w:rsidRPr="00936D42" w:rsidRDefault="00DA2477" w:rsidP="00C44233">
            <w:pPr>
              <w:pStyle w:val="TableText"/>
              <w:jc w:val="left"/>
              <w:rPr>
                <w:b/>
              </w:rPr>
            </w:pPr>
            <w:r w:rsidRPr="00936D42">
              <w:rPr>
                <w:b/>
              </w:rPr>
              <w:t>Proposed annual cap</w:t>
            </w:r>
            <w:r w:rsidR="009027F3">
              <w:rPr>
                <w:b/>
              </w:rPr>
              <w:t>s</w:t>
            </w:r>
            <w:r w:rsidRPr="00936D42">
              <w:t xml:space="preserve"> (</w:t>
            </w:r>
            <w:r w:rsidR="00D2014F">
              <w:rPr>
                <w:noProof/>
                <w:color w:val="000000"/>
                <w:highlight w:val="black"/>
              </w:rPr>
              <w:t>'''''</w:t>
            </w:r>
            <w:r w:rsidRPr="00936D42">
              <w:t>% rebate applied beyond this amount)</w:t>
            </w:r>
            <w:r w:rsidR="003B05B0">
              <w:t xml:space="preserve"> – submission and PSCR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DA2477" w:rsidRPr="00936D42" w:rsidRDefault="00DA2477" w:rsidP="00852CB7">
            <w:pPr>
              <w:pStyle w:val="TableText"/>
              <w:jc w:val="center"/>
            </w:pPr>
            <w:r w:rsidRPr="00936D42">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DA2477" w:rsidRPr="00936D42" w:rsidRDefault="00DA2477" w:rsidP="00BF31EB">
            <w:pPr>
              <w:pStyle w:val="TableText"/>
              <w:jc w:val="center"/>
            </w:pPr>
            <w:r w:rsidRPr="00936D42">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DA2477" w:rsidRPr="00936D42" w:rsidRDefault="00DA2477" w:rsidP="00CE5B76">
            <w:pPr>
              <w:pStyle w:val="TableText"/>
              <w:jc w:val="center"/>
            </w:pPr>
            <w:r w:rsidRPr="00936D42">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DA2477" w:rsidRPr="00936D42" w:rsidRDefault="00DA2477" w:rsidP="00CE5B76">
            <w:pPr>
              <w:pStyle w:val="TableText"/>
              <w:jc w:val="center"/>
            </w:pPr>
            <w:r w:rsidRPr="00936D42">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DA2477" w:rsidRPr="00936D42" w:rsidRDefault="00DA2477" w:rsidP="00CE5B76">
            <w:pPr>
              <w:pStyle w:val="TableText"/>
              <w:jc w:val="center"/>
            </w:pPr>
            <w:r w:rsidRPr="00936D42">
              <w:t>$</w:t>
            </w:r>
            <w:r w:rsidR="00D2014F">
              <w:rPr>
                <w:noProof/>
                <w:color w:val="000000"/>
                <w:highlight w:val="black"/>
              </w:rPr>
              <w:t>''''''''''''''''''''''''''</w:t>
            </w:r>
          </w:p>
        </w:tc>
      </w:tr>
      <w:tr w:rsidR="003B05B0" w:rsidRPr="00936D42" w:rsidTr="00FE755C">
        <w:trPr>
          <w:trHeight w:val="60"/>
        </w:trPr>
        <w:tc>
          <w:tcPr>
            <w:tcW w:w="1969" w:type="pct"/>
            <w:vMerge w:val="restart"/>
            <w:tcBorders>
              <w:left w:val="single" w:sz="4" w:space="0" w:color="auto"/>
            </w:tcBorders>
            <w:shd w:val="clear" w:color="auto" w:fill="auto"/>
            <w:noWrap/>
            <w:vAlign w:val="center"/>
          </w:tcPr>
          <w:p w:rsidR="003B05B0" w:rsidRPr="00936D42" w:rsidRDefault="003B05B0" w:rsidP="00C44233">
            <w:pPr>
              <w:pStyle w:val="TableText"/>
              <w:jc w:val="left"/>
              <w:rPr>
                <w:b/>
              </w:rPr>
            </w:pPr>
            <w:r w:rsidRPr="00936D42">
              <w:rPr>
                <w:b/>
              </w:rPr>
              <w:t>Proposed annual cap</w:t>
            </w:r>
            <w:r w:rsidR="009027F3">
              <w:rPr>
                <w:b/>
              </w:rPr>
              <w:t>s</w:t>
            </w:r>
            <w:r>
              <w:rPr>
                <w:b/>
              </w:rPr>
              <w:t xml:space="preserve"> and rebate</w:t>
            </w:r>
            <w:r w:rsidR="009027F3">
              <w:rPr>
                <w:b/>
              </w:rPr>
              <w:t>s</w:t>
            </w:r>
            <w:r>
              <w:t xml:space="preserve"> – p</w:t>
            </w:r>
            <w:r w:rsidR="000F4C1B">
              <w:t>re</w:t>
            </w:r>
            <w:r w:rsidR="000F4C1B">
              <w:noBreakHyphen/>
            </w:r>
            <w:r>
              <w:t>PBAC response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3B05B0" w:rsidRPr="00936D42" w:rsidRDefault="003B05B0" w:rsidP="00852CB7">
            <w:pPr>
              <w:pStyle w:val="TableText"/>
              <w:jc w:val="center"/>
            </w:pPr>
            <w:r>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3B05B0" w:rsidRPr="00936D42" w:rsidRDefault="003B05B0" w:rsidP="00BF31EB">
            <w:pPr>
              <w:pStyle w:val="TableText"/>
              <w:jc w:val="center"/>
            </w:pPr>
            <w:r>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3B05B0" w:rsidRPr="00936D42" w:rsidRDefault="003B05B0" w:rsidP="00CE5B76">
            <w:pPr>
              <w:pStyle w:val="TableText"/>
              <w:jc w:val="center"/>
            </w:pPr>
            <w:r>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3B05B0" w:rsidRPr="00936D42" w:rsidRDefault="003B05B0" w:rsidP="00CE5B76">
            <w:pPr>
              <w:pStyle w:val="TableText"/>
              <w:jc w:val="center"/>
            </w:pPr>
            <w:r>
              <w:t>$</w:t>
            </w:r>
            <w:r w:rsidR="00D2014F">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3B05B0" w:rsidRPr="00936D42" w:rsidRDefault="003B05B0" w:rsidP="00CE5B76">
            <w:pPr>
              <w:pStyle w:val="TableText"/>
              <w:jc w:val="center"/>
            </w:pPr>
            <w:r>
              <w:t>$</w:t>
            </w:r>
            <w:r w:rsidR="00D2014F">
              <w:rPr>
                <w:noProof/>
                <w:color w:val="000000"/>
                <w:highlight w:val="black"/>
              </w:rPr>
              <w:t>'''''''''''''''''''''''''''''</w:t>
            </w:r>
          </w:p>
        </w:tc>
      </w:tr>
      <w:tr w:rsidR="003B05B0" w:rsidRPr="00936D42" w:rsidTr="002C290B">
        <w:trPr>
          <w:trHeight w:val="60"/>
        </w:trPr>
        <w:tc>
          <w:tcPr>
            <w:tcW w:w="1969" w:type="pct"/>
            <w:vMerge/>
            <w:tcBorders>
              <w:left w:val="single" w:sz="4" w:space="0" w:color="auto"/>
            </w:tcBorders>
            <w:shd w:val="clear" w:color="auto" w:fill="auto"/>
            <w:noWrap/>
            <w:vAlign w:val="bottom"/>
          </w:tcPr>
          <w:p w:rsidR="003B05B0" w:rsidRPr="00936D42" w:rsidRDefault="003B05B0" w:rsidP="00CE5B76">
            <w:pPr>
              <w:pStyle w:val="TableText"/>
              <w:jc w:val="left"/>
              <w:rPr>
                <w:b/>
              </w:rPr>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3B05B0" w:rsidRPr="00936D42" w:rsidRDefault="00D2014F" w:rsidP="00CE5B76">
            <w:pPr>
              <w:pStyle w:val="TableText"/>
              <w:jc w:val="center"/>
            </w:pPr>
            <w:r>
              <w:rPr>
                <w:noProof/>
                <w:color w:val="000000"/>
                <w:highlight w:val="black"/>
              </w:rPr>
              <w:t>'''''</w:t>
            </w:r>
            <w:r w:rsidR="003B05B0">
              <w:t>%</w:t>
            </w:r>
          </w:p>
        </w:tc>
        <w:tc>
          <w:tcPr>
            <w:tcW w:w="606" w:type="pct"/>
            <w:tcBorders>
              <w:top w:val="single" w:sz="4" w:space="0" w:color="auto"/>
              <w:left w:val="nil"/>
              <w:bottom w:val="single" w:sz="4" w:space="0" w:color="auto"/>
              <w:right w:val="single" w:sz="4" w:space="0" w:color="auto"/>
            </w:tcBorders>
            <w:shd w:val="clear" w:color="auto" w:fill="auto"/>
            <w:vAlign w:val="center"/>
          </w:tcPr>
          <w:p w:rsidR="003B05B0" w:rsidRPr="00936D42" w:rsidRDefault="00D2014F" w:rsidP="00CE5B76">
            <w:pPr>
              <w:pStyle w:val="TableText"/>
              <w:jc w:val="center"/>
            </w:pPr>
            <w:r>
              <w:rPr>
                <w:noProof/>
                <w:color w:val="000000"/>
                <w:highlight w:val="black"/>
              </w:rPr>
              <w:t>'''''''</w:t>
            </w:r>
            <w:r w:rsidR="003B05B0">
              <w:t>%</w:t>
            </w:r>
          </w:p>
        </w:tc>
        <w:tc>
          <w:tcPr>
            <w:tcW w:w="606" w:type="pct"/>
            <w:tcBorders>
              <w:top w:val="single" w:sz="4" w:space="0" w:color="auto"/>
              <w:left w:val="nil"/>
              <w:bottom w:val="single" w:sz="4" w:space="0" w:color="auto"/>
              <w:right w:val="single" w:sz="4" w:space="0" w:color="auto"/>
            </w:tcBorders>
            <w:shd w:val="clear" w:color="auto" w:fill="auto"/>
            <w:vAlign w:val="center"/>
          </w:tcPr>
          <w:p w:rsidR="003B05B0" w:rsidRPr="00936D42" w:rsidRDefault="00D2014F" w:rsidP="00CE5B76">
            <w:pPr>
              <w:pStyle w:val="TableText"/>
              <w:jc w:val="center"/>
            </w:pPr>
            <w:r>
              <w:rPr>
                <w:noProof/>
                <w:color w:val="000000"/>
                <w:highlight w:val="black"/>
              </w:rPr>
              <w:t>''''''</w:t>
            </w:r>
            <w:r w:rsidR="003B05B0">
              <w:t>%</w:t>
            </w:r>
          </w:p>
        </w:tc>
        <w:tc>
          <w:tcPr>
            <w:tcW w:w="606" w:type="pct"/>
            <w:tcBorders>
              <w:top w:val="single" w:sz="4" w:space="0" w:color="auto"/>
              <w:left w:val="nil"/>
              <w:bottom w:val="single" w:sz="4" w:space="0" w:color="auto"/>
              <w:right w:val="single" w:sz="4" w:space="0" w:color="auto"/>
            </w:tcBorders>
            <w:shd w:val="clear" w:color="auto" w:fill="auto"/>
            <w:vAlign w:val="center"/>
          </w:tcPr>
          <w:p w:rsidR="003B05B0" w:rsidRPr="00936D42" w:rsidRDefault="00D2014F" w:rsidP="00CE5B76">
            <w:pPr>
              <w:pStyle w:val="TableText"/>
              <w:jc w:val="center"/>
            </w:pPr>
            <w:r>
              <w:rPr>
                <w:noProof/>
                <w:color w:val="000000"/>
                <w:highlight w:val="black"/>
              </w:rPr>
              <w:t>'''''</w:t>
            </w:r>
            <w:r w:rsidR="003B05B0">
              <w:t>%</w:t>
            </w:r>
          </w:p>
        </w:tc>
        <w:tc>
          <w:tcPr>
            <w:tcW w:w="606" w:type="pct"/>
            <w:tcBorders>
              <w:top w:val="single" w:sz="4" w:space="0" w:color="auto"/>
              <w:left w:val="nil"/>
              <w:bottom w:val="single" w:sz="4" w:space="0" w:color="auto"/>
              <w:right w:val="single" w:sz="4" w:space="0" w:color="auto"/>
            </w:tcBorders>
            <w:shd w:val="clear" w:color="auto" w:fill="auto"/>
            <w:vAlign w:val="center"/>
          </w:tcPr>
          <w:p w:rsidR="003B05B0" w:rsidRPr="00936D42" w:rsidRDefault="00D2014F" w:rsidP="00CE5B76">
            <w:pPr>
              <w:pStyle w:val="TableText"/>
              <w:jc w:val="center"/>
            </w:pPr>
            <w:r>
              <w:rPr>
                <w:noProof/>
                <w:color w:val="000000"/>
                <w:highlight w:val="black"/>
              </w:rPr>
              <w:t>''''''</w:t>
            </w:r>
            <w:r w:rsidR="003B05B0">
              <w:t>%</w:t>
            </w:r>
          </w:p>
        </w:tc>
      </w:tr>
    </w:tbl>
    <w:p w:rsidR="00DA2477" w:rsidRPr="00936D42" w:rsidRDefault="00DA2477" w:rsidP="002557D4">
      <w:pPr>
        <w:pStyle w:val="TableFooter"/>
        <w:widowControl/>
      </w:pPr>
      <w:r w:rsidRPr="00936D42">
        <w:t>Source: Table 11 of this advice and Table 4 of the PSCR.</w:t>
      </w:r>
    </w:p>
    <w:p w:rsidR="005A6296" w:rsidRDefault="00B62ABC" w:rsidP="00C44233">
      <w:pPr>
        <w:pStyle w:val="ESnumberedpara"/>
        <w:ind w:left="567" w:hanging="567"/>
      </w:pPr>
      <w:r w:rsidRPr="00DA2477">
        <w:t xml:space="preserve">The ESC noted that </w:t>
      </w:r>
      <w:r w:rsidR="00DA2477">
        <w:t>this proposal</w:t>
      </w:r>
      <w:r w:rsidRPr="00DA2477">
        <w:t xml:space="preserve"> differed from </w:t>
      </w:r>
      <w:r w:rsidR="00DA2477">
        <w:t>that the RSA</w:t>
      </w:r>
      <w:r w:rsidRPr="00DA2477">
        <w:t xml:space="preserve"> </w:t>
      </w:r>
      <w:r w:rsidR="00DA2477">
        <w:t>proposed</w:t>
      </w:r>
      <w:r w:rsidRPr="00DA2477">
        <w:t xml:space="preserve"> in the November 201</w:t>
      </w:r>
      <w:r w:rsidR="00DA2477">
        <w:t>5 submission</w:t>
      </w:r>
      <w:r w:rsidRPr="00DA2477">
        <w:t xml:space="preserve"> where the sponsor </w:t>
      </w:r>
      <w:r w:rsidR="00DA2477">
        <w:t xml:space="preserve">would </w:t>
      </w:r>
      <w:r w:rsidRPr="00DA2477">
        <w:t xml:space="preserve">rebate the Australian Government </w:t>
      </w:r>
      <w:r w:rsidR="00D2014F">
        <w:rPr>
          <w:noProof/>
          <w:color w:val="000000"/>
          <w:highlight w:val="black"/>
        </w:rPr>
        <w:t>''''''</w:t>
      </w:r>
      <w:r w:rsidRPr="00DA2477">
        <w:t xml:space="preserve">% of the cost of </w:t>
      </w:r>
      <w:proofErr w:type="spellStart"/>
      <w:r w:rsidRPr="00DA2477">
        <w:t>lanreotide</w:t>
      </w:r>
      <w:proofErr w:type="spellEnd"/>
      <w:r w:rsidRPr="00DA2477">
        <w:t xml:space="preserve"> beyond </w:t>
      </w:r>
      <w:r w:rsidR="00D2014F">
        <w:rPr>
          <w:noProof/>
          <w:color w:val="000000"/>
          <w:highlight w:val="black"/>
        </w:rPr>
        <w:t xml:space="preserve">''''''' ''''''''''''' </w:t>
      </w:r>
      <w:r w:rsidRPr="00DA2477">
        <w:t xml:space="preserve">in any </w:t>
      </w:r>
      <w:r w:rsidR="00DA2477">
        <w:t>of the</w:t>
      </w:r>
      <w:r w:rsidRPr="00DA2477">
        <w:t xml:space="preserve"> first five years of listing. The ESC noted that the reasoning for the</w:t>
      </w:r>
      <w:r w:rsidR="00DA2477">
        <w:t xml:space="preserve"> previous and</w:t>
      </w:r>
      <w:r w:rsidRPr="00DA2477">
        <w:t xml:space="preserve"> revised </w:t>
      </w:r>
      <w:r w:rsidR="00DA2477">
        <w:t xml:space="preserve">financial </w:t>
      </w:r>
      <w:r w:rsidRPr="00DA2477">
        <w:t xml:space="preserve">cap amounts was unclear. </w:t>
      </w:r>
    </w:p>
    <w:p w:rsidR="001D052C" w:rsidRPr="00DA2477" w:rsidRDefault="00C62603" w:rsidP="00852CB7">
      <w:pPr>
        <w:pStyle w:val="ESnumberedpara"/>
        <w:ind w:left="567" w:hanging="567"/>
      </w:pPr>
      <w:r>
        <w:t xml:space="preserve">The </w:t>
      </w:r>
      <w:r w:rsidR="003B05B0">
        <w:t>p</w:t>
      </w:r>
      <w:r>
        <w:t xml:space="preserve">re-PBAC Response (p3) proposed a revised RSA </w:t>
      </w:r>
      <w:r w:rsidR="003B05B0">
        <w:t>structure with lower annual cap amounts and higher rebates than that proposed in the submission and PSCR (see Table 12)</w:t>
      </w:r>
      <w:r>
        <w:t xml:space="preserve">. </w:t>
      </w:r>
    </w:p>
    <w:p w:rsidR="00466DE2" w:rsidRPr="00936D42" w:rsidRDefault="00466DE2" w:rsidP="00BE39FF">
      <w:pPr>
        <w:pStyle w:val="Heading1"/>
        <w:ind w:left="567" w:hanging="567"/>
      </w:pPr>
      <w:r w:rsidRPr="00936D42">
        <w:t>PBAC Outcome</w:t>
      </w:r>
    </w:p>
    <w:p w:rsidR="007A5C2A" w:rsidRPr="007A5C2A" w:rsidRDefault="007A5C2A" w:rsidP="007A5C2A">
      <w:pPr>
        <w:pStyle w:val="ListParagraph"/>
        <w:numPr>
          <w:ilvl w:val="0"/>
          <w:numId w:val="3"/>
        </w:numPr>
        <w:spacing w:before="0" w:after="120"/>
        <w:contextualSpacing w:val="0"/>
        <w:rPr>
          <w:rFonts w:eastAsia="Times New Roman" w:cs="Arial"/>
          <w:bCs/>
          <w:snapToGrid w:val="0"/>
          <w:vanish/>
          <w:szCs w:val="24"/>
          <w:lang w:val="en-GB"/>
        </w:rPr>
      </w:pPr>
    </w:p>
    <w:p w:rsidR="007A5C2A" w:rsidRPr="007A5C2A" w:rsidRDefault="007A5C2A" w:rsidP="007A5C2A">
      <w:pPr>
        <w:pStyle w:val="ListParagraph"/>
        <w:numPr>
          <w:ilvl w:val="0"/>
          <w:numId w:val="3"/>
        </w:numPr>
        <w:spacing w:before="0" w:after="120"/>
        <w:contextualSpacing w:val="0"/>
        <w:rPr>
          <w:rFonts w:eastAsia="Times New Roman" w:cs="Arial"/>
          <w:bCs/>
          <w:snapToGrid w:val="0"/>
          <w:vanish/>
          <w:szCs w:val="24"/>
          <w:lang w:val="en-GB"/>
        </w:rPr>
      </w:pPr>
    </w:p>
    <w:p w:rsidR="007A5C2A" w:rsidRPr="007A5C2A" w:rsidRDefault="007A5C2A" w:rsidP="007A5C2A">
      <w:pPr>
        <w:pStyle w:val="ListParagraph"/>
        <w:numPr>
          <w:ilvl w:val="0"/>
          <w:numId w:val="3"/>
        </w:numPr>
        <w:spacing w:before="0" w:after="120"/>
        <w:contextualSpacing w:val="0"/>
        <w:rPr>
          <w:rFonts w:eastAsia="Times New Roman" w:cs="Arial"/>
          <w:bCs/>
          <w:snapToGrid w:val="0"/>
          <w:vanish/>
          <w:szCs w:val="24"/>
          <w:lang w:val="en-GB"/>
        </w:rPr>
      </w:pPr>
    </w:p>
    <w:p w:rsidR="007A5C2A" w:rsidRPr="007A5C2A" w:rsidRDefault="007A5C2A" w:rsidP="007A5C2A">
      <w:pPr>
        <w:pStyle w:val="ListParagraph"/>
        <w:numPr>
          <w:ilvl w:val="0"/>
          <w:numId w:val="3"/>
        </w:numPr>
        <w:spacing w:before="0" w:after="120"/>
        <w:contextualSpacing w:val="0"/>
        <w:rPr>
          <w:rFonts w:eastAsia="Times New Roman" w:cs="Arial"/>
          <w:bCs/>
          <w:snapToGrid w:val="0"/>
          <w:vanish/>
          <w:szCs w:val="24"/>
          <w:lang w:val="en-GB"/>
        </w:rPr>
      </w:pPr>
    </w:p>
    <w:p w:rsidR="000C5639" w:rsidRDefault="00630720" w:rsidP="00BE39FF">
      <w:pPr>
        <w:numPr>
          <w:ilvl w:val="1"/>
          <w:numId w:val="3"/>
        </w:numPr>
        <w:spacing w:before="0" w:after="120"/>
        <w:ind w:left="567" w:hanging="567"/>
        <w:rPr>
          <w:rFonts w:eastAsia="Times New Roman" w:cs="Arial"/>
          <w:bCs/>
          <w:snapToGrid w:val="0"/>
          <w:szCs w:val="24"/>
          <w:lang w:val="en-GB"/>
        </w:rPr>
      </w:pPr>
      <w:r w:rsidRPr="004C2254">
        <w:rPr>
          <w:rFonts w:eastAsia="Times New Roman" w:cs="Arial"/>
          <w:bCs/>
          <w:snapToGrid w:val="0"/>
          <w:szCs w:val="24"/>
          <w:lang w:val="en-GB"/>
        </w:rPr>
        <w:t xml:space="preserve">The PBAC did not recommend listing </w:t>
      </w:r>
      <w:proofErr w:type="spellStart"/>
      <w:r w:rsidRPr="004C2254">
        <w:rPr>
          <w:rFonts w:eastAsia="Times New Roman" w:cs="Arial"/>
          <w:bCs/>
          <w:snapToGrid w:val="0"/>
          <w:szCs w:val="24"/>
          <w:lang w:val="en-GB"/>
        </w:rPr>
        <w:t>lanreotide</w:t>
      </w:r>
      <w:proofErr w:type="spellEnd"/>
      <w:r w:rsidRPr="004C2254">
        <w:rPr>
          <w:rFonts w:eastAsia="Times New Roman" w:cs="Arial"/>
          <w:bCs/>
          <w:snapToGrid w:val="0"/>
          <w:szCs w:val="24"/>
          <w:lang w:val="en-GB"/>
        </w:rPr>
        <w:t xml:space="preserve"> on the PBS for the treatment of non</w:t>
      </w:r>
      <w:r w:rsidR="00182196">
        <w:rPr>
          <w:rFonts w:eastAsia="Times New Roman" w:cs="Arial"/>
          <w:bCs/>
          <w:snapToGrid w:val="0"/>
          <w:szCs w:val="24"/>
          <w:lang w:val="en-GB"/>
        </w:rPr>
        <w:noBreakHyphen/>
      </w:r>
      <w:r w:rsidRPr="004C2254">
        <w:rPr>
          <w:rFonts w:eastAsia="Times New Roman" w:cs="Arial"/>
          <w:bCs/>
          <w:snapToGrid w:val="0"/>
          <w:szCs w:val="24"/>
          <w:lang w:val="en-GB"/>
        </w:rPr>
        <w:t xml:space="preserve">functional GEP-NETs on the basis of uncertain </w:t>
      </w:r>
      <w:r w:rsidR="00997843" w:rsidRPr="004C2254">
        <w:rPr>
          <w:rFonts w:eastAsia="Times New Roman" w:cs="Arial"/>
          <w:bCs/>
          <w:snapToGrid w:val="0"/>
          <w:szCs w:val="24"/>
          <w:lang w:val="en-GB"/>
        </w:rPr>
        <w:t>cost-effectiveness</w:t>
      </w:r>
      <w:r w:rsidR="00E31C48">
        <w:rPr>
          <w:rFonts w:eastAsia="Times New Roman" w:cs="Arial"/>
          <w:bCs/>
          <w:snapToGrid w:val="0"/>
          <w:szCs w:val="24"/>
          <w:lang w:val="en-GB"/>
        </w:rPr>
        <w:t>, uncertainty regarding meaningful clinical benefit for the majority of patients,</w:t>
      </w:r>
      <w:r w:rsidR="005D1A37">
        <w:rPr>
          <w:rFonts w:eastAsia="Times New Roman" w:cs="Arial"/>
          <w:bCs/>
          <w:snapToGrid w:val="0"/>
          <w:szCs w:val="24"/>
          <w:lang w:val="en-GB"/>
        </w:rPr>
        <w:t xml:space="preserve"> and </w:t>
      </w:r>
      <w:r w:rsidR="00E31C48">
        <w:rPr>
          <w:rFonts w:eastAsia="Times New Roman" w:cs="Arial"/>
          <w:bCs/>
          <w:snapToGrid w:val="0"/>
          <w:szCs w:val="24"/>
          <w:lang w:val="en-GB"/>
        </w:rPr>
        <w:t xml:space="preserve">uncertain </w:t>
      </w:r>
      <w:r w:rsidR="005D1A37">
        <w:rPr>
          <w:rFonts w:eastAsia="Times New Roman" w:cs="Arial"/>
          <w:bCs/>
          <w:snapToGrid w:val="0"/>
          <w:szCs w:val="24"/>
          <w:lang w:val="en-GB"/>
        </w:rPr>
        <w:t>budget impact</w:t>
      </w:r>
      <w:r w:rsidR="007E0BFF" w:rsidRPr="004C2254">
        <w:rPr>
          <w:rFonts w:eastAsia="Times New Roman" w:cs="Arial"/>
          <w:bCs/>
          <w:snapToGrid w:val="0"/>
          <w:szCs w:val="24"/>
          <w:lang w:val="en-GB"/>
        </w:rPr>
        <w:t xml:space="preserve">. </w:t>
      </w:r>
    </w:p>
    <w:p w:rsidR="00BF31EB" w:rsidRPr="00833A17" w:rsidRDefault="00BF31EB" w:rsidP="00BF31EB">
      <w:pPr>
        <w:pStyle w:val="ListParagraph"/>
        <w:numPr>
          <w:ilvl w:val="1"/>
          <w:numId w:val="3"/>
        </w:numPr>
        <w:spacing w:before="0" w:after="120"/>
        <w:ind w:left="567" w:hanging="567"/>
        <w:contextualSpacing w:val="0"/>
        <w:rPr>
          <w:rFonts w:eastAsia="Times New Roman" w:cs="Arial"/>
          <w:bCs/>
          <w:snapToGrid w:val="0"/>
          <w:szCs w:val="24"/>
          <w:lang w:val="en-GB"/>
        </w:rPr>
      </w:pPr>
      <w:r w:rsidRPr="00833A17">
        <w:rPr>
          <w:rFonts w:eastAsia="Times New Roman" w:cs="Arial"/>
          <w:bCs/>
          <w:snapToGrid w:val="0"/>
          <w:szCs w:val="24"/>
          <w:lang w:val="en-GB"/>
        </w:rPr>
        <w:t xml:space="preserve">The PBAC recalled that in November 2015 it rejected the request to list </w:t>
      </w:r>
      <w:proofErr w:type="spellStart"/>
      <w:r w:rsidRPr="00833A17">
        <w:rPr>
          <w:rFonts w:eastAsia="Times New Roman" w:cs="Arial"/>
          <w:bCs/>
          <w:snapToGrid w:val="0"/>
          <w:szCs w:val="24"/>
          <w:lang w:val="en-GB"/>
        </w:rPr>
        <w:t>lanreotide</w:t>
      </w:r>
      <w:proofErr w:type="spellEnd"/>
      <w:r w:rsidRPr="00833A17">
        <w:rPr>
          <w:rFonts w:eastAsia="Times New Roman" w:cs="Arial"/>
          <w:bCs/>
          <w:snapToGrid w:val="0"/>
          <w:szCs w:val="24"/>
          <w:lang w:val="en-GB"/>
        </w:rPr>
        <w:t xml:space="preserve"> on the PBS for the treatment of GEP-NETs on the basis of uncertainty of the clinical significance of the PFS results from the CLARINET study; and that the economic model used to estimate the ICER was not reliable given fundamental issues with the model structure (November 2015 </w:t>
      </w:r>
      <w:r>
        <w:rPr>
          <w:rFonts w:eastAsia="Times New Roman" w:cs="Arial"/>
          <w:bCs/>
          <w:snapToGrid w:val="0"/>
          <w:szCs w:val="24"/>
          <w:lang w:val="en-GB"/>
        </w:rPr>
        <w:t>PSD</w:t>
      </w:r>
      <w:r w:rsidRPr="00833A17">
        <w:rPr>
          <w:rFonts w:eastAsia="Times New Roman" w:cs="Arial"/>
          <w:bCs/>
          <w:snapToGrid w:val="0"/>
          <w:szCs w:val="24"/>
          <w:lang w:val="en-GB"/>
        </w:rPr>
        <w:t>, paragraph 7.1).</w:t>
      </w:r>
      <w:r>
        <w:rPr>
          <w:rFonts w:eastAsia="Times New Roman" w:cs="Arial"/>
          <w:bCs/>
          <w:snapToGrid w:val="0"/>
          <w:szCs w:val="24"/>
          <w:lang w:val="en-GB"/>
        </w:rPr>
        <w:t xml:space="preserve"> The PBAC subsequently rejected </w:t>
      </w:r>
      <w:proofErr w:type="spellStart"/>
      <w:r>
        <w:rPr>
          <w:rFonts w:eastAsia="Times New Roman" w:cs="Arial"/>
          <w:bCs/>
          <w:snapToGrid w:val="0"/>
          <w:szCs w:val="24"/>
          <w:lang w:val="en-GB"/>
        </w:rPr>
        <w:t>lanreotide</w:t>
      </w:r>
      <w:proofErr w:type="spellEnd"/>
      <w:r>
        <w:rPr>
          <w:rFonts w:eastAsia="Times New Roman" w:cs="Arial"/>
          <w:bCs/>
          <w:snapToGrid w:val="0"/>
          <w:szCs w:val="24"/>
          <w:lang w:val="en-GB"/>
        </w:rPr>
        <w:t xml:space="preserve"> for listing in November 2016 </w:t>
      </w:r>
      <w:r w:rsidRPr="00833A17">
        <w:rPr>
          <w:rFonts w:eastAsia="Times New Roman" w:cs="Arial"/>
          <w:bCs/>
          <w:snapToGrid w:val="0"/>
          <w:szCs w:val="24"/>
          <w:lang w:val="en-GB"/>
        </w:rPr>
        <w:t>on the basis of uncertain and unacceptable cost-effectiveness at the price proposed by the sponsor</w:t>
      </w:r>
      <w:r>
        <w:rPr>
          <w:rFonts w:eastAsia="Times New Roman" w:cs="Arial"/>
          <w:bCs/>
          <w:snapToGrid w:val="0"/>
          <w:szCs w:val="24"/>
          <w:lang w:val="en-GB"/>
        </w:rPr>
        <w:t xml:space="preserve"> (November 2016</w:t>
      </w:r>
      <w:r w:rsidRPr="00833A17">
        <w:rPr>
          <w:rFonts w:eastAsia="Times New Roman" w:cs="Arial"/>
          <w:bCs/>
          <w:snapToGrid w:val="0"/>
          <w:szCs w:val="24"/>
          <w:lang w:val="en-GB"/>
        </w:rPr>
        <w:t xml:space="preserve"> </w:t>
      </w:r>
      <w:r>
        <w:rPr>
          <w:rFonts w:eastAsia="Times New Roman" w:cs="Arial"/>
          <w:bCs/>
          <w:snapToGrid w:val="0"/>
          <w:szCs w:val="24"/>
          <w:lang w:val="en-GB"/>
        </w:rPr>
        <w:t>PSD</w:t>
      </w:r>
      <w:r w:rsidRPr="00833A17">
        <w:rPr>
          <w:rFonts w:eastAsia="Times New Roman" w:cs="Arial"/>
          <w:bCs/>
          <w:snapToGrid w:val="0"/>
          <w:szCs w:val="24"/>
          <w:lang w:val="en-GB"/>
        </w:rPr>
        <w:t>, paragraph 7.1).</w:t>
      </w:r>
    </w:p>
    <w:p w:rsidR="00833A17" w:rsidRDefault="00CD6D00" w:rsidP="002557D4">
      <w:pPr>
        <w:pStyle w:val="ListParagraph"/>
        <w:numPr>
          <w:ilvl w:val="1"/>
          <w:numId w:val="3"/>
        </w:numPr>
        <w:spacing w:before="0" w:after="120"/>
        <w:ind w:left="567" w:hanging="567"/>
        <w:contextualSpacing w:val="0"/>
        <w:rPr>
          <w:rFonts w:eastAsia="Times New Roman" w:cs="Arial"/>
          <w:bCs/>
          <w:snapToGrid w:val="0"/>
          <w:szCs w:val="24"/>
          <w:lang w:val="en-GB"/>
        </w:rPr>
      </w:pPr>
      <w:r w:rsidRPr="00CD6D00">
        <w:rPr>
          <w:rFonts w:eastAsia="Times New Roman" w:cs="Arial"/>
          <w:bCs/>
          <w:snapToGrid w:val="0"/>
          <w:szCs w:val="24"/>
          <w:lang w:val="en-GB"/>
        </w:rPr>
        <w:t>The PBAC acknowledged and welcomed the many comments received from patients with non-functional GEP-NETs</w:t>
      </w:r>
      <w:r w:rsidR="004A6A66">
        <w:rPr>
          <w:rFonts w:eastAsia="Times New Roman" w:cs="Arial"/>
          <w:bCs/>
          <w:snapToGrid w:val="0"/>
          <w:szCs w:val="24"/>
          <w:lang w:val="en-GB"/>
        </w:rPr>
        <w:t xml:space="preserve"> and the Unicorn Foundation</w:t>
      </w:r>
      <w:r w:rsidR="009E0A11">
        <w:rPr>
          <w:rFonts w:eastAsia="Times New Roman" w:cs="Arial"/>
          <w:bCs/>
          <w:snapToGrid w:val="0"/>
          <w:szCs w:val="24"/>
          <w:lang w:val="en-GB"/>
        </w:rPr>
        <w:t xml:space="preserve"> and </w:t>
      </w:r>
      <w:r w:rsidR="00833A17">
        <w:rPr>
          <w:rFonts w:eastAsia="Times New Roman" w:cs="Arial"/>
          <w:bCs/>
          <w:snapToGrid w:val="0"/>
          <w:szCs w:val="24"/>
          <w:lang w:val="en-GB"/>
        </w:rPr>
        <w:t xml:space="preserve">recalled the meeting between representatives of the PBAC and the Unicorn Foundation prior to its November 2016 consideration of </w:t>
      </w:r>
      <w:proofErr w:type="spellStart"/>
      <w:r w:rsidR="00833A17">
        <w:rPr>
          <w:rFonts w:eastAsia="Times New Roman" w:cs="Arial"/>
          <w:bCs/>
          <w:snapToGrid w:val="0"/>
          <w:szCs w:val="24"/>
          <w:lang w:val="en-GB"/>
        </w:rPr>
        <w:t>lanreotide</w:t>
      </w:r>
      <w:proofErr w:type="spellEnd"/>
      <w:r w:rsidRPr="00CD6D00">
        <w:rPr>
          <w:rFonts w:eastAsia="Times New Roman" w:cs="Arial"/>
          <w:bCs/>
          <w:snapToGrid w:val="0"/>
          <w:szCs w:val="24"/>
          <w:lang w:val="en-GB"/>
        </w:rPr>
        <w:t>.</w:t>
      </w:r>
      <w:r w:rsidR="009E0A11" w:rsidRPr="002557D4">
        <w:rPr>
          <w:rFonts w:eastAsia="Times New Roman" w:cs="Arial"/>
          <w:bCs/>
          <w:snapToGrid w:val="0"/>
          <w:szCs w:val="24"/>
          <w:lang w:val="en-GB"/>
        </w:rPr>
        <w:t xml:space="preserve"> </w:t>
      </w:r>
      <w:r w:rsidR="009E0A11" w:rsidRPr="009E0A11">
        <w:rPr>
          <w:rFonts w:eastAsia="Times New Roman" w:cs="Arial"/>
          <w:bCs/>
          <w:snapToGrid w:val="0"/>
          <w:szCs w:val="24"/>
          <w:lang w:val="en-GB"/>
        </w:rPr>
        <w:t xml:space="preserve">The </w:t>
      </w:r>
      <w:r w:rsidR="009E0A11">
        <w:rPr>
          <w:rFonts w:eastAsia="Times New Roman" w:cs="Arial"/>
          <w:bCs/>
          <w:snapToGrid w:val="0"/>
          <w:szCs w:val="24"/>
          <w:lang w:val="en-GB"/>
        </w:rPr>
        <w:t xml:space="preserve">PBAC noted the </w:t>
      </w:r>
      <w:r w:rsidR="009E0A11" w:rsidRPr="009E0A11">
        <w:rPr>
          <w:rFonts w:eastAsia="Times New Roman" w:cs="Arial"/>
          <w:bCs/>
          <w:snapToGrid w:val="0"/>
          <w:szCs w:val="24"/>
          <w:lang w:val="en-GB"/>
        </w:rPr>
        <w:t xml:space="preserve">comments emphasised the clinical need </w:t>
      </w:r>
      <w:r w:rsidR="009E0A11">
        <w:rPr>
          <w:rFonts w:eastAsia="Times New Roman" w:cs="Arial"/>
          <w:bCs/>
          <w:snapToGrid w:val="0"/>
          <w:szCs w:val="24"/>
          <w:lang w:val="en-GB"/>
        </w:rPr>
        <w:t>for</w:t>
      </w:r>
      <w:r w:rsidR="009E0A11" w:rsidRPr="009E0A11">
        <w:rPr>
          <w:rFonts w:eastAsia="Times New Roman" w:cs="Arial"/>
          <w:bCs/>
          <w:snapToGrid w:val="0"/>
          <w:szCs w:val="24"/>
          <w:lang w:val="en-GB"/>
        </w:rPr>
        <w:t xml:space="preserve"> a treatment for this patient population and expressed that it is inequitable that </w:t>
      </w:r>
      <w:proofErr w:type="spellStart"/>
      <w:r w:rsidR="009E0A11" w:rsidRPr="009E0A11">
        <w:rPr>
          <w:rFonts w:eastAsia="Times New Roman" w:cs="Arial"/>
          <w:bCs/>
          <w:snapToGrid w:val="0"/>
          <w:szCs w:val="24"/>
          <w:lang w:val="en-GB"/>
        </w:rPr>
        <w:t>lanreotide</w:t>
      </w:r>
      <w:proofErr w:type="spellEnd"/>
      <w:r w:rsidR="009E0A11" w:rsidRPr="009E0A11">
        <w:rPr>
          <w:rFonts w:eastAsia="Times New Roman" w:cs="Arial"/>
          <w:bCs/>
          <w:snapToGrid w:val="0"/>
          <w:szCs w:val="24"/>
          <w:lang w:val="en-GB"/>
        </w:rPr>
        <w:t xml:space="preserve"> is PBS listed for the treatment of functional carcinoid tumours but not for non-functional GEP-NETs.</w:t>
      </w:r>
      <w:r w:rsidRPr="00CD6D00">
        <w:rPr>
          <w:rFonts w:eastAsia="Times New Roman" w:cs="Arial"/>
          <w:bCs/>
          <w:snapToGrid w:val="0"/>
          <w:szCs w:val="24"/>
          <w:lang w:val="en-GB"/>
        </w:rPr>
        <w:t xml:space="preserve"> The PBAC recognised there is strong support from consumers for subsidise</w:t>
      </w:r>
      <w:r w:rsidR="00833A17">
        <w:rPr>
          <w:rFonts w:eastAsia="Times New Roman" w:cs="Arial"/>
          <w:bCs/>
          <w:snapToGrid w:val="0"/>
          <w:szCs w:val="24"/>
          <w:lang w:val="en-GB"/>
        </w:rPr>
        <w:t>d</w:t>
      </w:r>
      <w:r w:rsidRPr="00CD6D00">
        <w:rPr>
          <w:rFonts w:eastAsia="Times New Roman" w:cs="Arial"/>
          <w:bCs/>
          <w:snapToGrid w:val="0"/>
          <w:szCs w:val="24"/>
          <w:lang w:val="en-GB"/>
        </w:rPr>
        <w:t xml:space="preserve"> access to </w:t>
      </w:r>
      <w:proofErr w:type="spellStart"/>
      <w:r w:rsidRPr="00CD6D00">
        <w:rPr>
          <w:rFonts w:eastAsia="Times New Roman" w:cs="Arial"/>
          <w:bCs/>
          <w:snapToGrid w:val="0"/>
          <w:szCs w:val="24"/>
          <w:lang w:val="en-GB"/>
        </w:rPr>
        <w:t>lanreotide</w:t>
      </w:r>
      <w:proofErr w:type="spellEnd"/>
      <w:r w:rsidRPr="00CD6D00">
        <w:rPr>
          <w:rFonts w:eastAsia="Times New Roman" w:cs="Arial"/>
          <w:bCs/>
          <w:snapToGrid w:val="0"/>
          <w:szCs w:val="24"/>
          <w:lang w:val="en-GB"/>
        </w:rPr>
        <w:t xml:space="preserve"> for this condition.</w:t>
      </w:r>
    </w:p>
    <w:p w:rsidR="003D1A40" w:rsidRDefault="003D1A40" w:rsidP="003C3270">
      <w:pPr>
        <w:numPr>
          <w:ilvl w:val="1"/>
          <w:numId w:val="3"/>
        </w:numPr>
        <w:spacing w:before="0" w:after="120"/>
        <w:ind w:left="567" w:hanging="567"/>
        <w:rPr>
          <w:rFonts w:eastAsia="Times New Roman" w:cs="Arial"/>
          <w:bCs/>
          <w:snapToGrid w:val="0"/>
          <w:szCs w:val="24"/>
          <w:lang w:val="en-GB"/>
        </w:rPr>
      </w:pPr>
      <w:r w:rsidRPr="004C2254">
        <w:rPr>
          <w:rFonts w:eastAsia="Times New Roman" w:cs="Arial"/>
          <w:bCs/>
          <w:snapToGrid w:val="0"/>
          <w:szCs w:val="24"/>
          <w:lang w:val="en-GB"/>
        </w:rPr>
        <w:t>The PBAC noted that in contrast to the November 2016 submission</w:t>
      </w:r>
      <w:r w:rsidR="00FE755C">
        <w:rPr>
          <w:rFonts w:eastAsia="Times New Roman" w:cs="Arial"/>
          <w:bCs/>
          <w:snapToGrid w:val="0"/>
          <w:szCs w:val="24"/>
          <w:lang w:val="en-GB"/>
        </w:rPr>
        <w:t>,</w:t>
      </w:r>
      <w:r w:rsidRPr="004C2254">
        <w:rPr>
          <w:rFonts w:eastAsia="Times New Roman" w:cs="Arial"/>
          <w:bCs/>
          <w:snapToGrid w:val="0"/>
          <w:szCs w:val="24"/>
          <w:lang w:val="en-GB"/>
        </w:rPr>
        <w:t xml:space="preserve"> which attempt</w:t>
      </w:r>
      <w:r w:rsidR="004A6A66">
        <w:rPr>
          <w:rFonts w:eastAsia="Times New Roman" w:cs="Arial"/>
          <w:bCs/>
          <w:snapToGrid w:val="0"/>
          <w:szCs w:val="24"/>
          <w:lang w:val="en-GB"/>
        </w:rPr>
        <w:t>ed</w:t>
      </w:r>
      <w:r w:rsidRPr="004C2254">
        <w:rPr>
          <w:rFonts w:eastAsia="Times New Roman" w:cs="Arial"/>
          <w:bCs/>
          <w:snapToGrid w:val="0"/>
          <w:szCs w:val="24"/>
          <w:lang w:val="en-GB"/>
        </w:rPr>
        <w:t xml:space="preserve"> to define the subgroup of patients who were less suitable for a watchful waiting approach, the current resubmission requested a listing for a broad population of patients with non-functional GEP-NETs. The PBAC recalled that it </w:t>
      </w:r>
      <w:r w:rsidR="00FE755C">
        <w:rPr>
          <w:rFonts w:eastAsia="Times New Roman" w:cs="Arial"/>
          <w:bCs/>
          <w:snapToGrid w:val="0"/>
          <w:szCs w:val="24"/>
          <w:lang w:val="en-GB"/>
        </w:rPr>
        <w:t xml:space="preserve">previously </w:t>
      </w:r>
      <w:r w:rsidRPr="004C2254">
        <w:rPr>
          <w:rFonts w:eastAsia="Times New Roman" w:cs="Arial"/>
          <w:bCs/>
          <w:snapToGrid w:val="0"/>
          <w:szCs w:val="24"/>
          <w:lang w:val="en-GB"/>
        </w:rPr>
        <w:t xml:space="preserve">considered there was a clinical place for </w:t>
      </w:r>
      <w:proofErr w:type="spellStart"/>
      <w:r w:rsidRPr="004C2254">
        <w:rPr>
          <w:rFonts w:eastAsia="Times New Roman" w:cs="Arial"/>
          <w:bCs/>
          <w:snapToGrid w:val="0"/>
          <w:szCs w:val="24"/>
          <w:lang w:val="en-GB"/>
        </w:rPr>
        <w:t>lanreotide</w:t>
      </w:r>
      <w:proofErr w:type="spellEnd"/>
      <w:r w:rsidRPr="004C2254">
        <w:rPr>
          <w:rFonts w:eastAsia="Times New Roman" w:cs="Arial"/>
          <w:bCs/>
          <w:snapToGrid w:val="0"/>
          <w:szCs w:val="24"/>
          <w:lang w:val="en-GB"/>
        </w:rPr>
        <w:t xml:space="preserve"> in a small, well</w:t>
      </w:r>
      <w:r w:rsidR="006E1AC2">
        <w:rPr>
          <w:rFonts w:eastAsia="Times New Roman" w:cs="Arial"/>
          <w:bCs/>
          <w:snapToGrid w:val="0"/>
          <w:szCs w:val="24"/>
          <w:lang w:val="en-GB"/>
        </w:rPr>
        <w:t>-</w:t>
      </w:r>
      <w:r w:rsidRPr="004C2254">
        <w:rPr>
          <w:rFonts w:eastAsia="Times New Roman" w:cs="Arial"/>
          <w:bCs/>
          <w:snapToGrid w:val="0"/>
          <w:szCs w:val="24"/>
          <w:lang w:val="en-GB"/>
        </w:rPr>
        <w:t>selected patient population</w:t>
      </w:r>
      <w:r w:rsidR="00FE755C">
        <w:rPr>
          <w:rFonts w:eastAsia="Times New Roman" w:cs="Arial"/>
          <w:bCs/>
          <w:snapToGrid w:val="0"/>
          <w:szCs w:val="24"/>
          <w:lang w:val="en-GB"/>
        </w:rPr>
        <w:t xml:space="preserve"> but that</w:t>
      </w:r>
      <w:r w:rsidRPr="004C2254">
        <w:rPr>
          <w:rFonts w:eastAsia="Times New Roman" w:cs="Arial"/>
          <w:bCs/>
          <w:snapToGrid w:val="0"/>
          <w:szCs w:val="24"/>
          <w:lang w:val="en-GB"/>
        </w:rPr>
        <w:t xml:space="preserve"> it was not possible to identify </w:t>
      </w:r>
      <w:r w:rsidR="00BF31EB">
        <w:rPr>
          <w:rFonts w:eastAsia="Times New Roman" w:cs="Arial"/>
          <w:bCs/>
          <w:snapToGrid w:val="0"/>
          <w:szCs w:val="24"/>
          <w:lang w:val="en-GB"/>
        </w:rPr>
        <w:t xml:space="preserve">the </w:t>
      </w:r>
      <w:r w:rsidRPr="004C2254">
        <w:rPr>
          <w:rFonts w:eastAsia="Times New Roman" w:cs="Arial"/>
          <w:bCs/>
          <w:snapToGrid w:val="0"/>
          <w:szCs w:val="24"/>
          <w:lang w:val="en-GB"/>
        </w:rPr>
        <w:t xml:space="preserve">patients most suitable for treatment with </w:t>
      </w:r>
      <w:proofErr w:type="spellStart"/>
      <w:r w:rsidRPr="004C2254">
        <w:rPr>
          <w:rFonts w:eastAsia="Times New Roman" w:cs="Arial"/>
          <w:bCs/>
          <w:snapToGrid w:val="0"/>
          <w:szCs w:val="24"/>
          <w:lang w:val="en-GB"/>
        </w:rPr>
        <w:t>lanreotide</w:t>
      </w:r>
      <w:proofErr w:type="spellEnd"/>
      <w:r w:rsidRPr="004C2254">
        <w:rPr>
          <w:rFonts w:eastAsia="Times New Roman" w:cs="Arial"/>
          <w:bCs/>
          <w:snapToGrid w:val="0"/>
          <w:szCs w:val="24"/>
          <w:lang w:val="en-GB"/>
        </w:rPr>
        <w:t xml:space="preserve"> for non-functional GEP-NETs </w:t>
      </w:r>
      <w:r w:rsidR="000735FC">
        <w:rPr>
          <w:rFonts w:eastAsia="Times New Roman" w:cs="Arial"/>
          <w:bCs/>
          <w:snapToGrid w:val="0"/>
          <w:szCs w:val="24"/>
          <w:lang w:val="en-GB"/>
        </w:rPr>
        <w:t xml:space="preserve">based on biomarkers or symptoms. For this reason, the PBAC agreed that the restrictions should not be used to precisely define the patients suitable for treatment and therefore considered the intention of the proposed restriction was appropriate. </w:t>
      </w:r>
    </w:p>
    <w:p w:rsidR="00710E2B" w:rsidRDefault="00710E2B" w:rsidP="00CD4AE0">
      <w:pPr>
        <w:numPr>
          <w:ilvl w:val="1"/>
          <w:numId w:val="3"/>
        </w:numPr>
        <w:spacing w:before="0" w:after="120"/>
        <w:ind w:left="567" w:hanging="567"/>
        <w:rPr>
          <w:rFonts w:eastAsia="Times New Roman" w:cs="Arial"/>
          <w:bCs/>
          <w:snapToGrid w:val="0"/>
          <w:szCs w:val="24"/>
          <w:lang w:val="en-GB"/>
        </w:rPr>
      </w:pPr>
      <w:r w:rsidRPr="003D1A40">
        <w:rPr>
          <w:rFonts w:eastAsia="Times New Roman" w:cs="Arial"/>
          <w:bCs/>
          <w:snapToGrid w:val="0"/>
          <w:szCs w:val="24"/>
          <w:lang w:val="en-GB"/>
        </w:rPr>
        <w:t xml:space="preserve">The PBAC reiterated that placebo was the appropriate comparator for establishing </w:t>
      </w:r>
      <w:r w:rsidR="00C556BD">
        <w:rPr>
          <w:rFonts w:eastAsia="Times New Roman" w:cs="Arial"/>
          <w:bCs/>
          <w:snapToGrid w:val="0"/>
          <w:szCs w:val="24"/>
          <w:lang w:val="en-GB"/>
        </w:rPr>
        <w:t xml:space="preserve">the </w:t>
      </w:r>
      <w:r w:rsidRPr="003D1A40">
        <w:rPr>
          <w:rFonts w:eastAsia="Times New Roman" w:cs="Arial"/>
          <w:bCs/>
          <w:snapToGrid w:val="0"/>
          <w:szCs w:val="24"/>
          <w:lang w:val="en-GB"/>
        </w:rPr>
        <w:t>clinical and cost</w:t>
      </w:r>
      <w:r w:rsidR="003D4A48">
        <w:rPr>
          <w:rFonts w:eastAsia="Times New Roman" w:cs="Arial"/>
          <w:bCs/>
          <w:snapToGrid w:val="0"/>
          <w:szCs w:val="24"/>
          <w:lang w:val="en-GB"/>
        </w:rPr>
        <w:t>-</w:t>
      </w:r>
      <w:r w:rsidRPr="003D1A40">
        <w:rPr>
          <w:rFonts w:eastAsia="Times New Roman" w:cs="Arial"/>
          <w:bCs/>
          <w:snapToGrid w:val="0"/>
          <w:szCs w:val="24"/>
          <w:lang w:val="en-GB"/>
        </w:rPr>
        <w:t xml:space="preserve">effectiveness of </w:t>
      </w:r>
      <w:proofErr w:type="spellStart"/>
      <w:r w:rsidRPr="003D1A40">
        <w:rPr>
          <w:rFonts w:eastAsia="Times New Roman" w:cs="Arial"/>
          <w:bCs/>
          <w:snapToGrid w:val="0"/>
          <w:szCs w:val="24"/>
          <w:lang w:val="en-GB"/>
        </w:rPr>
        <w:t>lanreotide</w:t>
      </w:r>
      <w:proofErr w:type="spellEnd"/>
      <w:r w:rsidRPr="003D1A40">
        <w:rPr>
          <w:rFonts w:eastAsia="Times New Roman" w:cs="Arial"/>
          <w:bCs/>
          <w:snapToGrid w:val="0"/>
          <w:szCs w:val="24"/>
          <w:lang w:val="en-GB"/>
        </w:rPr>
        <w:t xml:space="preserve"> for </w:t>
      </w:r>
      <w:r w:rsidR="00C556BD">
        <w:rPr>
          <w:rFonts w:eastAsia="Times New Roman" w:cs="Arial"/>
          <w:bCs/>
          <w:snapToGrid w:val="0"/>
          <w:szCs w:val="24"/>
          <w:lang w:val="en-GB"/>
        </w:rPr>
        <w:t xml:space="preserve">first-line </w:t>
      </w:r>
      <w:r w:rsidRPr="003D1A40">
        <w:rPr>
          <w:rFonts w:eastAsia="Times New Roman" w:cs="Arial"/>
          <w:bCs/>
          <w:snapToGrid w:val="0"/>
          <w:szCs w:val="24"/>
          <w:lang w:val="en-GB"/>
        </w:rPr>
        <w:t>treatment of non-functional GEP</w:t>
      </w:r>
      <w:r w:rsidR="00BF31EB">
        <w:rPr>
          <w:rFonts w:eastAsia="Times New Roman" w:cs="Arial"/>
          <w:bCs/>
          <w:snapToGrid w:val="0"/>
          <w:szCs w:val="24"/>
          <w:lang w:val="en-GB"/>
        </w:rPr>
        <w:noBreakHyphen/>
      </w:r>
      <w:r w:rsidRPr="003D1A40">
        <w:rPr>
          <w:rFonts w:eastAsia="Times New Roman" w:cs="Arial"/>
          <w:bCs/>
          <w:snapToGrid w:val="0"/>
          <w:szCs w:val="24"/>
          <w:lang w:val="en-GB"/>
        </w:rPr>
        <w:t>NETs.</w:t>
      </w:r>
      <w:r w:rsidR="00CD4AE0">
        <w:rPr>
          <w:rFonts w:eastAsia="Times New Roman" w:cs="Arial"/>
          <w:bCs/>
          <w:snapToGrid w:val="0"/>
          <w:szCs w:val="24"/>
          <w:lang w:val="en-GB"/>
        </w:rPr>
        <w:t xml:space="preserve"> The PBAC noted that as per the two previous submissions, the current </w:t>
      </w:r>
      <w:r w:rsidR="00CD4AE0" w:rsidRPr="00CD4AE0">
        <w:rPr>
          <w:rFonts w:eastAsia="Times New Roman" w:cs="Arial"/>
          <w:bCs/>
          <w:snapToGrid w:val="0"/>
          <w:szCs w:val="24"/>
          <w:lang w:val="en-GB"/>
        </w:rPr>
        <w:t xml:space="preserve">resubmission </w:t>
      </w:r>
      <w:r w:rsidR="00CD4AE0">
        <w:rPr>
          <w:rFonts w:eastAsia="Times New Roman" w:cs="Arial"/>
          <w:bCs/>
          <w:snapToGrid w:val="0"/>
          <w:szCs w:val="24"/>
          <w:lang w:val="en-GB"/>
        </w:rPr>
        <w:t xml:space="preserve">inappropriately </w:t>
      </w:r>
      <w:r w:rsidR="00CD4AE0" w:rsidRPr="00CD4AE0">
        <w:rPr>
          <w:rFonts w:eastAsia="Times New Roman" w:cs="Arial"/>
          <w:bCs/>
          <w:snapToGrid w:val="0"/>
          <w:szCs w:val="24"/>
          <w:lang w:val="en-GB"/>
        </w:rPr>
        <w:t>did not nominate a comparator in the second-line/post-progression setting</w:t>
      </w:r>
      <w:r w:rsidR="00CD4AE0">
        <w:rPr>
          <w:rFonts w:eastAsia="Times New Roman" w:cs="Arial"/>
          <w:bCs/>
          <w:snapToGrid w:val="0"/>
          <w:szCs w:val="24"/>
          <w:lang w:val="en-GB"/>
        </w:rPr>
        <w:t>.</w:t>
      </w:r>
    </w:p>
    <w:p w:rsidR="007A5C2A" w:rsidRDefault="007A5C2A" w:rsidP="007A5C2A">
      <w:pPr>
        <w:spacing w:before="0" w:after="120"/>
        <w:ind w:left="567"/>
        <w:rPr>
          <w:rFonts w:eastAsia="Times New Roman" w:cs="Arial"/>
          <w:bCs/>
          <w:snapToGrid w:val="0"/>
          <w:szCs w:val="24"/>
          <w:lang w:val="en-GB"/>
        </w:rPr>
      </w:pPr>
    </w:p>
    <w:p w:rsidR="000D4801" w:rsidRDefault="001B07A2" w:rsidP="002557D4">
      <w:pPr>
        <w:pStyle w:val="ListParagraph"/>
        <w:numPr>
          <w:ilvl w:val="1"/>
          <w:numId w:val="3"/>
        </w:numPr>
        <w:spacing w:before="0" w:after="120"/>
        <w:ind w:left="567" w:hanging="567"/>
        <w:contextualSpacing w:val="0"/>
        <w:rPr>
          <w:rFonts w:eastAsia="Times New Roman" w:cs="Arial"/>
          <w:bCs/>
          <w:snapToGrid w:val="0"/>
          <w:szCs w:val="24"/>
          <w:lang w:val="en-GB"/>
        </w:rPr>
      </w:pPr>
      <w:r w:rsidRPr="006836CA">
        <w:rPr>
          <w:rFonts w:eastAsia="Times New Roman" w:cs="Arial"/>
          <w:bCs/>
          <w:snapToGrid w:val="0"/>
          <w:szCs w:val="24"/>
          <w:lang w:val="en-GB"/>
        </w:rPr>
        <w:t xml:space="preserve">The PBAC noted that </w:t>
      </w:r>
      <w:r w:rsidR="001D7EC1" w:rsidRPr="006836CA">
        <w:rPr>
          <w:rFonts w:eastAsia="Times New Roman" w:cs="Arial"/>
          <w:bCs/>
          <w:snapToGrid w:val="0"/>
          <w:szCs w:val="24"/>
          <w:lang w:val="en-GB"/>
        </w:rPr>
        <w:t>the resubmission presented the same clinical evidence from the November 2016</w:t>
      </w:r>
      <w:r w:rsidR="006836CA" w:rsidRPr="006836CA">
        <w:rPr>
          <w:rFonts w:eastAsia="Times New Roman" w:cs="Arial"/>
          <w:bCs/>
          <w:snapToGrid w:val="0"/>
          <w:szCs w:val="24"/>
          <w:lang w:val="en-GB"/>
        </w:rPr>
        <w:t xml:space="preserve"> and November 2015</w:t>
      </w:r>
      <w:r w:rsidR="001D7EC1" w:rsidRPr="006836CA">
        <w:rPr>
          <w:rFonts w:eastAsia="Times New Roman" w:cs="Arial"/>
          <w:bCs/>
          <w:snapToGrid w:val="0"/>
          <w:szCs w:val="24"/>
          <w:lang w:val="en-GB"/>
        </w:rPr>
        <w:t xml:space="preserve"> </w:t>
      </w:r>
      <w:r w:rsidR="006836CA" w:rsidRPr="006836CA">
        <w:rPr>
          <w:rFonts w:eastAsia="Times New Roman" w:cs="Arial"/>
          <w:bCs/>
          <w:snapToGrid w:val="0"/>
          <w:szCs w:val="24"/>
          <w:lang w:val="en-GB"/>
        </w:rPr>
        <w:t>(re)</w:t>
      </w:r>
      <w:r w:rsidR="001D7EC1" w:rsidRPr="006836CA">
        <w:rPr>
          <w:rFonts w:eastAsia="Times New Roman" w:cs="Arial"/>
          <w:bCs/>
          <w:snapToGrid w:val="0"/>
          <w:szCs w:val="24"/>
          <w:lang w:val="en-GB"/>
        </w:rPr>
        <w:t>submission</w:t>
      </w:r>
      <w:r w:rsidR="006836CA" w:rsidRPr="006836CA">
        <w:rPr>
          <w:rFonts w:eastAsia="Times New Roman" w:cs="Arial"/>
          <w:bCs/>
          <w:snapToGrid w:val="0"/>
          <w:szCs w:val="24"/>
          <w:lang w:val="en-GB"/>
        </w:rPr>
        <w:t>s</w:t>
      </w:r>
      <w:r w:rsidR="001D7EC1" w:rsidRPr="006836CA">
        <w:rPr>
          <w:rFonts w:eastAsia="Times New Roman" w:cs="Arial"/>
          <w:bCs/>
          <w:snapToGrid w:val="0"/>
          <w:szCs w:val="24"/>
          <w:lang w:val="en-GB"/>
        </w:rPr>
        <w:t xml:space="preserve">: one head-to-head trial comparing </w:t>
      </w:r>
      <w:proofErr w:type="spellStart"/>
      <w:r w:rsidR="001D7EC1" w:rsidRPr="006836CA">
        <w:rPr>
          <w:rFonts w:eastAsia="Times New Roman" w:cs="Arial"/>
          <w:bCs/>
          <w:snapToGrid w:val="0"/>
          <w:szCs w:val="24"/>
          <w:lang w:val="en-GB"/>
        </w:rPr>
        <w:t>lanreotide</w:t>
      </w:r>
      <w:proofErr w:type="spellEnd"/>
      <w:r w:rsidR="001D7EC1" w:rsidRPr="006836CA">
        <w:rPr>
          <w:rFonts w:eastAsia="Times New Roman" w:cs="Arial"/>
          <w:bCs/>
          <w:snapToGrid w:val="0"/>
          <w:szCs w:val="24"/>
          <w:lang w:val="en-GB"/>
        </w:rPr>
        <w:t xml:space="preserve"> to placebo in patients with non-functional GEP-NETs (CLARINET, n=204) </w:t>
      </w:r>
      <w:r w:rsidR="006836CA" w:rsidRPr="006836CA">
        <w:rPr>
          <w:rFonts w:eastAsia="Times New Roman" w:cs="Arial"/>
          <w:bCs/>
          <w:snapToGrid w:val="0"/>
          <w:szCs w:val="24"/>
          <w:lang w:val="en-GB"/>
        </w:rPr>
        <w:t xml:space="preserve">with </w:t>
      </w:r>
      <w:r w:rsidR="00DD28FE" w:rsidRPr="006836CA">
        <w:rPr>
          <w:rFonts w:eastAsia="Times New Roman" w:cs="Arial"/>
          <w:bCs/>
          <w:snapToGrid w:val="0"/>
          <w:szCs w:val="24"/>
          <w:lang w:val="en-GB"/>
        </w:rPr>
        <w:t xml:space="preserve">additional longer-term data from the CLARINET open-label extension study (Study 729). </w:t>
      </w:r>
      <w:r w:rsidR="006836CA" w:rsidRPr="006836CA">
        <w:rPr>
          <w:rFonts w:eastAsia="Times New Roman" w:cs="Arial"/>
          <w:bCs/>
          <w:snapToGrid w:val="0"/>
          <w:szCs w:val="24"/>
          <w:lang w:val="en-GB"/>
        </w:rPr>
        <w:t xml:space="preserve">The PBAC recalled that the clinical data from the CLARINET trial did not support a difference in OS between treatment arms </w:t>
      </w:r>
      <w:r w:rsidR="004C2254" w:rsidRPr="004C2254">
        <w:rPr>
          <w:rFonts w:eastAsia="Times New Roman" w:cs="Arial"/>
          <w:bCs/>
          <w:snapToGrid w:val="0"/>
          <w:szCs w:val="24"/>
          <w:lang w:val="en-GB"/>
        </w:rPr>
        <w:t xml:space="preserve">(HR 1.05, 95% CI 0.55, 2.03; favouring placebo). </w:t>
      </w:r>
      <w:r w:rsidR="000D4801">
        <w:rPr>
          <w:rFonts w:eastAsia="Times New Roman" w:cs="Arial"/>
          <w:bCs/>
          <w:snapToGrid w:val="0"/>
          <w:szCs w:val="24"/>
          <w:lang w:val="en-GB"/>
        </w:rPr>
        <w:t>However,</w:t>
      </w:r>
      <w:r w:rsidR="009D316F">
        <w:rPr>
          <w:rFonts w:eastAsia="Times New Roman" w:cs="Arial"/>
          <w:bCs/>
          <w:snapToGrid w:val="0"/>
          <w:szCs w:val="24"/>
          <w:lang w:val="en-GB"/>
        </w:rPr>
        <w:t xml:space="preserve"> </w:t>
      </w:r>
      <w:proofErr w:type="spellStart"/>
      <w:r w:rsidR="009D316F">
        <w:rPr>
          <w:rFonts w:eastAsia="Times New Roman" w:cs="Arial"/>
          <w:bCs/>
          <w:snapToGrid w:val="0"/>
          <w:szCs w:val="24"/>
          <w:lang w:val="en-GB"/>
        </w:rPr>
        <w:t>lanreotide</w:t>
      </w:r>
      <w:proofErr w:type="spellEnd"/>
      <w:r w:rsidR="009D316F">
        <w:rPr>
          <w:rFonts w:eastAsia="Times New Roman" w:cs="Arial"/>
          <w:bCs/>
          <w:snapToGrid w:val="0"/>
          <w:szCs w:val="24"/>
          <w:lang w:val="en-GB"/>
        </w:rPr>
        <w:t xml:space="preserve"> was associated with a statistically significant increase in PFS compared with placebo (HR 0.47, 95% CI 0.30, 0.73).</w:t>
      </w:r>
      <w:r w:rsidR="0094519E">
        <w:rPr>
          <w:rFonts w:eastAsia="Times New Roman" w:cs="Arial"/>
          <w:bCs/>
          <w:snapToGrid w:val="0"/>
          <w:szCs w:val="24"/>
          <w:lang w:val="en-GB"/>
        </w:rPr>
        <w:t xml:space="preserve"> </w:t>
      </w:r>
    </w:p>
    <w:p w:rsidR="00743A73" w:rsidRPr="005A5888" w:rsidRDefault="00426325" w:rsidP="002557D4">
      <w:pPr>
        <w:numPr>
          <w:ilvl w:val="1"/>
          <w:numId w:val="3"/>
        </w:numPr>
        <w:spacing w:before="0" w:after="120"/>
        <w:ind w:left="567" w:hanging="567"/>
        <w:rPr>
          <w:rFonts w:eastAsia="Times New Roman" w:cs="Arial"/>
          <w:bCs/>
          <w:snapToGrid w:val="0"/>
          <w:szCs w:val="24"/>
          <w:lang w:val="en-GB"/>
        </w:rPr>
      </w:pPr>
      <w:r w:rsidRPr="0094519E">
        <w:rPr>
          <w:rFonts w:eastAsia="Times New Roman" w:cs="Arial"/>
          <w:bCs/>
          <w:snapToGrid w:val="0"/>
          <w:szCs w:val="24"/>
          <w:lang w:val="en-GB"/>
        </w:rPr>
        <w:t xml:space="preserve">The PBAC </w:t>
      </w:r>
      <w:r w:rsidR="001D1B9E">
        <w:rPr>
          <w:rFonts w:eastAsia="Times New Roman" w:cs="Arial"/>
          <w:bCs/>
          <w:snapToGrid w:val="0"/>
          <w:szCs w:val="24"/>
          <w:lang w:val="en-GB"/>
        </w:rPr>
        <w:t>reiterated</w:t>
      </w:r>
      <w:r w:rsidR="001D1B9E" w:rsidRPr="0094519E">
        <w:rPr>
          <w:rFonts w:eastAsia="Times New Roman" w:cs="Arial"/>
          <w:bCs/>
          <w:snapToGrid w:val="0"/>
          <w:szCs w:val="24"/>
          <w:lang w:val="en-GB"/>
        </w:rPr>
        <w:t xml:space="preserve"> </w:t>
      </w:r>
      <w:r w:rsidRPr="0094519E">
        <w:rPr>
          <w:rFonts w:eastAsia="Times New Roman" w:cs="Arial"/>
          <w:bCs/>
          <w:snapToGrid w:val="0"/>
          <w:szCs w:val="24"/>
          <w:lang w:val="en-GB"/>
        </w:rPr>
        <w:t xml:space="preserve">that while </w:t>
      </w:r>
      <w:r w:rsidR="000D4801">
        <w:rPr>
          <w:rFonts w:eastAsia="Times New Roman" w:cs="Arial"/>
          <w:bCs/>
          <w:snapToGrid w:val="0"/>
          <w:szCs w:val="24"/>
          <w:lang w:val="en-GB"/>
        </w:rPr>
        <w:t xml:space="preserve">patients with </w:t>
      </w:r>
      <w:r w:rsidR="005B1E6C" w:rsidRPr="0094519E">
        <w:rPr>
          <w:rFonts w:eastAsia="Times New Roman" w:cs="Arial"/>
          <w:bCs/>
          <w:snapToGrid w:val="0"/>
          <w:szCs w:val="24"/>
          <w:lang w:val="en-GB"/>
        </w:rPr>
        <w:t>non-functional GEP</w:t>
      </w:r>
      <w:r w:rsidR="008F1A07">
        <w:rPr>
          <w:rFonts w:eastAsia="Times New Roman" w:cs="Arial"/>
          <w:bCs/>
          <w:snapToGrid w:val="0"/>
          <w:szCs w:val="24"/>
          <w:lang w:val="en-GB"/>
        </w:rPr>
        <w:noBreakHyphen/>
      </w:r>
      <w:r w:rsidR="005B1E6C" w:rsidRPr="0094519E">
        <w:rPr>
          <w:rFonts w:eastAsia="Times New Roman" w:cs="Arial"/>
          <w:bCs/>
          <w:snapToGrid w:val="0"/>
          <w:szCs w:val="24"/>
          <w:lang w:val="en-GB"/>
        </w:rPr>
        <w:t xml:space="preserve">NETs </w:t>
      </w:r>
      <w:r w:rsidR="000D4801">
        <w:rPr>
          <w:rFonts w:eastAsia="Times New Roman" w:cs="Arial"/>
          <w:bCs/>
          <w:snapToGrid w:val="0"/>
          <w:szCs w:val="24"/>
          <w:lang w:val="en-GB"/>
        </w:rPr>
        <w:t>may experience</w:t>
      </w:r>
      <w:r w:rsidR="000D4801" w:rsidRPr="0094519E">
        <w:rPr>
          <w:rFonts w:eastAsia="Times New Roman" w:cs="Arial"/>
          <w:bCs/>
          <w:snapToGrid w:val="0"/>
          <w:szCs w:val="24"/>
          <w:lang w:val="en-GB"/>
        </w:rPr>
        <w:t xml:space="preserve"> </w:t>
      </w:r>
      <w:r w:rsidR="000D4801">
        <w:rPr>
          <w:rFonts w:eastAsia="Times New Roman" w:cs="Arial"/>
          <w:bCs/>
          <w:snapToGrid w:val="0"/>
          <w:szCs w:val="24"/>
          <w:lang w:val="en-GB"/>
        </w:rPr>
        <w:t xml:space="preserve">non-hormonal </w:t>
      </w:r>
      <w:r w:rsidR="005B1E6C" w:rsidRPr="0094519E">
        <w:rPr>
          <w:rFonts w:eastAsia="Times New Roman" w:cs="Arial"/>
          <w:bCs/>
          <w:snapToGrid w:val="0"/>
          <w:szCs w:val="24"/>
          <w:lang w:val="en-GB"/>
        </w:rPr>
        <w:t>symptoms,</w:t>
      </w:r>
      <w:r w:rsidR="00E24E4F" w:rsidRPr="0094519E">
        <w:rPr>
          <w:rFonts w:eastAsia="Times New Roman" w:cs="Arial"/>
          <w:bCs/>
          <w:snapToGrid w:val="0"/>
          <w:szCs w:val="24"/>
          <w:lang w:val="en-GB"/>
        </w:rPr>
        <w:t xml:space="preserve"> the clinical significance of the gain in PFS was unclear</w:t>
      </w:r>
      <w:r w:rsidR="0094519E" w:rsidRPr="0094519E">
        <w:rPr>
          <w:rFonts w:eastAsia="Times New Roman" w:cs="Arial"/>
          <w:bCs/>
          <w:snapToGrid w:val="0"/>
          <w:szCs w:val="24"/>
          <w:lang w:val="en-GB"/>
        </w:rPr>
        <w:t xml:space="preserve"> </w:t>
      </w:r>
      <w:r w:rsidR="000D4801">
        <w:rPr>
          <w:rFonts w:eastAsia="Times New Roman" w:cs="Arial"/>
          <w:bCs/>
          <w:snapToGrid w:val="0"/>
          <w:szCs w:val="24"/>
          <w:lang w:val="en-GB"/>
        </w:rPr>
        <w:t xml:space="preserve">as </w:t>
      </w:r>
      <w:r w:rsidR="0094519E" w:rsidRPr="0094519E">
        <w:rPr>
          <w:rFonts w:eastAsia="Times New Roman" w:cs="Arial"/>
          <w:bCs/>
          <w:snapToGrid w:val="0"/>
          <w:szCs w:val="24"/>
          <w:lang w:val="en-GB"/>
        </w:rPr>
        <w:t xml:space="preserve">radiologic progression assessed in the trial </w:t>
      </w:r>
      <w:r w:rsidR="000D4801">
        <w:rPr>
          <w:rFonts w:eastAsia="Times New Roman" w:cs="Arial"/>
          <w:bCs/>
          <w:snapToGrid w:val="0"/>
          <w:szCs w:val="24"/>
          <w:lang w:val="en-GB"/>
        </w:rPr>
        <w:t xml:space="preserve">may not </w:t>
      </w:r>
      <w:r w:rsidR="0094519E" w:rsidRPr="0094519E">
        <w:rPr>
          <w:rFonts w:eastAsia="Times New Roman" w:cs="Arial"/>
          <w:bCs/>
          <w:snapToGrid w:val="0"/>
          <w:szCs w:val="24"/>
          <w:lang w:val="en-GB"/>
        </w:rPr>
        <w:t xml:space="preserve">necessarily </w:t>
      </w:r>
      <w:r w:rsidR="000D4801">
        <w:rPr>
          <w:rFonts w:eastAsia="Times New Roman" w:cs="Arial"/>
          <w:bCs/>
          <w:snapToGrid w:val="0"/>
          <w:szCs w:val="24"/>
          <w:lang w:val="en-GB"/>
        </w:rPr>
        <w:t xml:space="preserve">be </w:t>
      </w:r>
      <w:r w:rsidR="00A944EC">
        <w:rPr>
          <w:rFonts w:eastAsia="Times New Roman" w:cs="Arial"/>
          <w:bCs/>
          <w:snapToGrid w:val="0"/>
          <w:szCs w:val="24"/>
          <w:lang w:val="en-GB"/>
        </w:rPr>
        <w:t xml:space="preserve">directly </w:t>
      </w:r>
      <w:r w:rsidR="0094519E" w:rsidRPr="0094519E">
        <w:rPr>
          <w:rFonts w:eastAsia="Times New Roman" w:cs="Arial"/>
          <w:bCs/>
          <w:snapToGrid w:val="0"/>
          <w:szCs w:val="24"/>
          <w:lang w:val="en-GB"/>
        </w:rPr>
        <w:t>associated with a change in clinical symptoms</w:t>
      </w:r>
      <w:r w:rsidR="000D4801">
        <w:rPr>
          <w:rFonts w:eastAsia="Times New Roman" w:cs="Arial"/>
          <w:bCs/>
          <w:snapToGrid w:val="0"/>
          <w:szCs w:val="24"/>
          <w:lang w:val="en-GB"/>
        </w:rPr>
        <w:t xml:space="preserve">. In this regard, the PBAC recalled that </w:t>
      </w:r>
      <w:r w:rsidR="00E6149C">
        <w:rPr>
          <w:rFonts w:eastAsia="Times New Roman" w:cs="Arial"/>
          <w:bCs/>
          <w:snapToGrid w:val="0"/>
          <w:szCs w:val="24"/>
          <w:lang w:val="en-GB"/>
        </w:rPr>
        <w:t>there were no statistically significant differences in quality of life change</w:t>
      </w:r>
      <w:r w:rsidR="003D4BA6">
        <w:rPr>
          <w:rFonts w:eastAsia="Times New Roman" w:cs="Arial"/>
          <w:bCs/>
          <w:snapToGrid w:val="0"/>
          <w:szCs w:val="24"/>
          <w:lang w:val="en-GB"/>
        </w:rPr>
        <w:t xml:space="preserve"> </w:t>
      </w:r>
      <w:r w:rsidR="008A316E">
        <w:rPr>
          <w:rFonts w:eastAsia="Times New Roman" w:cs="Arial"/>
          <w:bCs/>
          <w:snapToGrid w:val="0"/>
          <w:szCs w:val="24"/>
          <w:lang w:val="en-GB"/>
        </w:rPr>
        <w:t xml:space="preserve">from baseline </w:t>
      </w:r>
      <w:r w:rsidR="00E6149C">
        <w:rPr>
          <w:rFonts w:eastAsia="Times New Roman" w:cs="Arial"/>
          <w:bCs/>
          <w:snapToGrid w:val="0"/>
          <w:szCs w:val="24"/>
          <w:lang w:val="en-GB"/>
        </w:rPr>
        <w:t xml:space="preserve">between </w:t>
      </w:r>
      <w:proofErr w:type="spellStart"/>
      <w:r w:rsidR="00E6149C">
        <w:rPr>
          <w:rFonts w:eastAsia="Times New Roman" w:cs="Arial"/>
          <w:bCs/>
          <w:snapToGrid w:val="0"/>
          <w:szCs w:val="24"/>
          <w:lang w:val="en-GB"/>
        </w:rPr>
        <w:t>lanreotide</w:t>
      </w:r>
      <w:proofErr w:type="spellEnd"/>
      <w:r w:rsidR="00E6149C">
        <w:rPr>
          <w:rFonts w:eastAsia="Times New Roman" w:cs="Arial"/>
          <w:bCs/>
          <w:snapToGrid w:val="0"/>
          <w:szCs w:val="24"/>
          <w:lang w:val="en-GB"/>
        </w:rPr>
        <w:t xml:space="preserve"> and placebo</w:t>
      </w:r>
      <w:r w:rsidR="008A316E">
        <w:rPr>
          <w:rFonts w:eastAsia="Times New Roman" w:cs="Arial"/>
          <w:bCs/>
          <w:snapToGrid w:val="0"/>
          <w:szCs w:val="24"/>
          <w:lang w:val="en-GB"/>
        </w:rPr>
        <w:t xml:space="preserve"> </w:t>
      </w:r>
      <w:r w:rsidR="008A316E" w:rsidRPr="008A316E">
        <w:rPr>
          <w:rFonts w:eastAsia="Times New Roman" w:cs="Arial"/>
          <w:bCs/>
          <w:snapToGrid w:val="0"/>
          <w:szCs w:val="24"/>
          <w:lang w:val="en-GB"/>
        </w:rPr>
        <w:t>(</w:t>
      </w:r>
      <w:proofErr w:type="spellStart"/>
      <w:r w:rsidR="008A316E" w:rsidRPr="008A316E">
        <w:rPr>
          <w:rFonts w:eastAsia="Times New Roman" w:cs="Arial"/>
          <w:bCs/>
          <w:snapToGrid w:val="0"/>
          <w:szCs w:val="24"/>
          <w:lang w:val="en-GB"/>
        </w:rPr>
        <w:t>lanreotide</w:t>
      </w:r>
      <w:proofErr w:type="spellEnd"/>
      <w:r w:rsidR="008A316E" w:rsidRPr="008A316E">
        <w:rPr>
          <w:rFonts w:eastAsia="Times New Roman" w:cs="Arial"/>
          <w:bCs/>
          <w:snapToGrid w:val="0"/>
          <w:szCs w:val="24"/>
          <w:lang w:val="en-GB"/>
        </w:rPr>
        <w:t xml:space="preserve"> PSD, November 2016 PBAC, paragraph 7.</w:t>
      </w:r>
      <w:r w:rsidR="008A316E">
        <w:rPr>
          <w:rFonts w:eastAsia="Times New Roman" w:cs="Arial"/>
          <w:bCs/>
          <w:snapToGrid w:val="0"/>
          <w:szCs w:val="24"/>
          <w:lang w:val="en-GB"/>
        </w:rPr>
        <w:t>9</w:t>
      </w:r>
      <w:r w:rsidR="008A316E" w:rsidRPr="008A316E">
        <w:rPr>
          <w:rFonts w:eastAsia="Times New Roman" w:cs="Arial"/>
          <w:bCs/>
          <w:snapToGrid w:val="0"/>
          <w:szCs w:val="24"/>
          <w:lang w:val="en-GB"/>
        </w:rPr>
        <w:t>)</w:t>
      </w:r>
      <w:r w:rsidR="00E6149C">
        <w:rPr>
          <w:rFonts w:eastAsia="Times New Roman" w:cs="Arial"/>
          <w:bCs/>
          <w:snapToGrid w:val="0"/>
          <w:szCs w:val="24"/>
          <w:lang w:val="en-GB"/>
        </w:rPr>
        <w:t>.</w:t>
      </w:r>
      <w:r w:rsidR="00074FBB">
        <w:rPr>
          <w:rFonts w:eastAsia="Times New Roman" w:cs="Arial"/>
          <w:bCs/>
          <w:snapToGrid w:val="0"/>
          <w:szCs w:val="24"/>
          <w:lang w:val="en-GB"/>
        </w:rPr>
        <w:t xml:space="preserve"> </w:t>
      </w:r>
    </w:p>
    <w:p w:rsidR="00852CB7" w:rsidRPr="00D35CAA" w:rsidRDefault="00852CB7" w:rsidP="00D35CAA">
      <w:pPr>
        <w:numPr>
          <w:ilvl w:val="1"/>
          <w:numId w:val="3"/>
        </w:numPr>
        <w:spacing w:before="0" w:after="120"/>
        <w:ind w:left="567" w:hanging="567"/>
        <w:rPr>
          <w:rFonts w:eastAsia="Times New Roman" w:cs="Arial"/>
          <w:bCs/>
          <w:snapToGrid w:val="0"/>
          <w:szCs w:val="24"/>
          <w:lang w:val="en-GB"/>
        </w:rPr>
      </w:pPr>
      <w:r w:rsidRPr="00D35CAA">
        <w:rPr>
          <w:rFonts w:eastAsia="Times New Roman" w:cs="Arial"/>
          <w:bCs/>
          <w:snapToGrid w:val="0"/>
          <w:szCs w:val="24"/>
          <w:lang w:val="en-GB"/>
        </w:rPr>
        <w:t xml:space="preserve">The PBAC </w:t>
      </w:r>
      <w:r w:rsidR="009E0A11">
        <w:rPr>
          <w:rFonts w:eastAsia="Times New Roman" w:cs="Arial"/>
          <w:bCs/>
          <w:snapToGrid w:val="0"/>
          <w:szCs w:val="24"/>
          <w:lang w:val="en-GB"/>
        </w:rPr>
        <w:t>reiterated that</w:t>
      </w:r>
      <w:r w:rsidRPr="00D35CAA">
        <w:rPr>
          <w:rFonts w:eastAsia="Times New Roman" w:cs="Arial"/>
          <w:bCs/>
          <w:snapToGrid w:val="0"/>
          <w:szCs w:val="24"/>
          <w:lang w:val="en-GB"/>
        </w:rPr>
        <w:t xml:space="preserve"> </w:t>
      </w:r>
      <w:r w:rsidR="009E0A11">
        <w:rPr>
          <w:rFonts w:eastAsia="Times New Roman" w:cs="Arial"/>
          <w:bCs/>
          <w:snapToGrid w:val="0"/>
          <w:szCs w:val="24"/>
          <w:lang w:val="en-GB"/>
        </w:rPr>
        <w:t xml:space="preserve">it considered </w:t>
      </w:r>
      <w:proofErr w:type="spellStart"/>
      <w:r w:rsidRPr="00D35CAA">
        <w:rPr>
          <w:rFonts w:eastAsia="Times New Roman" w:cs="Arial"/>
          <w:bCs/>
          <w:snapToGrid w:val="0"/>
          <w:szCs w:val="24"/>
          <w:lang w:val="en-GB"/>
        </w:rPr>
        <w:t>lanreotide</w:t>
      </w:r>
      <w:proofErr w:type="spellEnd"/>
      <w:r w:rsidRPr="00D35CAA">
        <w:rPr>
          <w:rFonts w:eastAsia="Times New Roman" w:cs="Arial"/>
          <w:bCs/>
          <w:snapToGrid w:val="0"/>
          <w:szCs w:val="24"/>
          <w:lang w:val="en-GB"/>
        </w:rPr>
        <w:t xml:space="preserve"> to be inferior compared with placebo in terms of safety (</w:t>
      </w:r>
      <w:proofErr w:type="spellStart"/>
      <w:r w:rsidRPr="00D35CAA">
        <w:rPr>
          <w:rFonts w:eastAsia="Times New Roman" w:cs="Arial"/>
          <w:bCs/>
          <w:snapToGrid w:val="0"/>
          <w:szCs w:val="24"/>
          <w:lang w:val="en-GB"/>
        </w:rPr>
        <w:t>lanreotide</w:t>
      </w:r>
      <w:proofErr w:type="spellEnd"/>
      <w:r w:rsidRPr="00D35CAA">
        <w:rPr>
          <w:rFonts w:eastAsia="Times New Roman" w:cs="Arial"/>
          <w:bCs/>
          <w:snapToGrid w:val="0"/>
          <w:szCs w:val="24"/>
          <w:lang w:val="en-GB"/>
        </w:rPr>
        <w:t xml:space="preserve"> PSD, November 2015 PBAC, paragraph 7.9). The PBAC noted that on the basis of the direct evidence presented in the resubmissi</w:t>
      </w:r>
      <w:r w:rsidR="00A05ED6">
        <w:rPr>
          <w:rFonts w:eastAsia="Times New Roman" w:cs="Arial"/>
          <w:bCs/>
          <w:snapToGrid w:val="0"/>
          <w:szCs w:val="24"/>
          <w:lang w:val="en-GB"/>
        </w:rPr>
        <w:t>on, every 100 patients treated</w:t>
      </w:r>
      <w:r w:rsidRPr="00D35CAA">
        <w:rPr>
          <w:rFonts w:eastAsia="Times New Roman" w:cs="Arial"/>
          <w:bCs/>
          <w:snapToGrid w:val="0"/>
          <w:szCs w:val="24"/>
          <w:lang w:val="en-GB"/>
        </w:rPr>
        <w:t xml:space="preserve"> with </w:t>
      </w:r>
      <w:proofErr w:type="spellStart"/>
      <w:r w:rsidRPr="00D35CAA">
        <w:rPr>
          <w:rFonts w:eastAsia="Times New Roman" w:cs="Arial"/>
          <w:bCs/>
          <w:snapToGrid w:val="0"/>
          <w:szCs w:val="24"/>
          <w:lang w:val="en-GB"/>
        </w:rPr>
        <w:t>lanreotide</w:t>
      </w:r>
      <w:proofErr w:type="spellEnd"/>
      <w:r w:rsidRPr="00D35CAA">
        <w:rPr>
          <w:rFonts w:eastAsia="Times New Roman" w:cs="Arial"/>
          <w:bCs/>
          <w:snapToGrid w:val="0"/>
          <w:szCs w:val="24"/>
          <w:lang w:val="en-GB"/>
        </w:rPr>
        <w:t>, compared with placebo (for watchful waiting) resulted in approximately:</w:t>
      </w:r>
    </w:p>
    <w:p w:rsidR="00852CB7" w:rsidRPr="00A01605" w:rsidRDefault="00852CB7" w:rsidP="00D35CAA">
      <w:pPr>
        <w:pStyle w:val="ListParagraph"/>
        <w:numPr>
          <w:ilvl w:val="0"/>
          <w:numId w:val="9"/>
        </w:numPr>
        <w:spacing w:before="0" w:after="120"/>
        <w:ind w:left="851" w:hanging="284"/>
        <w:contextualSpacing w:val="0"/>
      </w:pPr>
      <w:r w:rsidRPr="00A01605">
        <w:t>17 additional patients experiencing gastrointestinal disorders;</w:t>
      </w:r>
    </w:p>
    <w:p w:rsidR="00852CB7" w:rsidRPr="00A01605" w:rsidRDefault="00852CB7" w:rsidP="00D35CAA">
      <w:pPr>
        <w:pStyle w:val="ListParagraph"/>
        <w:numPr>
          <w:ilvl w:val="0"/>
          <w:numId w:val="9"/>
        </w:numPr>
        <w:spacing w:before="0" w:after="120"/>
        <w:ind w:left="851" w:hanging="284"/>
        <w:contextualSpacing w:val="0"/>
      </w:pPr>
      <w:r w:rsidRPr="00A01605">
        <w:t>7 patients experiencing injection site pain; and</w:t>
      </w:r>
    </w:p>
    <w:p w:rsidR="00852CB7" w:rsidRPr="00A01605" w:rsidRDefault="00852CB7" w:rsidP="00D35CAA">
      <w:pPr>
        <w:pStyle w:val="ListParagraph"/>
        <w:numPr>
          <w:ilvl w:val="0"/>
          <w:numId w:val="9"/>
        </w:numPr>
        <w:spacing w:before="0" w:after="120"/>
        <w:ind w:left="851" w:hanging="284"/>
        <w:contextualSpacing w:val="0"/>
      </w:pPr>
      <w:r w:rsidRPr="00A01605">
        <w:t xml:space="preserve">12 additional patients experiencing </w:t>
      </w:r>
      <w:proofErr w:type="spellStart"/>
      <w:r w:rsidRPr="00A01605">
        <w:t>cholelithiasis</w:t>
      </w:r>
      <w:proofErr w:type="spellEnd"/>
      <w:r w:rsidRPr="00A01605">
        <w:t xml:space="preserve"> (gallstones).</w:t>
      </w:r>
    </w:p>
    <w:p w:rsidR="00743A73" w:rsidRPr="003747FE" w:rsidRDefault="000735FC" w:rsidP="00743A73">
      <w:pPr>
        <w:numPr>
          <w:ilvl w:val="1"/>
          <w:numId w:val="3"/>
        </w:numPr>
        <w:spacing w:before="0" w:after="120"/>
        <w:ind w:left="567" w:hanging="567"/>
        <w:rPr>
          <w:rFonts w:eastAsia="Times New Roman" w:cs="Arial"/>
          <w:bCs/>
          <w:snapToGrid w:val="0"/>
          <w:szCs w:val="24"/>
          <w:lang w:val="en-GB"/>
        </w:rPr>
      </w:pPr>
      <w:r>
        <w:rPr>
          <w:rFonts w:eastAsia="Times New Roman" w:cs="Arial"/>
          <w:bCs/>
          <w:snapToGrid w:val="0"/>
          <w:szCs w:val="24"/>
          <w:lang w:val="en-GB"/>
        </w:rPr>
        <w:t>T</w:t>
      </w:r>
      <w:r w:rsidR="00743A73" w:rsidRPr="00743A73">
        <w:rPr>
          <w:rFonts w:eastAsia="Times New Roman" w:cs="Arial"/>
          <w:bCs/>
          <w:snapToGrid w:val="0"/>
          <w:szCs w:val="24"/>
          <w:lang w:val="en-GB"/>
        </w:rPr>
        <w:t xml:space="preserve">he PBAC </w:t>
      </w:r>
      <w:r>
        <w:rPr>
          <w:rFonts w:eastAsia="Times New Roman" w:cs="Arial"/>
          <w:bCs/>
          <w:snapToGrid w:val="0"/>
          <w:szCs w:val="24"/>
          <w:lang w:val="en-GB"/>
        </w:rPr>
        <w:t>maintained its position</w:t>
      </w:r>
      <w:r w:rsidR="000B7DD9">
        <w:rPr>
          <w:rFonts w:eastAsia="Times New Roman" w:cs="Arial"/>
          <w:bCs/>
          <w:snapToGrid w:val="0"/>
          <w:szCs w:val="24"/>
          <w:lang w:val="en-GB"/>
        </w:rPr>
        <w:t xml:space="preserve"> </w:t>
      </w:r>
      <w:r w:rsidR="00743A73" w:rsidRPr="003747FE">
        <w:rPr>
          <w:rFonts w:eastAsia="Times New Roman" w:cs="Arial"/>
          <w:bCs/>
          <w:snapToGrid w:val="0"/>
          <w:szCs w:val="24"/>
          <w:lang w:val="en-GB"/>
        </w:rPr>
        <w:t xml:space="preserve">that there </w:t>
      </w:r>
      <w:r w:rsidR="009E0A11">
        <w:rPr>
          <w:rFonts w:eastAsia="Times New Roman" w:cs="Arial"/>
          <w:bCs/>
          <w:snapToGrid w:val="0"/>
          <w:szCs w:val="24"/>
          <w:lang w:val="en-GB"/>
        </w:rPr>
        <w:t>is</w:t>
      </w:r>
      <w:r w:rsidR="00743A73" w:rsidRPr="003747FE">
        <w:rPr>
          <w:rFonts w:eastAsia="Times New Roman" w:cs="Arial"/>
          <w:bCs/>
          <w:snapToGrid w:val="0"/>
          <w:szCs w:val="24"/>
          <w:lang w:val="en-GB"/>
        </w:rPr>
        <w:t xml:space="preserve"> likel</w:t>
      </w:r>
      <w:r>
        <w:rPr>
          <w:rFonts w:eastAsia="Times New Roman" w:cs="Arial"/>
          <w:bCs/>
          <w:snapToGrid w:val="0"/>
          <w:szCs w:val="24"/>
          <w:lang w:val="en-GB"/>
        </w:rPr>
        <w:t>y to be a clinically meaningful</w:t>
      </w:r>
      <w:r w:rsidR="00743A73" w:rsidRPr="003747FE">
        <w:rPr>
          <w:rFonts w:eastAsia="Times New Roman" w:cs="Arial"/>
          <w:bCs/>
          <w:snapToGrid w:val="0"/>
          <w:szCs w:val="24"/>
          <w:lang w:val="en-GB"/>
        </w:rPr>
        <w:t xml:space="preserve"> benefit associated with treatment with </w:t>
      </w:r>
      <w:proofErr w:type="spellStart"/>
      <w:r w:rsidR="00743A73" w:rsidRPr="003747FE">
        <w:rPr>
          <w:rFonts w:eastAsia="Times New Roman" w:cs="Arial"/>
          <w:bCs/>
          <w:snapToGrid w:val="0"/>
          <w:szCs w:val="24"/>
          <w:lang w:val="en-GB"/>
        </w:rPr>
        <w:t>lanreotide</w:t>
      </w:r>
      <w:proofErr w:type="spellEnd"/>
      <w:r w:rsidR="00743A73" w:rsidRPr="003747FE">
        <w:rPr>
          <w:rFonts w:eastAsia="Times New Roman" w:cs="Arial"/>
          <w:bCs/>
          <w:snapToGrid w:val="0"/>
          <w:szCs w:val="24"/>
          <w:lang w:val="en-GB"/>
        </w:rPr>
        <w:t xml:space="preserve">, which would outweigh the potential adverse events, for a small, well selected group of patients. </w:t>
      </w:r>
      <w:r w:rsidR="000B7DD9">
        <w:rPr>
          <w:rFonts w:eastAsia="Times New Roman" w:cs="Arial"/>
          <w:bCs/>
          <w:snapToGrid w:val="0"/>
          <w:szCs w:val="24"/>
          <w:lang w:val="en-GB"/>
        </w:rPr>
        <w:t xml:space="preserve">However, </w:t>
      </w:r>
      <w:r w:rsidR="000B7DD9" w:rsidRPr="006D0B91">
        <w:rPr>
          <w:rFonts w:eastAsia="Times New Roman" w:cs="Arial"/>
          <w:bCs/>
          <w:snapToGrid w:val="0"/>
          <w:szCs w:val="24"/>
          <w:lang w:val="en-GB"/>
        </w:rPr>
        <w:t>given the variable</w:t>
      </w:r>
      <w:r>
        <w:rPr>
          <w:rFonts w:eastAsia="Times New Roman" w:cs="Arial"/>
          <w:bCs/>
          <w:snapToGrid w:val="0"/>
          <w:szCs w:val="24"/>
          <w:lang w:val="en-GB"/>
        </w:rPr>
        <w:t xml:space="preserve"> and sometimes indolent</w:t>
      </w:r>
      <w:r w:rsidR="000B7DD9" w:rsidRPr="006D0B91">
        <w:rPr>
          <w:rFonts w:eastAsia="Times New Roman" w:cs="Arial"/>
          <w:bCs/>
          <w:snapToGrid w:val="0"/>
          <w:szCs w:val="24"/>
          <w:lang w:val="en-GB"/>
        </w:rPr>
        <w:t xml:space="preserve"> nature of the disease, not all patients</w:t>
      </w:r>
      <w:r w:rsidR="000B7DD9">
        <w:rPr>
          <w:rFonts w:eastAsia="Times New Roman" w:cs="Arial"/>
          <w:bCs/>
          <w:snapToGrid w:val="0"/>
          <w:szCs w:val="24"/>
          <w:lang w:val="en-GB"/>
        </w:rPr>
        <w:t xml:space="preserve"> within the broad population of patients with </w:t>
      </w:r>
      <w:r w:rsidR="000B7DD9" w:rsidRPr="006D0B91">
        <w:rPr>
          <w:rFonts w:eastAsia="Times New Roman" w:cs="Arial"/>
          <w:bCs/>
          <w:snapToGrid w:val="0"/>
          <w:szCs w:val="24"/>
          <w:lang w:val="en-GB"/>
        </w:rPr>
        <w:t>non-functional GEP-NETs</w:t>
      </w:r>
      <w:r w:rsidR="000B7DD9">
        <w:rPr>
          <w:rFonts w:eastAsia="Times New Roman" w:cs="Arial"/>
          <w:bCs/>
          <w:snapToGrid w:val="0"/>
          <w:szCs w:val="24"/>
          <w:lang w:val="en-GB"/>
        </w:rPr>
        <w:t xml:space="preserve"> wo</w:t>
      </w:r>
      <w:r w:rsidR="000B7DD9" w:rsidRPr="006D0B91">
        <w:rPr>
          <w:rFonts w:eastAsia="Times New Roman" w:cs="Arial"/>
          <w:bCs/>
          <w:snapToGrid w:val="0"/>
          <w:szCs w:val="24"/>
          <w:lang w:val="en-GB"/>
        </w:rPr>
        <w:t xml:space="preserve">uld benefit from active treatment with </w:t>
      </w:r>
      <w:proofErr w:type="spellStart"/>
      <w:r w:rsidR="000B7DD9" w:rsidRPr="006D0B91">
        <w:rPr>
          <w:rFonts w:eastAsia="Times New Roman" w:cs="Arial"/>
          <w:bCs/>
          <w:snapToGrid w:val="0"/>
          <w:szCs w:val="24"/>
          <w:lang w:val="en-GB"/>
        </w:rPr>
        <w:t>lanreotide</w:t>
      </w:r>
      <w:proofErr w:type="spellEnd"/>
      <w:r w:rsidR="000B7DD9" w:rsidRPr="006D0B91">
        <w:rPr>
          <w:rFonts w:eastAsia="Times New Roman" w:cs="Arial"/>
          <w:bCs/>
          <w:snapToGrid w:val="0"/>
          <w:szCs w:val="24"/>
          <w:lang w:val="en-GB"/>
        </w:rPr>
        <w:t xml:space="preserve">.  </w:t>
      </w:r>
    </w:p>
    <w:p w:rsidR="00801E76" w:rsidRPr="005A5888" w:rsidRDefault="00243DFB" w:rsidP="00243DFB">
      <w:pPr>
        <w:numPr>
          <w:ilvl w:val="1"/>
          <w:numId w:val="3"/>
        </w:numPr>
        <w:spacing w:before="0" w:after="120"/>
        <w:ind w:left="567" w:hanging="567"/>
        <w:rPr>
          <w:rFonts w:eastAsia="Times New Roman" w:cs="Arial"/>
          <w:bCs/>
          <w:snapToGrid w:val="0"/>
          <w:szCs w:val="24"/>
          <w:lang w:val="en-GB"/>
        </w:rPr>
      </w:pPr>
      <w:r w:rsidRPr="00A01605">
        <w:t xml:space="preserve">The PBAC </w:t>
      </w:r>
      <w:r>
        <w:t>recalled</w:t>
      </w:r>
      <w:r w:rsidRPr="00A01605">
        <w:t xml:space="preserve"> that the </w:t>
      </w:r>
      <w:r>
        <w:t xml:space="preserve">November 2016 resubmission </w:t>
      </w:r>
      <w:r w:rsidRPr="00A01605">
        <w:t xml:space="preserve">model assumed the same post-progression treatment patterns for both treatment arms, with all patients receiving </w:t>
      </w:r>
      <w:proofErr w:type="spellStart"/>
      <w:r w:rsidRPr="00A01605">
        <w:t>lanreotide</w:t>
      </w:r>
      <w:proofErr w:type="spellEnd"/>
      <w:r w:rsidRPr="00A01605">
        <w:t xml:space="preserve"> and some patients also receiving a single one-off cost for other post-progression treatments. The PBAC </w:t>
      </w:r>
      <w:r>
        <w:t xml:space="preserve">previously considered </w:t>
      </w:r>
      <w:r w:rsidRPr="00A01605">
        <w:t xml:space="preserve">that it would have been more appropriate to have differential use of </w:t>
      </w:r>
      <w:proofErr w:type="spellStart"/>
      <w:r w:rsidRPr="00A01605">
        <w:t>lanreotide</w:t>
      </w:r>
      <w:proofErr w:type="spellEnd"/>
      <w:r w:rsidRPr="00A01605">
        <w:t xml:space="preserve"> between treatment arms given that the requested restriction for </w:t>
      </w:r>
      <w:proofErr w:type="spellStart"/>
      <w:r w:rsidRPr="00A01605">
        <w:t>lanreotide</w:t>
      </w:r>
      <w:proofErr w:type="spellEnd"/>
      <w:r w:rsidRPr="00A01605">
        <w:t xml:space="preserve"> would allow post-progression treatment which is otherwise not PBS-subsidised for non-functional GEP-NETs.</w:t>
      </w:r>
      <w:r>
        <w:t xml:space="preserve"> </w:t>
      </w:r>
      <w:r w:rsidR="006F5749">
        <w:rPr>
          <w:rFonts w:eastAsia="Times New Roman" w:cs="Arial"/>
          <w:bCs/>
          <w:snapToGrid w:val="0"/>
          <w:szCs w:val="24"/>
          <w:lang w:val="en-GB"/>
        </w:rPr>
        <w:t xml:space="preserve">The PBAC noted </w:t>
      </w:r>
      <w:r>
        <w:rPr>
          <w:rFonts w:eastAsia="Times New Roman" w:cs="Arial"/>
          <w:bCs/>
          <w:snapToGrid w:val="0"/>
          <w:szCs w:val="24"/>
          <w:lang w:val="en-GB"/>
        </w:rPr>
        <w:t xml:space="preserve">the resubmission made </w:t>
      </w:r>
      <w:r w:rsidR="006F5749">
        <w:rPr>
          <w:rFonts w:eastAsia="Times New Roman" w:cs="Arial"/>
          <w:bCs/>
          <w:snapToGrid w:val="0"/>
          <w:szCs w:val="24"/>
          <w:lang w:val="en-GB"/>
        </w:rPr>
        <w:t>substantial changes to post-progression treatment</w:t>
      </w:r>
      <w:r w:rsidR="00B04EA0">
        <w:rPr>
          <w:rFonts w:eastAsia="Times New Roman" w:cs="Arial"/>
          <w:bCs/>
          <w:snapToGrid w:val="0"/>
          <w:szCs w:val="24"/>
          <w:lang w:val="en-GB"/>
        </w:rPr>
        <w:t>s and associated</w:t>
      </w:r>
      <w:r w:rsidR="006F5749">
        <w:rPr>
          <w:rFonts w:eastAsia="Times New Roman" w:cs="Arial"/>
          <w:bCs/>
          <w:snapToGrid w:val="0"/>
          <w:szCs w:val="24"/>
          <w:lang w:val="en-GB"/>
        </w:rPr>
        <w:t xml:space="preserve"> costs</w:t>
      </w:r>
      <w:r w:rsidR="00B7415E">
        <w:rPr>
          <w:rFonts w:eastAsia="Times New Roman" w:cs="Arial"/>
          <w:bCs/>
          <w:snapToGrid w:val="0"/>
          <w:szCs w:val="24"/>
          <w:lang w:val="en-GB"/>
        </w:rPr>
        <w:t xml:space="preserve"> in</w:t>
      </w:r>
      <w:r w:rsidR="006F5749">
        <w:rPr>
          <w:rFonts w:eastAsia="Times New Roman" w:cs="Arial"/>
          <w:bCs/>
          <w:snapToGrid w:val="0"/>
          <w:szCs w:val="24"/>
          <w:lang w:val="en-GB"/>
        </w:rPr>
        <w:t xml:space="preserve"> the</w:t>
      </w:r>
      <w:r w:rsidR="00B04EA0">
        <w:rPr>
          <w:rFonts w:eastAsia="Times New Roman" w:cs="Arial"/>
          <w:bCs/>
          <w:snapToGrid w:val="0"/>
          <w:szCs w:val="24"/>
          <w:lang w:val="en-GB"/>
        </w:rPr>
        <w:t xml:space="preserve"> current</w:t>
      </w:r>
      <w:r w:rsidR="006F5749">
        <w:rPr>
          <w:rFonts w:eastAsia="Times New Roman" w:cs="Arial"/>
          <w:bCs/>
          <w:snapToGrid w:val="0"/>
          <w:szCs w:val="24"/>
          <w:lang w:val="en-GB"/>
        </w:rPr>
        <w:t xml:space="preserve"> resubmission </w:t>
      </w:r>
      <w:r w:rsidR="006F7392">
        <w:rPr>
          <w:rFonts w:eastAsia="Times New Roman" w:cs="Arial"/>
          <w:bCs/>
          <w:snapToGrid w:val="0"/>
          <w:szCs w:val="24"/>
          <w:lang w:val="en-GB"/>
        </w:rPr>
        <w:t xml:space="preserve">on </w:t>
      </w:r>
      <w:r w:rsidR="00B04EA0">
        <w:rPr>
          <w:rFonts w:eastAsia="Times New Roman" w:cs="Arial"/>
          <w:bCs/>
          <w:snapToGrid w:val="0"/>
          <w:szCs w:val="24"/>
          <w:lang w:val="en-GB"/>
        </w:rPr>
        <w:t xml:space="preserve">the basis of </w:t>
      </w:r>
      <w:r w:rsidR="006F7392">
        <w:rPr>
          <w:rFonts w:eastAsia="Times New Roman" w:cs="Arial"/>
          <w:bCs/>
          <w:snapToGrid w:val="0"/>
          <w:szCs w:val="24"/>
          <w:lang w:val="en-GB"/>
        </w:rPr>
        <w:t>a survey of three clinici</w:t>
      </w:r>
      <w:r w:rsidR="006F7392" w:rsidRPr="005A5888">
        <w:rPr>
          <w:rFonts w:eastAsia="Times New Roman" w:cs="Arial"/>
          <w:bCs/>
          <w:snapToGrid w:val="0"/>
          <w:szCs w:val="24"/>
          <w:lang w:val="en-GB"/>
        </w:rPr>
        <w:t>ans.</w:t>
      </w:r>
      <w:r w:rsidR="00291047" w:rsidRPr="005A5888">
        <w:rPr>
          <w:rFonts w:eastAsia="Times New Roman" w:cs="Arial"/>
          <w:bCs/>
          <w:snapToGrid w:val="0"/>
          <w:szCs w:val="24"/>
          <w:lang w:val="en-GB"/>
        </w:rPr>
        <w:t xml:space="preserve"> The PBAC </w:t>
      </w:r>
      <w:r w:rsidR="009E0A11">
        <w:rPr>
          <w:rFonts w:eastAsia="Times New Roman" w:cs="Arial"/>
          <w:bCs/>
          <w:snapToGrid w:val="0"/>
          <w:szCs w:val="24"/>
          <w:lang w:val="en-GB"/>
        </w:rPr>
        <w:t>was</w:t>
      </w:r>
      <w:r w:rsidR="009E0A11" w:rsidRPr="005A5888">
        <w:rPr>
          <w:rFonts w:eastAsia="Times New Roman" w:cs="Arial"/>
          <w:bCs/>
          <w:snapToGrid w:val="0"/>
          <w:szCs w:val="24"/>
          <w:lang w:val="en-GB"/>
        </w:rPr>
        <w:t xml:space="preserve"> </w:t>
      </w:r>
      <w:r w:rsidR="00291047" w:rsidRPr="005A5888">
        <w:rPr>
          <w:rFonts w:eastAsia="Times New Roman" w:cs="Arial"/>
          <w:bCs/>
          <w:snapToGrid w:val="0"/>
          <w:szCs w:val="24"/>
          <w:lang w:val="en-GB"/>
        </w:rPr>
        <w:t>uncertain whether these treatment sequences were reflective of Australian clinical practice</w:t>
      </w:r>
      <w:r w:rsidR="005A5888" w:rsidRPr="005A5888">
        <w:rPr>
          <w:rFonts w:eastAsia="Times New Roman" w:cs="Arial"/>
          <w:bCs/>
          <w:snapToGrid w:val="0"/>
          <w:szCs w:val="24"/>
          <w:lang w:val="en-GB"/>
        </w:rPr>
        <w:t>,</w:t>
      </w:r>
      <w:r w:rsidR="00291047" w:rsidRPr="005A5888">
        <w:rPr>
          <w:rFonts w:eastAsia="Times New Roman" w:cs="Arial"/>
          <w:bCs/>
          <w:snapToGrid w:val="0"/>
          <w:szCs w:val="24"/>
          <w:lang w:val="en-GB"/>
        </w:rPr>
        <w:t xml:space="preserve"> noting inconsistencies across survey responses </w:t>
      </w:r>
      <w:r w:rsidR="00B17C6C" w:rsidRPr="005A5888">
        <w:rPr>
          <w:rFonts w:eastAsia="Times New Roman" w:cs="Arial"/>
          <w:bCs/>
          <w:snapToGrid w:val="0"/>
          <w:szCs w:val="24"/>
          <w:lang w:val="en-GB"/>
        </w:rPr>
        <w:t>and underrepresentation of some treatment options (e.g</w:t>
      </w:r>
      <w:r w:rsidR="005A5888" w:rsidRPr="005A5888">
        <w:rPr>
          <w:rFonts w:eastAsia="Times New Roman" w:cs="Arial"/>
          <w:bCs/>
          <w:snapToGrid w:val="0"/>
          <w:szCs w:val="24"/>
          <w:lang w:val="en-GB"/>
        </w:rPr>
        <w:t>.</w:t>
      </w:r>
      <w:r w:rsidR="00B17C6C" w:rsidRPr="005A5888">
        <w:rPr>
          <w:rFonts w:eastAsia="Times New Roman" w:cs="Arial"/>
          <w:bCs/>
          <w:snapToGrid w:val="0"/>
          <w:szCs w:val="24"/>
          <w:lang w:val="en-GB"/>
        </w:rPr>
        <w:t xml:space="preserve"> somatostatin analogue dose escalation and </w:t>
      </w:r>
      <w:proofErr w:type="spellStart"/>
      <w:r w:rsidR="00B17C6C" w:rsidRPr="005A5888">
        <w:rPr>
          <w:rFonts w:eastAsia="Times New Roman" w:cs="Arial"/>
          <w:bCs/>
          <w:snapToGrid w:val="0"/>
          <w:szCs w:val="24"/>
          <w:lang w:val="en-GB"/>
        </w:rPr>
        <w:t>locoregional</w:t>
      </w:r>
      <w:proofErr w:type="spellEnd"/>
      <w:r w:rsidR="00B17C6C" w:rsidRPr="005A5888">
        <w:rPr>
          <w:rFonts w:eastAsia="Times New Roman" w:cs="Arial"/>
          <w:bCs/>
          <w:snapToGrid w:val="0"/>
          <w:szCs w:val="24"/>
          <w:lang w:val="en-GB"/>
        </w:rPr>
        <w:t xml:space="preserve"> therapies)</w:t>
      </w:r>
      <w:r w:rsidR="005A5888" w:rsidRPr="005A5888">
        <w:rPr>
          <w:rFonts w:eastAsia="Times New Roman" w:cs="Arial"/>
          <w:bCs/>
          <w:snapToGrid w:val="0"/>
          <w:szCs w:val="24"/>
          <w:lang w:val="en-GB"/>
        </w:rPr>
        <w:t>,</w:t>
      </w:r>
      <w:r w:rsidR="00B17C6C" w:rsidRPr="005A5888">
        <w:rPr>
          <w:rFonts w:eastAsia="Times New Roman" w:cs="Arial"/>
          <w:bCs/>
          <w:snapToGrid w:val="0"/>
          <w:szCs w:val="24"/>
          <w:lang w:val="en-GB"/>
        </w:rPr>
        <w:t xml:space="preserve"> and considered that the results of the survey and therefore </w:t>
      </w:r>
      <w:r w:rsidR="005A5888" w:rsidRPr="005A5888">
        <w:rPr>
          <w:rFonts w:eastAsia="Times New Roman" w:cs="Arial"/>
          <w:bCs/>
          <w:snapToGrid w:val="0"/>
          <w:szCs w:val="24"/>
          <w:lang w:val="en-GB"/>
        </w:rPr>
        <w:t xml:space="preserve">the </w:t>
      </w:r>
      <w:r w:rsidR="00B17C6C" w:rsidRPr="005A5888">
        <w:rPr>
          <w:rFonts w:eastAsia="Times New Roman" w:cs="Arial"/>
          <w:bCs/>
          <w:snapToGrid w:val="0"/>
          <w:szCs w:val="24"/>
          <w:lang w:val="en-GB"/>
        </w:rPr>
        <w:t xml:space="preserve">derived treatment sequences/durations used in the model should be </w:t>
      </w:r>
      <w:r w:rsidR="0020126F">
        <w:rPr>
          <w:rFonts w:eastAsia="Times New Roman" w:cs="Arial"/>
          <w:bCs/>
          <w:snapToGrid w:val="0"/>
          <w:szCs w:val="24"/>
          <w:lang w:val="en-GB"/>
        </w:rPr>
        <w:t>interpreted</w:t>
      </w:r>
      <w:r w:rsidR="00B17C6C" w:rsidRPr="005A5888">
        <w:rPr>
          <w:rFonts w:eastAsia="Times New Roman" w:cs="Arial"/>
          <w:bCs/>
          <w:snapToGrid w:val="0"/>
          <w:szCs w:val="24"/>
          <w:lang w:val="en-GB"/>
        </w:rPr>
        <w:t xml:space="preserve"> with caution.</w:t>
      </w:r>
      <w:r w:rsidR="0098707F" w:rsidRPr="005A5888">
        <w:rPr>
          <w:rFonts w:eastAsia="Times New Roman" w:cs="Arial"/>
          <w:bCs/>
          <w:snapToGrid w:val="0"/>
          <w:szCs w:val="24"/>
          <w:lang w:val="en-GB"/>
        </w:rPr>
        <w:t xml:space="preserve"> </w:t>
      </w:r>
    </w:p>
    <w:p w:rsidR="00426325" w:rsidRDefault="0098707F" w:rsidP="00852CB7">
      <w:pPr>
        <w:numPr>
          <w:ilvl w:val="1"/>
          <w:numId w:val="3"/>
        </w:numPr>
        <w:spacing w:before="0" w:after="120"/>
        <w:ind w:left="567" w:hanging="567"/>
        <w:rPr>
          <w:rFonts w:eastAsia="Times New Roman" w:cs="Arial"/>
          <w:bCs/>
          <w:snapToGrid w:val="0"/>
          <w:szCs w:val="24"/>
          <w:lang w:val="en-GB"/>
        </w:rPr>
      </w:pPr>
      <w:r>
        <w:rPr>
          <w:rFonts w:eastAsia="Times New Roman" w:cs="Arial"/>
          <w:bCs/>
          <w:snapToGrid w:val="0"/>
          <w:szCs w:val="24"/>
          <w:lang w:val="en-GB"/>
        </w:rPr>
        <w:t xml:space="preserve">The PBAC </w:t>
      </w:r>
      <w:r w:rsidR="009E0A11">
        <w:rPr>
          <w:rFonts w:eastAsia="Times New Roman" w:cs="Arial"/>
          <w:bCs/>
          <w:snapToGrid w:val="0"/>
          <w:szCs w:val="24"/>
          <w:lang w:val="en-GB"/>
        </w:rPr>
        <w:t xml:space="preserve">further </w:t>
      </w:r>
      <w:r w:rsidR="00B77C7A">
        <w:rPr>
          <w:rFonts w:eastAsia="Times New Roman" w:cs="Arial"/>
          <w:bCs/>
          <w:snapToGrid w:val="0"/>
          <w:szCs w:val="24"/>
          <w:lang w:val="en-GB"/>
        </w:rPr>
        <w:t>considered the post-progression treatment costs</w:t>
      </w:r>
      <w:r w:rsidR="009E0A11">
        <w:rPr>
          <w:rFonts w:eastAsia="Times New Roman" w:cs="Arial"/>
          <w:bCs/>
          <w:snapToGrid w:val="0"/>
          <w:szCs w:val="24"/>
          <w:lang w:val="en-GB"/>
        </w:rPr>
        <w:t>,</w:t>
      </w:r>
      <w:r w:rsidR="00F93713">
        <w:rPr>
          <w:rFonts w:eastAsia="Times New Roman" w:cs="Arial"/>
          <w:bCs/>
          <w:snapToGrid w:val="0"/>
          <w:szCs w:val="24"/>
          <w:lang w:val="en-GB"/>
        </w:rPr>
        <w:t xml:space="preserve"> as well as</w:t>
      </w:r>
      <w:r w:rsidR="00801E76">
        <w:rPr>
          <w:rFonts w:eastAsia="Times New Roman" w:cs="Arial"/>
          <w:bCs/>
          <w:snapToGrid w:val="0"/>
          <w:szCs w:val="24"/>
          <w:lang w:val="en-GB"/>
        </w:rPr>
        <w:t xml:space="preserve"> </w:t>
      </w:r>
      <w:r w:rsidR="00F93713">
        <w:rPr>
          <w:rFonts w:eastAsia="Times New Roman" w:cs="Arial"/>
          <w:bCs/>
          <w:snapToGrid w:val="0"/>
          <w:szCs w:val="24"/>
          <w:lang w:val="en-GB"/>
        </w:rPr>
        <w:t xml:space="preserve">the </w:t>
      </w:r>
      <w:r w:rsidR="00801E76">
        <w:rPr>
          <w:rFonts w:eastAsia="Times New Roman" w:cs="Arial"/>
          <w:bCs/>
          <w:snapToGrid w:val="0"/>
          <w:szCs w:val="24"/>
          <w:lang w:val="en-GB"/>
        </w:rPr>
        <w:t>durations of these treatments</w:t>
      </w:r>
      <w:r w:rsidR="00F93713">
        <w:rPr>
          <w:rFonts w:eastAsia="Times New Roman" w:cs="Arial"/>
          <w:bCs/>
          <w:snapToGrid w:val="0"/>
          <w:szCs w:val="24"/>
          <w:lang w:val="en-GB"/>
        </w:rPr>
        <w:t xml:space="preserve"> </w:t>
      </w:r>
      <w:r w:rsidR="00801E76">
        <w:rPr>
          <w:rFonts w:eastAsia="Times New Roman" w:cs="Arial"/>
          <w:bCs/>
          <w:snapToGrid w:val="0"/>
          <w:szCs w:val="24"/>
          <w:lang w:val="en-GB"/>
        </w:rPr>
        <w:t>applied in the model</w:t>
      </w:r>
      <w:r w:rsidR="009E0A11">
        <w:rPr>
          <w:rFonts w:eastAsia="Times New Roman" w:cs="Arial"/>
          <w:bCs/>
          <w:snapToGrid w:val="0"/>
          <w:szCs w:val="24"/>
          <w:lang w:val="en-GB"/>
        </w:rPr>
        <w:t>,</w:t>
      </w:r>
      <w:r w:rsidR="00801E76">
        <w:rPr>
          <w:rFonts w:eastAsia="Times New Roman" w:cs="Arial"/>
          <w:bCs/>
          <w:snapToGrid w:val="0"/>
          <w:szCs w:val="24"/>
          <w:lang w:val="en-GB"/>
        </w:rPr>
        <w:t xml:space="preserve"> to be overestimated in favour of </w:t>
      </w:r>
      <w:proofErr w:type="spellStart"/>
      <w:r w:rsidR="00801E76">
        <w:rPr>
          <w:rFonts w:eastAsia="Times New Roman" w:cs="Arial"/>
          <w:bCs/>
          <w:snapToGrid w:val="0"/>
          <w:szCs w:val="24"/>
          <w:lang w:val="en-GB"/>
        </w:rPr>
        <w:t>lanreotide</w:t>
      </w:r>
      <w:proofErr w:type="spellEnd"/>
      <w:r w:rsidR="009E0A11">
        <w:rPr>
          <w:rFonts w:eastAsia="Times New Roman" w:cs="Arial"/>
          <w:bCs/>
          <w:snapToGrid w:val="0"/>
          <w:szCs w:val="24"/>
          <w:lang w:val="en-GB"/>
        </w:rPr>
        <w:t>.</w:t>
      </w:r>
    </w:p>
    <w:p w:rsidR="004A375C" w:rsidRDefault="00673556" w:rsidP="00F42C57">
      <w:pPr>
        <w:pStyle w:val="ListParagraph"/>
        <w:numPr>
          <w:ilvl w:val="0"/>
          <w:numId w:val="14"/>
        </w:numPr>
        <w:spacing w:before="0" w:after="120"/>
        <w:ind w:left="851" w:hanging="284"/>
        <w:contextualSpacing w:val="0"/>
        <w:rPr>
          <w:rFonts w:eastAsia="Times New Roman" w:cs="Arial"/>
          <w:bCs/>
          <w:snapToGrid w:val="0"/>
          <w:szCs w:val="24"/>
          <w:lang w:val="en-GB"/>
        </w:rPr>
      </w:pPr>
      <w:r>
        <w:rPr>
          <w:rFonts w:eastAsia="Times New Roman" w:cs="Arial"/>
          <w:bCs/>
          <w:snapToGrid w:val="0"/>
          <w:szCs w:val="24"/>
          <w:lang w:val="en-GB"/>
        </w:rPr>
        <w:t>The model include</w:t>
      </w:r>
      <w:r w:rsidR="00F25E9F">
        <w:rPr>
          <w:rFonts w:eastAsia="Times New Roman" w:cs="Arial"/>
          <w:bCs/>
          <w:snapToGrid w:val="0"/>
          <w:szCs w:val="24"/>
          <w:lang w:val="en-GB"/>
        </w:rPr>
        <w:t>d</w:t>
      </w:r>
      <w:r>
        <w:rPr>
          <w:rFonts w:eastAsia="Times New Roman" w:cs="Arial"/>
          <w:bCs/>
          <w:snapToGrid w:val="0"/>
          <w:szCs w:val="24"/>
          <w:lang w:val="en-GB"/>
        </w:rPr>
        <w:t xml:space="preserve"> treatment with last-line chemotherapy (with or without </w:t>
      </w:r>
      <w:proofErr w:type="spellStart"/>
      <w:r>
        <w:rPr>
          <w:rFonts w:eastAsia="Times New Roman" w:cs="Arial"/>
          <w:bCs/>
          <w:snapToGrid w:val="0"/>
          <w:szCs w:val="24"/>
          <w:lang w:val="en-GB"/>
        </w:rPr>
        <w:t>everolimus</w:t>
      </w:r>
      <w:proofErr w:type="spellEnd"/>
      <w:r>
        <w:rPr>
          <w:rFonts w:eastAsia="Times New Roman" w:cs="Arial"/>
          <w:bCs/>
          <w:snapToGrid w:val="0"/>
          <w:szCs w:val="24"/>
          <w:lang w:val="en-GB"/>
        </w:rPr>
        <w:t xml:space="preserve">) until death </w:t>
      </w:r>
      <w:r w:rsidR="009E0A11">
        <w:rPr>
          <w:rFonts w:eastAsia="Times New Roman" w:cs="Arial"/>
          <w:bCs/>
          <w:snapToGrid w:val="0"/>
          <w:szCs w:val="24"/>
          <w:lang w:val="en-GB"/>
        </w:rPr>
        <w:t xml:space="preserve">for </w:t>
      </w:r>
      <w:r>
        <w:rPr>
          <w:rFonts w:eastAsia="Times New Roman" w:cs="Arial"/>
          <w:bCs/>
          <w:snapToGrid w:val="0"/>
          <w:szCs w:val="24"/>
          <w:lang w:val="en-GB"/>
        </w:rPr>
        <w:t xml:space="preserve">approximately 6.7 and 10.7 years for </w:t>
      </w:r>
      <w:proofErr w:type="spellStart"/>
      <w:r>
        <w:rPr>
          <w:rFonts w:eastAsia="Times New Roman" w:cs="Arial"/>
          <w:bCs/>
          <w:snapToGrid w:val="0"/>
          <w:szCs w:val="24"/>
          <w:lang w:val="en-GB"/>
        </w:rPr>
        <w:t>lanreotide</w:t>
      </w:r>
      <w:proofErr w:type="spellEnd"/>
      <w:r>
        <w:rPr>
          <w:rFonts w:eastAsia="Times New Roman" w:cs="Arial"/>
          <w:bCs/>
          <w:snapToGrid w:val="0"/>
          <w:szCs w:val="24"/>
          <w:lang w:val="en-GB"/>
        </w:rPr>
        <w:t xml:space="preserve"> and placebo respectively. </w:t>
      </w:r>
      <w:r w:rsidR="005F2E08">
        <w:rPr>
          <w:rFonts w:eastAsia="Times New Roman" w:cs="Arial"/>
          <w:bCs/>
          <w:snapToGrid w:val="0"/>
          <w:szCs w:val="24"/>
          <w:lang w:val="en-GB"/>
        </w:rPr>
        <w:t xml:space="preserve">The PBAC </w:t>
      </w:r>
      <w:r>
        <w:rPr>
          <w:rFonts w:eastAsia="Times New Roman" w:cs="Arial"/>
          <w:bCs/>
          <w:snapToGrid w:val="0"/>
          <w:szCs w:val="24"/>
          <w:lang w:val="en-GB"/>
        </w:rPr>
        <w:t>considered it unlikely that patients would receive chemotherapy and/</w:t>
      </w:r>
      <w:r w:rsidR="00F25E9F">
        <w:rPr>
          <w:rFonts w:eastAsia="Times New Roman" w:cs="Arial"/>
          <w:bCs/>
          <w:snapToGrid w:val="0"/>
          <w:szCs w:val="24"/>
          <w:lang w:val="en-GB"/>
        </w:rPr>
        <w:t xml:space="preserve">or </w:t>
      </w:r>
      <w:proofErr w:type="spellStart"/>
      <w:r>
        <w:rPr>
          <w:rFonts w:eastAsia="Times New Roman" w:cs="Arial"/>
          <w:bCs/>
          <w:snapToGrid w:val="0"/>
          <w:szCs w:val="24"/>
          <w:lang w:val="en-GB"/>
        </w:rPr>
        <w:t>everolimus</w:t>
      </w:r>
      <w:proofErr w:type="spellEnd"/>
      <w:r>
        <w:rPr>
          <w:rFonts w:eastAsia="Times New Roman" w:cs="Arial"/>
          <w:bCs/>
          <w:snapToGrid w:val="0"/>
          <w:szCs w:val="24"/>
          <w:lang w:val="en-GB"/>
        </w:rPr>
        <w:t xml:space="preserve"> for th</w:t>
      </w:r>
      <w:r w:rsidR="00F25E9F">
        <w:rPr>
          <w:rFonts w:eastAsia="Times New Roman" w:cs="Arial"/>
          <w:bCs/>
          <w:snapToGrid w:val="0"/>
          <w:szCs w:val="24"/>
          <w:lang w:val="en-GB"/>
        </w:rPr>
        <w:t>e</w:t>
      </w:r>
      <w:r>
        <w:rPr>
          <w:rFonts w:eastAsia="Times New Roman" w:cs="Arial"/>
          <w:bCs/>
          <w:snapToGrid w:val="0"/>
          <w:szCs w:val="24"/>
          <w:lang w:val="en-GB"/>
        </w:rPr>
        <w:t>s</w:t>
      </w:r>
      <w:r w:rsidR="00F25E9F">
        <w:rPr>
          <w:rFonts w:eastAsia="Times New Roman" w:cs="Arial"/>
          <w:bCs/>
          <w:snapToGrid w:val="0"/>
          <w:szCs w:val="24"/>
          <w:lang w:val="en-GB"/>
        </w:rPr>
        <w:t>e</w:t>
      </w:r>
      <w:r>
        <w:rPr>
          <w:rFonts w:eastAsia="Times New Roman" w:cs="Arial"/>
          <w:bCs/>
          <w:snapToGrid w:val="0"/>
          <w:szCs w:val="24"/>
          <w:lang w:val="en-GB"/>
        </w:rPr>
        <w:t xml:space="preserve"> duration</w:t>
      </w:r>
      <w:r w:rsidR="00F25E9F">
        <w:rPr>
          <w:rFonts w:eastAsia="Times New Roman" w:cs="Arial"/>
          <w:bCs/>
          <w:snapToGrid w:val="0"/>
          <w:szCs w:val="24"/>
          <w:lang w:val="en-GB"/>
        </w:rPr>
        <w:t>s</w:t>
      </w:r>
      <w:r>
        <w:rPr>
          <w:rFonts w:eastAsia="Times New Roman" w:cs="Arial"/>
          <w:bCs/>
          <w:snapToGrid w:val="0"/>
          <w:szCs w:val="24"/>
          <w:lang w:val="en-GB"/>
        </w:rPr>
        <w:t>.</w:t>
      </w:r>
    </w:p>
    <w:p w:rsidR="00673556" w:rsidRDefault="00E11DE8" w:rsidP="00F42C57">
      <w:pPr>
        <w:pStyle w:val="ListParagraph"/>
        <w:numPr>
          <w:ilvl w:val="0"/>
          <w:numId w:val="14"/>
        </w:numPr>
        <w:spacing w:before="0" w:after="120"/>
        <w:ind w:left="851" w:hanging="284"/>
        <w:contextualSpacing w:val="0"/>
        <w:rPr>
          <w:rFonts w:eastAsia="Times New Roman" w:cs="Arial"/>
          <w:bCs/>
          <w:snapToGrid w:val="0"/>
          <w:szCs w:val="24"/>
          <w:lang w:val="en-GB"/>
        </w:rPr>
      </w:pPr>
      <w:r>
        <w:rPr>
          <w:rFonts w:eastAsia="Times New Roman" w:cs="Arial"/>
          <w:bCs/>
          <w:snapToGrid w:val="0"/>
          <w:szCs w:val="24"/>
          <w:lang w:val="en-GB"/>
        </w:rPr>
        <w:t>The model assume</w:t>
      </w:r>
      <w:r w:rsidR="005F2E08">
        <w:rPr>
          <w:rFonts w:eastAsia="Times New Roman" w:cs="Arial"/>
          <w:bCs/>
          <w:snapToGrid w:val="0"/>
          <w:szCs w:val="24"/>
          <w:lang w:val="en-GB"/>
        </w:rPr>
        <w:t>d</w:t>
      </w:r>
      <w:r>
        <w:rPr>
          <w:rFonts w:eastAsia="Times New Roman" w:cs="Arial"/>
          <w:bCs/>
          <w:snapToGrid w:val="0"/>
          <w:szCs w:val="24"/>
          <w:lang w:val="en-GB"/>
        </w:rPr>
        <w:t xml:space="preserve"> that patients were 100% compliant with treatment</w:t>
      </w:r>
      <w:r w:rsidR="00D349D3">
        <w:rPr>
          <w:rFonts w:eastAsia="Times New Roman" w:cs="Arial"/>
          <w:bCs/>
          <w:snapToGrid w:val="0"/>
          <w:szCs w:val="24"/>
          <w:lang w:val="en-GB"/>
        </w:rPr>
        <w:t xml:space="preserve"> and received treatment up</w:t>
      </w:r>
      <w:r w:rsidR="009737E4">
        <w:rPr>
          <w:rFonts w:eastAsia="Times New Roman" w:cs="Arial"/>
          <w:bCs/>
          <w:snapToGrid w:val="0"/>
          <w:szCs w:val="24"/>
          <w:lang w:val="en-GB"/>
        </w:rPr>
        <w:t xml:space="preserve"> until death</w:t>
      </w:r>
      <w:r w:rsidR="00A664A6">
        <w:rPr>
          <w:rFonts w:eastAsia="Times New Roman" w:cs="Arial"/>
          <w:bCs/>
          <w:snapToGrid w:val="0"/>
          <w:szCs w:val="24"/>
          <w:lang w:val="en-GB"/>
        </w:rPr>
        <w:t>, which was likely to have significantly overestimated use of post-progression</w:t>
      </w:r>
      <w:r w:rsidR="005F2E08">
        <w:rPr>
          <w:rFonts w:eastAsia="Times New Roman" w:cs="Arial"/>
          <w:bCs/>
          <w:snapToGrid w:val="0"/>
          <w:szCs w:val="24"/>
          <w:lang w:val="en-GB"/>
        </w:rPr>
        <w:t xml:space="preserve"> treatments</w:t>
      </w:r>
      <w:r w:rsidR="00A664A6">
        <w:rPr>
          <w:rFonts w:eastAsia="Times New Roman" w:cs="Arial"/>
          <w:bCs/>
          <w:snapToGrid w:val="0"/>
          <w:szCs w:val="24"/>
          <w:lang w:val="en-GB"/>
        </w:rPr>
        <w:t xml:space="preserve">, therefore maximising costs associated with the post-progression </w:t>
      </w:r>
      <w:r w:rsidR="00F25E9F">
        <w:rPr>
          <w:rFonts w:eastAsia="Times New Roman" w:cs="Arial"/>
          <w:bCs/>
          <w:snapToGrid w:val="0"/>
          <w:szCs w:val="24"/>
          <w:lang w:val="en-GB"/>
        </w:rPr>
        <w:t xml:space="preserve">health </w:t>
      </w:r>
      <w:r w:rsidR="00A664A6">
        <w:rPr>
          <w:rFonts w:eastAsia="Times New Roman" w:cs="Arial"/>
          <w:bCs/>
          <w:snapToGrid w:val="0"/>
          <w:szCs w:val="24"/>
          <w:lang w:val="en-GB"/>
        </w:rPr>
        <w:t>state</w:t>
      </w:r>
      <w:r>
        <w:rPr>
          <w:rFonts w:eastAsia="Times New Roman" w:cs="Arial"/>
          <w:bCs/>
          <w:snapToGrid w:val="0"/>
          <w:szCs w:val="24"/>
          <w:lang w:val="en-GB"/>
        </w:rPr>
        <w:t>.</w:t>
      </w:r>
    </w:p>
    <w:p w:rsidR="00E11DE8" w:rsidRDefault="0028639E" w:rsidP="00F42C57">
      <w:pPr>
        <w:pStyle w:val="ListParagraph"/>
        <w:numPr>
          <w:ilvl w:val="0"/>
          <w:numId w:val="14"/>
        </w:numPr>
        <w:spacing w:before="0" w:after="120"/>
        <w:ind w:left="851" w:hanging="284"/>
        <w:contextualSpacing w:val="0"/>
        <w:rPr>
          <w:rFonts w:eastAsia="Times New Roman" w:cs="Arial"/>
          <w:bCs/>
          <w:snapToGrid w:val="0"/>
          <w:szCs w:val="24"/>
          <w:lang w:val="en-GB"/>
        </w:rPr>
      </w:pPr>
      <w:r>
        <w:rPr>
          <w:rFonts w:eastAsia="Times New Roman" w:cs="Arial"/>
          <w:bCs/>
          <w:snapToGrid w:val="0"/>
          <w:szCs w:val="24"/>
          <w:lang w:val="en-GB"/>
        </w:rPr>
        <w:t>The model include</w:t>
      </w:r>
      <w:r w:rsidR="00F25E9F">
        <w:rPr>
          <w:rFonts w:eastAsia="Times New Roman" w:cs="Arial"/>
          <w:bCs/>
          <w:snapToGrid w:val="0"/>
          <w:szCs w:val="24"/>
          <w:lang w:val="en-GB"/>
        </w:rPr>
        <w:t>d</w:t>
      </w:r>
      <w:r>
        <w:rPr>
          <w:rFonts w:eastAsia="Times New Roman" w:cs="Arial"/>
          <w:bCs/>
          <w:snapToGrid w:val="0"/>
          <w:szCs w:val="24"/>
          <w:lang w:val="en-GB"/>
        </w:rPr>
        <w:t xml:space="preserve"> </w:t>
      </w:r>
      <w:proofErr w:type="spellStart"/>
      <w:r>
        <w:rPr>
          <w:rFonts w:eastAsia="Times New Roman" w:cs="Arial"/>
          <w:bCs/>
          <w:snapToGrid w:val="0"/>
          <w:szCs w:val="24"/>
          <w:lang w:val="en-GB"/>
        </w:rPr>
        <w:t>everoli</w:t>
      </w:r>
      <w:r w:rsidR="00AB6499">
        <w:rPr>
          <w:rFonts w:eastAsia="Times New Roman" w:cs="Arial"/>
          <w:bCs/>
          <w:snapToGrid w:val="0"/>
          <w:szCs w:val="24"/>
          <w:lang w:val="en-GB"/>
        </w:rPr>
        <w:t>mus</w:t>
      </w:r>
      <w:proofErr w:type="spellEnd"/>
      <w:r w:rsidR="00AB6499">
        <w:rPr>
          <w:rFonts w:eastAsia="Times New Roman" w:cs="Arial"/>
          <w:bCs/>
          <w:snapToGrid w:val="0"/>
          <w:szCs w:val="24"/>
          <w:lang w:val="en-GB"/>
        </w:rPr>
        <w:t xml:space="preserve"> in the mix of last line-line therapies until death. The PBAC noted that </w:t>
      </w:r>
      <w:proofErr w:type="spellStart"/>
      <w:r w:rsidR="00AB6499">
        <w:rPr>
          <w:rFonts w:eastAsia="Times New Roman" w:cs="Arial"/>
          <w:bCs/>
          <w:snapToGrid w:val="0"/>
          <w:szCs w:val="24"/>
          <w:lang w:val="en-GB"/>
        </w:rPr>
        <w:t>everolimus</w:t>
      </w:r>
      <w:proofErr w:type="spellEnd"/>
      <w:r w:rsidR="00AB6499">
        <w:rPr>
          <w:rFonts w:eastAsia="Times New Roman" w:cs="Arial"/>
          <w:bCs/>
          <w:snapToGrid w:val="0"/>
          <w:szCs w:val="24"/>
          <w:lang w:val="en-GB"/>
        </w:rPr>
        <w:t xml:space="preserve"> is only PBS-listed for the treatment of pancreatic NETs and considered that its high cost was likely to limit its use in the </w:t>
      </w:r>
      <w:r w:rsidR="0095005D">
        <w:rPr>
          <w:rFonts w:eastAsia="Times New Roman" w:cs="Arial"/>
          <w:bCs/>
          <w:snapToGrid w:val="0"/>
          <w:szCs w:val="24"/>
          <w:lang w:val="en-GB"/>
        </w:rPr>
        <w:t>management</w:t>
      </w:r>
      <w:r w:rsidR="00AB6499">
        <w:rPr>
          <w:rFonts w:eastAsia="Times New Roman" w:cs="Arial"/>
          <w:bCs/>
          <w:snapToGrid w:val="0"/>
          <w:szCs w:val="24"/>
          <w:lang w:val="en-GB"/>
        </w:rPr>
        <w:t xml:space="preserve"> of non-pancreatic GEP-NETs in clinical practi</w:t>
      </w:r>
      <w:r w:rsidR="005F2E08">
        <w:rPr>
          <w:rFonts w:eastAsia="Times New Roman" w:cs="Arial"/>
          <w:bCs/>
          <w:snapToGrid w:val="0"/>
          <w:szCs w:val="24"/>
          <w:lang w:val="en-GB"/>
        </w:rPr>
        <w:t>c</w:t>
      </w:r>
      <w:r w:rsidR="00AB6499">
        <w:rPr>
          <w:rFonts w:eastAsia="Times New Roman" w:cs="Arial"/>
          <w:bCs/>
          <w:snapToGrid w:val="0"/>
          <w:szCs w:val="24"/>
          <w:lang w:val="en-GB"/>
        </w:rPr>
        <w:t>e.</w:t>
      </w:r>
    </w:p>
    <w:p w:rsidR="0095005D" w:rsidRDefault="0095005D" w:rsidP="00F42C57">
      <w:pPr>
        <w:pStyle w:val="ListParagraph"/>
        <w:numPr>
          <w:ilvl w:val="0"/>
          <w:numId w:val="14"/>
        </w:numPr>
        <w:spacing w:before="0" w:after="120"/>
        <w:ind w:left="851" w:hanging="284"/>
        <w:contextualSpacing w:val="0"/>
        <w:rPr>
          <w:rFonts w:eastAsia="Times New Roman" w:cs="Arial"/>
          <w:bCs/>
          <w:snapToGrid w:val="0"/>
          <w:szCs w:val="24"/>
          <w:lang w:val="en-GB"/>
        </w:rPr>
      </w:pPr>
      <w:r>
        <w:rPr>
          <w:rFonts w:eastAsia="Times New Roman" w:cs="Arial"/>
          <w:bCs/>
          <w:snapToGrid w:val="0"/>
          <w:szCs w:val="24"/>
          <w:lang w:val="en-GB"/>
        </w:rPr>
        <w:t>The resubmission did not adequately justify</w:t>
      </w:r>
      <w:r w:rsidR="00B1123F">
        <w:rPr>
          <w:rFonts w:eastAsia="Times New Roman" w:cs="Arial"/>
          <w:bCs/>
          <w:snapToGrid w:val="0"/>
          <w:szCs w:val="24"/>
          <w:lang w:val="en-GB"/>
        </w:rPr>
        <w:t xml:space="preserve"> the rate of post-progression </w:t>
      </w:r>
      <w:proofErr w:type="spellStart"/>
      <w:r w:rsidR="00B1123F">
        <w:rPr>
          <w:rFonts w:eastAsia="Times New Roman" w:cs="Arial"/>
          <w:bCs/>
          <w:snapToGrid w:val="0"/>
          <w:szCs w:val="24"/>
          <w:lang w:val="en-GB"/>
        </w:rPr>
        <w:t>lanreotide</w:t>
      </w:r>
      <w:proofErr w:type="spellEnd"/>
      <w:r w:rsidR="00B1123F">
        <w:rPr>
          <w:rFonts w:eastAsia="Times New Roman" w:cs="Arial"/>
          <w:bCs/>
          <w:snapToGrid w:val="0"/>
          <w:szCs w:val="24"/>
          <w:lang w:val="en-GB"/>
        </w:rPr>
        <w:t xml:space="preserve"> use applied in the model (</w:t>
      </w:r>
      <w:r w:rsidR="00D349D3">
        <w:rPr>
          <w:rFonts w:eastAsia="Times New Roman" w:cs="Arial"/>
          <w:bCs/>
          <w:snapToGrid w:val="0"/>
          <w:szCs w:val="24"/>
          <w:lang w:val="en-GB"/>
        </w:rPr>
        <w:t xml:space="preserve">30% in the placebo arm and 48% in the </w:t>
      </w:r>
      <w:proofErr w:type="spellStart"/>
      <w:r w:rsidR="00D349D3">
        <w:rPr>
          <w:rFonts w:eastAsia="Times New Roman" w:cs="Arial"/>
          <w:bCs/>
          <w:snapToGrid w:val="0"/>
          <w:szCs w:val="24"/>
          <w:lang w:val="en-GB"/>
        </w:rPr>
        <w:t>lanreotide</w:t>
      </w:r>
      <w:proofErr w:type="spellEnd"/>
      <w:r w:rsidR="00D349D3">
        <w:rPr>
          <w:rFonts w:eastAsia="Times New Roman" w:cs="Arial"/>
          <w:bCs/>
          <w:snapToGrid w:val="0"/>
          <w:szCs w:val="24"/>
          <w:lang w:val="en-GB"/>
        </w:rPr>
        <w:t xml:space="preserve"> arm)</w:t>
      </w:r>
      <w:r w:rsidR="004B5643">
        <w:rPr>
          <w:rFonts w:eastAsia="Times New Roman" w:cs="Arial"/>
          <w:bCs/>
          <w:snapToGrid w:val="0"/>
          <w:szCs w:val="24"/>
          <w:lang w:val="en-GB"/>
        </w:rPr>
        <w:t xml:space="preserve">, </w:t>
      </w:r>
      <w:r w:rsidR="005F5A68">
        <w:rPr>
          <w:rFonts w:eastAsia="Times New Roman" w:cs="Arial"/>
          <w:bCs/>
          <w:snapToGrid w:val="0"/>
          <w:szCs w:val="24"/>
          <w:lang w:val="en-GB"/>
        </w:rPr>
        <w:t>particularly</w:t>
      </w:r>
      <w:r w:rsidR="005F2E08">
        <w:rPr>
          <w:rFonts w:eastAsia="Times New Roman" w:cs="Arial"/>
          <w:bCs/>
          <w:snapToGrid w:val="0"/>
          <w:szCs w:val="24"/>
          <w:lang w:val="en-GB"/>
        </w:rPr>
        <w:t xml:space="preserve"> given that </w:t>
      </w:r>
      <w:proofErr w:type="spellStart"/>
      <w:r w:rsidR="005F2E08">
        <w:rPr>
          <w:rFonts w:eastAsia="Times New Roman" w:cs="Arial"/>
          <w:bCs/>
          <w:snapToGrid w:val="0"/>
          <w:szCs w:val="24"/>
          <w:lang w:val="en-GB"/>
        </w:rPr>
        <w:t>lanreotide</w:t>
      </w:r>
      <w:proofErr w:type="spellEnd"/>
      <w:r w:rsidR="005F2E08">
        <w:rPr>
          <w:rFonts w:eastAsia="Times New Roman" w:cs="Arial"/>
          <w:bCs/>
          <w:snapToGrid w:val="0"/>
          <w:szCs w:val="24"/>
          <w:lang w:val="en-GB"/>
        </w:rPr>
        <w:t xml:space="preserve"> is not currently PBS-subsidised for non-functional GEP-NETs</w:t>
      </w:r>
      <w:r w:rsidR="00D349D3">
        <w:rPr>
          <w:rFonts w:eastAsia="Times New Roman" w:cs="Arial"/>
          <w:bCs/>
          <w:snapToGrid w:val="0"/>
          <w:szCs w:val="24"/>
          <w:lang w:val="en-GB"/>
        </w:rPr>
        <w:t>.</w:t>
      </w:r>
    </w:p>
    <w:p w:rsidR="00F25E9F" w:rsidRDefault="00F25E9F" w:rsidP="00F42C57">
      <w:pPr>
        <w:spacing w:before="0" w:after="120"/>
        <w:ind w:left="567"/>
        <w:rPr>
          <w:rFonts w:eastAsia="Times New Roman" w:cs="Arial"/>
          <w:bCs/>
          <w:snapToGrid w:val="0"/>
          <w:szCs w:val="24"/>
          <w:lang w:val="en-GB"/>
        </w:rPr>
      </w:pPr>
      <w:r>
        <w:rPr>
          <w:rFonts w:eastAsia="Times New Roman" w:cs="Arial"/>
          <w:bCs/>
          <w:snapToGrid w:val="0"/>
          <w:szCs w:val="24"/>
          <w:lang w:val="en-GB"/>
        </w:rPr>
        <w:t>The PBAC noted that</w:t>
      </w:r>
      <w:r w:rsidR="009E0A11">
        <w:rPr>
          <w:rFonts w:eastAsia="Times New Roman" w:cs="Arial"/>
          <w:bCs/>
          <w:snapToGrid w:val="0"/>
          <w:szCs w:val="24"/>
          <w:lang w:val="en-GB"/>
        </w:rPr>
        <w:t xml:space="preserve"> the model was highly sensitive to assumptions relating to post</w:t>
      </w:r>
      <w:r w:rsidR="0084435A">
        <w:rPr>
          <w:rFonts w:eastAsia="Times New Roman" w:cs="Arial"/>
          <w:bCs/>
          <w:snapToGrid w:val="0"/>
          <w:szCs w:val="24"/>
          <w:lang w:val="en-GB"/>
        </w:rPr>
        <w:noBreakHyphen/>
      </w:r>
      <w:r w:rsidR="009E0A11">
        <w:rPr>
          <w:rFonts w:eastAsia="Times New Roman" w:cs="Arial"/>
          <w:bCs/>
          <w:snapToGrid w:val="0"/>
          <w:szCs w:val="24"/>
          <w:lang w:val="en-GB"/>
        </w:rPr>
        <w:t xml:space="preserve">progression treatments, and the differential post-progression use of </w:t>
      </w:r>
      <w:proofErr w:type="spellStart"/>
      <w:r w:rsidR="009E0A11">
        <w:rPr>
          <w:rFonts w:eastAsia="Times New Roman" w:cs="Arial"/>
          <w:bCs/>
          <w:snapToGrid w:val="0"/>
          <w:szCs w:val="24"/>
          <w:lang w:val="en-GB"/>
        </w:rPr>
        <w:t>lanreotide</w:t>
      </w:r>
      <w:proofErr w:type="spellEnd"/>
      <w:r w:rsidR="009E0A11">
        <w:rPr>
          <w:rFonts w:eastAsia="Times New Roman" w:cs="Arial"/>
          <w:bCs/>
          <w:snapToGrid w:val="0"/>
          <w:szCs w:val="24"/>
          <w:lang w:val="en-GB"/>
        </w:rPr>
        <w:t xml:space="preserve"> between treatment arms in particular </w:t>
      </w:r>
      <w:r w:rsidR="009E0A11" w:rsidRPr="000D028E">
        <w:t xml:space="preserve">with the results ranging from </w:t>
      </w:r>
      <w:proofErr w:type="spellStart"/>
      <w:r w:rsidR="009E0A11" w:rsidRPr="000D028E">
        <w:t>lanreotide</w:t>
      </w:r>
      <w:proofErr w:type="spellEnd"/>
      <w:r w:rsidR="009E0A11" w:rsidRPr="000D028E">
        <w:t xml:space="preserve"> being dominant to costs per QALY gained of</w:t>
      </w:r>
      <w:r w:rsidR="00F77260">
        <w:t xml:space="preserve"> more than</w:t>
      </w:r>
      <w:r w:rsidR="009E0A11" w:rsidRPr="000D028E">
        <w:t xml:space="preserve"> $</w:t>
      </w:r>
      <w:r w:rsidR="00F77260">
        <w:t>200,000</w:t>
      </w:r>
      <w:r>
        <w:rPr>
          <w:rFonts w:eastAsia="Times New Roman" w:cs="Arial"/>
          <w:bCs/>
          <w:snapToGrid w:val="0"/>
          <w:szCs w:val="24"/>
          <w:lang w:val="en-GB"/>
        </w:rPr>
        <w:t xml:space="preserve">. </w:t>
      </w:r>
    </w:p>
    <w:p w:rsidR="00F25E9F" w:rsidRPr="007D3378" w:rsidRDefault="00F25E9F" w:rsidP="007D3378">
      <w:pPr>
        <w:numPr>
          <w:ilvl w:val="1"/>
          <w:numId w:val="3"/>
        </w:numPr>
        <w:spacing w:before="0" w:after="120"/>
        <w:ind w:left="567" w:hanging="567"/>
        <w:rPr>
          <w:rFonts w:eastAsia="Times New Roman" w:cs="Arial"/>
          <w:bCs/>
          <w:snapToGrid w:val="0"/>
          <w:szCs w:val="24"/>
          <w:lang w:val="en-GB"/>
        </w:rPr>
      </w:pPr>
      <w:r>
        <w:rPr>
          <w:rFonts w:eastAsia="Times New Roman" w:cs="Arial"/>
          <w:bCs/>
          <w:snapToGrid w:val="0"/>
          <w:szCs w:val="24"/>
          <w:lang w:val="en-GB"/>
        </w:rPr>
        <w:t xml:space="preserve">In addition, the PBAC noted that the </w:t>
      </w:r>
      <w:r w:rsidR="007D3378" w:rsidRPr="00936D42">
        <w:t xml:space="preserve">utility value for progressive disease (and therefore the change </w:t>
      </w:r>
      <w:r w:rsidR="007D3378">
        <w:t>from the stable disease health state</w:t>
      </w:r>
      <w:r w:rsidR="007D3378" w:rsidRPr="00936D42">
        <w:t xml:space="preserve">) used in the model </w:t>
      </w:r>
      <w:r w:rsidR="009E0A11">
        <w:t>was</w:t>
      </w:r>
      <w:r w:rsidR="007D3378" w:rsidRPr="00936D42">
        <w:t xml:space="preserve"> poorly supported</w:t>
      </w:r>
      <w:r w:rsidR="007D3378">
        <w:t xml:space="preserve"> (see paragraph 6.32) and that estimated overall survival remained a source of uncertainty (see paragraph 6.31).</w:t>
      </w:r>
      <w:r w:rsidR="007D3378">
        <w:rPr>
          <w:rFonts w:eastAsia="Times New Roman" w:cs="Arial"/>
          <w:bCs/>
          <w:snapToGrid w:val="0"/>
          <w:szCs w:val="24"/>
          <w:lang w:val="en-GB"/>
        </w:rPr>
        <w:t xml:space="preserve"> </w:t>
      </w:r>
      <w:r w:rsidRPr="007D3378">
        <w:rPr>
          <w:rFonts w:eastAsia="Times New Roman" w:cs="Arial"/>
          <w:bCs/>
          <w:snapToGrid w:val="0"/>
          <w:szCs w:val="24"/>
          <w:lang w:val="en-GB"/>
        </w:rPr>
        <w:t xml:space="preserve">Accordingly, </w:t>
      </w:r>
      <w:r w:rsidRPr="00F22925">
        <w:rPr>
          <w:rFonts w:eastAsia="Times New Roman" w:cs="Arial"/>
          <w:bCs/>
          <w:snapToGrid w:val="0"/>
          <w:szCs w:val="24"/>
          <w:lang w:val="en-GB"/>
        </w:rPr>
        <w:t>t</w:t>
      </w:r>
      <w:r w:rsidRPr="007D3378">
        <w:rPr>
          <w:rFonts w:eastAsia="Times New Roman" w:cs="Arial"/>
          <w:bCs/>
          <w:snapToGrid w:val="0"/>
          <w:szCs w:val="24"/>
          <w:lang w:val="en-GB"/>
        </w:rPr>
        <w:t xml:space="preserve">he PBAC considered the economic model provided in the </w:t>
      </w:r>
      <w:r w:rsidR="009E0A11">
        <w:rPr>
          <w:rFonts w:eastAsia="Times New Roman" w:cs="Arial"/>
          <w:bCs/>
          <w:snapToGrid w:val="0"/>
          <w:szCs w:val="24"/>
          <w:lang w:val="en-GB"/>
        </w:rPr>
        <w:t xml:space="preserve">current </w:t>
      </w:r>
      <w:r w:rsidRPr="007D3378">
        <w:rPr>
          <w:rFonts w:eastAsia="Times New Roman" w:cs="Arial"/>
          <w:bCs/>
          <w:snapToGrid w:val="0"/>
          <w:szCs w:val="24"/>
          <w:lang w:val="en-GB"/>
        </w:rPr>
        <w:t xml:space="preserve">resubmission (as well as the previous </w:t>
      </w:r>
      <w:r w:rsidR="009E0A11">
        <w:rPr>
          <w:rFonts w:eastAsia="Times New Roman" w:cs="Arial"/>
          <w:bCs/>
          <w:snapToGrid w:val="0"/>
          <w:szCs w:val="24"/>
          <w:lang w:val="en-GB"/>
        </w:rPr>
        <w:t>submissions</w:t>
      </w:r>
      <w:r w:rsidRPr="007D3378">
        <w:rPr>
          <w:rFonts w:eastAsia="Times New Roman" w:cs="Arial"/>
          <w:bCs/>
          <w:snapToGrid w:val="0"/>
          <w:szCs w:val="24"/>
          <w:lang w:val="en-GB"/>
        </w:rPr>
        <w:t>) to be fundamentally unr</w:t>
      </w:r>
      <w:r w:rsidR="003D4A48">
        <w:rPr>
          <w:rFonts w:eastAsia="Times New Roman" w:cs="Arial"/>
          <w:bCs/>
          <w:snapToGrid w:val="0"/>
          <w:szCs w:val="24"/>
          <w:lang w:val="en-GB"/>
        </w:rPr>
        <w:t>eliable for estimating the cost-</w:t>
      </w:r>
      <w:r w:rsidRPr="007D3378">
        <w:rPr>
          <w:rFonts w:eastAsia="Times New Roman" w:cs="Arial"/>
          <w:bCs/>
          <w:snapToGrid w:val="0"/>
          <w:szCs w:val="24"/>
          <w:lang w:val="en-GB"/>
        </w:rPr>
        <w:t xml:space="preserve">effectiveness of </w:t>
      </w:r>
      <w:proofErr w:type="spellStart"/>
      <w:r w:rsidRPr="007D3378">
        <w:rPr>
          <w:rFonts w:eastAsia="Times New Roman" w:cs="Arial"/>
          <w:bCs/>
          <w:snapToGrid w:val="0"/>
          <w:szCs w:val="24"/>
          <w:lang w:val="en-GB"/>
        </w:rPr>
        <w:t>lanreo</w:t>
      </w:r>
      <w:r w:rsidR="007D3378">
        <w:rPr>
          <w:rFonts w:eastAsia="Times New Roman" w:cs="Arial"/>
          <w:bCs/>
          <w:snapToGrid w:val="0"/>
          <w:szCs w:val="24"/>
          <w:lang w:val="en-GB"/>
        </w:rPr>
        <w:t>tide</w:t>
      </w:r>
      <w:proofErr w:type="spellEnd"/>
      <w:r w:rsidR="007D3378">
        <w:rPr>
          <w:rFonts w:eastAsia="Times New Roman" w:cs="Arial"/>
          <w:bCs/>
          <w:snapToGrid w:val="0"/>
          <w:szCs w:val="24"/>
          <w:lang w:val="en-GB"/>
        </w:rPr>
        <w:t xml:space="preserve"> for the requested listing.</w:t>
      </w:r>
    </w:p>
    <w:p w:rsidR="00C55205" w:rsidRPr="00A378D7" w:rsidRDefault="007D3378" w:rsidP="00C55205">
      <w:pPr>
        <w:pStyle w:val="ListParagraph"/>
        <w:numPr>
          <w:ilvl w:val="1"/>
          <w:numId w:val="3"/>
        </w:numPr>
        <w:spacing w:before="0" w:after="120"/>
        <w:ind w:left="567" w:hanging="567"/>
        <w:contextualSpacing w:val="0"/>
        <w:rPr>
          <w:rFonts w:eastAsia="Times New Roman" w:cs="Arial"/>
          <w:bCs/>
          <w:snapToGrid w:val="0"/>
          <w:szCs w:val="24"/>
          <w:lang w:val="en-GB"/>
        </w:rPr>
      </w:pPr>
      <w:r>
        <w:rPr>
          <w:rFonts w:eastAsia="Times New Roman" w:cs="Arial"/>
          <w:bCs/>
          <w:snapToGrid w:val="0"/>
          <w:szCs w:val="24"/>
          <w:lang w:val="en-GB"/>
        </w:rPr>
        <w:t>The PBAC considered the estimated utilisation and financial implications were uncertain</w:t>
      </w:r>
      <w:r w:rsidR="00F22925">
        <w:rPr>
          <w:rFonts w:eastAsia="Times New Roman" w:cs="Arial"/>
          <w:bCs/>
          <w:snapToGrid w:val="0"/>
          <w:szCs w:val="24"/>
          <w:lang w:val="en-GB"/>
        </w:rPr>
        <w:t xml:space="preserve"> due to the issues raised in paragraph 6.46</w:t>
      </w:r>
      <w:r w:rsidRPr="008D2BE8">
        <w:rPr>
          <w:rFonts w:eastAsia="Times New Roman" w:cs="Arial"/>
          <w:bCs/>
          <w:snapToGrid w:val="0"/>
          <w:szCs w:val="24"/>
          <w:lang w:val="en-GB"/>
        </w:rPr>
        <w:t>.</w:t>
      </w:r>
    </w:p>
    <w:p w:rsidR="00F22925" w:rsidRPr="002A4946" w:rsidRDefault="009C4CF0" w:rsidP="002A4946">
      <w:pPr>
        <w:numPr>
          <w:ilvl w:val="1"/>
          <w:numId w:val="3"/>
        </w:numPr>
        <w:spacing w:before="0" w:after="120"/>
        <w:ind w:left="567" w:hanging="567"/>
        <w:rPr>
          <w:rFonts w:eastAsia="Times New Roman" w:cs="Arial"/>
          <w:bCs/>
          <w:snapToGrid w:val="0"/>
          <w:szCs w:val="24"/>
          <w:lang w:val="en-GB"/>
        </w:rPr>
      </w:pPr>
      <w:r w:rsidRPr="003747FE">
        <w:rPr>
          <w:rFonts w:eastAsia="Times New Roman" w:cs="Arial"/>
          <w:bCs/>
          <w:snapToGrid w:val="0"/>
          <w:szCs w:val="24"/>
          <w:lang w:val="en-GB"/>
        </w:rPr>
        <w:t xml:space="preserve">The PBAC recalled that at its November 2016 meeting, it considered a significant reduction in the requested price would be required to provide greater confidence in the cost-effectiveness of </w:t>
      </w:r>
      <w:proofErr w:type="spellStart"/>
      <w:r w:rsidRPr="003747FE">
        <w:rPr>
          <w:rFonts w:eastAsia="Times New Roman" w:cs="Arial"/>
          <w:bCs/>
          <w:snapToGrid w:val="0"/>
          <w:szCs w:val="24"/>
          <w:lang w:val="en-GB"/>
        </w:rPr>
        <w:t>lanreotide</w:t>
      </w:r>
      <w:proofErr w:type="spellEnd"/>
      <w:r w:rsidRPr="003747FE">
        <w:rPr>
          <w:rFonts w:eastAsia="Times New Roman" w:cs="Arial"/>
          <w:bCs/>
          <w:snapToGrid w:val="0"/>
          <w:szCs w:val="24"/>
          <w:lang w:val="en-GB"/>
        </w:rPr>
        <w:t xml:space="preserve">. The PBAC noted that the </w:t>
      </w:r>
      <w:r>
        <w:rPr>
          <w:rFonts w:eastAsia="Times New Roman" w:cs="Arial"/>
          <w:bCs/>
          <w:snapToGrid w:val="0"/>
          <w:szCs w:val="24"/>
          <w:lang w:val="en-GB"/>
        </w:rPr>
        <w:t xml:space="preserve">current </w:t>
      </w:r>
      <w:r w:rsidRPr="003747FE">
        <w:rPr>
          <w:rFonts w:eastAsia="Times New Roman" w:cs="Arial"/>
          <w:bCs/>
          <w:snapToGrid w:val="0"/>
          <w:szCs w:val="24"/>
          <w:lang w:val="en-GB"/>
        </w:rPr>
        <w:t xml:space="preserve">resubmission proposed a </w:t>
      </w:r>
      <w:r w:rsidR="00D2014F">
        <w:rPr>
          <w:rFonts w:eastAsia="Times New Roman" w:cs="Arial"/>
          <w:bCs/>
          <w:noProof/>
          <w:snapToGrid w:val="0"/>
          <w:color w:val="000000"/>
          <w:szCs w:val="24"/>
          <w:highlight w:val="black"/>
          <w:lang w:val="en-GB"/>
        </w:rPr>
        <w:t>'''''</w:t>
      </w:r>
      <w:r w:rsidRPr="003747FE">
        <w:rPr>
          <w:rFonts w:eastAsia="Times New Roman" w:cs="Arial"/>
          <w:bCs/>
          <w:snapToGrid w:val="0"/>
          <w:szCs w:val="24"/>
          <w:lang w:val="en-GB"/>
        </w:rPr>
        <w:t xml:space="preserve">% reduction to the price </w:t>
      </w:r>
      <w:r>
        <w:rPr>
          <w:rFonts w:eastAsia="Times New Roman" w:cs="Arial"/>
          <w:bCs/>
          <w:snapToGrid w:val="0"/>
          <w:szCs w:val="24"/>
          <w:lang w:val="en-GB"/>
        </w:rPr>
        <w:t>requested</w:t>
      </w:r>
      <w:r w:rsidRPr="003747FE">
        <w:rPr>
          <w:rFonts w:eastAsia="Times New Roman" w:cs="Arial"/>
          <w:bCs/>
          <w:snapToGrid w:val="0"/>
          <w:szCs w:val="24"/>
          <w:lang w:val="en-GB"/>
        </w:rPr>
        <w:t xml:space="preserve"> in the November 2016 </w:t>
      </w:r>
      <w:r w:rsidR="00175A74">
        <w:rPr>
          <w:rFonts w:eastAsia="Times New Roman" w:cs="Arial"/>
          <w:bCs/>
          <w:snapToGrid w:val="0"/>
          <w:szCs w:val="24"/>
          <w:lang w:val="en-GB"/>
        </w:rPr>
        <w:t>re</w:t>
      </w:r>
      <w:r w:rsidRPr="003747FE">
        <w:rPr>
          <w:rFonts w:eastAsia="Times New Roman" w:cs="Arial"/>
          <w:bCs/>
          <w:snapToGrid w:val="0"/>
          <w:szCs w:val="24"/>
          <w:lang w:val="en-GB"/>
        </w:rPr>
        <w:t xml:space="preserve">submission. The PBAC considered the proposed price reduction of </w:t>
      </w:r>
      <w:r w:rsidR="00D2014F">
        <w:rPr>
          <w:rFonts w:eastAsia="Times New Roman" w:cs="Arial"/>
          <w:bCs/>
          <w:noProof/>
          <w:snapToGrid w:val="0"/>
          <w:color w:val="000000"/>
          <w:szCs w:val="24"/>
          <w:highlight w:val="black"/>
          <w:lang w:val="en-GB"/>
        </w:rPr>
        <w:t>'''''</w:t>
      </w:r>
      <w:r w:rsidRPr="003747FE">
        <w:rPr>
          <w:rFonts w:eastAsia="Times New Roman" w:cs="Arial"/>
          <w:bCs/>
          <w:snapToGrid w:val="0"/>
          <w:szCs w:val="24"/>
          <w:lang w:val="en-GB"/>
        </w:rPr>
        <w:t xml:space="preserve">% to be modest and did not provide greater confidence in the cost-effectiveness of lanreotide, particularly given the fundamental </w:t>
      </w:r>
      <w:r w:rsidR="00915239">
        <w:rPr>
          <w:rFonts w:eastAsia="Times New Roman" w:cs="Arial"/>
          <w:bCs/>
          <w:snapToGrid w:val="0"/>
          <w:szCs w:val="24"/>
          <w:lang w:val="en-GB"/>
        </w:rPr>
        <w:t>issues with</w:t>
      </w:r>
      <w:r w:rsidR="00915239" w:rsidRPr="003747FE">
        <w:rPr>
          <w:rFonts w:eastAsia="Times New Roman" w:cs="Arial"/>
          <w:bCs/>
          <w:snapToGrid w:val="0"/>
          <w:szCs w:val="24"/>
          <w:lang w:val="en-GB"/>
        </w:rPr>
        <w:t xml:space="preserve"> </w:t>
      </w:r>
      <w:r w:rsidRPr="003747FE">
        <w:rPr>
          <w:rFonts w:eastAsia="Times New Roman" w:cs="Arial"/>
          <w:bCs/>
          <w:snapToGrid w:val="0"/>
          <w:szCs w:val="24"/>
          <w:lang w:val="en-GB"/>
        </w:rPr>
        <w:t xml:space="preserve"> the economic model and the likelihood that some patients better served by watchful waiting may receive active treatment through </w:t>
      </w:r>
      <w:r w:rsidR="009E0A11">
        <w:rPr>
          <w:rFonts w:eastAsia="Times New Roman" w:cs="Arial"/>
          <w:bCs/>
          <w:snapToGrid w:val="0"/>
          <w:szCs w:val="24"/>
          <w:lang w:val="en-GB"/>
        </w:rPr>
        <w:t>a</w:t>
      </w:r>
      <w:r w:rsidRPr="003747FE">
        <w:rPr>
          <w:rFonts w:eastAsia="Times New Roman" w:cs="Arial"/>
          <w:bCs/>
          <w:snapToGrid w:val="0"/>
          <w:szCs w:val="24"/>
          <w:lang w:val="en-GB"/>
        </w:rPr>
        <w:t xml:space="preserve"> broad </w:t>
      </w:r>
      <w:r w:rsidR="00A57046">
        <w:rPr>
          <w:rFonts w:eastAsia="Times New Roman" w:cs="Arial"/>
          <w:bCs/>
          <w:snapToGrid w:val="0"/>
          <w:szCs w:val="24"/>
          <w:lang w:val="en-GB"/>
        </w:rPr>
        <w:t>PBS-</w:t>
      </w:r>
      <w:r w:rsidRPr="003747FE">
        <w:rPr>
          <w:rFonts w:eastAsia="Times New Roman" w:cs="Arial"/>
          <w:bCs/>
          <w:snapToGrid w:val="0"/>
          <w:szCs w:val="24"/>
          <w:lang w:val="en-GB"/>
        </w:rPr>
        <w:t xml:space="preserve">listing for non-functional GEP-NETs. </w:t>
      </w:r>
      <w:r w:rsidR="002A4946">
        <w:rPr>
          <w:rFonts w:eastAsia="Times New Roman" w:cs="Arial"/>
          <w:bCs/>
          <w:snapToGrid w:val="0"/>
          <w:szCs w:val="24"/>
          <w:lang w:val="en-GB"/>
        </w:rPr>
        <w:t>Accordingly, t</w:t>
      </w:r>
      <w:r w:rsidR="00F22925" w:rsidRPr="002A4946">
        <w:rPr>
          <w:rFonts w:eastAsia="Times New Roman" w:cs="Arial"/>
          <w:bCs/>
          <w:snapToGrid w:val="0"/>
          <w:szCs w:val="24"/>
          <w:lang w:val="en-GB"/>
        </w:rPr>
        <w:t xml:space="preserve">he PBAC </w:t>
      </w:r>
      <w:r w:rsidR="002A4946" w:rsidRPr="002A4946">
        <w:rPr>
          <w:rFonts w:eastAsia="Times New Roman" w:cs="Arial"/>
          <w:bCs/>
          <w:snapToGrid w:val="0"/>
          <w:szCs w:val="24"/>
          <w:lang w:val="en-GB"/>
        </w:rPr>
        <w:t>considered</w:t>
      </w:r>
      <w:r w:rsidR="00F22925" w:rsidRPr="002A4946">
        <w:rPr>
          <w:rFonts w:eastAsia="Times New Roman" w:cs="Arial"/>
          <w:bCs/>
          <w:snapToGrid w:val="0"/>
          <w:szCs w:val="24"/>
          <w:lang w:val="en-GB"/>
        </w:rPr>
        <w:t xml:space="preserve"> that </w:t>
      </w:r>
      <w:r w:rsidR="00FE1361" w:rsidRPr="002A4946">
        <w:rPr>
          <w:rFonts w:eastAsia="Times New Roman" w:cs="Arial"/>
          <w:bCs/>
          <w:snapToGrid w:val="0"/>
          <w:szCs w:val="24"/>
          <w:lang w:val="en-GB"/>
        </w:rPr>
        <w:t>a</w:t>
      </w:r>
      <w:r w:rsidR="002A4946" w:rsidRPr="002A4946">
        <w:rPr>
          <w:rFonts w:eastAsia="Times New Roman" w:cs="Arial"/>
          <w:bCs/>
          <w:snapToGrid w:val="0"/>
          <w:szCs w:val="24"/>
          <w:lang w:val="en-GB"/>
        </w:rPr>
        <w:t>ny</w:t>
      </w:r>
      <w:r w:rsidR="00AF2ECA">
        <w:rPr>
          <w:rFonts w:eastAsia="Times New Roman" w:cs="Arial"/>
          <w:bCs/>
          <w:snapToGrid w:val="0"/>
          <w:szCs w:val="24"/>
          <w:lang w:val="en-GB"/>
        </w:rPr>
        <w:t xml:space="preserve"> future</w:t>
      </w:r>
      <w:r w:rsidR="00FE1361" w:rsidRPr="002A4946">
        <w:rPr>
          <w:rFonts w:eastAsia="Times New Roman" w:cs="Arial"/>
          <w:bCs/>
          <w:snapToGrid w:val="0"/>
          <w:szCs w:val="24"/>
          <w:lang w:val="en-GB"/>
        </w:rPr>
        <w:t xml:space="preserve"> major resubmission</w:t>
      </w:r>
      <w:r w:rsidR="002A4946" w:rsidRPr="002A4946">
        <w:rPr>
          <w:rFonts w:eastAsia="Times New Roman" w:cs="Arial"/>
          <w:bCs/>
          <w:snapToGrid w:val="0"/>
          <w:szCs w:val="24"/>
          <w:lang w:val="en-GB"/>
        </w:rPr>
        <w:t xml:space="preserve"> would require</w:t>
      </w:r>
      <w:r w:rsidR="00FE1361" w:rsidRPr="002A4946">
        <w:rPr>
          <w:rFonts w:eastAsia="Times New Roman" w:cs="Arial"/>
          <w:bCs/>
          <w:snapToGrid w:val="0"/>
          <w:szCs w:val="24"/>
          <w:lang w:val="en-GB"/>
        </w:rPr>
        <w:t xml:space="preserve"> </w:t>
      </w:r>
      <w:r w:rsidR="0026538D" w:rsidRPr="002A4946">
        <w:rPr>
          <w:rFonts w:eastAsia="Times New Roman" w:cs="Arial"/>
          <w:bCs/>
          <w:snapToGrid w:val="0"/>
          <w:szCs w:val="24"/>
          <w:lang w:val="en-GB"/>
        </w:rPr>
        <w:t xml:space="preserve">a new </w:t>
      </w:r>
      <w:r w:rsidR="00F22925" w:rsidRPr="002A4946">
        <w:rPr>
          <w:rFonts w:eastAsia="Times New Roman" w:cs="Arial"/>
          <w:bCs/>
          <w:snapToGrid w:val="0"/>
          <w:szCs w:val="24"/>
          <w:lang w:val="en-GB"/>
        </w:rPr>
        <w:t>economic model</w:t>
      </w:r>
      <w:r w:rsidR="002A4946" w:rsidRPr="002A4946">
        <w:rPr>
          <w:rFonts w:eastAsia="Times New Roman" w:cs="Arial"/>
          <w:bCs/>
          <w:snapToGrid w:val="0"/>
          <w:szCs w:val="24"/>
          <w:lang w:val="en-GB"/>
        </w:rPr>
        <w:t xml:space="preserve"> to prov</w:t>
      </w:r>
      <w:r w:rsidR="003D4A48">
        <w:rPr>
          <w:rFonts w:eastAsia="Times New Roman" w:cs="Arial"/>
          <w:bCs/>
          <w:snapToGrid w:val="0"/>
          <w:szCs w:val="24"/>
          <w:lang w:val="en-GB"/>
        </w:rPr>
        <w:t>ide a reliable estimate of cost-</w:t>
      </w:r>
      <w:r w:rsidR="002A4946" w:rsidRPr="002A4946">
        <w:rPr>
          <w:rFonts w:eastAsia="Times New Roman" w:cs="Arial"/>
          <w:bCs/>
          <w:snapToGrid w:val="0"/>
          <w:szCs w:val="24"/>
          <w:lang w:val="en-GB"/>
        </w:rPr>
        <w:t>effectiveness.</w:t>
      </w:r>
    </w:p>
    <w:p w:rsidR="00C07543" w:rsidRPr="004C2254" w:rsidRDefault="00C07543" w:rsidP="00F22925">
      <w:pPr>
        <w:numPr>
          <w:ilvl w:val="1"/>
          <w:numId w:val="3"/>
        </w:numPr>
        <w:spacing w:before="0" w:after="120"/>
        <w:ind w:left="567" w:hanging="567"/>
        <w:rPr>
          <w:rFonts w:eastAsia="Times New Roman" w:cs="Arial"/>
          <w:bCs/>
          <w:snapToGrid w:val="0"/>
          <w:szCs w:val="24"/>
          <w:lang w:val="en-GB"/>
        </w:rPr>
      </w:pPr>
      <w:r w:rsidRPr="004C2254">
        <w:rPr>
          <w:rFonts w:eastAsia="Times New Roman" w:cs="Arial"/>
          <w:bCs/>
          <w:snapToGrid w:val="0"/>
          <w:szCs w:val="24"/>
          <w:lang w:val="en-GB"/>
        </w:rPr>
        <w:t xml:space="preserve">The PBAC noted that this submission is eligible for an Independent Review. </w:t>
      </w:r>
    </w:p>
    <w:p w:rsidR="00F2566D" w:rsidRPr="00C07543" w:rsidRDefault="00F2566D" w:rsidP="0071166B">
      <w:pPr>
        <w:spacing w:before="240" w:after="0"/>
        <w:rPr>
          <w:rFonts w:eastAsia="Times New Roman" w:cs="Arial"/>
          <w:b/>
          <w:bCs/>
          <w:snapToGrid w:val="0"/>
          <w:szCs w:val="24"/>
          <w:lang w:val="en-GB"/>
        </w:rPr>
      </w:pPr>
      <w:r w:rsidRPr="00C07543">
        <w:rPr>
          <w:rFonts w:eastAsia="Times New Roman" w:cs="Arial"/>
          <w:b/>
          <w:bCs/>
          <w:snapToGrid w:val="0"/>
          <w:szCs w:val="24"/>
          <w:lang w:val="en-GB"/>
        </w:rPr>
        <w:t>Outcome:</w:t>
      </w:r>
    </w:p>
    <w:p w:rsidR="00F2566D" w:rsidRDefault="00F2566D" w:rsidP="00852CB7">
      <w:pPr>
        <w:spacing w:before="0" w:after="120"/>
        <w:rPr>
          <w:rFonts w:eastAsia="Times New Roman" w:cs="Arial"/>
          <w:bCs/>
          <w:snapToGrid w:val="0"/>
          <w:szCs w:val="24"/>
          <w:lang w:val="en-GB"/>
        </w:rPr>
      </w:pPr>
      <w:r w:rsidRPr="00C07543">
        <w:rPr>
          <w:rFonts w:eastAsia="Times New Roman" w:cs="Arial"/>
          <w:bCs/>
          <w:snapToGrid w:val="0"/>
          <w:szCs w:val="24"/>
          <w:lang w:val="en-GB"/>
        </w:rPr>
        <w:t>Rejected</w:t>
      </w:r>
    </w:p>
    <w:p w:rsidR="0005775B" w:rsidRPr="0005775B" w:rsidRDefault="0005775B" w:rsidP="0005775B">
      <w:pPr>
        <w:pStyle w:val="Heading1"/>
        <w:spacing w:after="0"/>
        <w:ind w:left="426" w:hanging="567"/>
        <w:rPr>
          <w:rFonts w:asciiTheme="minorHAnsi" w:hAnsiTheme="minorHAnsi" w:cs="Arial"/>
          <w:szCs w:val="24"/>
        </w:rPr>
      </w:pPr>
      <w:r w:rsidRPr="0005775B">
        <w:rPr>
          <w:rFonts w:asciiTheme="minorHAnsi" w:hAnsiTheme="minorHAnsi"/>
          <w:szCs w:val="32"/>
        </w:rPr>
        <w:t>Context for Decision</w:t>
      </w:r>
    </w:p>
    <w:p w:rsidR="0005775B" w:rsidRPr="00440A84" w:rsidRDefault="0005775B" w:rsidP="0005775B">
      <w:pPr>
        <w:spacing w:after="0"/>
        <w:ind w:left="426"/>
        <w:rPr>
          <w:rFonts w:asciiTheme="minorHAnsi" w:hAnsiTheme="minorHAnsi" w:cs="Arial"/>
          <w:szCs w:val="24"/>
        </w:rPr>
      </w:pPr>
      <w:r w:rsidRPr="00440A84">
        <w:rPr>
          <w:rFonts w:asciiTheme="minorHAnsi" w:hAnsiTheme="minorHAnsi"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5775B" w:rsidRPr="006C2DAA" w:rsidRDefault="0005775B" w:rsidP="0005775B">
      <w:pPr>
        <w:pStyle w:val="Heading1"/>
        <w:ind w:left="567" w:hanging="567"/>
        <w:rPr>
          <w:rFonts w:asciiTheme="minorHAnsi" w:hAnsiTheme="minorHAnsi"/>
          <w:b w:val="0"/>
          <w:szCs w:val="32"/>
        </w:rPr>
      </w:pPr>
      <w:r w:rsidRPr="006C2DAA">
        <w:rPr>
          <w:rFonts w:asciiTheme="minorHAnsi" w:hAnsiTheme="minorHAnsi"/>
          <w:szCs w:val="32"/>
        </w:rPr>
        <w:t xml:space="preserve"> Sponsor’s Comment</w:t>
      </w:r>
    </w:p>
    <w:p w:rsidR="0005775B" w:rsidRPr="00440A84" w:rsidRDefault="0005775B" w:rsidP="0005775B">
      <w:pPr>
        <w:spacing w:after="0"/>
        <w:ind w:left="426"/>
        <w:rPr>
          <w:rFonts w:asciiTheme="minorHAnsi" w:hAnsiTheme="minorHAnsi" w:cs="Arial"/>
          <w:bCs/>
          <w:szCs w:val="24"/>
          <w:highlight w:val="yellow"/>
          <w:lang w:val="en-GB"/>
        </w:rPr>
      </w:pPr>
    </w:p>
    <w:p w:rsidR="0005775B" w:rsidRPr="00440A84" w:rsidRDefault="0005775B" w:rsidP="0005775B">
      <w:pPr>
        <w:spacing w:after="120"/>
        <w:ind w:left="426"/>
        <w:rPr>
          <w:rFonts w:asciiTheme="minorHAnsi" w:hAnsiTheme="minorHAnsi" w:cs="Arial"/>
          <w:bCs/>
          <w:szCs w:val="24"/>
        </w:rPr>
      </w:pPr>
      <w:bookmarkStart w:id="44" w:name="_GoBack"/>
      <w:bookmarkEnd w:id="44"/>
      <w:r w:rsidRPr="00440A84">
        <w:rPr>
          <w:rFonts w:asciiTheme="minorHAnsi" w:hAnsiTheme="minorHAnsi" w:cs="Arial"/>
          <w:bCs/>
          <w:szCs w:val="24"/>
        </w:rPr>
        <w:t>The sponsor had no comment.</w:t>
      </w:r>
    </w:p>
    <w:p w:rsidR="0005775B" w:rsidRDefault="0005775B" w:rsidP="00852CB7">
      <w:pPr>
        <w:spacing w:before="0" w:after="120"/>
        <w:rPr>
          <w:rFonts w:eastAsia="Times New Roman" w:cs="Arial"/>
          <w:bCs/>
          <w:snapToGrid w:val="0"/>
          <w:szCs w:val="24"/>
          <w:lang w:val="en-GB"/>
        </w:rPr>
      </w:pPr>
    </w:p>
    <w:p w:rsidR="0005775B" w:rsidRDefault="0005775B" w:rsidP="00852CB7">
      <w:pPr>
        <w:spacing w:before="0" w:after="120"/>
        <w:rPr>
          <w:rFonts w:eastAsia="Times New Roman" w:cs="Arial"/>
          <w:bCs/>
          <w:snapToGrid w:val="0"/>
          <w:szCs w:val="24"/>
          <w:lang w:val="en-GB"/>
        </w:rPr>
      </w:pPr>
    </w:p>
    <w:p w:rsidR="0005775B" w:rsidRPr="00C07543" w:rsidRDefault="0005775B" w:rsidP="00852CB7">
      <w:pPr>
        <w:spacing w:before="0" w:after="120"/>
        <w:rPr>
          <w:rFonts w:eastAsia="Times New Roman" w:cs="Arial"/>
          <w:bCs/>
          <w:snapToGrid w:val="0"/>
          <w:szCs w:val="24"/>
          <w:lang w:val="en-GB"/>
        </w:rPr>
      </w:pPr>
    </w:p>
    <w:sectPr w:rsidR="0005775B" w:rsidRPr="00C07543" w:rsidSect="004057C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AD2830" w15:done="0"/>
  <w15:commentEx w15:paraId="58B38B6C" w15:done="0"/>
  <w15:commentEx w15:paraId="192F6889" w15:paraIdParent="58B38B6C" w15:done="0"/>
  <w15:commentEx w15:paraId="43507A96" w15:done="0"/>
  <w15:commentEx w15:paraId="4701DAF1" w15:done="0"/>
  <w15:commentEx w15:paraId="4D7DDF26" w15:paraIdParent="4701DAF1" w15:done="0"/>
  <w15:commentEx w15:paraId="09BED91E" w15:done="0"/>
  <w15:commentEx w15:paraId="3F45509C" w15:paraIdParent="09BED91E" w15:done="0"/>
  <w15:commentEx w15:paraId="70D61820" w15:paraIdParent="09BED91E" w15:done="0"/>
  <w15:commentEx w15:paraId="0BEA07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14F" w:rsidRDefault="00D2014F" w:rsidP="00BA3306">
      <w:pPr>
        <w:spacing w:before="0" w:after="0"/>
      </w:pPr>
      <w:r>
        <w:separator/>
      </w:r>
    </w:p>
    <w:p w:rsidR="00D2014F" w:rsidRDefault="00D2014F"/>
  </w:endnote>
  <w:endnote w:type="continuationSeparator" w:id="0">
    <w:p w:rsidR="00D2014F" w:rsidRDefault="00D2014F" w:rsidP="00BA3306">
      <w:pPr>
        <w:spacing w:before="0" w:after="0"/>
      </w:pPr>
      <w:r>
        <w:continuationSeparator/>
      </w:r>
    </w:p>
    <w:p w:rsidR="00D2014F" w:rsidRDefault="00D20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14F" w:rsidRDefault="00D20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F36" w:rsidRPr="0075028D" w:rsidRDefault="003F4F36" w:rsidP="0075028D">
    <w:pPr>
      <w:tabs>
        <w:tab w:val="center" w:pos="4153"/>
        <w:tab w:val="right" w:pos="8306"/>
      </w:tabs>
      <w:spacing w:before="0" w:after="120"/>
      <w:ind w:left="360"/>
      <w:jc w:val="center"/>
      <w:rPr>
        <w:rFonts w:eastAsia="Times New Roman" w:cs="Arial"/>
        <w:szCs w:val="24"/>
      </w:rPr>
    </w:pPr>
    <w:r w:rsidRPr="0075028D">
      <w:rPr>
        <w:rFonts w:eastAsia="Times New Roman" w:cs="Arial"/>
        <w:szCs w:val="24"/>
      </w:rPr>
      <w:fldChar w:fldCharType="begin"/>
    </w:r>
    <w:r w:rsidRPr="0075028D">
      <w:rPr>
        <w:rFonts w:eastAsia="Times New Roman" w:cs="Arial"/>
        <w:szCs w:val="24"/>
      </w:rPr>
      <w:instrText xml:space="preserve"> PAGE   \* MERGEFORMAT </w:instrText>
    </w:r>
    <w:r w:rsidRPr="0075028D">
      <w:rPr>
        <w:rFonts w:eastAsia="Times New Roman" w:cs="Arial"/>
        <w:szCs w:val="24"/>
      </w:rPr>
      <w:fldChar w:fldCharType="separate"/>
    </w:r>
    <w:r w:rsidR="008341AC">
      <w:rPr>
        <w:rFonts w:eastAsia="Times New Roman" w:cs="Arial"/>
        <w:noProof/>
        <w:szCs w:val="24"/>
      </w:rPr>
      <w:t>24</w:t>
    </w:r>
    <w:r w:rsidRPr="0075028D">
      <w:rPr>
        <w:rFonts w:eastAsia="Times New Roman" w:cs="Arial"/>
        <w:noProof/>
        <w:szCs w:val="24"/>
      </w:rPr>
      <w:fldChar w:fldCharType="end"/>
    </w:r>
  </w:p>
  <w:p w:rsidR="003F4F36" w:rsidRPr="0075028D" w:rsidRDefault="003F4F36" w:rsidP="007502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14F" w:rsidRDefault="00D20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14F" w:rsidRDefault="00D2014F" w:rsidP="00BA3306">
      <w:pPr>
        <w:spacing w:before="0" w:after="0"/>
      </w:pPr>
      <w:r>
        <w:separator/>
      </w:r>
    </w:p>
    <w:p w:rsidR="00D2014F" w:rsidRDefault="00D2014F"/>
  </w:footnote>
  <w:footnote w:type="continuationSeparator" w:id="0">
    <w:p w:rsidR="00D2014F" w:rsidRDefault="00D2014F" w:rsidP="00BA3306">
      <w:pPr>
        <w:spacing w:before="0" w:after="0"/>
      </w:pPr>
      <w:r>
        <w:continuationSeparator/>
      </w:r>
    </w:p>
    <w:p w:rsidR="00D2014F" w:rsidRDefault="00D201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14F" w:rsidRDefault="00D201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F36" w:rsidRPr="0075028D" w:rsidRDefault="003F4F36" w:rsidP="00851B72">
    <w:pPr>
      <w:tabs>
        <w:tab w:val="center" w:pos="4153"/>
        <w:tab w:val="right" w:pos="8306"/>
      </w:tabs>
      <w:spacing w:before="0" w:after="0"/>
      <w:ind w:left="360"/>
      <w:jc w:val="center"/>
      <w:rPr>
        <w:rFonts w:eastAsia="Times New Roman" w:cs="Arial"/>
        <w:i/>
        <w:color w:val="808080"/>
        <w:szCs w:val="24"/>
      </w:rPr>
    </w:pPr>
    <w:r>
      <w:rPr>
        <w:rFonts w:eastAsia="Times New Roman" w:cs="Arial"/>
        <w:i/>
        <w:color w:val="808080"/>
        <w:szCs w:val="24"/>
      </w:rPr>
      <w:t xml:space="preserve">Public Summary Documents </w:t>
    </w:r>
    <w:r w:rsidRPr="0075028D">
      <w:rPr>
        <w:rFonts w:eastAsia="Times New Roman" w:cs="Arial"/>
        <w:i/>
        <w:color w:val="808080"/>
        <w:szCs w:val="24"/>
      </w:rPr>
      <w:t xml:space="preserve">– </w:t>
    </w:r>
    <w:r>
      <w:rPr>
        <w:rFonts w:eastAsia="Times New Roman" w:cs="Arial"/>
        <w:i/>
        <w:color w:val="808080"/>
        <w:szCs w:val="24"/>
      </w:rPr>
      <w:t>July 2017</w:t>
    </w:r>
    <w:r w:rsidRPr="0075028D">
      <w:rPr>
        <w:rFonts w:eastAsia="Times New Roman" w:cs="Arial"/>
        <w:i/>
        <w:color w:val="808080"/>
        <w:szCs w:val="24"/>
      </w:rPr>
      <w:t xml:space="preserve"> PBAC Meeting</w:t>
    </w:r>
  </w:p>
  <w:p w:rsidR="003F4F36" w:rsidRPr="0075028D" w:rsidRDefault="003F4F36" w:rsidP="00851B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14F" w:rsidRDefault="00D20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9FD"/>
    <w:multiLevelType w:val="hybridMultilevel"/>
    <w:tmpl w:val="618E04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CDA26D3"/>
    <w:multiLevelType w:val="hybridMultilevel"/>
    <w:tmpl w:val="02EC7C1E"/>
    <w:lvl w:ilvl="0" w:tplc="C1E02A2A">
      <w:start w:val="120"/>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3E75B0"/>
    <w:multiLevelType w:val="hybridMultilevel"/>
    <w:tmpl w:val="78803A8C"/>
    <w:lvl w:ilvl="0" w:tplc="7C74FCA8">
      <w:start w:val="1"/>
      <w:numFmt w:val="bullet"/>
      <w:pStyle w:val="ESnon-numbere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nsid w:val="1E9438C3"/>
    <w:multiLevelType w:val="multilevel"/>
    <w:tmpl w:val="C0449A20"/>
    <w:lvl w:ilvl="0">
      <w:start w:val="3"/>
      <w:numFmt w:val="bullet"/>
      <w:lvlText w:val="•"/>
      <w:lvlJc w:val="left"/>
      <w:pPr>
        <w:ind w:left="1440" w:hanging="720"/>
      </w:pPr>
      <w:rPr>
        <w:rFonts w:ascii="Candara" w:eastAsiaTheme="majorEastAsia" w:hAnsi="Candara" w:cs="Times New Roman" w:hint="default"/>
        <w:b/>
      </w:rPr>
    </w:lvl>
    <w:lvl w:ilvl="1">
      <w:start w:val="1"/>
      <w:numFmt w:val="decimal"/>
      <w:lvlText w:val="%1.%2"/>
      <w:lvlJc w:val="left"/>
      <w:pPr>
        <w:ind w:left="1440" w:hanging="720"/>
      </w:pPr>
      <w:rPr>
        <w:rFonts w:hint="default"/>
        <w:color w:val="000000" w:themeColor="text1"/>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4">
    <w:nsid w:val="235C36E1"/>
    <w:multiLevelType w:val="hybridMultilevel"/>
    <w:tmpl w:val="243EA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4E6825"/>
    <w:multiLevelType w:val="multilevel"/>
    <w:tmpl w:val="D0189F1E"/>
    <w:lvl w:ilvl="0">
      <w:start w:val="1"/>
      <w:numFmt w:val="decimal"/>
      <w:pStyle w:val="Heading1"/>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C814E3A"/>
    <w:multiLevelType w:val="multilevel"/>
    <w:tmpl w:val="B4D6147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color w:val="auto"/>
      </w:rPr>
    </w:lvl>
    <w:lvl w:ilvl="2">
      <w:start w:val="1"/>
      <w:numFmt w:val="bullet"/>
      <w:lvlText w:val=""/>
      <w:lvlJc w:val="left"/>
      <w:pPr>
        <w:ind w:left="525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3EA17E6"/>
    <w:multiLevelType w:val="hybridMultilevel"/>
    <w:tmpl w:val="0D142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B2875A5"/>
    <w:multiLevelType w:val="hybridMultilevel"/>
    <w:tmpl w:val="4D8C6658"/>
    <w:lvl w:ilvl="0" w:tplc="CF184C6A">
      <w:start w:val="1"/>
      <w:numFmt w:val="bullet"/>
      <w:pStyle w:val="V50InstructionsBullets"/>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BEF30D1"/>
    <w:multiLevelType w:val="hybridMultilevel"/>
    <w:tmpl w:val="E3D0443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5ED00A85"/>
    <w:multiLevelType w:val="multilevel"/>
    <w:tmpl w:val="7258317E"/>
    <w:lvl w:ilvl="0">
      <w:start w:val="1"/>
      <w:numFmt w:val="decimal"/>
      <w:lvlText w:val="%1"/>
      <w:lvlJc w:val="left"/>
      <w:pPr>
        <w:ind w:left="720" w:hanging="720"/>
      </w:pPr>
      <w:rPr>
        <w:rFonts w:hint="default"/>
        <w:b/>
      </w:rPr>
    </w:lvl>
    <w:lvl w:ilvl="1">
      <w:start w:val="1"/>
      <w:numFmt w:val="decimal"/>
      <w:pStyle w:val="ESnumberedpara"/>
      <w:lvlText w:val="%1.%2"/>
      <w:lvlJc w:val="left"/>
      <w:pPr>
        <w:ind w:left="720" w:hanging="720"/>
      </w:pPr>
      <w:rPr>
        <w:rFonts w:hint="default"/>
        <w:i w:val="0"/>
        <w:color w:val="auto"/>
      </w:rPr>
    </w:lvl>
    <w:lvl w:ilvl="2">
      <w:start w:val="1"/>
      <w:numFmt w:val="decimal"/>
      <w:lvlText w:val="%1.%2.%3"/>
      <w:lvlJc w:val="left"/>
      <w:pPr>
        <w:ind w:left="525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3FF7987"/>
    <w:multiLevelType w:val="multilevel"/>
    <w:tmpl w:val="35766F1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5257" w:hanging="720"/>
      </w:pPr>
      <w:rPr>
        <w:rFonts w:ascii="Symbol" w:hAnsi="Symbol" w:hint="default"/>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84D033C"/>
    <w:multiLevelType w:val="multilevel"/>
    <w:tmpl w:val="5648729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525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E317988"/>
    <w:multiLevelType w:val="hybridMultilevel"/>
    <w:tmpl w:val="4A52BBC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5"/>
  </w:num>
  <w:num w:numId="2">
    <w:abstractNumId w:val="9"/>
  </w:num>
  <w:num w:numId="3">
    <w:abstractNumId w:val="14"/>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7"/>
  </w:num>
  <w:num w:numId="9">
    <w:abstractNumId w:val="15"/>
  </w:num>
  <w:num w:numId="10">
    <w:abstractNumId w:val="8"/>
  </w:num>
  <w:num w:numId="11">
    <w:abstractNumId w:val="13"/>
  </w:num>
  <w:num w:numId="12">
    <w:abstractNumId w:val="12"/>
  </w:num>
  <w:num w:numId="13">
    <w:abstractNumId w:val="10"/>
  </w:num>
  <w:num w:numId="14">
    <w:abstractNumId w:val="0"/>
  </w:num>
  <w:num w:numId="15">
    <w:abstractNumId w:val="4"/>
  </w:num>
  <w:num w:numId="16">
    <w:abstractNumId w:val="1"/>
  </w:num>
  <w:num w:numId="17">
    <w:abstractNumId w:val="11"/>
  </w:num>
  <w:num w:numId="18">
    <w:abstractNumId w:val="5"/>
  </w:num>
  <w:num w:numId="19">
    <w:abstractNumId w:val="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e Lang">
    <w15:presenceInfo w15:providerId="AD" w15:userId="S-1-5-21-1451058757-1749049392-1947940980-40106"/>
  </w15:person>
  <w15:person w15:author="Jarrod Bell">
    <w15:presenceInfo w15:providerId="AD" w15:userId="S-1-5-21-1451058757-1749049392-1947940980-366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02315"/>
    <w:rsid w:val="0000240E"/>
    <w:rsid w:val="000028C1"/>
    <w:rsid w:val="00003D8D"/>
    <w:rsid w:val="0000418C"/>
    <w:rsid w:val="00004CEC"/>
    <w:rsid w:val="0000610F"/>
    <w:rsid w:val="0001066F"/>
    <w:rsid w:val="00011EAD"/>
    <w:rsid w:val="00013222"/>
    <w:rsid w:val="00014204"/>
    <w:rsid w:val="000147C9"/>
    <w:rsid w:val="00014A3B"/>
    <w:rsid w:val="00015478"/>
    <w:rsid w:val="00015803"/>
    <w:rsid w:val="00016A1D"/>
    <w:rsid w:val="00016B88"/>
    <w:rsid w:val="0002095B"/>
    <w:rsid w:val="00020FCD"/>
    <w:rsid w:val="00023C07"/>
    <w:rsid w:val="00023DBC"/>
    <w:rsid w:val="0002431F"/>
    <w:rsid w:val="00034404"/>
    <w:rsid w:val="000348A7"/>
    <w:rsid w:val="00037BB3"/>
    <w:rsid w:val="00040CC8"/>
    <w:rsid w:val="000419A5"/>
    <w:rsid w:val="0004231E"/>
    <w:rsid w:val="0004323B"/>
    <w:rsid w:val="00043EA5"/>
    <w:rsid w:val="00045002"/>
    <w:rsid w:val="000454AC"/>
    <w:rsid w:val="0004609E"/>
    <w:rsid w:val="000461CF"/>
    <w:rsid w:val="00046646"/>
    <w:rsid w:val="00047775"/>
    <w:rsid w:val="000500FB"/>
    <w:rsid w:val="0005215B"/>
    <w:rsid w:val="00052774"/>
    <w:rsid w:val="000540A9"/>
    <w:rsid w:val="0005415C"/>
    <w:rsid w:val="000561BE"/>
    <w:rsid w:val="00056354"/>
    <w:rsid w:val="0005775B"/>
    <w:rsid w:val="00057EFE"/>
    <w:rsid w:val="00057F71"/>
    <w:rsid w:val="00062067"/>
    <w:rsid w:val="00065C62"/>
    <w:rsid w:val="00065CDE"/>
    <w:rsid w:val="00065D40"/>
    <w:rsid w:val="00065F4A"/>
    <w:rsid w:val="00067397"/>
    <w:rsid w:val="00067526"/>
    <w:rsid w:val="000700BB"/>
    <w:rsid w:val="000735FC"/>
    <w:rsid w:val="00074FBB"/>
    <w:rsid w:val="00080FF3"/>
    <w:rsid w:val="00081B96"/>
    <w:rsid w:val="000828AF"/>
    <w:rsid w:val="000846DF"/>
    <w:rsid w:val="000847FE"/>
    <w:rsid w:val="00085324"/>
    <w:rsid w:val="0008578B"/>
    <w:rsid w:val="00086133"/>
    <w:rsid w:val="0008636B"/>
    <w:rsid w:val="00086505"/>
    <w:rsid w:val="00087CF2"/>
    <w:rsid w:val="00092DB8"/>
    <w:rsid w:val="000938FE"/>
    <w:rsid w:val="0009427A"/>
    <w:rsid w:val="00094B27"/>
    <w:rsid w:val="00096244"/>
    <w:rsid w:val="000968C2"/>
    <w:rsid w:val="00096EB0"/>
    <w:rsid w:val="000A15F5"/>
    <w:rsid w:val="000A2694"/>
    <w:rsid w:val="000A2EF1"/>
    <w:rsid w:val="000A3113"/>
    <w:rsid w:val="000A453F"/>
    <w:rsid w:val="000A61C2"/>
    <w:rsid w:val="000A6FBD"/>
    <w:rsid w:val="000B0C33"/>
    <w:rsid w:val="000B0F7E"/>
    <w:rsid w:val="000B2169"/>
    <w:rsid w:val="000B38E5"/>
    <w:rsid w:val="000B3B8D"/>
    <w:rsid w:val="000B440F"/>
    <w:rsid w:val="000B56CD"/>
    <w:rsid w:val="000B570E"/>
    <w:rsid w:val="000B5BF3"/>
    <w:rsid w:val="000B6B69"/>
    <w:rsid w:val="000B75D2"/>
    <w:rsid w:val="000B7C3C"/>
    <w:rsid w:val="000B7DD9"/>
    <w:rsid w:val="000C0142"/>
    <w:rsid w:val="000C091D"/>
    <w:rsid w:val="000C11DC"/>
    <w:rsid w:val="000C17D3"/>
    <w:rsid w:val="000C25C5"/>
    <w:rsid w:val="000C2682"/>
    <w:rsid w:val="000C26A4"/>
    <w:rsid w:val="000C5639"/>
    <w:rsid w:val="000C5868"/>
    <w:rsid w:val="000C67EF"/>
    <w:rsid w:val="000C6A40"/>
    <w:rsid w:val="000C7EB2"/>
    <w:rsid w:val="000D0023"/>
    <w:rsid w:val="000D0140"/>
    <w:rsid w:val="000D028E"/>
    <w:rsid w:val="000D0509"/>
    <w:rsid w:val="000D06AA"/>
    <w:rsid w:val="000D2074"/>
    <w:rsid w:val="000D2380"/>
    <w:rsid w:val="000D2BB8"/>
    <w:rsid w:val="000D32F6"/>
    <w:rsid w:val="000D3B39"/>
    <w:rsid w:val="000D3E66"/>
    <w:rsid w:val="000D4801"/>
    <w:rsid w:val="000D55B5"/>
    <w:rsid w:val="000D5DE1"/>
    <w:rsid w:val="000D5FF1"/>
    <w:rsid w:val="000D6BF4"/>
    <w:rsid w:val="000D7187"/>
    <w:rsid w:val="000E406D"/>
    <w:rsid w:val="000E4567"/>
    <w:rsid w:val="000E55FB"/>
    <w:rsid w:val="000E7109"/>
    <w:rsid w:val="000E74F8"/>
    <w:rsid w:val="000F0295"/>
    <w:rsid w:val="000F0EE8"/>
    <w:rsid w:val="000F10BF"/>
    <w:rsid w:val="000F194D"/>
    <w:rsid w:val="000F2534"/>
    <w:rsid w:val="000F2991"/>
    <w:rsid w:val="000F29DA"/>
    <w:rsid w:val="000F3652"/>
    <w:rsid w:val="000F4074"/>
    <w:rsid w:val="000F4C1B"/>
    <w:rsid w:val="000F5B04"/>
    <w:rsid w:val="00101498"/>
    <w:rsid w:val="00101819"/>
    <w:rsid w:val="001019F6"/>
    <w:rsid w:val="00103022"/>
    <w:rsid w:val="001039D3"/>
    <w:rsid w:val="00104AE6"/>
    <w:rsid w:val="00105007"/>
    <w:rsid w:val="00105310"/>
    <w:rsid w:val="00105EAF"/>
    <w:rsid w:val="0010645D"/>
    <w:rsid w:val="00106B2E"/>
    <w:rsid w:val="00106E31"/>
    <w:rsid w:val="00113249"/>
    <w:rsid w:val="00113519"/>
    <w:rsid w:val="001137BC"/>
    <w:rsid w:val="00114833"/>
    <w:rsid w:val="00116A32"/>
    <w:rsid w:val="00121628"/>
    <w:rsid w:val="00121FE7"/>
    <w:rsid w:val="00123279"/>
    <w:rsid w:val="0012508B"/>
    <w:rsid w:val="001250AA"/>
    <w:rsid w:val="001263FE"/>
    <w:rsid w:val="00126C0E"/>
    <w:rsid w:val="0012701F"/>
    <w:rsid w:val="001279AE"/>
    <w:rsid w:val="0013144E"/>
    <w:rsid w:val="001319B5"/>
    <w:rsid w:val="00132972"/>
    <w:rsid w:val="00133393"/>
    <w:rsid w:val="00134B02"/>
    <w:rsid w:val="00136A30"/>
    <w:rsid w:val="00136E76"/>
    <w:rsid w:val="00137C1B"/>
    <w:rsid w:val="0014250D"/>
    <w:rsid w:val="00143A0D"/>
    <w:rsid w:val="00143CEC"/>
    <w:rsid w:val="001468C6"/>
    <w:rsid w:val="00146C47"/>
    <w:rsid w:val="00147173"/>
    <w:rsid w:val="0015005A"/>
    <w:rsid w:val="00150571"/>
    <w:rsid w:val="001509AC"/>
    <w:rsid w:val="00150BC4"/>
    <w:rsid w:val="00150EDD"/>
    <w:rsid w:val="0015102F"/>
    <w:rsid w:val="00151404"/>
    <w:rsid w:val="0015234D"/>
    <w:rsid w:val="001558CB"/>
    <w:rsid w:val="00157954"/>
    <w:rsid w:val="0016049D"/>
    <w:rsid w:val="00161560"/>
    <w:rsid w:val="0016182F"/>
    <w:rsid w:val="00162038"/>
    <w:rsid w:val="00163E8C"/>
    <w:rsid w:val="00164DBE"/>
    <w:rsid w:val="00165A49"/>
    <w:rsid w:val="0016669B"/>
    <w:rsid w:val="00170583"/>
    <w:rsid w:val="00171501"/>
    <w:rsid w:val="0017186C"/>
    <w:rsid w:val="00173577"/>
    <w:rsid w:val="00175755"/>
    <w:rsid w:val="00175A74"/>
    <w:rsid w:val="00176AA5"/>
    <w:rsid w:val="00176BD9"/>
    <w:rsid w:val="0017720E"/>
    <w:rsid w:val="00177893"/>
    <w:rsid w:val="00180139"/>
    <w:rsid w:val="001802CA"/>
    <w:rsid w:val="00180EB9"/>
    <w:rsid w:val="00181EE4"/>
    <w:rsid w:val="00182196"/>
    <w:rsid w:val="00183B65"/>
    <w:rsid w:val="00184221"/>
    <w:rsid w:val="001845C9"/>
    <w:rsid w:val="00184C3B"/>
    <w:rsid w:val="00185352"/>
    <w:rsid w:val="00185815"/>
    <w:rsid w:val="00186307"/>
    <w:rsid w:val="001864D8"/>
    <w:rsid w:val="00186EBC"/>
    <w:rsid w:val="001872D7"/>
    <w:rsid w:val="001901EB"/>
    <w:rsid w:val="00194F4E"/>
    <w:rsid w:val="00195933"/>
    <w:rsid w:val="00195DA4"/>
    <w:rsid w:val="00197F7A"/>
    <w:rsid w:val="001A0142"/>
    <w:rsid w:val="001A0364"/>
    <w:rsid w:val="001A041A"/>
    <w:rsid w:val="001A09B0"/>
    <w:rsid w:val="001A2DC8"/>
    <w:rsid w:val="001A45D6"/>
    <w:rsid w:val="001A4846"/>
    <w:rsid w:val="001B00CE"/>
    <w:rsid w:val="001B07A2"/>
    <w:rsid w:val="001B0BE3"/>
    <w:rsid w:val="001B139A"/>
    <w:rsid w:val="001B2470"/>
    <w:rsid w:val="001B413A"/>
    <w:rsid w:val="001B4C8E"/>
    <w:rsid w:val="001B5556"/>
    <w:rsid w:val="001B560C"/>
    <w:rsid w:val="001B5F55"/>
    <w:rsid w:val="001B6389"/>
    <w:rsid w:val="001B6838"/>
    <w:rsid w:val="001C04CC"/>
    <w:rsid w:val="001C051E"/>
    <w:rsid w:val="001C1058"/>
    <w:rsid w:val="001C1446"/>
    <w:rsid w:val="001C1A4F"/>
    <w:rsid w:val="001C2769"/>
    <w:rsid w:val="001C310D"/>
    <w:rsid w:val="001C3FD5"/>
    <w:rsid w:val="001C4BFE"/>
    <w:rsid w:val="001C5254"/>
    <w:rsid w:val="001C57F0"/>
    <w:rsid w:val="001C7769"/>
    <w:rsid w:val="001D052C"/>
    <w:rsid w:val="001D08C4"/>
    <w:rsid w:val="001D0982"/>
    <w:rsid w:val="001D1B9E"/>
    <w:rsid w:val="001D30DC"/>
    <w:rsid w:val="001D3DB5"/>
    <w:rsid w:val="001D5DE3"/>
    <w:rsid w:val="001D655E"/>
    <w:rsid w:val="001D6A22"/>
    <w:rsid w:val="001D6C72"/>
    <w:rsid w:val="001D6EE3"/>
    <w:rsid w:val="001D7EC1"/>
    <w:rsid w:val="001E0457"/>
    <w:rsid w:val="001E05D4"/>
    <w:rsid w:val="001E14F2"/>
    <w:rsid w:val="001E368C"/>
    <w:rsid w:val="001E373A"/>
    <w:rsid w:val="001E540B"/>
    <w:rsid w:val="001E5708"/>
    <w:rsid w:val="001E5918"/>
    <w:rsid w:val="001E5C95"/>
    <w:rsid w:val="001E75F1"/>
    <w:rsid w:val="001F04BC"/>
    <w:rsid w:val="001F073C"/>
    <w:rsid w:val="001F14C0"/>
    <w:rsid w:val="001F1647"/>
    <w:rsid w:val="001F2912"/>
    <w:rsid w:val="001F2C22"/>
    <w:rsid w:val="001F2C5A"/>
    <w:rsid w:val="001F48A6"/>
    <w:rsid w:val="001F4BAA"/>
    <w:rsid w:val="001F5650"/>
    <w:rsid w:val="001F5C59"/>
    <w:rsid w:val="001F683C"/>
    <w:rsid w:val="001F690C"/>
    <w:rsid w:val="001F74E0"/>
    <w:rsid w:val="001F7C80"/>
    <w:rsid w:val="001F7DFD"/>
    <w:rsid w:val="001F7E66"/>
    <w:rsid w:val="00200296"/>
    <w:rsid w:val="0020081F"/>
    <w:rsid w:val="00200F70"/>
    <w:rsid w:val="0020126F"/>
    <w:rsid w:val="00201ADB"/>
    <w:rsid w:val="0020225E"/>
    <w:rsid w:val="002027DC"/>
    <w:rsid w:val="00202DD5"/>
    <w:rsid w:val="00202E23"/>
    <w:rsid w:val="00203061"/>
    <w:rsid w:val="0020308A"/>
    <w:rsid w:val="00204000"/>
    <w:rsid w:val="0020411A"/>
    <w:rsid w:val="002058E5"/>
    <w:rsid w:val="00205967"/>
    <w:rsid w:val="002106D5"/>
    <w:rsid w:val="00210FAA"/>
    <w:rsid w:val="002115BE"/>
    <w:rsid w:val="00213227"/>
    <w:rsid w:val="00213656"/>
    <w:rsid w:val="002137EA"/>
    <w:rsid w:val="00213EE2"/>
    <w:rsid w:val="002146CA"/>
    <w:rsid w:val="0021567B"/>
    <w:rsid w:val="002172F2"/>
    <w:rsid w:val="0022019E"/>
    <w:rsid w:val="00220C9F"/>
    <w:rsid w:val="00220F29"/>
    <w:rsid w:val="00221C28"/>
    <w:rsid w:val="002229A7"/>
    <w:rsid w:val="002234A6"/>
    <w:rsid w:val="002238A6"/>
    <w:rsid w:val="002255EC"/>
    <w:rsid w:val="002258E6"/>
    <w:rsid w:val="00226134"/>
    <w:rsid w:val="002273AB"/>
    <w:rsid w:val="00230569"/>
    <w:rsid w:val="00230CF3"/>
    <w:rsid w:val="002311FA"/>
    <w:rsid w:val="00231769"/>
    <w:rsid w:val="00231973"/>
    <w:rsid w:val="00234FDC"/>
    <w:rsid w:val="0023553C"/>
    <w:rsid w:val="0023649F"/>
    <w:rsid w:val="002368BC"/>
    <w:rsid w:val="002403AA"/>
    <w:rsid w:val="00240F70"/>
    <w:rsid w:val="0024233D"/>
    <w:rsid w:val="002425EA"/>
    <w:rsid w:val="00242D54"/>
    <w:rsid w:val="00242EA0"/>
    <w:rsid w:val="00243685"/>
    <w:rsid w:val="00243CA1"/>
    <w:rsid w:val="00243DFB"/>
    <w:rsid w:val="00244217"/>
    <w:rsid w:val="0024569C"/>
    <w:rsid w:val="00245A27"/>
    <w:rsid w:val="002472BD"/>
    <w:rsid w:val="00247D41"/>
    <w:rsid w:val="00251F32"/>
    <w:rsid w:val="0025284F"/>
    <w:rsid w:val="00252ADE"/>
    <w:rsid w:val="00252D6E"/>
    <w:rsid w:val="00254195"/>
    <w:rsid w:val="002557D4"/>
    <w:rsid w:val="002560BB"/>
    <w:rsid w:val="0025613F"/>
    <w:rsid w:val="00256EB6"/>
    <w:rsid w:val="002574B1"/>
    <w:rsid w:val="00260C1D"/>
    <w:rsid w:val="00261621"/>
    <w:rsid w:val="00261C8F"/>
    <w:rsid w:val="00261DC6"/>
    <w:rsid w:val="00262F47"/>
    <w:rsid w:val="0026365F"/>
    <w:rsid w:val="002640E8"/>
    <w:rsid w:val="00264175"/>
    <w:rsid w:val="00264623"/>
    <w:rsid w:val="0026538D"/>
    <w:rsid w:val="00266C89"/>
    <w:rsid w:val="00270AB1"/>
    <w:rsid w:val="00273535"/>
    <w:rsid w:val="002735F9"/>
    <w:rsid w:val="00275A50"/>
    <w:rsid w:val="00280244"/>
    <w:rsid w:val="00280AAD"/>
    <w:rsid w:val="00280B5B"/>
    <w:rsid w:val="00280E71"/>
    <w:rsid w:val="00281220"/>
    <w:rsid w:val="00281345"/>
    <w:rsid w:val="00281553"/>
    <w:rsid w:val="0028265B"/>
    <w:rsid w:val="00282D08"/>
    <w:rsid w:val="002835FE"/>
    <w:rsid w:val="002836DF"/>
    <w:rsid w:val="0028639E"/>
    <w:rsid w:val="002864A2"/>
    <w:rsid w:val="00287379"/>
    <w:rsid w:val="002876B1"/>
    <w:rsid w:val="002900A3"/>
    <w:rsid w:val="0029046D"/>
    <w:rsid w:val="00291047"/>
    <w:rsid w:val="0029178E"/>
    <w:rsid w:val="00291ADF"/>
    <w:rsid w:val="00291DC9"/>
    <w:rsid w:val="00292143"/>
    <w:rsid w:val="002928F4"/>
    <w:rsid w:val="002931B9"/>
    <w:rsid w:val="00294B47"/>
    <w:rsid w:val="0029596C"/>
    <w:rsid w:val="002974BE"/>
    <w:rsid w:val="00297BD0"/>
    <w:rsid w:val="002A06D0"/>
    <w:rsid w:val="002A0876"/>
    <w:rsid w:val="002A4503"/>
    <w:rsid w:val="002A477F"/>
    <w:rsid w:val="002A4946"/>
    <w:rsid w:val="002A53B5"/>
    <w:rsid w:val="002A5D2F"/>
    <w:rsid w:val="002A615D"/>
    <w:rsid w:val="002A65AA"/>
    <w:rsid w:val="002B02AE"/>
    <w:rsid w:val="002B0525"/>
    <w:rsid w:val="002B05FA"/>
    <w:rsid w:val="002B0F1E"/>
    <w:rsid w:val="002B2078"/>
    <w:rsid w:val="002B2671"/>
    <w:rsid w:val="002B36CD"/>
    <w:rsid w:val="002B3D43"/>
    <w:rsid w:val="002B4941"/>
    <w:rsid w:val="002B5D74"/>
    <w:rsid w:val="002B6264"/>
    <w:rsid w:val="002B7ADB"/>
    <w:rsid w:val="002B7C26"/>
    <w:rsid w:val="002C0473"/>
    <w:rsid w:val="002C0A12"/>
    <w:rsid w:val="002C1D2F"/>
    <w:rsid w:val="002C20B5"/>
    <w:rsid w:val="002C290B"/>
    <w:rsid w:val="002C3771"/>
    <w:rsid w:val="002C3FE1"/>
    <w:rsid w:val="002C5A66"/>
    <w:rsid w:val="002D0DCB"/>
    <w:rsid w:val="002D1717"/>
    <w:rsid w:val="002D2FCA"/>
    <w:rsid w:val="002D3838"/>
    <w:rsid w:val="002D622F"/>
    <w:rsid w:val="002D6B7F"/>
    <w:rsid w:val="002D6D49"/>
    <w:rsid w:val="002D7823"/>
    <w:rsid w:val="002D7C05"/>
    <w:rsid w:val="002E12AA"/>
    <w:rsid w:val="002E35AA"/>
    <w:rsid w:val="002E443A"/>
    <w:rsid w:val="002E4C2D"/>
    <w:rsid w:val="002E4E87"/>
    <w:rsid w:val="002E51A0"/>
    <w:rsid w:val="002E5DEA"/>
    <w:rsid w:val="002E6084"/>
    <w:rsid w:val="002E68B0"/>
    <w:rsid w:val="002E6EA4"/>
    <w:rsid w:val="002E724A"/>
    <w:rsid w:val="002E7900"/>
    <w:rsid w:val="002F197F"/>
    <w:rsid w:val="002F2BB3"/>
    <w:rsid w:val="002F311E"/>
    <w:rsid w:val="002F71B8"/>
    <w:rsid w:val="00300D6B"/>
    <w:rsid w:val="00301826"/>
    <w:rsid w:val="00301C3E"/>
    <w:rsid w:val="00301C74"/>
    <w:rsid w:val="00301EA1"/>
    <w:rsid w:val="00302FCC"/>
    <w:rsid w:val="00303DB6"/>
    <w:rsid w:val="00304FA4"/>
    <w:rsid w:val="00305059"/>
    <w:rsid w:val="003057A9"/>
    <w:rsid w:val="003062AE"/>
    <w:rsid w:val="00307799"/>
    <w:rsid w:val="0031073D"/>
    <w:rsid w:val="003109D5"/>
    <w:rsid w:val="0031114A"/>
    <w:rsid w:val="0031141B"/>
    <w:rsid w:val="00314667"/>
    <w:rsid w:val="00315514"/>
    <w:rsid w:val="003160B6"/>
    <w:rsid w:val="00320596"/>
    <w:rsid w:val="00320833"/>
    <w:rsid w:val="003225DE"/>
    <w:rsid w:val="00324B5F"/>
    <w:rsid w:val="003254D0"/>
    <w:rsid w:val="003260F4"/>
    <w:rsid w:val="003301CB"/>
    <w:rsid w:val="003312F6"/>
    <w:rsid w:val="00332568"/>
    <w:rsid w:val="00333FF2"/>
    <w:rsid w:val="00334ACF"/>
    <w:rsid w:val="003366C9"/>
    <w:rsid w:val="00336E99"/>
    <w:rsid w:val="003372CD"/>
    <w:rsid w:val="00341A14"/>
    <w:rsid w:val="00344388"/>
    <w:rsid w:val="003449B1"/>
    <w:rsid w:val="00344B1D"/>
    <w:rsid w:val="00345953"/>
    <w:rsid w:val="00346105"/>
    <w:rsid w:val="003461B1"/>
    <w:rsid w:val="00347CE9"/>
    <w:rsid w:val="00350A7B"/>
    <w:rsid w:val="0035116C"/>
    <w:rsid w:val="00351381"/>
    <w:rsid w:val="00351D18"/>
    <w:rsid w:val="00351FB4"/>
    <w:rsid w:val="003520A5"/>
    <w:rsid w:val="003530A6"/>
    <w:rsid w:val="00353627"/>
    <w:rsid w:val="003544AD"/>
    <w:rsid w:val="003550B7"/>
    <w:rsid w:val="00355F72"/>
    <w:rsid w:val="003572BA"/>
    <w:rsid w:val="00357657"/>
    <w:rsid w:val="00361BD3"/>
    <w:rsid w:val="00362EAE"/>
    <w:rsid w:val="003639A6"/>
    <w:rsid w:val="00364DE1"/>
    <w:rsid w:val="003660D2"/>
    <w:rsid w:val="003679AE"/>
    <w:rsid w:val="00367FC1"/>
    <w:rsid w:val="00370874"/>
    <w:rsid w:val="00371949"/>
    <w:rsid w:val="00371D55"/>
    <w:rsid w:val="0037264B"/>
    <w:rsid w:val="0037366A"/>
    <w:rsid w:val="003739B4"/>
    <w:rsid w:val="003740E9"/>
    <w:rsid w:val="003803EF"/>
    <w:rsid w:val="00380E60"/>
    <w:rsid w:val="0038281C"/>
    <w:rsid w:val="00382929"/>
    <w:rsid w:val="0038312B"/>
    <w:rsid w:val="003836A9"/>
    <w:rsid w:val="00383CDE"/>
    <w:rsid w:val="00384A19"/>
    <w:rsid w:val="00385423"/>
    <w:rsid w:val="00385A64"/>
    <w:rsid w:val="00386070"/>
    <w:rsid w:val="003864DE"/>
    <w:rsid w:val="00386D1A"/>
    <w:rsid w:val="00386E50"/>
    <w:rsid w:val="00390637"/>
    <w:rsid w:val="00391F06"/>
    <w:rsid w:val="00393277"/>
    <w:rsid w:val="00393FF4"/>
    <w:rsid w:val="00397170"/>
    <w:rsid w:val="00397B01"/>
    <w:rsid w:val="00397E5D"/>
    <w:rsid w:val="003A25DE"/>
    <w:rsid w:val="003A3433"/>
    <w:rsid w:val="003A39BA"/>
    <w:rsid w:val="003A41F8"/>
    <w:rsid w:val="003A488D"/>
    <w:rsid w:val="003A537E"/>
    <w:rsid w:val="003A5D33"/>
    <w:rsid w:val="003A660F"/>
    <w:rsid w:val="003A6D28"/>
    <w:rsid w:val="003A7258"/>
    <w:rsid w:val="003B013D"/>
    <w:rsid w:val="003B05B0"/>
    <w:rsid w:val="003B092B"/>
    <w:rsid w:val="003B095E"/>
    <w:rsid w:val="003B1833"/>
    <w:rsid w:val="003B1AB6"/>
    <w:rsid w:val="003B6C8A"/>
    <w:rsid w:val="003B7006"/>
    <w:rsid w:val="003B7878"/>
    <w:rsid w:val="003B7BBB"/>
    <w:rsid w:val="003B7F96"/>
    <w:rsid w:val="003C0382"/>
    <w:rsid w:val="003C05FC"/>
    <w:rsid w:val="003C0EAF"/>
    <w:rsid w:val="003C17A3"/>
    <w:rsid w:val="003C1A9F"/>
    <w:rsid w:val="003C245C"/>
    <w:rsid w:val="003C2EF6"/>
    <w:rsid w:val="003C3270"/>
    <w:rsid w:val="003C3A97"/>
    <w:rsid w:val="003C3AB2"/>
    <w:rsid w:val="003D0BB6"/>
    <w:rsid w:val="003D11A9"/>
    <w:rsid w:val="003D1A40"/>
    <w:rsid w:val="003D28F6"/>
    <w:rsid w:val="003D2A37"/>
    <w:rsid w:val="003D2B8C"/>
    <w:rsid w:val="003D4A48"/>
    <w:rsid w:val="003D4BA6"/>
    <w:rsid w:val="003D4F07"/>
    <w:rsid w:val="003D69EF"/>
    <w:rsid w:val="003D6E5E"/>
    <w:rsid w:val="003D6EEA"/>
    <w:rsid w:val="003D75BB"/>
    <w:rsid w:val="003E074E"/>
    <w:rsid w:val="003E0EDB"/>
    <w:rsid w:val="003E1765"/>
    <w:rsid w:val="003E3CE2"/>
    <w:rsid w:val="003E42E8"/>
    <w:rsid w:val="003E6113"/>
    <w:rsid w:val="003E6475"/>
    <w:rsid w:val="003E69B5"/>
    <w:rsid w:val="003E6EFD"/>
    <w:rsid w:val="003E7CE2"/>
    <w:rsid w:val="003F105A"/>
    <w:rsid w:val="003F1F6C"/>
    <w:rsid w:val="003F3BD1"/>
    <w:rsid w:val="003F4F36"/>
    <w:rsid w:val="003F6199"/>
    <w:rsid w:val="003F71D2"/>
    <w:rsid w:val="00401C4E"/>
    <w:rsid w:val="00402DDC"/>
    <w:rsid w:val="004033BF"/>
    <w:rsid w:val="004035A4"/>
    <w:rsid w:val="004035BC"/>
    <w:rsid w:val="004036FC"/>
    <w:rsid w:val="004057CA"/>
    <w:rsid w:val="00407216"/>
    <w:rsid w:val="004103F6"/>
    <w:rsid w:val="00410461"/>
    <w:rsid w:val="00411098"/>
    <w:rsid w:val="0041162E"/>
    <w:rsid w:val="00411F03"/>
    <w:rsid w:val="00412869"/>
    <w:rsid w:val="00414D8E"/>
    <w:rsid w:val="00416FF4"/>
    <w:rsid w:val="00417287"/>
    <w:rsid w:val="00417BEF"/>
    <w:rsid w:val="00420D00"/>
    <w:rsid w:val="00421251"/>
    <w:rsid w:val="00421402"/>
    <w:rsid w:val="00421450"/>
    <w:rsid w:val="00422052"/>
    <w:rsid w:val="00423676"/>
    <w:rsid w:val="004242F6"/>
    <w:rsid w:val="00426325"/>
    <w:rsid w:val="00426C6C"/>
    <w:rsid w:val="00427E55"/>
    <w:rsid w:val="00431A5F"/>
    <w:rsid w:val="0043269D"/>
    <w:rsid w:val="0043307C"/>
    <w:rsid w:val="00433246"/>
    <w:rsid w:val="00433962"/>
    <w:rsid w:val="00433C4A"/>
    <w:rsid w:val="00433F99"/>
    <w:rsid w:val="00434C67"/>
    <w:rsid w:val="00435D94"/>
    <w:rsid w:val="00437B2A"/>
    <w:rsid w:val="00437BB5"/>
    <w:rsid w:val="00437FD4"/>
    <w:rsid w:val="0044063B"/>
    <w:rsid w:val="00440EE3"/>
    <w:rsid w:val="004415F6"/>
    <w:rsid w:val="00441C20"/>
    <w:rsid w:val="004421CF"/>
    <w:rsid w:val="004429C8"/>
    <w:rsid w:val="00444CDA"/>
    <w:rsid w:val="004501C4"/>
    <w:rsid w:val="004518A3"/>
    <w:rsid w:val="00452D9A"/>
    <w:rsid w:val="00453BAE"/>
    <w:rsid w:val="00453D59"/>
    <w:rsid w:val="00454647"/>
    <w:rsid w:val="0045644E"/>
    <w:rsid w:val="004575FF"/>
    <w:rsid w:val="00457EEE"/>
    <w:rsid w:val="004619BB"/>
    <w:rsid w:val="004629A1"/>
    <w:rsid w:val="00462C15"/>
    <w:rsid w:val="00462D4E"/>
    <w:rsid w:val="00463407"/>
    <w:rsid w:val="00464C41"/>
    <w:rsid w:val="00465D3F"/>
    <w:rsid w:val="0046621E"/>
    <w:rsid w:val="00466520"/>
    <w:rsid w:val="00466DE2"/>
    <w:rsid w:val="00467567"/>
    <w:rsid w:val="00467C3B"/>
    <w:rsid w:val="0047034B"/>
    <w:rsid w:val="004713DA"/>
    <w:rsid w:val="004729A9"/>
    <w:rsid w:val="00472D4D"/>
    <w:rsid w:val="004736C8"/>
    <w:rsid w:val="00473ABD"/>
    <w:rsid w:val="004754E9"/>
    <w:rsid w:val="00475A5D"/>
    <w:rsid w:val="00475CBA"/>
    <w:rsid w:val="00476E64"/>
    <w:rsid w:val="0048037E"/>
    <w:rsid w:val="004807E8"/>
    <w:rsid w:val="0048097F"/>
    <w:rsid w:val="00482245"/>
    <w:rsid w:val="00482E22"/>
    <w:rsid w:val="00482E50"/>
    <w:rsid w:val="00482FB0"/>
    <w:rsid w:val="0048326C"/>
    <w:rsid w:val="00487089"/>
    <w:rsid w:val="00487460"/>
    <w:rsid w:val="00487CB6"/>
    <w:rsid w:val="004919DD"/>
    <w:rsid w:val="00492188"/>
    <w:rsid w:val="00493110"/>
    <w:rsid w:val="004934B2"/>
    <w:rsid w:val="004943C1"/>
    <w:rsid w:val="00494F7C"/>
    <w:rsid w:val="004966A0"/>
    <w:rsid w:val="004A0FC4"/>
    <w:rsid w:val="004A2406"/>
    <w:rsid w:val="004A2DF5"/>
    <w:rsid w:val="004A2E9C"/>
    <w:rsid w:val="004A375C"/>
    <w:rsid w:val="004A37C0"/>
    <w:rsid w:val="004A4EF3"/>
    <w:rsid w:val="004A5391"/>
    <w:rsid w:val="004A62AD"/>
    <w:rsid w:val="004A65D6"/>
    <w:rsid w:val="004A6A66"/>
    <w:rsid w:val="004A6ADF"/>
    <w:rsid w:val="004A73BC"/>
    <w:rsid w:val="004B1165"/>
    <w:rsid w:val="004B2DDD"/>
    <w:rsid w:val="004B366D"/>
    <w:rsid w:val="004B3C00"/>
    <w:rsid w:val="004B46AC"/>
    <w:rsid w:val="004B48DF"/>
    <w:rsid w:val="004B5643"/>
    <w:rsid w:val="004B70FA"/>
    <w:rsid w:val="004B7A37"/>
    <w:rsid w:val="004C0CA4"/>
    <w:rsid w:val="004C2254"/>
    <w:rsid w:val="004C25CA"/>
    <w:rsid w:val="004C2AA4"/>
    <w:rsid w:val="004C3E0C"/>
    <w:rsid w:val="004C3ED9"/>
    <w:rsid w:val="004C4511"/>
    <w:rsid w:val="004D03E1"/>
    <w:rsid w:val="004D0713"/>
    <w:rsid w:val="004D1006"/>
    <w:rsid w:val="004D1C21"/>
    <w:rsid w:val="004D29F5"/>
    <w:rsid w:val="004D3048"/>
    <w:rsid w:val="004D36DB"/>
    <w:rsid w:val="004D4270"/>
    <w:rsid w:val="004D45DF"/>
    <w:rsid w:val="004D637B"/>
    <w:rsid w:val="004D7C65"/>
    <w:rsid w:val="004D7F33"/>
    <w:rsid w:val="004E0C0B"/>
    <w:rsid w:val="004E0CF5"/>
    <w:rsid w:val="004E1127"/>
    <w:rsid w:val="004E1767"/>
    <w:rsid w:val="004E1D4F"/>
    <w:rsid w:val="004E2125"/>
    <w:rsid w:val="004E46A1"/>
    <w:rsid w:val="004E474D"/>
    <w:rsid w:val="004E4B06"/>
    <w:rsid w:val="004E4DBF"/>
    <w:rsid w:val="004E6411"/>
    <w:rsid w:val="004E6FD1"/>
    <w:rsid w:val="004E7BAC"/>
    <w:rsid w:val="004F3688"/>
    <w:rsid w:val="004F3AAE"/>
    <w:rsid w:val="004F4BDE"/>
    <w:rsid w:val="004F4CEF"/>
    <w:rsid w:val="004F6EA9"/>
    <w:rsid w:val="004F7102"/>
    <w:rsid w:val="004F7CAC"/>
    <w:rsid w:val="00503DC6"/>
    <w:rsid w:val="005058B5"/>
    <w:rsid w:val="005072D2"/>
    <w:rsid w:val="00507845"/>
    <w:rsid w:val="005101EB"/>
    <w:rsid w:val="005111D3"/>
    <w:rsid w:val="00511320"/>
    <w:rsid w:val="00512DB7"/>
    <w:rsid w:val="005143F9"/>
    <w:rsid w:val="005153F6"/>
    <w:rsid w:val="00516566"/>
    <w:rsid w:val="00516929"/>
    <w:rsid w:val="00517D00"/>
    <w:rsid w:val="00517FF2"/>
    <w:rsid w:val="005218C3"/>
    <w:rsid w:val="00522828"/>
    <w:rsid w:val="00522E7F"/>
    <w:rsid w:val="00523DF0"/>
    <w:rsid w:val="00526F12"/>
    <w:rsid w:val="005271E6"/>
    <w:rsid w:val="00531092"/>
    <w:rsid w:val="00531C11"/>
    <w:rsid w:val="00532596"/>
    <w:rsid w:val="005345C2"/>
    <w:rsid w:val="00534D95"/>
    <w:rsid w:val="0053524A"/>
    <w:rsid w:val="00535B7B"/>
    <w:rsid w:val="00535C74"/>
    <w:rsid w:val="00535EA9"/>
    <w:rsid w:val="005361AB"/>
    <w:rsid w:val="00536329"/>
    <w:rsid w:val="00537FE8"/>
    <w:rsid w:val="00537FF7"/>
    <w:rsid w:val="00540EAC"/>
    <w:rsid w:val="005416C0"/>
    <w:rsid w:val="00541D43"/>
    <w:rsid w:val="00542068"/>
    <w:rsid w:val="0054232B"/>
    <w:rsid w:val="00542A60"/>
    <w:rsid w:val="00543AF9"/>
    <w:rsid w:val="00543DE6"/>
    <w:rsid w:val="00544A07"/>
    <w:rsid w:val="00544CB5"/>
    <w:rsid w:val="005460EE"/>
    <w:rsid w:val="0055120B"/>
    <w:rsid w:val="0055171C"/>
    <w:rsid w:val="00552E90"/>
    <w:rsid w:val="0055532F"/>
    <w:rsid w:val="005558A9"/>
    <w:rsid w:val="005578E9"/>
    <w:rsid w:val="00561D24"/>
    <w:rsid w:val="005638BB"/>
    <w:rsid w:val="00563ADB"/>
    <w:rsid w:val="005661CB"/>
    <w:rsid w:val="005667AB"/>
    <w:rsid w:val="00566A6F"/>
    <w:rsid w:val="0057013F"/>
    <w:rsid w:val="00571478"/>
    <w:rsid w:val="00573696"/>
    <w:rsid w:val="0057396B"/>
    <w:rsid w:val="00573B70"/>
    <w:rsid w:val="00574ABA"/>
    <w:rsid w:val="005759EE"/>
    <w:rsid w:val="00575F36"/>
    <w:rsid w:val="00576ADE"/>
    <w:rsid w:val="00577639"/>
    <w:rsid w:val="00577CFD"/>
    <w:rsid w:val="00577DEF"/>
    <w:rsid w:val="00577F08"/>
    <w:rsid w:val="00577FC6"/>
    <w:rsid w:val="00580194"/>
    <w:rsid w:val="0058056A"/>
    <w:rsid w:val="00581DB8"/>
    <w:rsid w:val="00583AAE"/>
    <w:rsid w:val="00583E0A"/>
    <w:rsid w:val="00584231"/>
    <w:rsid w:val="00585D02"/>
    <w:rsid w:val="005868B7"/>
    <w:rsid w:val="0059228A"/>
    <w:rsid w:val="00593BCC"/>
    <w:rsid w:val="005956A7"/>
    <w:rsid w:val="00595AF2"/>
    <w:rsid w:val="005962F9"/>
    <w:rsid w:val="00596479"/>
    <w:rsid w:val="00596951"/>
    <w:rsid w:val="00597015"/>
    <w:rsid w:val="0059774A"/>
    <w:rsid w:val="00597972"/>
    <w:rsid w:val="005A260F"/>
    <w:rsid w:val="005A2A2C"/>
    <w:rsid w:val="005A5888"/>
    <w:rsid w:val="005A6296"/>
    <w:rsid w:val="005A6976"/>
    <w:rsid w:val="005B0A07"/>
    <w:rsid w:val="005B1BC1"/>
    <w:rsid w:val="005B1E6C"/>
    <w:rsid w:val="005B2151"/>
    <w:rsid w:val="005B265D"/>
    <w:rsid w:val="005B2C4E"/>
    <w:rsid w:val="005B30E0"/>
    <w:rsid w:val="005B40AF"/>
    <w:rsid w:val="005B5284"/>
    <w:rsid w:val="005B7719"/>
    <w:rsid w:val="005C047A"/>
    <w:rsid w:val="005C149E"/>
    <w:rsid w:val="005C4640"/>
    <w:rsid w:val="005C4EB8"/>
    <w:rsid w:val="005C5182"/>
    <w:rsid w:val="005C622D"/>
    <w:rsid w:val="005C75FC"/>
    <w:rsid w:val="005D13BA"/>
    <w:rsid w:val="005D1A37"/>
    <w:rsid w:val="005D1BA1"/>
    <w:rsid w:val="005D31F6"/>
    <w:rsid w:val="005D3225"/>
    <w:rsid w:val="005D49F2"/>
    <w:rsid w:val="005D5893"/>
    <w:rsid w:val="005D5BA1"/>
    <w:rsid w:val="005E1239"/>
    <w:rsid w:val="005E1D79"/>
    <w:rsid w:val="005E24BB"/>
    <w:rsid w:val="005E28CA"/>
    <w:rsid w:val="005E2DFC"/>
    <w:rsid w:val="005E36DE"/>
    <w:rsid w:val="005E3775"/>
    <w:rsid w:val="005E39C2"/>
    <w:rsid w:val="005E3C04"/>
    <w:rsid w:val="005E423F"/>
    <w:rsid w:val="005E45F9"/>
    <w:rsid w:val="005E49B2"/>
    <w:rsid w:val="005E63A2"/>
    <w:rsid w:val="005E665A"/>
    <w:rsid w:val="005F08CD"/>
    <w:rsid w:val="005F0AE8"/>
    <w:rsid w:val="005F2A6B"/>
    <w:rsid w:val="005F2E08"/>
    <w:rsid w:val="005F34F8"/>
    <w:rsid w:val="005F40C1"/>
    <w:rsid w:val="005F4586"/>
    <w:rsid w:val="005F4BB0"/>
    <w:rsid w:val="005F5330"/>
    <w:rsid w:val="005F5A68"/>
    <w:rsid w:val="005F62E4"/>
    <w:rsid w:val="005F7A56"/>
    <w:rsid w:val="005F7D5E"/>
    <w:rsid w:val="006015EA"/>
    <w:rsid w:val="00601C9A"/>
    <w:rsid w:val="006024D3"/>
    <w:rsid w:val="00606EF9"/>
    <w:rsid w:val="0060706A"/>
    <w:rsid w:val="006070D5"/>
    <w:rsid w:val="00607758"/>
    <w:rsid w:val="0060789D"/>
    <w:rsid w:val="00607C10"/>
    <w:rsid w:val="00607CB4"/>
    <w:rsid w:val="006104F8"/>
    <w:rsid w:val="00610D5E"/>
    <w:rsid w:val="006110E8"/>
    <w:rsid w:val="006129E2"/>
    <w:rsid w:val="00613467"/>
    <w:rsid w:val="006140F5"/>
    <w:rsid w:val="006144CC"/>
    <w:rsid w:val="00615C62"/>
    <w:rsid w:val="006166E6"/>
    <w:rsid w:val="0061736D"/>
    <w:rsid w:val="0062064A"/>
    <w:rsid w:val="00621853"/>
    <w:rsid w:val="0062233D"/>
    <w:rsid w:val="00624315"/>
    <w:rsid w:val="0062545B"/>
    <w:rsid w:val="006254A1"/>
    <w:rsid w:val="0062552A"/>
    <w:rsid w:val="0062566B"/>
    <w:rsid w:val="00626405"/>
    <w:rsid w:val="00630720"/>
    <w:rsid w:val="00631F7E"/>
    <w:rsid w:val="006332BE"/>
    <w:rsid w:val="006349DF"/>
    <w:rsid w:val="006408C3"/>
    <w:rsid w:val="00640AE2"/>
    <w:rsid w:val="00642A03"/>
    <w:rsid w:val="00642DB7"/>
    <w:rsid w:val="0064618E"/>
    <w:rsid w:val="0064620D"/>
    <w:rsid w:val="00646237"/>
    <w:rsid w:val="00646387"/>
    <w:rsid w:val="006469AF"/>
    <w:rsid w:val="00650957"/>
    <w:rsid w:val="0065099A"/>
    <w:rsid w:val="006519A3"/>
    <w:rsid w:val="006521AF"/>
    <w:rsid w:val="006529F3"/>
    <w:rsid w:val="006530A8"/>
    <w:rsid w:val="00657754"/>
    <w:rsid w:val="006605DF"/>
    <w:rsid w:val="0066229D"/>
    <w:rsid w:val="00662DFF"/>
    <w:rsid w:val="00664356"/>
    <w:rsid w:val="00665BDA"/>
    <w:rsid w:val="00670B65"/>
    <w:rsid w:val="00671CB8"/>
    <w:rsid w:val="00672120"/>
    <w:rsid w:val="00673556"/>
    <w:rsid w:val="00673B39"/>
    <w:rsid w:val="00675006"/>
    <w:rsid w:val="006750A8"/>
    <w:rsid w:val="00675B6B"/>
    <w:rsid w:val="006762E1"/>
    <w:rsid w:val="006778DA"/>
    <w:rsid w:val="0068015F"/>
    <w:rsid w:val="00681F95"/>
    <w:rsid w:val="0068214A"/>
    <w:rsid w:val="00682FB1"/>
    <w:rsid w:val="006836CA"/>
    <w:rsid w:val="00684FE7"/>
    <w:rsid w:val="00686712"/>
    <w:rsid w:val="00686EC3"/>
    <w:rsid w:val="00687313"/>
    <w:rsid w:val="00687B4A"/>
    <w:rsid w:val="0069064F"/>
    <w:rsid w:val="00691913"/>
    <w:rsid w:val="00692162"/>
    <w:rsid w:val="00692256"/>
    <w:rsid w:val="00693CA1"/>
    <w:rsid w:val="00693DC0"/>
    <w:rsid w:val="00694AEA"/>
    <w:rsid w:val="006963E0"/>
    <w:rsid w:val="006970BC"/>
    <w:rsid w:val="006971AE"/>
    <w:rsid w:val="0069738E"/>
    <w:rsid w:val="006A0349"/>
    <w:rsid w:val="006A138B"/>
    <w:rsid w:val="006A1B07"/>
    <w:rsid w:val="006A23AE"/>
    <w:rsid w:val="006A358E"/>
    <w:rsid w:val="006A3849"/>
    <w:rsid w:val="006A3CA5"/>
    <w:rsid w:val="006A477D"/>
    <w:rsid w:val="006A55CA"/>
    <w:rsid w:val="006A7BD9"/>
    <w:rsid w:val="006B04A5"/>
    <w:rsid w:val="006B140A"/>
    <w:rsid w:val="006B2F10"/>
    <w:rsid w:val="006B46E1"/>
    <w:rsid w:val="006B58DD"/>
    <w:rsid w:val="006B5AB9"/>
    <w:rsid w:val="006B5E30"/>
    <w:rsid w:val="006B663D"/>
    <w:rsid w:val="006B7BAC"/>
    <w:rsid w:val="006C15EE"/>
    <w:rsid w:val="006C1D05"/>
    <w:rsid w:val="006C1F65"/>
    <w:rsid w:val="006C2AB0"/>
    <w:rsid w:val="006C2EFE"/>
    <w:rsid w:val="006C3821"/>
    <w:rsid w:val="006C3C31"/>
    <w:rsid w:val="006C4906"/>
    <w:rsid w:val="006C5E74"/>
    <w:rsid w:val="006C6841"/>
    <w:rsid w:val="006C6850"/>
    <w:rsid w:val="006D0B91"/>
    <w:rsid w:val="006D1A22"/>
    <w:rsid w:val="006D1E41"/>
    <w:rsid w:val="006D2972"/>
    <w:rsid w:val="006D3271"/>
    <w:rsid w:val="006D3A45"/>
    <w:rsid w:val="006D438C"/>
    <w:rsid w:val="006D5E08"/>
    <w:rsid w:val="006D63DB"/>
    <w:rsid w:val="006D72A3"/>
    <w:rsid w:val="006E0770"/>
    <w:rsid w:val="006E1AC2"/>
    <w:rsid w:val="006E2646"/>
    <w:rsid w:val="006E276B"/>
    <w:rsid w:val="006E7302"/>
    <w:rsid w:val="006F161E"/>
    <w:rsid w:val="006F21CC"/>
    <w:rsid w:val="006F40D5"/>
    <w:rsid w:val="006F5041"/>
    <w:rsid w:val="006F538F"/>
    <w:rsid w:val="006F5749"/>
    <w:rsid w:val="006F7392"/>
    <w:rsid w:val="00700B82"/>
    <w:rsid w:val="00701521"/>
    <w:rsid w:val="00701EEA"/>
    <w:rsid w:val="0070275E"/>
    <w:rsid w:val="00704F06"/>
    <w:rsid w:val="00705CCC"/>
    <w:rsid w:val="0070739C"/>
    <w:rsid w:val="00707ADC"/>
    <w:rsid w:val="00710E2B"/>
    <w:rsid w:val="0071166B"/>
    <w:rsid w:val="00712C73"/>
    <w:rsid w:val="007135FF"/>
    <w:rsid w:val="00714310"/>
    <w:rsid w:val="0071553F"/>
    <w:rsid w:val="00715E85"/>
    <w:rsid w:val="00721DE7"/>
    <w:rsid w:val="00723E1E"/>
    <w:rsid w:val="00724279"/>
    <w:rsid w:val="00725B07"/>
    <w:rsid w:val="00730098"/>
    <w:rsid w:val="00730338"/>
    <w:rsid w:val="00731635"/>
    <w:rsid w:val="00732682"/>
    <w:rsid w:val="00733CF5"/>
    <w:rsid w:val="00734DB2"/>
    <w:rsid w:val="00735A79"/>
    <w:rsid w:val="007372C6"/>
    <w:rsid w:val="00737659"/>
    <w:rsid w:val="00740141"/>
    <w:rsid w:val="00741224"/>
    <w:rsid w:val="00743A73"/>
    <w:rsid w:val="00744402"/>
    <w:rsid w:val="00744BC4"/>
    <w:rsid w:val="00745C3B"/>
    <w:rsid w:val="00745C71"/>
    <w:rsid w:val="00750275"/>
    <w:rsid w:val="0075028D"/>
    <w:rsid w:val="007509A6"/>
    <w:rsid w:val="00750B5A"/>
    <w:rsid w:val="007510FE"/>
    <w:rsid w:val="00753B4D"/>
    <w:rsid w:val="00755AE8"/>
    <w:rsid w:val="00757D5E"/>
    <w:rsid w:val="0076107B"/>
    <w:rsid w:val="007614BB"/>
    <w:rsid w:val="007616A3"/>
    <w:rsid w:val="00764783"/>
    <w:rsid w:val="00765184"/>
    <w:rsid w:val="00765F2F"/>
    <w:rsid w:val="00772C70"/>
    <w:rsid w:val="00773F94"/>
    <w:rsid w:val="00774E1D"/>
    <w:rsid w:val="00775697"/>
    <w:rsid w:val="0077791E"/>
    <w:rsid w:val="00777930"/>
    <w:rsid w:val="00780E4D"/>
    <w:rsid w:val="007820FF"/>
    <w:rsid w:val="0078271B"/>
    <w:rsid w:val="0078339F"/>
    <w:rsid w:val="007847FA"/>
    <w:rsid w:val="0078521B"/>
    <w:rsid w:val="00785C30"/>
    <w:rsid w:val="007878A6"/>
    <w:rsid w:val="00787D69"/>
    <w:rsid w:val="00790910"/>
    <w:rsid w:val="00791DE1"/>
    <w:rsid w:val="00792D6D"/>
    <w:rsid w:val="00793BEF"/>
    <w:rsid w:val="00793F28"/>
    <w:rsid w:val="007941B5"/>
    <w:rsid w:val="00796219"/>
    <w:rsid w:val="00796FCE"/>
    <w:rsid w:val="00797403"/>
    <w:rsid w:val="007A0C6C"/>
    <w:rsid w:val="007A179E"/>
    <w:rsid w:val="007A3A8C"/>
    <w:rsid w:val="007A5C2A"/>
    <w:rsid w:val="007B0295"/>
    <w:rsid w:val="007B0E0C"/>
    <w:rsid w:val="007B1572"/>
    <w:rsid w:val="007B16E7"/>
    <w:rsid w:val="007B1894"/>
    <w:rsid w:val="007B2CE0"/>
    <w:rsid w:val="007B31F1"/>
    <w:rsid w:val="007B40CD"/>
    <w:rsid w:val="007B4688"/>
    <w:rsid w:val="007B4932"/>
    <w:rsid w:val="007B59D5"/>
    <w:rsid w:val="007B5FA5"/>
    <w:rsid w:val="007B630D"/>
    <w:rsid w:val="007B6D44"/>
    <w:rsid w:val="007B7939"/>
    <w:rsid w:val="007C0149"/>
    <w:rsid w:val="007C0F9D"/>
    <w:rsid w:val="007C10E2"/>
    <w:rsid w:val="007C26E5"/>
    <w:rsid w:val="007C4429"/>
    <w:rsid w:val="007C4AC1"/>
    <w:rsid w:val="007C4EFB"/>
    <w:rsid w:val="007C56E6"/>
    <w:rsid w:val="007C626D"/>
    <w:rsid w:val="007C6EEA"/>
    <w:rsid w:val="007C720A"/>
    <w:rsid w:val="007C7CD3"/>
    <w:rsid w:val="007D0522"/>
    <w:rsid w:val="007D1092"/>
    <w:rsid w:val="007D2190"/>
    <w:rsid w:val="007D2267"/>
    <w:rsid w:val="007D2621"/>
    <w:rsid w:val="007D2BE6"/>
    <w:rsid w:val="007D2E9B"/>
    <w:rsid w:val="007D3378"/>
    <w:rsid w:val="007D44C9"/>
    <w:rsid w:val="007D6933"/>
    <w:rsid w:val="007D7221"/>
    <w:rsid w:val="007D7465"/>
    <w:rsid w:val="007E0BFF"/>
    <w:rsid w:val="007E0D50"/>
    <w:rsid w:val="007E3061"/>
    <w:rsid w:val="007E5B72"/>
    <w:rsid w:val="007E71E1"/>
    <w:rsid w:val="007E762C"/>
    <w:rsid w:val="007F0388"/>
    <w:rsid w:val="007F08CA"/>
    <w:rsid w:val="007F0A49"/>
    <w:rsid w:val="007F16D5"/>
    <w:rsid w:val="007F247F"/>
    <w:rsid w:val="007F30E5"/>
    <w:rsid w:val="007F3B6E"/>
    <w:rsid w:val="007F4194"/>
    <w:rsid w:val="007F619D"/>
    <w:rsid w:val="007F63D5"/>
    <w:rsid w:val="008004C2"/>
    <w:rsid w:val="0080071D"/>
    <w:rsid w:val="00801E76"/>
    <w:rsid w:val="00803FC0"/>
    <w:rsid w:val="00805F27"/>
    <w:rsid w:val="00806248"/>
    <w:rsid w:val="00806434"/>
    <w:rsid w:val="00806EAC"/>
    <w:rsid w:val="00807F62"/>
    <w:rsid w:val="0081310C"/>
    <w:rsid w:val="00813288"/>
    <w:rsid w:val="008133F3"/>
    <w:rsid w:val="0081375D"/>
    <w:rsid w:val="0081415B"/>
    <w:rsid w:val="00814C5B"/>
    <w:rsid w:val="00814FF2"/>
    <w:rsid w:val="00815360"/>
    <w:rsid w:val="00815BC6"/>
    <w:rsid w:val="008208BB"/>
    <w:rsid w:val="00821A29"/>
    <w:rsid w:val="00822A48"/>
    <w:rsid w:val="00823233"/>
    <w:rsid w:val="00824426"/>
    <w:rsid w:val="0082513D"/>
    <w:rsid w:val="008252FC"/>
    <w:rsid w:val="00826036"/>
    <w:rsid w:val="00827A7B"/>
    <w:rsid w:val="00830E52"/>
    <w:rsid w:val="008324D8"/>
    <w:rsid w:val="008324E3"/>
    <w:rsid w:val="0083311D"/>
    <w:rsid w:val="00833A17"/>
    <w:rsid w:val="00833A1D"/>
    <w:rsid w:val="008341AC"/>
    <w:rsid w:val="008351F5"/>
    <w:rsid w:val="0083627D"/>
    <w:rsid w:val="00836309"/>
    <w:rsid w:val="00836E29"/>
    <w:rsid w:val="00836E8D"/>
    <w:rsid w:val="00837CFF"/>
    <w:rsid w:val="0084075D"/>
    <w:rsid w:val="00842C85"/>
    <w:rsid w:val="00842D79"/>
    <w:rsid w:val="00843822"/>
    <w:rsid w:val="008438DB"/>
    <w:rsid w:val="00843C62"/>
    <w:rsid w:val="00843E47"/>
    <w:rsid w:val="0084435A"/>
    <w:rsid w:val="00845946"/>
    <w:rsid w:val="00845AFB"/>
    <w:rsid w:val="00845B3F"/>
    <w:rsid w:val="008465A2"/>
    <w:rsid w:val="00846F9C"/>
    <w:rsid w:val="008476A0"/>
    <w:rsid w:val="0085128C"/>
    <w:rsid w:val="008514DD"/>
    <w:rsid w:val="00851B72"/>
    <w:rsid w:val="00851C18"/>
    <w:rsid w:val="008525A8"/>
    <w:rsid w:val="00852CB7"/>
    <w:rsid w:val="00852F38"/>
    <w:rsid w:val="00852F9E"/>
    <w:rsid w:val="00852FF2"/>
    <w:rsid w:val="008531C6"/>
    <w:rsid w:val="0085364E"/>
    <w:rsid w:val="00853AC1"/>
    <w:rsid w:val="00854390"/>
    <w:rsid w:val="00855CC6"/>
    <w:rsid w:val="00856797"/>
    <w:rsid w:val="00856C34"/>
    <w:rsid w:val="00857456"/>
    <w:rsid w:val="008574EA"/>
    <w:rsid w:val="00857572"/>
    <w:rsid w:val="00860E72"/>
    <w:rsid w:val="00861EB3"/>
    <w:rsid w:val="0086483C"/>
    <w:rsid w:val="00865CC7"/>
    <w:rsid w:val="00865DC1"/>
    <w:rsid w:val="00867720"/>
    <w:rsid w:val="00867FBA"/>
    <w:rsid w:val="008727B2"/>
    <w:rsid w:val="00872CA4"/>
    <w:rsid w:val="00873162"/>
    <w:rsid w:val="008750F9"/>
    <w:rsid w:val="00875341"/>
    <w:rsid w:val="0087534E"/>
    <w:rsid w:val="0087536F"/>
    <w:rsid w:val="0087599E"/>
    <w:rsid w:val="008762DF"/>
    <w:rsid w:val="00880A40"/>
    <w:rsid w:val="008821C4"/>
    <w:rsid w:val="00883287"/>
    <w:rsid w:val="00883AA7"/>
    <w:rsid w:val="00884382"/>
    <w:rsid w:val="0088531B"/>
    <w:rsid w:val="008869D0"/>
    <w:rsid w:val="008869F4"/>
    <w:rsid w:val="00887890"/>
    <w:rsid w:val="00890F0C"/>
    <w:rsid w:val="00891469"/>
    <w:rsid w:val="008918A2"/>
    <w:rsid w:val="00893613"/>
    <w:rsid w:val="0089380F"/>
    <w:rsid w:val="00893EB2"/>
    <w:rsid w:val="00893EEF"/>
    <w:rsid w:val="00894013"/>
    <w:rsid w:val="00897330"/>
    <w:rsid w:val="008A122E"/>
    <w:rsid w:val="008A316E"/>
    <w:rsid w:val="008A38C1"/>
    <w:rsid w:val="008A4880"/>
    <w:rsid w:val="008A52B1"/>
    <w:rsid w:val="008A7948"/>
    <w:rsid w:val="008B152D"/>
    <w:rsid w:val="008B1576"/>
    <w:rsid w:val="008B1940"/>
    <w:rsid w:val="008B38D7"/>
    <w:rsid w:val="008B5421"/>
    <w:rsid w:val="008B5B32"/>
    <w:rsid w:val="008B642E"/>
    <w:rsid w:val="008B6C46"/>
    <w:rsid w:val="008B7D32"/>
    <w:rsid w:val="008C03DC"/>
    <w:rsid w:val="008C0FEE"/>
    <w:rsid w:val="008C13FF"/>
    <w:rsid w:val="008C1B06"/>
    <w:rsid w:val="008C1C76"/>
    <w:rsid w:val="008C260F"/>
    <w:rsid w:val="008C299C"/>
    <w:rsid w:val="008C309A"/>
    <w:rsid w:val="008C3C77"/>
    <w:rsid w:val="008C402F"/>
    <w:rsid w:val="008C44C1"/>
    <w:rsid w:val="008C484B"/>
    <w:rsid w:val="008C4F26"/>
    <w:rsid w:val="008C51E2"/>
    <w:rsid w:val="008C58DA"/>
    <w:rsid w:val="008C63F2"/>
    <w:rsid w:val="008C6FCD"/>
    <w:rsid w:val="008D03AD"/>
    <w:rsid w:val="008D120C"/>
    <w:rsid w:val="008D251A"/>
    <w:rsid w:val="008D2BE8"/>
    <w:rsid w:val="008D31EB"/>
    <w:rsid w:val="008D5A9D"/>
    <w:rsid w:val="008D6539"/>
    <w:rsid w:val="008D78FF"/>
    <w:rsid w:val="008E0115"/>
    <w:rsid w:val="008E0E92"/>
    <w:rsid w:val="008E1061"/>
    <w:rsid w:val="008E1E80"/>
    <w:rsid w:val="008E232A"/>
    <w:rsid w:val="008E2E46"/>
    <w:rsid w:val="008E6919"/>
    <w:rsid w:val="008E741F"/>
    <w:rsid w:val="008E7AF9"/>
    <w:rsid w:val="008E7BFA"/>
    <w:rsid w:val="008F1A07"/>
    <w:rsid w:val="008F60CC"/>
    <w:rsid w:val="00900239"/>
    <w:rsid w:val="009006FE"/>
    <w:rsid w:val="009027F3"/>
    <w:rsid w:val="0090344B"/>
    <w:rsid w:val="009034B7"/>
    <w:rsid w:val="00904475"/>
    <w:rsid w:val="00904D0F"/>
    <w:rsid w:val="0090528E"/>
    <w:rsid w:val="00912636"/>
    <w:rsid w:val="00913DA0"/>
    <w:rsid w:val="00913E8F"/>
    <w:rsid w:val="00914187"/>
    <w:rsid w:val="00914DA7"/>
    <w:rsid w:val="00915239"/>
    <w:rsid w:val="00915F63"/>
    <w:rsid w:val="00916845"/>
    <w:rsid w:val="009177E9"/>
    <w:rsid w:val="00922575"/>
    <w:rsid w:val="0092297A"/>
    <w:rsid w:val="00922ED5"/>
    <w:rsid w:val="00924A98"/>
    <w:rsid w:val="00924D08"/>
    <w:rsid w:val="009268B1"/>
    <w:rsid w:val="00926B6E"/>
    <w:rsid w:val="00932597"/>
    <w:rsid w:val="009331CF"/>
    <w:rsid w:val="009334AC"/>
    <w:rsid w:val="009364EA"/>
    <w:rsid w:val="00936A46"/>
    <w:rsid w:val="00936D42"/>
    <w:rsid w:val="00937C5E"/>
    <w:rsid w:val="00940149"/>
    <w:rsid w:val="009403AD"/>
    <w:rsid w:val="00942010"/>
    <w:rsid w:val="0094320A"/>
    <w:rsid w:val="0094466A"/>
    <w:rsid w:val="0094505D"/>
    <w:rsid w:val="0094519E"/>
    <w:rsid w:val="009452B7"/>
    <w:rsid w:val="00947F67"/>
    <w:rsid w:val="0095005D"/>
    <w:rsid w:val="0095170D"/>
    <w:rsid w:val="009523BC"/>
    <w:rsid w:val="0095307F"/>
    <w:rsid w:val="009545A2"/>
    <w:rsid w:val="00955526"/>
    <w:rsid w:val="00956587"/>
    <w:rsid w:val="00956996"/>
    <w:rsid w:val="00960F3F"/>
    <w:rsid w:val="00961304"/>
    <w:rsid w:val="0096154D"/>
    <w:rsid w:val="00963BA0"/>
    <w:rsid w:val="00963E17"/>
    <w:rsid w:val="009650A4"/>
    <w:rsid w:val="00965181"/>
    <w:rsid w:val="00965B68"/>
    <w:rsid w:val="00966C09"/>
    <w:rsid w:val="009670FF"/>
    <w:rsid w:val="009706B1"/>
    <w:rsid w:val="0097309B"/>
    <w:rsid w:val="00973143"/>
    <w:rsid w:val="009737E4"/>
    <w:rsid w:val="00976414"/>
    <w:rsid w:val="009765F7"/>
    <w:rsid w:val="00976655"/>
    <w:rsid w:val="00976A92"/>
    <w:rsid w:val="00976BA5"/>
    <w:rsid w:val="0097752E"/>
    <w:rsid w:val="009776C8"/>
    <w:rsid w:val="00977B4D"/>
    <w:rsid w:val="00977EB9"/>
    <w:rsid w:val="009800A6"/>
    <w:rsid w:val="009817CB"/>
    <w:rsid w:val="00984441"/>
    <w:rsid w:val="009844CF"/>
    <w:rsid w:val="00984DD8"/>
    <w:rsid w:val="009851CA"/>
    <w:rsid w:val="00985A5A"/>
    <w:rsid w:val="00986258"/>
    <w:rsid w:val="009865EE"/>
    <w:rsid w:val="0098707F"/>
    <w:rsid w:val="009870E4"/>
    <w:rsid w:val="0099085F"/>
    <w:rsid w:val="00991A12"/>
    <w:rsid w:val="009925DB"/>
    <w:rsid w:val="009929CC"/>
    <w:rsid w:val="00992DC0"/>
    <w:rsid w:val="00992DD4"/>
    <w:rsid w:val="00993CC9"/>
    <w:rsid w:val="00993ED2"/>
    <w:rsid w:val="0099511C"/>
    <w:rsid w:val="009953B1"/>
    <w:rsid w:val="009975C0"/>
    <w:rsid w:val="009977C8"/>
    <w:rsid w:val="00997843"/>
    <w:rsid w:val="009A0E14"/>
    <w:rsid w:val="009A17BC"/>
    <w:rsid w:val="009A18E6"/>
    <w:rsid w:val="009A20FC"/>
    <w:rsid w:val="009A2468"/>
    <w:rsid w:val="009A2958"/>
    <w:rsid w:val="009A32E6"/>
    <w:rsid w:val="009A456A"/>
    <w:rsid w:val="009A4697"/>
    <w:rsid w:val="009A46C0"/>
    <w:rsid w:val="009A4E94"/>
    <w:rsid w:val="009A53DC"/>
    <w:rsid w:val="009A5D7B"/>
    <w:rsid w:val="009A6070"/>
    <w:rsid w:val="009A6F74"/>
    <w:rsid w:val="009A7BB7"/>
    <w:rsid w:val="009B14F3"/>
    <w:rsid w:val="009B40C4"/>
    <w:rsid w:val="009B5373"/>
    <w:rsid w:val="009B70D2"/>
    <w:rsid w:val="009B726A"/>
    <w:rsid w:val="009B7703"/>
    <w:rsid w:val="009C1F4A"/>
    <w:rsid w:val="009C34A9"/>
    <w:rsid w:val="009C4CF0"/>
    <w:rsid w:val="009C5102"/>
    <w:rsid w:val="009C65FE"/>
    <w:rsid w:val="009C70DA"/>
    <w:rsid w:val="009C7599"/>
    <w:rsid w:val="009D0638"/>
    <w:rsid w:val="009D1CE5"/>
    <w:rsid w:val="009D2D50"/>
    <w:rsid w:val="009D2F4D"/>
    <w:rsid w:val="009D316F"/>
    <w:rsid w:val="009D33F0"/>
    <w:rsid w:val="009D3628"/>
    <w:rsid w:val="009D38F9"/>
    <w:rsid w:val="009D4B8D"/>
    <w:rsid w:val="009D4C2A"/>
    <w:rsid w:val="009D5CBD"/>
    <w:rsid w:val="009D686C"/>
    <w:rsid w:val="009D6914"/>
    <w:rsid w:val="009E0A11"/>
    <w:rsid w:val="009E1C22"/>
    <w:rsid w:val="009E2474"/>
    <w:rsid w:val="009E2481"/>
    <w:rsid w:val="009E2A9C"/>
    <w:rsid w:val="009E3036"/>
    <w:rsid w:val="009E45F7"/>
    <w:rsid w:val="009E522F"/>
    <w:rsid w:val="009F22E7"/>
    <w:rsid w:val="009F23D3"/>
    <w:rsid w:val="009F3631"/>
    <w:rsid w:val="009F3790"/>
    <w:rsid w:val="009F3A54"/>
    <w:rsid w:val="009F40B5"/>
    <w:rsid w:val="009F41CD"/>
    <w:rsid w:val="009F4F5E"/>
    <w:rsid w:val="009F5B2B"/>
    <w:rsid w:val="009F6013"/>
    <w:rsid w:val="009F6486"/>
    <w:rsid w:val="009F6A92"/>
    <w:rsid w:val="009F7CEB"/>
    <w:rsid w:val="009F7F24"/>
    <w:rsid w:val="00A000FD"/>
    <w:rsid w:val="00A013B2"/>
    <w:rsid w:val="00A040FD"/>
    <w:rsid w:val="00A0426A"/>
    <w:rsid w:val="00A0497B"/>
    <w:rsid w:val="00A04C0D"/>
    <w:rsid w:val="00A04C94"/>
    <w:rsid w:val="00A04F82"/>
    <w:rsid w:val="00A0556F"/>
    <w:rsid w:val="00A05ED6"/>
    <w:rsid w:val="00A0647E"/>
    <w:rsid w:val="00A06AFF"/>
    <w:rsid w:val="00A078B0"/>
    <w:rsid w:val="00A109F4"/>
    <w:rsid w:val="00A10C0D"/>
    <w:rsid w:val="00A11365"/>
    <w:rsid w:val="00A1205B"/>
    <w:rsid w:val="00A13B74"/>
    <w:rsid w:val="00A13ED4"/>
    <w:rsid w:val="00A209D2"/>
    <w:rsid w:val="00A20B1A"/>
    <w:rsid w:val="00A216E4"/>
    <w:rsid w:val="00A2190C"/>
    <w:rsid w:val="00A22A39"/>
    <w:rsid w:val="00A22DCA"/>
    <w:rsid w:val="00A25063"/>
    <w:rsid w:val="00A2579B"/>
    <w:rsid w:val="00A25DC2"/>
    <w:rsid w:val="00A26109"/>
    <w:rsid w:val="00A264A0"/>
    <w:rsid w:val="00A26CCB"/>
    <w:rsid w:val="00A27E27"/>
    <w:rsid w:val="00A27F23"/>
    <w:rsid w:val="00A30839"/>
    <w:rsid w:val="00A330AD"/>
    <w:rsid w:val="00A336E7"/>
    <w:rsid w:val="00A3464B"/>
    <w:rsid w:val="00A34B49"/>
    <w:rsid w:val="00A34F0E"/>
    <w:rsid w:val="00A378D7"/>
    <w:rsid w:val="00A37D96"/>
    <w:rsid w:val="00A41E5D"/>
    <w:rsid w:val="00A42423"/>
    <w:rsid w:val="00A4471F"/>
    <w:rsid w:val="00A44A64"/>
    <w:rsid w:val="00A465A6"/>
    <w:rsid w:val="00A46E93"/>
    <w:rsid w:val="00A47C12"/>
    <w:rsid w:val="00A47DAD"/>
    <w:rsid w:val="00A50361"/>
    <w:rsid w:val="00A50EE7"/>
    <w:rsid w:val="00A51598"/>
    <w:rsid w:val="00A52CE8"/>
    <w:rsid w:val="00A535FB"/>
    <w:rsid w:val="00A53723"/>
    <w:rsid w:val="00A53C24"/>
    <w:rsid w:val="00A53D31"/>
    <w:rsid w:val="00A54169"/>
    <w:rsid w:val="00A54A61"/>
    <w:rsid w:val="00A54F13"/>
    <w:rsid w:val="00A57046"/>
    <w:rsid w:val="00A57D90"/>
    <w:rsid w:val="00A604C3"/>
    <w:rsid w:val="00A60EAD"/>
    <w:rsid w:val="00A624E1"/>
    <w:rsid w:val="00A62C3A"/>
    <w:rsid w:val="00A632BA"/>
    <w:rsid w:val="00A6374D"/>
    <w:rsid w:val="00A64837"/>
    <w:rsid w:val="00A66387"/>
    <w:rsid w:val="00A664A6"/>
    <w:rsid w:val="00A71C53"/>
    <w:rsid w:val="00A730D0"/>
    <w:rsid w:val="00A74317"/>
    <w:rsid w:val="00A811B0"/>
    <w:rsid w:val="00A814D1"/>
    <w:rsid w:val="00A81549"/>
    <w:rsid w:val="00A81F82"/>
    <w:rsid w:val="00A841B0"/>
    <w:rsid w:val="00A84681"/>
    <w:rsid w:val="00A84EB4"/>
    <w:rsid w:val="00A85A2B"/>
    <w:rsid w:val="00A86A87"/>
    <w:rsid w:val="00A86BAA"/>
    <w:rsid w:val="00A90D25"/>
    <w:rsid w:val="00A91AAA"/>
    <w:rsid w:val="00A92784"/>
    <w:rsid w:val="00A928AD"/>
    <w:rsid w:val="00A93543"/>
    <w:rsid w:val="00A942C8"/>
    <w:rsid w:val="00A944EC"/>
    <w:rsid w:val="00A94EFC"/>
    <w:rsid w:val="00A9667E"/>
    <w:rsid w:val="00A979EF"/>
    <w:rsid w:val="00AA0C91"/>
    <w:rsid w:val="00AA107D"/>
    <w:rsid w:val="00AA1252"/>
    <w:rsid w:val="00AA1681"/>
    <w:rsid w:val="00AA22BC"/>
    <w:rsid w:val="00AA2FA1"/>
    <w:rsid w:val="00AA3780"/>
    <w:rsid w:val="00AA3DFE"/>
    <w:rsid w:val="00AA468D"/>
    <w:rsid w:val="00AA51C1"/>
    <w:rsid w:val="00AA582B"/>
    <w:rsid w:val="00AA6156"/>
    <w:rsid w:val="00AA63C9"/>
    <w:rsid w:val="00AA68A3"/>
    <w:rsid w:val="00AA6FCF"/>
    <w:rsid w:val="00AA73AC"/>
    <w:rsid w:val="00AA78E9"/>
    <w:rsid w:val="00AA7B77"/>
    <w:rsid w:val="00AB11FC"/>
    <w:rsid w:val="00AB187A"/>
    <w:rsid w:val="00AB271A"/>
    <w:rsid w:val="00AB27B3"/>
    <w:rsid w:val="00AB2CCA"/>
    <w:rsid w:val="00AB2FF7"/>
    <w:rsid w:val="00AB4151"/>
    <w:rsid w:val="00AB514A"/>
    <w:rsid w:val="00AB5233"/>
    <w:rsid w:val="00AB5EDF"/>
    <w:rsid w:val="00AB6499"/>
    <w:rsid w:val="00AB66D7"/>
    <w:rsid w:val="00AB7971"/>
    <w:rsid w:val="00AC2E41"/>
    <w:rsid w:val="00AC3800"/>
    <w:rsid w:val="00AC50E3"/>
    <w:rsid w:val="00AC7276"/>
    <w:rsid w:val="00AD0128"/>
    <w:rsid w:val="00AD130A"/>
    <w:rsid w:val="00AD1A52"/>
    <w:rsid w:val="00AD1FEE"/>
    <w:rsid w:val="00AD2163"/>
    <w:rsid w:val="00AD2853"/>
    <w:rsid w:val="00AD2A40"/>
    <w:rsid w:val="00AD3DE0"/>
    <w:rsid w:val="00AD3E5C"/>
    <w:rsid w:val="00AD51C9"/>
    <w:rsid w:val="00AD5C27"/>
    <w:rsid w:val="00AD6221"/>
    <w:rsid w:val="00AD6E13"/>
    <w:rsid w:val="00AD772C"/>
    <w:rsid w:val="00AD7B39"/>
    <w:rsid w:val="00AD7BD8"/>
    <w:rsid w:val="00AE1C52"/>
    <w:rsid w:val="00AE2161"/>
    <w:rsid w:val="00AE2192"/>
    <w:rsid w:val="00AE2A68"/>
    <w:rsid w:val="00AE2CEE"/>
    <w:rsid w:val="00AE3FD6"/>
    <w:rsid w:val="00AE6655"/>
    <w:rsid w:val="00AF0CBC"/>
    <w:rsid w:val="00AF0DF9"/>
    <w:rsid w:val="00AF1288"/>
    <w:rsid w:val="00AF196A"/>
    <w:rsid w:val="00AF196B"/>
    <w:rsid w:val="00AF1D73"/>
    <w:rsid w:val="00AF22C6"/>
    <w:rsid w:val="00AF2ECA"/>
    <w:rsid w:val="00AF3C6C"/>
    <w:rsid w:val="00AF4537"/>
    <w:rsid w:val="00AF4BE4"/>
    <w:rsid w:val="00AF5017"/>
    <w:rsid w:val="00AF52D2"/>
    <w:rsid w:val="00AF5F81"/>
    <w:rsid w:val="00AF7E6B"/>
    <w:rsid w:val="00B007FC"/>
    <w:rsid w:val="00B02804"/>
    <w:rsid w:val="00B03EC3"/>
    <w:rsid w:val="00B04EA0"/>
    <w:rsid w:val="00B04F06"/>
    <w:rsid w:val="00B05A6C"/>
    <w:rsid w:val="00B0604F"/>
    <w:rsid w:val="00B06FFE"/>
    <w:rsid w:val="00B1123F"/>
    <w:rsid w:val="00B1137D"/>
    <w:rsid w:val="00B11B6B"/>
    <w:rsid w:val="00B11EA0"/>
    <w:rsid w:val="00B1234B"/>
    <w:rsid w:val="00B12436"/>
    <w:rsid w:val="00B1390E"/>
    <w:rsid w:val="00B13C86"/>
    <w:rsid w:val="00B1401C"/>
    <w:rsid w:val="00B14724"/>
    <w:rsid w:val="00B15C9C"/>
    <w:rsid w:val="00B1654B"/>
    <w:rsid w:val="00B17C6C"/>
    <w:rsid w:val="00B17FDB"/>
    <w:rsid w:val="00B201A8"/>
    <w:rsid w:val="00B2086A"/>
    <w:rsid w:val="00B21BB1"/>
    <w:rsid w:val="00B221CC"/>
    <w:rsid w:val="00B228DC"/>
    <w:rsid w:val="00B2386B"/>
    <w:rsid w:val="00B23BB5"/>
    <w:rsid w:val="00B25487"/>
    <w:rsid w:val="00B25D68"/>
    <w:rsid w:val="00B2777B"/>
    <w:rsid w:val="00B33566"/>
    <w:rsid w:val="00B344C5"/>
    <w:rsid w:val="00B3566C"/>
    <w:rsid w:val="00B37B99"/>
    <w:rsid w:val="00B4042C"/>
    <w:rsid w:val="00B42142"/>
    <w:rsid w:val="00B4360E"/>
    <w:rsid w:val="00B43936"/>
    <w:rsid w:val="00B43A94"/>
    <w:rsid w:val="00B446CA"/>
    <w:rsid w:val="00B4490E"/>
    <w:rsid w:val="00B4550D"/>
    <w:rsid w:val="00B46D43"/>
    <w:rsid w:val="00B47361"/>
    <w:rsid w:val="00B47F59"/>
    <w:rsid w:val="00B50503"/>
    <w:rsid w:val="00B524FD"/>
    <w:rsid w:val="00B532DB"/>
    <w:rsid w:val="00B55BB1"/>
    <w:rsid w:val="00B55C69"/>
    <w:rsid w:val="00B6019B"/>
    <w:rsid w:val="00B6183F"/>
    <w:rsid w:val="00B62ABC"/>
    <w:rsid w:val="00B62EB8"/>
    <w:rsid w:val="00B63AB5"/>
    <w:rsid w:val="00B64AB7"/>
    <w:rsid w:val="00B64EE1"/>
    <w:rsid w:val="00B650E1"/>
    <w:rsid w:val="00B663BA"/>
    <w:rsid w:val="00B66C37"/>
    <w:rsid w:val="00B67119"/>
    <w:rsid w:val="00B67E8A"/>
    <w:rsid w:val="00B706FA"/>
    <w:rsid w:val="00B70F80"/>
    <w:rsid w:val="00B71675"/>
    <w:rsid w:val="00B718A3"/>
    <w:rsid w:val="00B71B62"/>
    <w:rsid w:val="00B72F95"/>
    <w:rsid w:val="00B737D5"/>
    <w:rsid w:val="00B73D84"/>
    <w:rsid w:val="00B7415E"/>
    <w:rsid w:val="00B74B61"/>
    <w:rsid w:val="00B75A84"/>
    <w:rsid w:val="00B75BC0"/>
    <w:rsid w:val="00B77162"/>
    <w:rsid w:val="00B774A6"/>
    <w:rsid w:val="00B7789E"/>
    <w:rsid w:val="00B7796D"/>
    <w:rsid w:val="00B77C7A"/>
    <w:rsid w:val="00B77CA0"/>
    <w:rsid w:val="00B77CE8"/>
    <w:rsid w:val="00B80B83"/>
    <w:rsid w:val="00B8225E"/>
    <w:rsid w:val="00B85B0B"/>
    <w:rsid w:val="00B85F18"/>
    <w:rsid w:val="00B863A0"/>
    <w:rsid w:val="00B86B24"/>
    <w:rsid w:val="00B86F6E"/>
    <w:rsid w:val="00B93D89"/>
    <w:rsid w:val="00B94D7B"/>
    <w:rsid w:val="00B95CD2"/>
    <w:rsid w:val="00BA01AB"/>
    <w:rsid w:val="00BA1952"/>
    <w:rsid w:val="00BA3306"/>
    <w:rsid w:val="00BA6E25"/>
    <w:rsid w:val="00BA73EE"/>
    <w:rsid w:val="00BA7BF1"/>
    <w:rsid w:val="00BA7CA5"/>
    <w:rsid w:val="00BB0937"/>
    <w:rsid w:val="00BB0BEC"/>
    <w:rsid w:val="00BB221C"/>
    <w:rsid w:val="00BB2355"/>
    <w:rsid w:val="00BB50D1"/>
    <w:rsid w:val="00BB5484"/>
    <w:rsid w:val="00BB5E91"/>
    <w:rsid w:val="00BB6FB4"/>
    <w:rsid w:val="00BB7617"/>
    <w:rsid w:val="00BC0596"/>
    <w:rsid w:val="00BC0B1C"/>
    <w:rsid w:val="00BC0D4B"/>
    <w:rsid w:val="00BC0ED7"/>
    <w:rsid w:val="00BC2183"/>
    <w:rsid w:val="00BC603D"/>
    <w:rsid w:val="00BC661D"/>
    <w:rsid w:val="00BC7EDF"/>
    <w:rsid w:val="00BD03EC"/>
    <w:rsid w:val="00BD15C5"/>
    <w:rsid w:val="00BD2984"/>
    <w:rsid w:val="00BD3711"/>
    <w:rsid w:val="00BD3AD9"/>
    <w:rsid w:val="00BD3B39"/>
    <w:rsid w:val="00BD5749"/>
    <w:rsid w:val="00BE095C"/>
    <w:rsid w:val="00BE0AE4"/>
    <w:rsid w:val="00BE2616"/>
    <w:rsid w:val="00BE2C07"/>
    <w:rsid w:val="00BE39FF"/>
    <w:rsid w:val="00BE3CAA"/>
    <w:rsid w:val="00BE3E5F"/>
    <w:rsid w:val="00BE4BCB"/>
    <w:rsid w:val="00BE583A"/>
    <w:rsid w:val="00BE632B"/>
    <w:rsid w:val="00BE6CF4"/>
    <w:rsid w:val="00BF0F4A"/>
    <w:rsid w:val="00BF31EB"/>
    <w:rsid w:val="00BF3C5F"/>
    <w:rsid w:val="00BF7E9B"/>
    <w:rsid w:val="00C01686"/>
    <w:rsid w:val="00C05E54"/>
    <w:rsid w:val="00C07417"/>
    <w:rsid w:val="00C074FE"/>
    <w:rsid w:val="00C07543"/>
    <w:rsid w:val="00C07BBA"/>
    <w:rsid w:val="00C11F07"/>
    <w:rsid w:val="00C13E61"/>
    <w:rsid w:val="00C146E8"/>
    <w:rsid w:val="00C15476"/>
    <w:rsid w:val="00C15DA1"/>
    <w:rsid w:val="00C1746F"/>
    <w:rsid w:val="00C20347"/>
    <w:rsid w:val="00C2195A"/>
    <w:rsid w:val="00C21DD2"/>
    <w:rsid w:val="00C23FEA"/>
    <w:rsid w:val="00C249FA"/>
    <w:rsid w:val="00C24EDB"/>
    <w:rsid w:val="00C257C7"/>
    <w:rsid w:val="00C25872"/>
    <w:rsid w:val="00C27959"/>
    <w:rsid w:val="00C303BF"/>
    <w:rsid w:val="00C30E3E"/>
    <w:rsid w:val="00C317F3"/>
    <w:rsid w:val="00C31A5A"/>
    <w:rsid w:val="00C32462"/>
    <w:rsid w:val="00C333C4"/>
    <w:rsid w:val="00C3413B"/>
    <w:rsid w:val="00C4021F"/>
    <w:rsid w:val="00C41704"/>
    <w:rsid w:val="00C4342D"/>
    <w:rsid w:val="00C44233"/>
    <w:rsid w:val="00C44301"/>
    <w:rsid w:val="00C44C37"/>
    <w:rsid w:val="00C45D67"/>
    <w:rsid w:val="00C46AE5"/>
    <w:rsid w:val="00C46F4C"/>
    <w:rsid w:val="00C4755E"/>
    <w:rsid w:val="00C47654"/>
    <w:rsid w:val="00C47F50"/>
    <w:rsid w:val="00C51360"/>
    <w:rsid w:val="00C5295C"/>
    <w:rsid w:val="00C5351E"/>
    <w:rsid w:val="00C5427F"/>
    <w:rsid w:val="00C544F2"/>
    <w:rsid w:val="00C54ABA"/>
    <w:rsid w:val="00C55205"/>
    <w:rsid w:val="00C556BD"/>
    <w:rsid w:val="00C5685B"/>
    <w:rsid w:val="00C57E4D"/>
    <w:rsid w:val="00C60B2B"/>
    <w:rsid w:val="00C61ABB"/>
    <w:rsid w:val="00C61FEC"/>
    <w:rsid w:val="00C623A3"/>
    <w:rsid w:val="00C62603"/>
    <w:rsid w:val="00C626E2"/>
    <w:rsid w:val="00C628C8"/>
    <w:rsid w:val="00C62CDF"/>
    <w:rsid w:val="00C6369A"/>
    <w:rsid w:val="00C6448A"/>
    <w:rsid w:val="00C660F5"/>
    <w:rsid w:val="00C7247D"/>
    <w:rsid w:val="00C72F9D"/>
    <w:rsid w:val="00C73573"/>
    <w:rsid w:val="00C7519E"/>
    <w:rsid w:val="00C757CE"/>
    <w:rsid w:val="00C80177"/>
    <w:rsid w:val="00C81A12"/>
    <w:rsid w:val="00C8399C"/>
    <w:rsid w:val="00C83CDE"/>
    <w:rsid w:val="00C846BE"/>
    <w:rsid w:val="00C847E5"/>
    <w:rsid w:val="00C84C60"/>
    <w:rsid w:val="00C86BDD"/>
    <w:rsid w:val="00C903F7"/>
    <w:rsid w:val="00C90A83"/>
    <w:rsid w:val="00C94265"/>
    <w:rsid w:val="00C94B92"/>
    <w:rsid w:val="00C95329"/>
    <w:rsid w:val="00C9621A"/>
    <w:rsid w:val="00C963DE"/>
    <w:rsid w:val="00C96435"/>
    <w:rsid w:val="00C9688F"/>
    <w:rsid w:val="00C9691E"/>
    <w:rsid w:val="00C96C0F"/>
    <w:rsid w:val="00C979F6"/>
    <w:rsid w:val="00CA0C26"/>
    <w:rsid w:val="00CA5201"/>
    <w:rsid w:val="00CA53BB"/>
    <w:rsid w:val="00CA548A"/>
    <w:rsid w:val="00CA637C"/>
    <w:rsid w:val="00CA6AA1"/>
    <w:rsid w:val="00CA734E"/>
    <w:rsid w:val="00CA74F0"/>
    <w:rsid w:val="00CB07A8"/>
    <w:rsid w:val="00CB1200"/>
    <w:rsid w:val="00CB1256"/>
    <w:rsid w:val="00CB302C"/>
    <w:rsid w:val="00CB5389"/>
    <w:rsid w:val="00CB55CD"/>
    <w:rsid w:val="00CB5D5F"/>
    <w:rsid w:val="00CC10E1"/>
    <w:rsid w:val="00CC1DD0"/>
    <w:rsid w:val="00CC22F0"/>
    <w:rsid w:val="00CC2C93"/>
    <w:rsid w:val="00CC3D56"/>
    <w:rsid w:val="00CC406D"/>
    <w:rsid w:val="00CD12E3"/>
    <w:rsid w:val="00CD15B9"/>
    <w:rsid w:val="00CD20BD"/>
    <w:rsid w:val="00CD230F"/>
    <w:rsid w:val="00CD3536"/>
    <w:rsid w:val="00CD381F"/>
    <w:rsid w:val="00CD3D47"/>
    <w:rsid w:val="00CD4258"/>
    <w:rsid w:val="00CD49D1"/>
    <w:rsid w:val="00CD4AE0"/>
    <w:rsid w:val="00CD6327"/>
    <w:rsid w:val="00CD6D00"/>
    <w:rsid w:val="00CE0A6E"/>
    <w:rsid w:val="00CE1A15"/>
    <w:rsid w:val="00CE2B78"/>
    <w:rsid w:val="00CE323D"/>
    <w:rsid w:val="00CE39E4"/>
    <w:rsid w:val="00CE4666"/>
    <w:rsid w:val="00CE52BF"/>
    <w:rsid w:val="00CE5B76"/>
    <w:rsid w:val="00CE6535"/>
    <w:rsid w:val="00CE74A3"/>
    <w:rsid w:val="00CE74D3"/>
    <w:rsid w:val="00CF06F8"/>
    <w:rsid w:val="00CF0B64"/>
    <w:rsid w:val="00CF1340"/>
    <w:rsid w:val="00CF16FC"/>
    <w:rsid w:val="00CF1BB7"/>
    <w:rsid w:val="00CF2400"/>
    <w:rsid w:val="00CF5C0C"/>
    <w:rsid w:val="00CF7C6D"/>
    <w:rsid w:val="00D00711"/>
    <w:rsid w:val="00D007A9"/>
    <w:rsid w:val="00D0186D"/>
    <w:rsid w:val="00D01DCE"/>
    <w:rsid w:val="00D02068"/>
    <w:rsid w:val="00D0258B"/>
    <w:rsid w:val="00D028D6"/>
    <w:rsid w:val="00D034DD"/>
    <w:rsid w:val="00D04952"/>
    <w:rsid w:val="00D05A28"/>
    <w:rsid w:val="00D05AD2"/>
    <w:rsid w:val="00D060E9"/>
    <w:rsid w:val="00D06A16"/>
    <w:rsid w:val="00D072FA"/>
    <w:rsid w:val="00D1078F"/>
    <w:rsid w:val="00D10BD9"/>
    <w:rsid w:val="00D10E60"/>
    <w:rsid w:val="00D11EE0"/>
    <w:rsid w:val="00D126F9"/>
    <w:rsid w:val="00D12CD2"/>
    <w:rsid w:val="00D13094"/>
    <w:rsid w:val="00D13D8D"/>
    <w:rsid w:val="00D14294"/>
    <w:rsid w:val="00D14512"/>
    <w:rsid w:val="00D14D23"/>
    <w:rsid w:val="00D15D8B"/>
    <w:rsid w:val="00D15EC8"/>
    <w:rsid w:val="00D16D51"/>
    <w:rsid w:val="00D16FCF"/>
    <w:rsid w:val="00D17984"/>
    <w:rsid w:val="00D2014F"/>
    <w:rsid w:val="00D20889"/>
    <w:rsid w:val="00D21DFC"/>
    <w:rsid w:val="00D22083"/>
    <w:rsid w:val="00D24BE7"/>
    <w:rsid w:val="00D24DAD"/>
    <w:rsid w:val="00D25280"/>
    <w:rsid w:val="00D25916"/>
    <w:rsid w:val="00D25D93"/>
    <w:rsid w:val="00D262BD"/>
    <w:rsid w:val="00D26CB4"/>
    <w:rsid w:val="00D303A8"/>
    <w:rsid w:val="00D30A43"/>
    <w:rsid w:val="00D30E66"/>
    <w:rsid w:val="00D30F95"/>
    <w:rsid w:val="00D32876"/>
    <w:rsid w:val="00D329E6"/>
    <w:rsid w:val="00D345AF"/>
    <w:rsid w:val="00D3485A"/>
    <w:rsid w:val="00D349D3"/>
    <w:rsid w:val="00D34E51"/>
    <w:rsid w:val="00D34F2A"/>
    <w:rsid w:val="00D35CAA"/>
    <w:rsid w:val="00D35ECF"/>
    <w:rsid w:val="00D37972"/>
    <w:rsid w:val="00D40125"/>
    <w:rsid w:val="00D40896"/>
    <w:rsid w:val="00D409F3"/>
    <w:rsid w:val="00D41534"/>
    <w:rsid w:val="00D44295"/>
    <w:rsid w:val="00D44811"/>
    <w:rsid w:val="00D451FC"/>
    <w:rsid w:val="00D45564"/>
    <w:rsid w:val="00D50201"/>
    <w:rsid w:val="00D5039C"/>
    <w:rsid w:val="00D505C2"/>
    <w:rsid w:val="00D51888"/>
    <w:rsid w:val="00D51E3E"/>
    <w:rsid w:val="00D521A9"/>
    <w:rsid w:val="00D52AC8"/>
    <w:rsid w:val="00D549A3"/>
    <w:rsid w:val="00D54EF2"/>
    <w:rsid w:val="00D55E5D"/>
    <w:rsid w:val="00D576C5"/>
    <w:rsid w:val="00D57A63"/>
    <w:rsid w:val="00D61851"/>
    <w:rsid w:val="00D627D0"/>
    <w:rsid w:val="00D63C48"/>
    <w:rsid w:val="00D64289"/>
    <w:rsid w:val="00D64490"/>
    <w:rsid w:val="00D659AE"/>
    <w:rsid w:val="00D6667B"/>
    <w:rsid w:val="00D669A9"/>
    <w:rsid w:val="00D71400"/>
    <w:rsid w:val="00D71580"/>
    <w:rsid w:val="00D73481"/>
    <w:rsid w:val="00D73BA8"/>
    <w:rsid w:val="00D750AD"/>
    <w:rsid w:val="00D7721B"/>
    <w:rsid w:val="00D774C2"/>
    <w:rsid w:val="00D803DD"/>
    <w:rsid w:val="00D80CBA"/>
    <w:rsid w:val="00D80DB6"/>
    <w:rsid w:val="00D81B6C"/>
    <w:rsid w:val="00D8221A"/>
    <w:rsid w:val="00D823F3"/>
    <w:rsid w:val="00D846C4"/>
    <w:rsid w:val="00D84976"/>
    <w:rsid w:val="00D84B32"/>
    <w:rsid w:val="00D85795"/>
    <w:rsid w:val="00D8717F"/>
    <w:rsid w:val="00D87DC7"/>
    <w:rsid w:val="00D90AD8"/>
    <w:rsid w:val="00D92F41"/>
    <w:rsid w:val="00D94D96"/>
    <w:rsid w:val="00D95394"/>
    <w:rsid w:val="00D96931"/>
    <w:rsid w:val="00D970E7"/>
    <w:rsid w:val="00DA032B"/>
    <w:rsid w:val="00DA0456"/>
    <w:rsid w:val="00DA22D2"/>
    <w:rsid w:val="00DA2477"/>
    <w:rsid w:val="00DA43DF"/>
    <w:rsid w:val="00DA55BB"/>
    <w:rsid w:val="00DA5C6D"/>
    <w:rsid w:val="00DA73EE"/>
    <w:rsid w:val="00DA77DB"/>
    <w:rsid w:val="00DA7C27"/>
    <w:rsid w:val="00DB03ED"/>
    <w:rsid w:val="00DB1723"/>
    <w:rsid w:val="00DB4E9F"/>
    <w:rsid w:val="00DB52DC"/>
    <w:rsid w:val="00DB5703"/>
    <w:rsid w:val="00DB6B7B"/>
    <w:rsid w:val="00DB7F40"/>
    <w:rsid w:val="00DC065A"/>
    <w:rsid w:val="00DC10FA"/>
    <w:rsid w:val="00DC1131"/>
    <w:rsid w:val="00DC1743"/>
    <w:rsid w:val="00DC354F"/>
    <w:rsid w:val="00DC41F0"/>
    <w:rsid w:val="00DC48EB"/>
    <w:rsid w:val="00DC4CC9"/>
    <w:rsid w:val="00DC64E8"/>
    <w:rsid w:val="00DC69E2"/>
    <w:rsid w:val="00DC6B73"/>
    <w:rsid w:val="00DC7746"/>
    <w:rsid w:val="00DD110E"/>
    <w:rsid w:val="00DD1E0D"/>
    <w:rsid w:val="00DD278A"/>
    <w:rsid w:val="00DD28FE"/>
    <w:rsid w:val="00DD3049"/>
    <w:rsid w:val="00DD3E58"/>
    <w:rsid w:val="00DD480B"/>
    <w:rsid w:val="00DD4F6F"/>
    <w:rsid w:val="00DD6640"/>
    <w:rsid w:val="00DD6BB9"/>
    <w:rsid w:val="00DD7EFD"/>
    <w:rsid w:val="00DE0040"/>
    <w:rsid w:val="00DE24A3"/>
    <w:rsid w:val="00DE2CE8"/>
    <w:rsid w:val="00DE30E2"/>
    <w:rsid w:val="00DE3A9A"/>
    <w:rsid w:val="00DE4108"/>
    <w:rsid w:val="00DE62E0"/>
    <w:rsid w:val="00DE6421"/>
    <w:rsid w:val="00DE6A13"/>
    <w:rsid w:val="00DE7944"/>
    <w:rsid w:val="00DE7A85"/>
    <w:rsid w:val="00DF02F7"/>
    <w:rsid w:val="00DF078C"/>
    <w:rsid w:val="00DF16C0"/>
    <w:rsid w:val="00DF38A3"/>
    <w:rsid w:val="00DF38CA"/>
    <w:rsid w:val="00DF4091"/>
    <w:rsid w:val="00DF422B"/>
    <w:rsid w:val="00DF548B"/>
    <w:rsid w:val="00E00325"/>
    <w:rsid w:val="00E008F8"/>
    <w:rsid w:val="00E021E5"/>
    <w:rsid w:val="00E02651"/>
    <w:rsid w:val="00E0345A"/>
    <w:rsid w:val="00E04EA8"/>
    <w:rsid w:val="00E05FBC"/>
    <w:rsid w:val="00E10B7D"/>
    <w:rsid w:val="00E10DF6"/>
    <w:rsid w:val="00E10FBC"/>
    <w:rsid w:val="00E11615"/>
    <w:rsid w:val="00E11641"/>
    <w:rsid w:val="00E11A46"/>
    <w:rsid w:val="00E11D0E"/>
    <w:rsid w:val="00E11DE8"/>
    <w:rsid w:val="00E12360"/>
    <w:rsid w:val="00E12FEE"/>
    <w:rsid w:val="00E13574"/>
    <w:rsid w:val="00E135CB"/>
    <w:rsid w:val="00E1482A"/>
    <w:rsid w:val="00E15248"/>
    <w:rsid w:val="00E15E91"/>
    <w:rsid w:val="00E17430"/>
    <w:rsid w:val="00E215EE"/>
    <w:rsid w:val="00E2215C"/>
    <w:rsid w:val="00E22332"/>
    <w:rsid w:val="00E227EA"/>
    <w:rsid w:val="00E23352"/>
    <w:rsid w:val="00E23660"/>
    <w:rsid w:val="00E23A26"/>
    <w:rsid w:val="00E24523"/>
    <w:rsid w:val="00E24E4F"/>
    <w:rsid w:val="00E2761D"/>
    <w:rsid w:val="00E31A1E"/>
    <w:rsid w:val="00E31C48"/>
    <w:rsid w:val="00E3312D"/>
    <w:rsid w:val="00E34484"/>
    <w:rsid w:val="00E34CBC"/>
    <w:rsid w:val="00E35DB8"/>
    <w:rsid w:val="00E3649F"/>
    <w:rsid w:val="00E369EB"/>
    <w:rsid w:val="00E37424"/>
    <w:rsid w:val="00E37851"/>
    <w:rsid w:val="00E413C8"/>
    <w:rsid w:val="00E42F38"/>
    <w:rsid w:val="00E44103"/>
    <w:rsid w:val="00E45180"/>
    <w:rsid w:val="00E45305"/>
    <w:rsid w:val="00E46AC9"/>
    <w:rsid w:val="00E46EFC"/>
    <w:rsid w:val="00E46FC0"/>
    <w:rsid w:val="00E5230C"/>
    <w:rsid w:val="00E52F2E"/>
    <w:rsid w:val="00E52F96"/>
    <w:rsid w:val="00E5366D"/>
    <w:rsid w:val="00E53A8A"/>
    <w:rsid w:val="00E53DB6"/>
    <w:rsid w:val="00E54327"/>
    <w:rsid w:val="00E54B45"/>
    <w:rsid w:val="00E54E7C"/>
    <w:rsid w:val="00E54FB3"/>
    <w:rsid w:val="00E55531"/>
    <w:rsid w:val="00E55904"/>
    <w:rsid w:val="00E55E72"/>
    <w:rsid w:val="00E5614B"/>
    <w:rsid w:val="00E56F73"/>
    <w:rsid w:val="00E6149C"/>
    <w:rsid w:val="00E6217E"/>
    <w:rsid w:val="00E62E2D"/>
    <w:rsid w:val="00E63537"/>
    <w:rsid w:val="00E6439E"/>
    <w:rsid w:val="00E65537"/>
    <w:rsid w:val="00E66387"/>
    <w:rsid w:val="00E66614"/>
    <w:rsid w:val="00E66EBD"/>
    <w:rsid w:val="00E67006"/>
    <w:rsid w:val="00E714E0"/>
    <w:rsid w:val="00E735AA"/>
    <w:rsid w:val="00E73C88"/>
    <w:rsid w:val="00E74D8C"/>
    <w:rsid w:val="00E766CD"/>
    <w:rsid w:val="00E767A9"/>
    <w:rsid w:val="00E771E9"/>
    <w:rsid w:val="00E81A6A"/>
    <w:rsid w:val="00E8269B"/>
    <w:rsid w:val="00E8449A"/>
    <w:rsid w:val="00E84DF9"/>
    <w:rsid w:val="00E84E9B"/>
    <w:rsid w:val="00E862E2"/>
    <w:rsid w:val="00E87082"/>
    <w:rsid w:val="00E9015D"/>
    <w:rsid w:val="00E930FA"/>
    <w:rsid w:val="00E93CB6"/>
    <w:rsid w:val="00E94BD6"/>
    <w:rsid w:val="00E957D6"/>
    <w:rsid w:val="00E96064"/>
    <w:rsid w:val="00EA0350"/>
    <w:rsid w:val="00EA07C4"/>
    <w:rsid w:val="00EA0ECD"/>
    <w:rsid w:val="00EA1B29"/>
    <w:rsid w:val="00EA4DFA"/>
    <w:rsid w:val="00EA5EDC"/>
    <w:rsid w:val="00EA66E6"/>
    <w:rsid w:val="00EB139A"/>
    <w:rsid w:val="00EB1BBB"/>
    <w:rsid w:val="00EB2513"/>
    <w:rsid w:val="00EB426B"/>
    <w:rsid w:val="00EB5B2C"/>
    <w:rsid w:val="00EB5E6D"/>
    <w:rsid w:val="00EC18D5"/>
    <w:rsid w:val="00EC4D9E"/>
    <w:rsid w:val="00EC52A2"/>
    <w:rsid w:val="00EC54BC"/>
    <w:rsid w:val="00EC5AEB"/>
    <w:rsid w:val="00EC6CA3"/>
    <w:rsid w:val="00EC7F8A"/>
    <w:rsid w:val="00ED32EB"/>
    <w:rsid w:val="00ED6784"/>
    <w:rsid w:val="00ED6FBD"/>
    <w:rsid w:val="00ED7142"/>
    <w:rsid w:val="00EE026E"/>
    <w:rsid w:val="00EE1807"/>
    <w:rsid w:val="00EE6855"/>
    <w:rsid w:val="00EE7786"/>
    <w:rsid w:val="00EF1D2E"/>
    <w:rsid w:val="00EF1D3D"/>
    <w:rsid w:val="00EF3278"/>
    <w:rsid w:val="00EF3E7E"/>
    <w:rsid w:val="00EF477B"/>
    <w:rsid w:val="00EF62BB"/>
    <w:rsid w:val="00EF69D1"/>
    <w:rsid w:val="00F00CE0"/>
    <w:rsid w:val="00F00EE6"/>
    <w:rsid w:val="00F02107"/>
    <w:rsid w:val="00F02E5D"/>
    <w:rsid w:val="00F0443B"/>
    <w:rsid w:val="00F049EC"/>
    <w:rsid w:val="00F07A04"/>
    <w:rsid w:val="00F1150F"/>
    <w:rsid w:val="00F11EEA"/>
    <w:rsid w:val="00F152F5"/>
    <w:rsid w:val="00F16B0C"/>
    <w:rsid w:val="00F16F26"/>
    <w:rsid w:val="00F17779"/>
    <w:rsid w:val="00F207A5"/>
    <w:rsid w:val="00F207B1"/>
    <w:rsid w:val="00F22925"/>
    <w:rsid w:val="00F22BD7"/>
    <w:rsid w:val="00F2372A"/>
    <w:rsid w:val="00F245DF"/>
    <w:rsid w:val="00F2566D"/>
    <w:rsid w:val="00F25D44"/>
    <w:rsid w:val="00F25E9F"/>
    <w:rsid w:val="00F26B4B"/>
    <w:rsid w:val="00F26D86"/>
    <w:rsid w:val="00F2706C"/>
    <w:rsid w:val="00F27911"/>
    <w:rsid w:val="00F300D3"/>
    <w:rsid w:val="00F3094A"/>
    <w:rsid w:val="00F31C05"/>
    <w:rsid w:val="00F32081"/>
    <w:rsid w:val="00F32F7A"/>
    <w:rsid w:val="00F331F8"/>
    <w:rsid w:val="00F337EC"/>
    <w:rsid w:val="00F353CF"/>
    <w:rsid w:val="00F37FD8"/>
    <w:rsid w:val="00F4090C"/>
    <w:rsid w:val="00F42055"/>
    <w:rsid w:val="00F42C40"/>
    <w:rsid w:val="00F42C57"/>
    <w:rsid w:val="00F43D87"/>
    <w:rsid w:val="00F44C40"/>
    <w:rsid w:val="00F45C5E"/>
    <w:rsid w:val="00F4616D"/>
    <w:rsid w:val="00F506A1"/>
    <w:rsid w:val="00F50BDF"/>
    <w:rsid w:val="00F5160E"/>
    <w:rsid w:val="00F51D8D"/>
    <w:rsid w:val="00F51EE8"/>
    <w:rsid w:val="00F52D81"/>
    <w:rsid w:val="00F53788"/>
    <w:rsid w:val="00F55546"/>
    <w:rsid w:val="00F55E4E"/>
    <w:rsid w:val="00F56314"/>
    <w:rsid w:val="00F56693"/>
    <w:rsid w:val="00F61267"/>
    <w:rsid w:val="00F61462"/>
    <w:rsid w:val="00F61875"/>
    <w:rsid w:val="00F621C4"/>
    <w:rsid w:val="00F6324A"/>
    <w:rsid w:val="00F634A2"/>
    <w:rsid w:val="00F644DC"/>
    <w:rsid w:val="00F65C04"/>
    <w:rsid w:val="00F6782C"/>
    <w:rsid w:val="00F71A0E"/>
    <w:rsid w:val="00F7206C"/>
    <w:rsid w:val="00F72B42"/>
    <w:rsid w:val="00F72FAB"/>
    <w:rsid w:val="00F733F3"/>
    <w:rsid w:val="00F73A39"/>
    <w:rsid w:val="00F73C08"/>
    <w:rsid w:val="00F7504E"/>
    <w:rsid w:val="00F75D3A"/>
    <w:rsid w:val="00F76578"/>
    <w:rsid w:val="00F76FED"/>
    <w:rsid w:val="00F77260"/>
    <w:rsid w:val="00F77C7D"/>
    <w:rsid w:val="00F77D20"/>
    <w:rsid w:val="00F80139"/>
    <w:rsid w:val="00F80E2D"/>
    <w:rsid w:val="00F8170C"/>
    <w:rsid w:val="00F81C22"/>
    <w:rsid w:val="00F82140"/>
    <w:rsid w:val="00F836B7"/>
    <w:rsid w:val="00F85304"/>
    <w:rsid w:val="00F8548F"/>
    <w:rsid w:val="00F8550B"/>
    <w:rsid w:val="00F86920"/>
    <w:rsid w:val="00F87C31"/>
    <w:rsid w:val="00F87CE2"/>
    <w:rsid w:val="00F90285"/>
    <w:rsid w:val="00F9212E"/>
    <w:rsid w:val="00F92389"/>
    <w:rsid w:val="00F93713"/>
    <w:rsid w:val="00F94119"/>
    <w:rsid w:val="00F9474C"/>
    <w:rsid w:val="00FA0329"/>
    <w:rsid w:val="00FA3CBF"/>
    <w:rsid w:val="00FA3F46"/>
    <w:rsid w:val="00FA4107"/>
    <w:rsid w:val="00FA42E4"/>
    <w:rsid w:val="00FA617A"/>
    <w:rsid w:val="00FB0BE6"/>
    <w:rsid w:val="00FB328D"/>
    <w:rsid w:val="00FB3518"/>
    <w:rsid w:val="00FB4F11"/>
    <w:rsid w:val="00FB57DB"/>
    <w:rsid w:val="00FB73B7"/>
    <w:rsid w:val="00FB77B3"/>
    <w:rsid w:val="00FB7938"/>
    <w:rsid w:val="00FC06E3"/>
    <w:rsid w:val="00FC0BBE"/>
    <w:rsid w:val="00FC0E9C"/>
    <w:rsid w:val="00FC1230"/>
    <w:rsid w:val="00FC22AB"/>
    <w:rsid w:val="00FC2F36"/>
    <w:rsid w:val="00FC53B0"/>
    <w:rsid w:val="00FC5732"/>
    <w:rsid w:val="00FC594B"/>
    <w:rsid w:val="00FC5A4C"/>
    <w:rsid w:val="00FC5BB4"/>
    <w:rsid w:val="00FC629F"/>
    <w:rsid w:val="00FC7F48"/>
    <w:rsid w:val="00FD0DA5"/>
    <w:rsid w:val="00FD1AB1"/>
    <w:rsid w:val="00FD1AFD"/>
    <w:rsid w:val="00FD1DCE"/>
    <w:rsid w:val="00FD4849"/>
    <w:rsid w:val="00FD52AA"/>
    <w:rsid w:val="00FD7841"/>
    <w:rsid w:val="00FE094E"/>
    <w:rsid w:val="00FE1361"/>
    <w:rsid w:val="00FE2431"/>
    <w:rsid w:val="00FE2838"/>
    <w:rsid w:val="00FE4C58"/>
    <w:rsid w:val="00FE6746"/>
    <w:rsid w:val="00FE6E86"/>
    <w:rsid w:val="00FE755C"/>
    <w:rsid w:val="00FE7809"/>
    <w:rsid w:val="00FE7CBB"/>
    <w:rsid w:val="00FF0397"/>
    <w:rsid w:val="00FF06BD"/>
    <w:rsid w:val="00FF0A80"/>
    <w:rsid w:val="00FF2516"/>
    <w:rsid w:val="00FF2550"/>
    <w:rsid w:val="00FF3983"/>
    <w:rsid w:val="00FF39ED"/>
    <w:rsid w:val="00FF3ACE"/>
    <w:rsid w:val="00FF3ED1"/>
    <w:rsid w:val="00FF60B3"/>
    <w:rsid w:val="00FF61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88"/>
    <w:pPr>
      <w:spacing w:before="120" w:line="240" w:lineRule="auto"/>
      <w:jc w:val="both"/>
    </w:pPr>
    <w:rPr>
      <w:rFonts w:ascii="Calibri" w:hAnsi="Calibri"/>
      <w:sz w:val="24"/>
    </w:rPr>
  </w:style>
  <w:style w:type="paragraph" w:styleId="Heading1">
    <w:name w:val="heading 1"/>
    <w:aliases w:val="Char Char Char Char Char Char Char,Heading 1 Trebuchet,Char Char Char Char Char Char,Char Char Char Char Char Char Char Char Char Char Char Char Char,Titre 4b,Heading 1 Char1,Heading 1 Char2 Char,Heading 1 Char Char Char Char1"/>
    <w:basedOn w:val="Normal"/>
    <w:next w:val="Normal"/>
    <w:link w:val="Heading1Char"/>
    <w:uiPriority w:val="1"/>
    <w:qFormat/>
    <w:rsid w:val="00724279"/>
    <w:pPr>
      <w:keepNext/>
      <w:keepLines/>
      <w:numPr>
        <w:numId w:val="1"/>
      </w:numPr>
      <w:spacing w:before="240" w:after="120"/>
      <w:outlineLvl w:val="0"/>
    </w:pPr>
    <w:rPr>
      <w:rFonts w:eastAsiaTheme="majorEastAsia" w:cstheme="majorBidi"/>
      <w:b/>
      <w:sz w:val="32"/>
      <w:szCs w:val="28"/>
    </w:rPr>
  </w:style>
  <w:style w:type="paragraph" w:styleId="Heading2">
    <w:name w:val="heading 2"/>
    <w:aliases w:val="Char,X.X Sub heading,Treb,Trebuchet, Char"/>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aliases w:val="X.X.X Sub sub heading,Char Char,Char1"/>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4 Treb"/>
    <w:basedOn w:val="Heading7"/>
    <w:next w:val="Normal"/>
    <w:link w:val="Heading4Char"/>
    <w:uiPriority w:val="5"/>
    <w:unhideWhenUsed/>
    <w:qFormat/>
    <w:rsid w:val="00735A79"/>
    <w:pPr>
      <w:ind w:left="0" w:firstLine="0"/>
      <w:outlineLvl w:val="3"/>
    </w:pPr>
  </w:style>
  <w:style w:type="paragraph" w:styleId="Heading5">
    <w:name w:val="heading 5"/>
    <w:aliases w:val="DO NOT USE,DO NOT USE11,DO NOT USE111,DO NOT USE1111"/>
    <w:basedOn w:val="Heading4"/>
    <w:next w:val="Normal"/>
    <w:link w:val="Heading5Char"/>
    <w:uiPriority w:val="7"/>
    <w:unhideWhenUsed/>
    <w:qFormat/>
    <w:rsid w:val="003B095E"/>
    <w:pPr>
      <w:outlineLvl w:val="4"/>
    </w:pPr>
  </w:style>
  <w:style w:type="paragraph" w:styleId="Heading6">
    <w:name w:val="heading 6"/>
    <w:basedOn w:val="Heading5"/>
    <w:next w:val="Normal"/>
    <w:link w:val="Heading6Char"/>
    <w:uiPriority w:val="7"/>
    <w:unhideWhenUsed/>
    <w:qFormat/>
    <w:rsid w:val="00624315"/>
    <w:pPr>
      <w:outlineLvl w:val="5"/>
    </w:pPr>
  </w:style>
  <w:style w:type="paragraph" w:styleId="Heading7">
    <w:name w:val="heading 7"/>
    <w:aliases w:val="DO NOT USE3,DO NOT USE4,DO NOT USE41,DO NOT USE411"/>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aliases w:val="DO NOT USE2,DO NOT USE31,DO NOT USE311"/>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O NOT USE1,DO NOT USE21,DO NOT USE211"/>
    <w:basedOn w:val="Heading8"/>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Char Char Char Char,Heading 1 Trebuchet Char,Char Char Char Char Char Char Char1,Char Char Char Char Char Char Char Char Char Char Char Char Char Char,Titre 4b Char,Heading 1 Char1 Char,Heading 1 Char2 Char Char"/>
    <w:basedOn w:val="DefaultParagraphFont"/>
    <w:link w:val="Heading1"/>
    <w:uiPriority w:val="1"/>
    <w:rsid w:val="00724279"/>
    <w:rPr>
      <w:rFonts w:ascii="Calibri" w:eastAsiaTheme="majorEastAsia" w:hAnsi="Calibri" w:cstheme="majorBidi"/>
      <w:b/>
      <w:sz w:val="32"/>
      <w:szCs w:val="28"/>
    </w:rPr>
  </w:style>
  <w:style w:type="character" w:customStyle="1" w:styleId="Heading2Char">
    <w:name w:val="Heading 2 Char"/>
    <w:aliases w:val="Char Char1,X.X Sub heading Char,Treb Char,Trebuchet Char, Char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aliases w:val="X.X.X Sub sub heading Char,Char Char Char,Char1 Char"/>
    <w:basedOn w:val="DefaultParagraphFont"/>
    <w:link w:val="Heading3"/>
    <w:uiPriority w:val="9"/>
    <w:rsid w:val="00186307"/>
    <w:rPr>
      <w:rFonts w:eastAsiaTheme="majorEastAsia" w:cstheme="majorBidi"/>
      <w:b/>
      <w:sz w:val="28"/>
      <w:szCs w:val="28"/>
    </w:r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8762DF"/>
    <w:rPr>
      <w:color w:val="4472C4" w:themeColor="accent5"/>
    </w:rPr>
  </w:style>
  <w:style w:type="character" w:customStyle="1" w:styleId="Heading4Char">
    <w:name w:val="Heading 4 Char"/>
    <w:aliases w:val="Heading 4 Treb Char"/>
    <w:basedOn w:val="DefaultParagraphFont"/>
    <w:link w:val="Heading4"/>
    <w:uiPriority w:val="5"/>
    <w:rsid w:val="00735A79"/>
    <w:rPr>
      <w:rFonts w:ascii="Arial" w:eastAsiaTheme="majorEastAsia" w:hAnsi="Arial" w:cstheme="majorBidi"/>
      <w:b/>
      <w:i/>
      <w:sz w:val="24"/>
      <w:szCs w:val="24"/>
    </w:rPr>
  </w:style>
  <w:style w:type="character" w:customStyle="1" w:styleId="Heading5Char">
    <w:name w:val="Heading 5 Char"/>
    <w:aliases w:val="DO NOT USE Char,DO NOT USE11 Char,DO NOT USE111 Char,DO NOT USE1111 Char"/>
    <w:basedOn w:val="DefaultParagraphFont"/>
    <w:link w:val="Heading5"/>
    <w:uiPriority w:val="7"/>
    <w:rsid w:val="006963E0"/>
    <w:rPr>
      <w:rFonts w:ascii="Arial" w:eastAsiaTheme="majorEastAsia" w:hAnsi="Arial" w:cstheme="majorBidi"/>
      <w:b/>
      <w:i/>
      <w:sz w:val="24"/>
      <w:szCs w:val="24"/>
    </w:rPr>
  </w:style>
  <w:style w:type="character" w:customStyle="1" w:styleId="Heading6Char">
    <w:name w:val="Heading 6 Char"/>
    <w:basedOn w:val="DefaultParagraphFont"/>
    <w:link w:val="Heading6"/>
    <w:uiPriority w:val="7"/>
    <w:rsid w:val="006963E0"/>
    <w:rPr>
      <w:rFonts w:ascii="Arial" w:eastAsiaTheme="majorEastAsia" w:hAnsi="Arial" w:cstheme="majorBidi"/>
      <w:b/>
      <w:i/>
      <w:sz w:val="24"/>
      <w:szCs w:val="24"/>
    </w:rPr>
  </w:style>
  <w:style w:type="character" w:customStyle="1" w:styleId="Heading7Char">
    <w:name w:val="Heading 7 Char"/>
    <w:aliases w:val="DO NOT USE3 Char,DO NOT USE4 Char,DO NOT USE41 Char,DO NOT USE411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aliases w:val="DO NOT USE2 Char,DO NOT USE31 Char,DO NOT USE311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DO NOT USE1 Char,DO NOT USE21 Char,DO NOT USE211 Char"/>
    <w:basedOn w:val="DefaultParagraphFont"/>
    <w:link w:val="Heading9"/>
    <w:uiPriority w:val="7"/>
    <w:rsid w:val="00422052"/>
    <w:rPr>
      <w:rFonts w:asciiTheme="majorHAnsi" w:eastAsiaTheme="majorEastAsia" w:hAnsiTheme="majorHAnsi" w:cstheme="majorBidi"/>
      <w:color w:val="272727" w:themeColor="text1" w:themeTint="D8"/>
      <w:sz w:val="36"/>
      <w:szCs w:val="21"/>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BalloonText">
    <w:name w:val="Balloon Text"/>
    <w:basedOn w:val="Normal"/>
    <w:link w:val="BalloonTextChar"/>
    <w:uiPriority w:val="9"/>
    <w:semiHidden/>
    <w:unhideWhenUsed/>
    <w:rsid w:val="00B1234B"/>
    <w:pPr>
      <w:spacing w:before="0" w:after="0"/>
    </w:pPr>
    <w:rPr>
      <w:rFonts w:ascii="Tahoma" w:hAnsi="Tahoma" w:cs="Tahoma"/>
      <w:sz w:val="16"/>
      <w:szCs w:val="16"/>
    </w:rPr>
  </w:style>
  <w:style w:type="paragraph" w:customStyle="1" w:styleId="V50InstructionsBullets">
    <w:name w:val="V5.0 Instructions Bullets"/>
    <w:basedOn w:val="V50Instructions"/>
    <w:qFormat/>
    <w:rsid w:val="007F08CA"/>
    <w:pPr>
      <w:numPr>
        <w:numId w:val="2"/>
      </w:numPr>
      <w:spacing w:before="0" w:after="0"/>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character" w:customStyle="1" w:styleId="BalloonTextChar">
    <w:name w:val="Balloon Text Char"/>
    <w:basedOn w:val="DefaultParagraphFont"/>
    <w:link w:val="BalloonText"/>
    <w:uiPriority w:val="9"/>
    <w:semiHidden/>
    <w:rsid w:val="00B1234B"/>
    <w:rPr>
      <w:rFonts w:ascii="Tahoma" w:hAnsi="Tahoma" w:cs="Tahoma"/>
      <w:sz w:val="16"/>
      <w:szCs w:val="16"/>
    </w:rPr>
  </w:style>
  <w:style w:type="character" w:styleId="FootnoteReference">
    <w:name w:val="footnote reference"/>
    <w:basedOn w:val="DefaultParagraphFont"/>
    <w:uiPriority w:val="99"/>
    <w:unhideWhenUsed/>
    <w:rsid w:val="00BA3306"/>
    <w:rPr>
      <w:vertAlign w:val="superscript"/>
    </w:rPr>
  </w:style>
  <w:style w:type="paragraph" w:customStyle="1" w:styleId="TableHeading">
    <w:name w:val="Table Heading"/>
    <w:basedOn w:val="Normal"/>
    <w:qFormat/>
    <w:rsid w:val="001F74E0"/>
    <w:pPr>
      <w:keepNext/>
      <w:spacing w:before="240" w:after="60"/>
    </w:pPr>
    <w:rPr>
      <w:rFonts w:ascii="Arial Narrow" w:hAnsi="Arial Narrow"/>
      <w:b/>
      <w:sz w:val="20"/>
    </w:rPr>
  </w:style>
  <w:style w:type="character" w:customStyle="1" w:styleId="V50InstructionsChar">
    <w:name w:val="V5.0 Instructions Char"/>
    <w:basedOn w:val="DefaultParagraphFont"/>
    <w:link w:val="V50Instructions"/>
    <w:rsid w:val="008762DF"/>
    <w:rPr>
      <w:rFonts w:ascii="Arial" w:hAnsi="Arial"/>
      <w:color w:val="4472C4" w:themeColor="accent5"/>
    </w:rPr>
  </w:style>
  <w:style w:type="paragraph" w:customStyle="1" w:styleId="TableFooter">
    <w:name w:val="Table Footer"/>
    <w:basedOn w:val="Normal"/>
    <w:link w:val="TableFooterChar"/>
    <w:qFormat/>
    <w:rsid w:val="00294B47"/>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294B47"/>
    <w:rPr>
      <w:rFonts w:ascii="Arial Narrow" w:eastAsia="Times New Roman" w:hAnsi="Arial Narrow" w:cs="Arial"/>
      <w:snapToGrid w:val="0"/>
      <w:sz w:val="18"/>
      <w:szCs w:val="20"/>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eastAsia="Times New Roman"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eastAsia="Times New Roman" w:cs="Arial"/>
      <w:bCs/>
      <w:snapToGrid w:val="0"/>
      <w:sz w:val="20"/>
      <w:szCs w:val="20"/>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styleId="Header">
    <w:name w:val="header"/>
    <w:aliases w:val="Page Header,Header title,he=header,cntr/bld"/>
    <w:basedOn w:val="Normal"/>
    <w:link w:val="HeaderChar"/>
    <w:uiPriority w:val="99"/>
    <w:unhideWhenUsed/>
    <w:rsid w:val="005A6976"/>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5A6976"/>
    <w:rPr>
      <w:sz w:val="24"/>
    </w:rPr>
  </w:style>
  <w:style w:type="paragraph" w:styleId="Footer">
    <w:name w:val="footer"/>
    <w:basedOn w:val="Normal"/>
    <w:link w:val="FooterChar"/>
    <w:uiPriority w:val="99"/>
    <w:unhideWhenUsed/>
    <w:rsid w:val="005A6976"/>
    <w:pPr>
      <w:tabs>
        <w:tab w:val="center" w:pos="4513"/>
        <w:tab w:val="right" w:pos="9026"/>
      </w:tabs>
      <w:spacing w:before="0" w:after="0"/>
    </w:pPr>
  </w:style>
  <w:style w:type="character" w:customStyle="1" w:styleId="FooterChar">
    <w:name w:val="Footer Char"/>
    <w:basedOn w:val="DefaultParagraphFont"/>
    <w:link w:val="Footer"/>
    <w:uiPriority w:val="99"/>
    <w:rsid w:val="005A6976"/>
    <w:rPr>
      <w:sz w:val="24"/>
    </w:rPr>
  </w:style>
  <w:style w:type="paragraph" w:customStyle="1" w:styleId="ESnumberedpara">
    <w:name w:val="ES numbered para"/>
    <w:basedOn w:val="Normal"/>
    <w:link w:val="ESnumberedparaChar"/>
    <w:qFormat/>
    <w:rsid w:val="00C757CE"/>
    <w:pPr>
      <w:numPr>
        <w:ilvl w:val="1"/>
        <w:numId w:val="12"/>
      </w:numPr>
      <w:spacing w:before="0" w:after="120"/>
    </w:pPr>
  </w:style>
  <w:style w:type="character" w:customStyle="1" w:styleId="ESnumberedparaChar">
    <w:name w:val="ES numbered para Char"/>
    <w:basedOn w:val="DefaultParagraphFont"/>
    <w:link w:val="ESnumberedpara"/>
    <w:rsid w:val="00C757CE"/>
    <w:rPr>
      <w:rFonts w:ascii="Calibri" w:hAnsi="Calibri"/>
      <w:sz w:val="24"/>
    </w:rPr>
  </w:style>
  <w:style w:type="paragraph" w:customStyle="1" w:styleId="ESnumberedparablue">
    <w:name w:val="ES numbered para blue"/>
    <w:basedOn w:val="ESnumberedpara"/>
    <w:qFormat/>
    <w:rsid w:val="00C757CE"/>
    <w:rPr>
      <w:color w:val="4472C4" w:themeColor="accent5"/>
    </w:rPr>
  </w:style>
  <w:style w:type="paragraph" w:customStyle="1" w:styleId="ESnon-numberedpara">
    <w:name w:val="ES non-numbered para"/>
    <w:basedOn w:val="Normal"/>
    <w:qFormat/>
    <w:rsid w:val="00F8548F"/>
    <w:pPr>
      <w:spacing w:before="0" w:after="120"/>
      <w:ind w:left="709"/>
    </w:pPr>
  </w:style>
  <w:style w:type="paragraph" w:customStyle="1" w:styleId="ESnon-numberedparablue">
    <w:name w:val="ES non-numbered para blue"/>
    <w:basedOn w:val="ESnon-numberedpara"/>
    <w:qFormat/>
    <w:rsid w:val="00F8548F"/>
    <w:rPr>
      <w:color w:val="4472C4" w:themeColor="accent5"/>
    </w:rPr>
  </w:style>
  <w:style w:type="paragraph" w:customStyle="1" w:styleId="ESnon-numberedbullet">
    <w:name w:val="ES non-numbered bullet"/>
    <w:basedOn w:val="ESnon-numberedpara"/>
    <w:qFormat/>
    <w:rsid w:val="00462C15"/>
    <w:pPr>
      <w:numPr>
        <w:numId w:val="6"/>
      </w:numPr>
      <w:spacing w:after="240"/>
      <w:ind w:left="993" w:hanging="284"/>
      <w:contextualSpacing/>
    </w:pPr>
  </w:style>
  <w:style w:type="character" w:styleId="CommentReference">
    <w:name w:val="annotation reference"/>
    <w:aliases w:val="Table Title"/>
    <w:basedOn w:val="DefaultParagraphFont"/>
    <w:uiPriority w:val="99"/>
    <w:unhideWhenUsed/>
    <w:qFormat/>
    <w:rsid w:val="0035116C"/>
    <w:rPr>
      <w:sz w:val="16"/>
      <w:szCs w:val="16"/>
    </w:rPr>
  </w:style>
  <w:style w:type="paragraph" w:styleId="CommentText">
    <w:name w:val="annotation text"/>
    <w:basedOn w:val="Normal"/>
    <w:link w:val="CommentTextChar"/>
    <w:uiPriority w:val="99"/>
    <w:unhideWhenUsed/>
    <w:rsid w:val="0035116C"/>
    <w:rPr>
      <w:sz w:val="20"/>
      <w:szCs w:val="20"/>
    </w:rPr>
  </w:style>
  <w:style w:type="character" w:customStyle="1" w:styleId="CommentTextChar">
    <w:name w:val="Comment Text Char"/>
    <w:basedOn w:val="DefaultParagraphFont"/>
    <w:link w:val="CommentText"/>
    <w:uiPriority w:val="99"/>
    <w:rsid w:val="0035116C"/>
    <w:rPr>
      <w:rFonts w:ascii="Arial" w:hAnsi="Arial"/>
      <w:sz w:val="20"/>
      <w:szCs w:val="20"/>
    </w:rPr>
  </w:style>
  <w:style w:type="paragraph" w:styleId="CommentSubject">
    <w:name w:val="annotation subject"/>
    <w:basedOn w:val="CommentText"/>
    <w:next w:val="CommentText"/>
    <w:link w:val="CommentSubjectChar"/>
    <w:uiPriority w:val="9"/>
    <w:semiHidden/>
    <w:unhideWhenUsed/>
    <w:rsid w:val="0035116C"/>
    <w:rPr>
      <w:b/>
      <w:bCs/>
    </w:rPr>
  </w:style>
  <w:style w:type="character" w:customStyle="1" w:styleId="CommentSubjectChar">
    <w:name w:val="Comment Subject Char"/>
    <w:basedOn w:val="CommentTextChar"/>
    <w:link w:val="CommentSubject"/>
    <w:uiPriority w:val="9"/>
    <w:semiHidden/>
    <w:rsid w:val="0035116C"/>
    <w:rPr>
      <w:rFonts w:ascii="Arial" w:hAnsi="Arial"/>
      <w:b/>
      <w:bCs/>
      <w:sz w:val="20"/>
      <w:szCs w:val="20"/>
    </w:rPr>
  </w:style>
  <w:style w:type="paragraph" w:styleId="ListParagraph">
    <w:name w:val="List Paragraph"/>
    <w:aliases w:val="BulletPoints"/>
    <w:basedOn w:val="Normal"/>
    <w:link w:val="ListParagraphChar"/>
    <w:uiPriority w:val="34"/>
    <w:qFormat/>
    <w:rsid w:val="00D262BD"/>
    <w:pPr>
      <w:ind w:left="720"/>
      <w:contextualSpacing/>
    </w:pPr>
  </w:style>
  <w:style w:type="paragraph" w:customStyle="1" w:styleId="COMTbl-foot">
    <w:name w:val="COMTbl-foot"/>
    <w:basedOn w:val="Normal"/>
    <w:link w:val="COMTbl-footChar"/>
    <w:qFormat/>
    <w:rsid w:val="000B38E5"/>
    <w:pPr>
      <w:widowControl w:val="0"/>
      <w:spacing w:before="0" w:after="0"/>
    </w:pPr>
    <w:rPr>
      <w:rFonts w:eastAsia="Times New Roman" w:cs="Arial"/>
      <w:snapToGrid w:val="0"/>
      <w:sz w:val="18"/>
      <w:szCs w:val="20"/>
    </w:rPr>
  </w:style>
  <w:style w:type="character" w:customStyle="1" w:styleId="COMTbl-footChar">
    <w:name w:val="COMTbl-foot Char"/>
    <w:basedOn w:val="DefaultParagraphFont"/>
    <w:link w:val="COMTbl-foot"/>
    <w:rsid w:val="000B38E5"/>
    <w:rPr>
      <w:rFonts w:ascii="Arial" w:eastAsia="Times New Roman" w:hAnsi="Arial" w:cs="Arial"/>
      <w:snapToGrid w:val="0"/>
      <w:sz w:val="18"/>
      <w:szCs w:val="20"/>
    </w:rPr>
  </w:style>
  <w:style w:type="paragraph" w:customStyle="1" w:styleId="COMBody">
    <w:name w:val="COMBody"/>
    <w:basedOn w:val="Normal"/>
    <w:link w:val="COMBodyChar"/>
    <w:qFormat/>
    <w:rsid w:val="000B38E5"/>
    <w:pPr>
      <w:widowControl w:val="0"/>
      <w:spacing w:before="0" w:after="0"/>
    </w:pPr>
    <w:rPr>
      <w:rFonts w:eastAsia="Times New Roman" w:cs="Arial"/>
      <w:snapToGrid w:val="0"/>
      <w:szCs w:val="20"/>
    </w:rPr>
  </w:style>
  <w:style w:type="character" w:customStyle="1" w:styleId="COMBodyChar">
    <w:name w:val="COMBody Char"/>
    <w:basedOn w:val="DefaultParagraphFont"/>
    <w:link w:val="COMBody"/>
    <w:rsid w:val="000B38E5"/>
    <w:rPr>
      <w:rFonts w:ascii="Arial" w:eastAsia="Times New Roman" w:hAnsi="Arial" w:cs="Arial"/>
      <w:snapToGrid w:val="0"/>
      <w:szCs w:val="20"/>
    </w:rPr>
  </w:style>
  <w:style w:type="paragraph" w:customStyle="1" w:styleId="COMtbl-HEADLeftAligned">
    <w:name w:val="COMtbl-HEAD Left Aligned"/>
    <w:basedOn w:val="Normal"/>
    <w:qFormat/>
    <w:rsid w:val="000B38E5"/>
    <w:pPr>
      <w:widowControl w:val="0"/>
      <w:tabs>
        <w:tab w:val="left" w:pos="720"/>
      </w:tabs>
      <w:spacing w:before="0" w:after="0"/>
      <w:jc w:val="left"/>
    </w:pPr>
    <w:rPr>
      <w:rFonts w:ascii="Arial Narrow" w:eastAsia="Times New Roman" w:hAnsi="Arial Narrow" w:cs="Arial"/>
      <w:b/>
      <w:snapToGrid w:val="0"/>
      <w:sz w:val="20"/>
      <w:szCs w:val="20"/>
    </w:rPr>
  </w:style>
  <w:style w:type="paragraph" w:customStyle="1" w:styleId="COMtbl-HEADCentred">
    <w:name w:val="COMtbl-HEAD Centred"/>
    <w:basedOn w:val="COMtbl-HEADLeftAligned"/>
    <w:qFormat/>
    <w:rsid w:val="000B38E5"/>
    <w:pPr>
      <w:jc w:val="center"/>
    </w:pPr>
  </w:style>
  <w:style w:type="paragraph" w:customStyle="1" w:styleId="COMtbl-textLeftAligned">
    <w:name w:val="COMtbl-text Left Aligned"/>
    <w:basedOn w:val="COMtbl-HEADLeftAligned"/>
    <w:qFormat/>
    <w:rsid w:val="000B38E5"/>
    <w:rPr>
      <w:b w:val="0"/>
    </w:rPr>
  </w:style>
  <w:style w:type="paragraph" w:customStyle="1" w:styleId="COMtbl-textCentred">
    <w:name w:val="COMtbl-text Centred"/>
    <w:basedOn w:val="COMtbl-HEADCentred"/>
    <w:qFormat/>
    <w:rsid w:val="000B38E5"/>
    <w:rPr>
      <w:b w:val="0"/>
    </w:rPr>
  </w:style>
  <w:style w:type="table" w:customStyle="1" w:styleId="TableGrid1">
    <w:name w:val="Table Grid1"/>
    <w:basedOn w:val="TableNormal"/>
    <w:next w:val="TableGrid"/>
    <w:uiPriority w:val="39"/>
    <w:rsid w:val="0023056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yer Caption,IB Caption,Medical Caption,CSR Caption,Table caption,Caption Char1,Caption Char Char,Medical Caption + Arial Narrow,Bayer Caption1,IB Caption1,Medical Caption1,Medical Caption + Arial Narrow1,Bayer Caption2,IB Caption2"/>
    <w:basedOn w:val="TableHeading"/>
    <w:next w:val="Normal"/>
    <w:link w:val="CaptionChar"/>
    <w:uiPriority w:val="99"/>
    <w:unhideWhenUsed/>
    <w:qFormat/>
    <w:rsid w:val="003F4F36"/>
  </w:style>
  <w:style w:type="character" w:customStyle="1" w:styleId="CaptionChar">
    <w:name w:val="Caption Char"/>
    <w:aliases w:val="Bayer Caption Char,IB Caption Char,Medical Caption Char,CSR Caption Char,Table caption Char,Caption Char1 Char,Caption Char Char Char,Medical Caption + Arial Narrow Char,Bayer Caption1 Char,IB Caption1 Char,Medical Caption1 Char"/>
    <w:basedOn w:val="DefaultParagraphFont"/>
    <w:link w:val="Caption"/>
    <w:uiPriority w:val="99"/>
    <w:locked/>
    <w:rsid w:val="003F4F36"/>
    <w:rPr>
      <w:rFonts w:ascii="Arial Narrow" w:hAnsi="Arial Narrow"/>
      <w:b/>
      <w:sz w:val="20"/>
    </w:rPr>
  </w:style>
  <w:style w:type="paragraph" w:customStyle="1" w:styleId="Table">
    <w:name w:val="Table"/>
    <w:basedOn w:val="Normal"/>
    <w:link w:val="TableChar"/>
    <w:qFormat/>
    <w:rsid w:val="00C44301"/>
    <w:pPr>
      <w:spacing w:before="0" w:after="0"/>
      <w:jc w:val="left"/>
    </w:pPr>
    <w:rPr>
      <w:rFonts w:asciiTheme="minorHAnsi" w:eastAsiaTheme="majorEastAsia" w:hAnsiTheme="minorHAnsi" w:cs="Times New Roman"/>
      <w:sz w:val="18"/>
    </w:rPr>
  </w:style>
  <w:style w:type="character" w:customStyle="1" w:styleId="TableChar">
    <w:name w:val="Table Char"/>
    <w:basedOn w:val="DefaultParagraphFont"/>
    <w:link w:val="Table"/>
    <w:locked/>
    <w:rsid w:val="00C44301"/>
    <w:rPr>
      <w:rFonts w:eastAsiaTheme="majorEastAsia" w:cs="Times New Roman"/>
      <w:sz w:val="18"/>
    </w:rPr>
  </w:style>
  <w:style w:type="paragraph" w:customStyle="1" w:styleId="CaptionFootnote">
    <w:name w:val="Caption Footnote"/>
    <w:basedOn w:val="Caption"/>
    <w:uiPriority w:val="99"/>
    <w:qFormat/>
    <w:rsid w:val="00C44301"/>
    <w:pPr>
      <w:widowControl w:val="0"/>
      <w:spacing w:after="0"/>
    </w:pPr>
    <w:rPr>
      <w:b w:val="0"/>
      <w:sz w:val="16"/>
    </w:rPr>
  </w:style>
  <w:style w:type="character" w:customStyle="1" w:styleId="ListParagraphChar">
    <w:name w:val="List Paragraph Char"/>
    <w:aliases w:val="BulletPoints Char"/>
    <w:basedOn w:val="DefaultParagraphFont"/>
    <w:link w:val="ListParagraph"/>
    <w:uiPriority w:val="72"/>
    <w:rsid w:val="00E8449A"/>
    <w:rPr>
      <w:rFonts w:ascii="Arial" w:hAnsi="Arial"/>
    </w:rPr>
  </w:style>
  <w:style w:type="character" w:customStyle="1" w:styleId="SmallBold">
    <w:name w:val="Small Bold"/>
    <w:basedOn w:val="DefaultParagraphFont"/>
    <w:uiPriority w:val="4"/>
    <w:qFormat/>
    <w:rsid w:val="00552E90"/>
    <w:rPr>
      <w:rFonts w:ascii="Candara" w:hAnsi="Candara" w:cs="Times New Roman"/>
      <w:b/>
      <w:sz w:val="20"/>
      <w:lang w:val="en-AU" w:eastAsia="x-none"/>
    </w:rPr>
  </w:style>
  <w:style w:type="table" w:customStyle="1" w:styleId="TableGrid2">
    <w:name w:val="Table Grid2"/>
    <w:basedOn w:val="TableNormal"/>
    <w:next w:val="TableGrid"/>
    <w:uiPriority w:val="59"/>
    <w:rsid w:val="00016A1D"/>
    <w:pPr>
      <w:spacing w:after="0" w:line="240" w:lineRule="auto"/>
    </w:pPr>
    <w:rPr>
      <w:rFonts w:ascii="Candara" w:eastAsia="Times New Roman" w:hAnsi="Candara"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TableBold">
    <w:name w:val="Table Bold"/>
    <w:uiPriority w:val="4"/>
    <w:qFormat/>
    <w:rsid w:val="00F85304"/>
    <w:rPr>
      <w:rFonts w:ascii="Calibri" w:hAnsi="Calibri"/>
      <w:b/>
      <w:sz w:val="20"/>
      <w:lang w:val="en-AU"/>
    </w:rPr>
  </w:style>
  <w:style w:type="table" w:customStyle="1" w:styleId="TableGrid3">
    <w:name w:val="Table Grid3"/>
    <w:basedOn w:val="TableNormal"/>
    <w:next w:val="TableGrid"/>
    <w:uiPriority w:val="39"/>
    <w:rsid w:val="00AB66D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E46A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4E0CF5"/>
    <w:pPr>
      <w:spacing w:after="0" w:line="240" w:lineRule="auto"/>
      <w:ind w:left="6391" w:hanging="720"/>
    </w:pPr>
    <w:rPr>
      <w:rFonts w:ascii="Arial" w:eastAsia="Times New Roman" w:hAnsi="Arial" w:cs="Arial"/>
      <w:b/>
      <w:snapToGrid w:val="0"/>
    </w:rPr>
  </w:style>
  <w:style w:type="table" w:customStyle="1" w:styleId="TableGridbeth1">
    <w:name w:val="Table Gridbeth1"/>
    <w:basedOn w:val="TableNormal"/>
    <w:next w:val="TableGrid"/>
    <w:uiPriority w:val="39"/>
    <w:rsid w:val="0005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05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ListParagraph"/>
    <w:link w:val="listChar"/>
    <w:qFormat/>
    <w:rsid w:val="001F1647"/>
    <w:pPr>
      <w:spacing w:before="0" w:after="0"/>
      <w:ind w:hanging="720"/>
    </w:pPr>
    <w:rPr>
      <w:rFonts w:ascii="Arial" w:eastAsia="Times New Roman" w:hAnsi="Arial" w:cs="Arial"/>
      <w:snapToGrid w:val="0"/>
      <w:sz w:val="22"/>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D438C"/>
    <w:pPr>
      <w:spacing w:before="0" w:line="240" w:lineRule="exact"/>
      <w:jc w:val="left"/>
    </w:pPr>
    <w:rPr>
      <w:rFonts w:ascii="Verdana" w:eastAsia="MS Mincho" w:hAnsi="Verdana" w:cs="Verdana"/>
      <w:sz w:val="20"/>
      <w:szCs w:val="20"/>
      <w:lang w:val="en-US"/>
    </w:rPr>
  </w:style>
  <w:style w:type="paragraph" w:styleId="BodyText">
    <w:name w:val="Body Text"/>
    <w:basedOn w:val="Normal"/>
    <w:link w:val="BodyTextChar"/>
    <w:qFormat/>
    <w:rsid w:val="006D438C"/>
    <w:pPr>
      <w:widowControl w:val="0"/>
      <w:spacing w:before="0" w:after="0"/>
      <w:jc w:val="left"/>
    </w:pPr>
    <w:rPr>
      <w:rFonts w:ascii="Arial" w:eastAsia="Times New Roman" w:hAnsi="Arial" w:cs="Arial"/>
      <w:snapToGrid w:val="0"/>
      <w:sz w:val="22"/>
      <w:szCs w:val="20"/>
    </w:rPr>
  </w:style>
  <w:style w:type="character" w:customStyle="1" w:styleId="BodyTextChar">
    <w:name w:val="Body Text Char"/>
    <w:basedOn w:val="DefaultParagraphFont"/>
    <w:link w:val="BodyText"/>
    <w:rsid w:val="006D438C"/>
    <w:rPr>
      <w:rFonts w:ascii="Arial" w:eastAsia="Times New Roman" w:hAnsi="Arial" w:cs="Arial"/>
      <w:snapToGrid w:val="0"/>
      <w:szCs w:val="20"/>
    </w:rPr>
  </w:style>
  <w:style w:type="character" w:customStyle="1" w:styleId="listChar">
    <w:name w:val="list Char"/>
    <w:basedOn w:val="ListParagraphChar"/>
    <w:link w:val="List1"/>
    <w:rsid w:val="0059228A"/>
    <w:rPr>
      <w:rFonts w:ascii="Arial" w:eastAsia="Times New Roman" w:hAnsi="Arial" w:cs="Arial"/>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88"/>
    <w:pPr>
      <w:spacing w:before="120" w:line="240" w:lineRule="auto"/>
      <w:jc w:val="both"/>
    </w:pPr>
    <w:rPr>
      <w:rFonts w:ascii="Calibri" w:hAnsi="Calibri"/>
      <w:sz w:val="24"/>
    </w:rPr>
  </w:style>
  <w:style w:type="paragraph" w:styleId="Heading1">
    <w:name w:val="heading 1"/>
    <w:aliases w:val="Char Char Char Char Char Char Char,Heading 1 Trebuchet,Char Char Char Char Char Char,Char Char Char Char Char Char Char Char Char Char Char Char Char,Titre 4b,Heading 1 Char1,Heading 1 Char2 Char,Heading 1 Char Char Char Char1"/>
    <w:basedOn w:val="Normal"/>
    <w:next w:val="Normal"/>
    <w:link w:val="Heading1Char"/>
    <w:uiPriority w:val="1"/>
    <w:qFormat/>
    <w:rsid w:val="00724279"/>
    <w:pPr>
      <w:keepNext/>
      <w:keepLines/>
      <w:numPr>
        <w:numId w:val="1"/>
      </w:numPr>
      <w:spacing w:before="240" w:after="120"/>
      <w:outlineLvl w:val="0"/>
    </w:pPr>
    <w:rPr>
      <w:rFonts w:eastAsiaTheme="majorEastAsia" w:cstheme="majorBidi"/>
      <w:b/>
      <w:sz w:val="32"/>
      <w:szCs w:val="28"/>
    </w:rPr>
  </w:style>
  <w:style w:type="paragraph" w:styleId="Heading2">
    <w:name w:val="heading 2"/>
    <w:aliases w:val="Char,X.X Sub heading,Treb,Trebuchet, Char"/>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aliases w:val="X.X.X Sub sub heading,Char Char,Char1"/>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4 Treb"/>
    <w:basedOn w:val="Heading7"/>
    <w:next w:val="Normal"/>
    <w:link w:val="Heading4Char"/>
    <w:uiPriority w:val="5"/>
    <w:unhideWhenUsed/>
    <w:qFormat/>
    <w:rsid w:val="00735A79"/>
    <w:pPr>
      <w:ind w:left="0" w:firstLine="0"/>
      <w:outlineLvl w:val="3"/>
    </w:pPr>
  </w:style>
  <w:style w:type="paragraph" w:styleId="Heading5">
    <w:name w:val="heading 5"/>
    <w:aliases w:val="DO NOT USE,DO NOT USE11,DO NOT USE111,DO NOT USE1111"/>
    <w:basedOn w:val="Heading4"/>
    <w:next w:val="Normal"/>
    <w:link w:val="Heading5Char"/>
    <w:uiPriority w:val="7"/>
    <w:unhideWhenUsed/>
    <w:qFormat/>
    <w:rsid w:val="003B095E"/>
    <w:pPr>
      <w:outlineLvl w:val="4"/>
    </w:pPr>
  </w:style>
  <w:style w:type="paragraph" w:styleId="Heading6">
    <w:name w:val="heading 6"/>
    <w:basedOn w:val="Heading5"/>
    <w:next w:val="Normal"/>
    <w:link w:val="Heading6Char"/>
    <w:uiPriority w:val="7"/>
    <w:unhideWhenUsed/>
    <w:qFormat/>
    <w:rsid w:val="00624315"/>
    <w:pPr>
      <w:outlineLvl w:val="5"/>
    </w:pPr>
  </w:style>
  <w:style w:type="paragraph" w:styleId="Heading7">
    <w:name w:val="heading 7"/>
    <w:aliases w:val="DO NOT USE3,DO NOT USE4,DO NOT USE41,DO NOT USE411"/>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aliases w:val="DO NOT USE2,DO NOT USE31,DO NOT USE311"/>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O NOT USE1,DO NOT USE21,DO NOT USE211"/>
    <w:basedOn w:val="Heading8"/>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Char Char Char Char,Heading 1 Trebuchet Char,Char Char Char Char Char Char Char1,Char Char Char Char Char Char Char Char Char Char Char Char Char Char,Titre 4b Char,Heading 1 Char1 Char,Heading 1 Char2 Char Char"/>
    <w:basedOn w:val="DefaultParagraphFont"/>
    <w:link w:val="Heading1"/>
    <w:uiPriority w:val="1"/>
    <w:rsid w:val="00724279"/>
    <w:rPr>
      <w:rFonts w:ascii="Calibri" w:eastAsiaTheme="majorEastAsia" w:hAnsi="Calibri" w:cstheme="majorBidi"/>
      <w:b/>
      <w:sz w:val="32"/>
      <w:szCs w:val="28"/>
    </w:rPr>
  </w:style>
  <w:style w:type="character" w:customStyle="1" w:styleId="Heading2Char">
    <w:name w:val="Heading 2 Char"/>
    <w:aliases w:val="Char Char1,X.X Sub heading Char,Treb Char,Trebuchet Char, Char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aliases w:val="X.X.X Sub sub heading Char,Char Char Char,Char1 Char"/>
    <w:basedOn w:val="DefaultParagraphFont"/>
    <w:link w:val="Heading3"/>
    <w:uiPriority w:val="9"/>
    <w:rsid w:val="00186307"/>
    <w:rPr>
      <w:rFonts w:eastAsiaTheme="majorEastAsia" w:cstheme="majorBidi"/>
      <w:b/>
      <w:sz w:val="28"/>
      <w:szCs w:val="28"/>
    </w:r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8762DF"/>
    <w:rPr>
      <w:color w:val="4472C4" w:themeColor="accent5"/>
    </w:rPr>
  </w:style>
  <w:style w:type="character" w:customStyle="1" w:styleId="Heading4Char">
    <w:name w:val="Heading 4 Char"/>
    <w:aliases w:val="Heading 4 Treb Char"/>
    <w:basedOn w:val="DefaultParagraphFont"/>
    <w:link w:val="Heading4"/>
    <w:uiPriority w:val="5"/>
    <w:rsid w:val="00735A79"/>
    <w:rPr>
      <w:rFonts w:ascii="Arial" w:eastAsiaTheme="majorEastAsia" w:hAnsi="Arial" w:cstheme="majorBidi"/>
      <w:b/>
      <w:i/>
      <w:sz w:val="24"/>
      <w:szCs w:val="24"/>
    </w:rPr>
  </w:style>
  <w:style w:type="character" w:customStyle="1" w:styleId="Heading5Char">
    <w:name w:val="Heading 5 Char"/>
    <w:aliases w:val="DO NOT USE Char,DO NOT USE11 Char,DO NOT USE111 Char,DO NOT USE1111 Char"/>
    <w:basedOn w:val="DefaultParagraphFont"/>
    <w:link w:val="Heading5"/>
    <w:uiPriority w:val="7"/>
    <w:rsid w:val="006963E0"/>
    <w:rPr>
      <w:rFonts w:ascii="Arial" w:eastAsiaTheme="majorEastAsia" w:hAnsi="Arial" w:cstheme="majorBidi"/>
      <w:b/>
      <w:i/>
      <w:sz w:val="24"/>
      <w:szCs w:val="24"/>
    </w:rPr>
  </w:style>
  <w:style w:type="character" w:customStyle="1" w:styleId="Heading6Char">
    <w:name w:val="Heading 6 Char"/>
    <w:basedOn w:val="DefaultParagraphFont"/>
    <w:link w:val="Heading6"/>
    <w:uiPriority w:val="7"/>
    <w:rsid w:val="006963E0"/>
    <w:rPr>
      <w:rFonts w:ascii="Arial" w:eastAsiaTheme="majorEastAsia" w:hAnsi="Arial" w:cstheme="majorBidi"/>
      <w:b/>
      <w:i/>
      <w:sz w:val="24"/>
      <w:szCs w:val="24"/>
    </w:rPr>
  </w:style>
  <w:style w:type="character" w:customStyle="1" w:styleId="Heading7Char">
    <w:name w:val="Heading 7 Char"/>
    <w:aliases w:val="DO NOT USE3 Char,DO NOT USE4 Char,DO NOT USE41 Char,DO NOT USE411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aliases w:val="DO NOT USE2 Char,DO NOT USE31 Char,DO NOT USE311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DO NOT USE1 Char,DO NOT USE21 Char,DO NOT USE211 Char"/>
    <w:basedOn w:val="DefaultParagraphFont"/>
    <w:link w:val="Heading9"/>
    <w:uiPriority w:val="7"/>
    <w:rsid w:val="00422052"/>
    <w:rPr>
      <w:rFonts w:asciiTheme="majorHAnsi" w:eastAsiaTheme="majorEastAsia" w:hAnsiTheme="majorHAnsi" w:cstheme="majorBidi"/>
      <w:color w:val="272727" w:themeColor="text1" w:themeTint="D8"/>
      <w:sz w:val="36"/>
      <w:szCs w:val="21"/>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BalloonText">
    <w:name w:val="Balloon Text"/>
    <w:basedOn w:val="Normal"/>
    <w:link w:val="BalloonTextChar"/>
    <w:uiPriority w:val="9"/>
    <w:semiHidden/>
    <w:unhideWhenUsed/>
    <w:rsid w:val="00B1234B"/>
    <w:pPr>
      <w:spacing w:before="0" w:after="0"/>
    </w:pPr>
    <w:rPr>
      <w:rFonts w:ascii="Tahoma" w:hAnsi="Tahoma" w:cs="Tahoma"/>
      <w:sz w:val="16"/>
      <w:szCs w:val="16"/>
    </w:rPr>
  </w:style>
  <w:style w:type="paragraph" w:customStyle="1" w:styleId="V50InstructionsBullets">
    <w:name w:val="V5.0 Instructions Bullets"/>
    <w:basedOn w:val="V50Instructions"/>
    <w:qFormat/>
    <w:rsid w:val="007F08CA"/>
    <w:pPr>
      <w:numPr>
        <w:numId w:val="2"/>
      </w:numPr>
      <w:spacing w:before="0" w:after="0"/>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character" w:customStyle="1" w:styleId="BalloonTextChar">
    <w:name w:val="Balloon Text Char"/>
    <w:basedOn w:val="DefaultParagraphFont"/>
    <w:link w:val="BalloonText"/>
    <w:uiPriority w:val="9"/>
    <w:semiHidden/>
    <w:rsid w:val="00B1234B"/>
    <w:rPr>
      <w:rFonts w:ascii="Tahoma" w:hAnsi="Tahoma" w:cs="Tahoma"/>
      <w:sz w:val="16"/>
      <w:szCs w:val="16"/>
    </w:rPr>
  </w:style>
  <w:style w:type="character" w:styleId="FootnoteReference">
    <w:name w:val="footnote reference"/>
    <w:basedOn w:val="DefaultParagraphFont"/>
    <w:uiPriority w:val="99"/>
    <w:unhideWhenUsed/>
    <w:rsid w:val="00BA3306"/>
    <w:rPr>
      <w:vertAlign w:val="superscript"/>
    </w:rPr>
  </w:style>
  <w:style w:type="paragraph" w:customStyle="1" w:styleId="TableHeading">
    <w:name w:val="Table Heading"/>
    <w:basedOn w:val="Normal"/>
    <w:qFormat/>
    <w:rsid w:val="001F74E0"/>
    <w:pPr>
      <w:keepNext/>
      <w:spacing w:before="240" w:after="60"/>
    </w:pPr>
    <w:rPr>
      <w:rFonts w:ascii="Arial Narrow" w:hAnsi="Arial Narrow"/>
      <w:b/>
      <w:sz w:val="20"/>
    </w:rPr>
  </w:style>
  <w:style w:type="character" w:customStyle="1" w:styleId="V50InstructionsChar">
    <w:name w:val="V5.0 Instructions Char"/>
    <w:basedOn w:val="DefaultParagraphFont"/>
    <w:link w:val="V50Instructions"/>
    <w:rsid w:val="008762DF"/>
    <w:rPr>
      <w:rFonts w:ascii="Arial" w:hAnsi="Arial"/>
      <w:color w:val="4472C4" w:themeColor="accent5"/>
    </w:rPr>
  </w:style>
  <w:style w:type="paragraph" w:customStyle="1" w:styleId="TableFooter">
    <w:name w:val="Table Footer"/>
    <w:basedOn w:val="Normal"/>
    <w:link w:val="TableFooterChar"/>
    <w:qFormat/>
    <w:rsid w:val="00294B47"/>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294B47"/>
    <w:rPr>
      <w:rFonts w:ascii="Arial Narrow" w:eastAsia="Times New Roman" w:hAnsi="Arial Narrow" w:cs="Arial"/>
      <w:snapToGrid w:val="0"/>
      <w:sz w:val="18"/>
      <w:szCs w:val="20"/>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eastAsia="Times New Roman"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eastAsia="Times New Roman" w:cs="Arial"/>
      <w:bCs/>
      <w:snapToGrid w:val="0"/>
      <w:sz w:val="20"/>
      <w:szCs w:val="20"/>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styleId="Header">
    <w:name w:val="header"/>
    <w:aliases w:val="Page Header,Header title,he=header,cntr/bld"/>
    <w:basedOn w:val="Normal"/>
    <w:link w:val="HeaderChar"/>
    <w:uiPriority w:val="99"/>
    <w:unhideWhenUsed/>
    <w:rsid w:val="005A6976"/>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5A6976"/>
    <w:rPr>
      <w:sz w:val="24"/>
    </w:rPr>
  </w:style>
  <w:style w:type="paragraph" w:styleId="Footer">
    <w:name w:val="footer"/>
    <w:basedOn w:val="Normal"/>
    <w:link w:val="FooterChar"/>
    <w:uiPriority w:val="99"/>
    <w:unhideWhenUsed/>
    <w:rsid w:val="005A6976"/>
    <w:pPr>
      <w:tabs>
        <w:tab w:val="center" w:pos="4513"/>
        <w:tab w:val="right" w:pos="9026"/>
      </w:tabs>
      <w:spacing w:before="0" w:after="0"/>
    </w:pPr>
  </w:style>
  <w:style w:type="character" w:customStyle="1" w:styleId="FooterChar">
    <w:name w:val="Footer Char"/>
    <w:basedOn w:val="DefaultParagraphFont"/>
    <w:link w:val="Footer"/>
    <w:uiPriority w:val="99"/>
    <w:rsid w:val="005A6976"/>
    <w:rPr>
      <w:sz w:val="24"/>
    </w:rPr>
  </w:style>
  <w:style w:type="paragraph" w:customStyle="1" w:styleId="ESnumberedpara">
    <w:name w:val="ES numbered para"/>
    <w:basedOn w:val="Normal"/>
    <w:link w:val="ESnumberedparaChar"/>
    <w:qFormat/>
    <w:rsid w:val="00C757CE"/>
    <w:pPr>
      <w:numPr>
        <w:ilvl w:val="1"/>
        <w:numId w:val="12"/>
      </w:numPr>
      <w:spacing w:before="0" w:after="120"/>
    </w:pPr>
  </w:style>
  <w:style w:type="character" w:customStyle="1" w:styleId="ESnumberedparaChar">
    <w:name w:val="ES numbered para Char"/>
    <w:basedOn w:val="DefaultParagraphFont"/>
    <w:link w:val="ESnumberedpara"/>
    <w:rsid w:val="00C757CE"/>
    <w:rPr>
      <w:rFonts w:ascii="Calibri" w:hAnsi="Calibri"/>
      <w:sz w:val="24"/>
    </w:rPr>
  </w:style>
  <w:style w:type="paragraph" w:customStyle="1" w:styleId="ESnumberedparablue">
    <w:name w:val="ES numbered para blue"/>
    <w:basedOn w:val="ESnumberedpara"/>
    <w:qFormat/>
    <w:rsid w:val="00C757CE"/>
    <w:rPr>
      <w:color w:val="4472C4" w:themeColor="accent5"/>
    </w:rPr>
  </w:style>
  <w:style w:type="paragraph" w:customStyle="1" w:styleId="ESnon-numberedpara">
    <w:name w:val="ES non-numbered para"/>
    <w:basedOn w:val="Normal"/>
    <w:qFormat/>
    <w:rsid w:val="00F8548F"/>
    <w:pPr>
      <w:spacing w:before="0" w:after="120"/>
      <w:ind w:left="709"/>
    </w:pPr>
  </w:style>
  <w:style w:type="paragraph" w:customStyle="1" w:styleId="ESnon-numberedparablue">
    <w:name w:val="ES non-numbered para blue"/>
    <w:basedOn w:val="ESnon-numberedpara"/>
    <w:qFormat/>
    <w:rsid w:val="00F8548F"/>
    <w:rPr>
      <w:color w:val="4472C4" w:themeColor="accent5"/>
    </w:rPr>
  </w:style>
  <w:style w:type="paragraph" w:customStyle="1" w:styleId="ESnon-numberedbullet">
    <w:name w:val="ES non-numbered bullet"/>
    <w:basedOn w:val="ESnon-numberedpara"/>
    <w:qFormat/>
    <w:rsid w:val="00462C15"/>
    <w:pPr>
      <w:numPr>
        <w:numId w:val="6"/>
      </w:numPr>
      <w:spacing w:after="240"/>
      <w:ind w:left="993" w:hanging="284"/>
      <w:contextualSpacing/>
    </w:pPr>
  </w:style>
  <w:style w:type="character" w:styleId="CommentReference">
    <w:name w:val="annotation reference"/>
    <w:aliases w:val="Table Title"/>
    <w:basedOn w:val="DefaultParagraphFont"/>
    <w:uiPriority w:val="99"/>
    <w:unhideWhenUsed/>
    <w:qFormat/>
    <w:rsid w:val="0035116C"/>
    <w:rPr>
      <w:sz w:val="16"/>
      <w:szCs w:val="16"/>
    </w:rPr>
  </w:style>
  <w:style w:type="paragraph" w:styleId="CommentText">
    <w:name w:val="annotation text"/>
    <w:basedOn w:val="Normal"/>
    <w:link w:val="CommentTextChar"/>
    <w:uiPriority w:val="99"/>
    <w:unhideWhenUsed/>
    <w:rsid w:val="0035116C"/>
    <w:rPr>
      <w:sz w:val="20"/>
      <w:szCs w:val="20"/>
    </w:rPr>
  </w:style>
  <w:style w:type="character" w:customStyle="1" w:styleId="CommentTextChar">
    <w:name w:val="Comment Text Char"/>
    <w:basedOn w:val="DefaultParagraphFont"/>
    <w:link w:val="CommentText"/>
    <w:uiPriority w:val="99"/>
    <w:rsid w:val="0035116C"/>
    <w:rPr>
      <w:rFonts w:ascii="Arial" w:hAnsi="Arial"/>
      <w:sz w:val="20"/>
      <w:szCs w:val="20"/>
    </w:rPr>
  </w:style>
  <w:style w:type="paragraph" w:styleId="CommentSubject">
    <w:name w:val="annotation subject"/>
    <w:basedOn w:val="CommentText"/>
    <w:next w:val="CommentText"/>
    <w:link w:val="CommentSubjectChar"/>
    <w:uiPriority w:val="9"/>
    <w:semiHidden/>
    <w:unhideWhenUsed/>
    <w:rsid w:val="0035116C"/>
    <w:rPr>
      <w:b/>
      <w:bCs/>
    </w:rPr>
  </w:style>
  <w:style w:type="character" w:customStyle="1" w:styleId="CommentSubjectChar">
    <w:name w:val="Comment Subject Char"/>
    <w:basedOn w:val="CommentTextChar"/>
    <w:link w:val="CommentSubject"/>
    <w:uiPriority w:val="9"/>
    <w:semiHidden/>
    <w:rsid w:val="0035116C"/>
    <w:rPr>
      <w:rFonts w:ascii="Arial" w:hAnsi="Arial"/>
      <w:b/>
      <w:bCs/>
      <w:sz w:val="20"/>
      <w:szCs w:val="20"/>
    </w:rPr>
  </w:style>
  <w:style w:type="paragraph" w:styleId="ListParagraph">
    <w:name w:val="List Paragraph"/>
    <w:aliases w:val="BulletPoints"/>
    <w:basedOn w:val="Normal"/>
    <w:link w:val="ListParagraphChar"/>
    <w:uiPriority w:val="34"/>
    <w:qFormat/>
    <w:rsid w:val="00D262BD"/>
    <w:pPr>
      <w:ind w:left="720"/>
      <w:contextualSpacing/>
    </w:pPr>
  </w:style>
  <w:style w:type="paragraph" w:customStyle="1" w:styleId="COMTbl-foot">
    <w:name w:val="COMTbl-foot"/>
    <w:basedOn w:val="Normal"/>
    <w:link w:val="COMTbl-footChar"/>
    <w:qFormat/>
    <w:rsid w:val="000B38E5"/>
    <w:pPr>
      <w:widowControl w:val="0"/>
      <w:spacing w:before="0" w:after="0"/>
    </w:pPr>
    <w:rPr>
      <w:rFonts w:eastAsia="Times New Roman" w:cs="Arial"/>
      <w:snapToGrid w:val="0"/>
      <w:sz w:val="18"/>
      <w:szCs w:val="20"/>
    </w:rPr>
  </w:style>
  <w:style w:type="character" w:customStyle="1" w:styleId="COMTbl-footChar">
    <w:name w:val="COMTbl-foot Char"/>
    <w:basedOn w:val="DefaultParagraphFont"/>
    <w:link w:val="COMTbl-foot"/>
    <w:rsid w:val="000B38E5"/>
    <w:rPr>
      <w:rFonts w:ascii="Arial" w:eastAsia="Times New Roman" w:hAnsi="Arial" w:cs="Arial"/>
      <w:snapToGrid w:val="0"/>
      <w:sz w:val="18"/>
      <w:szCs w:val="20"/>
    </w:rPr>
  </w:style>
  <w:style w:type="paragraph" w:customStyle="1" w:styleId="COMBody">
    <w:name w:val="COMBody"/>
    <w:basedOn w:val="Normal"/>
    <w:link w:val="COMBodyChar"/>
    <w:qFormat/>
    <w:rsid w:val="000B38E5"/>
    <w:pPr>
      <w:widowControl w:val="0"/>
      <w:spacing w:before="0" w:after="0"/>
    </w:pPr>
    <w:rPr>
      <w:rFonts w:eastAsia="Times New Roman" w:cs="Arial"/>
      <w:snapToGrid w:val="0"/>
      <w:szCs w:val="20"/>
    </w:rPr>
  </w:style>
  <w:style w:type="character" w:customStyle="1" w:styleId="COMBodyChar">
    <w:name w:val="COMBody Char"/>
    <w:basedOn w:val="DefaultParagraphFont"/>
    <w:link w:val="COMBody"/>
    <w:rsid w:val="000B38E5"/>
    <w:rPr>
      <w:rFonts w:ascii="Arial" w:eastAsia="Times New Roman" w:hAnsi="Arial" w:cs="Arial"/>
      <w:snapToGrid w:val="0"/>
      <w:szCs w:val="20"/>
    </w:rPr>
  </w:style>
  <w:style w:type="paragraph" w:customStyle="1" w:styleId="COMtbl-HEADLeftAligned">
    <w:name w:val="COMtbl-HEAD Left Aligned"/>
    <w:basedOn w:val="Normal"/>
    <w:qFormat/>
    <w:rsid w:val="000B38E5"/>
    <w:pPr>
      <w:widowControl w:val="0"/>
      <w:tabs>
        <w:tab w:val="left" w:pos="720"/>
      </w:tabs>
      <w:spacing w:before="0" w:after="0"/>
      <w:jc w:val="left"/>
    </w:pPr>
    <w:rPr>
      <w:rFonts w:ascii="Arial Narrow" w:eastAsia="Times New Roman" w:hAnsi="Arial Narrow" w:cs="Arial"/>
      <w:b/>
      <w:snapToGrid w:val="0"/>
      <w:sz w:val="20"/>
      <w:szCs w:val="20"/>
    </w:rPr>
  </w:style>
  <w:style w:type="paragraph" w:customStyle="1" w:styleId="COMtbl-HEADCentred">
    <w:name w:val="COMtbl-HEAD Centred"/>
    <w:basedOn w:val="COMtbl-HEADLeftAligned"/>
    <w:qFormat/>
    <w:rsid w:val="000B38E5"/>
    <w:pPr>
      <w:jc w:val="center"/>
    </w:pPr>
  </w:style>
  <w:style w:type="paragraph" w:customStyle="1" w:styleId="COMtbl-textLeftAligned">
    <w:name w:val="COMtbl-text Left Aligned"/>
    <w:basedOn w:val="COMtbl-HEADLeftAligned"/>
    <w:qFormat/>
    <w:rsid w:val="000B38E5"/>
    <w:rPr>
      <w:b w:val="0"/>
    </w:rPr>
  </w:style>
  <w:style w:type="paragraph" w:customStyle="1" w:styleId="COMtbl-textCentred">
    <w:name w:val="COMtbl-text Centred"/>
    <w:basedOn w:val="COMtbl-HEADCentred"/>
    <w:qFormat/>
    <w:rsid w:val="000B38E5"/>
    <w:rPr>
      <w:b w:val="0"/>
    </w:rPr>
  </w:style>
  <w:style w:type="table" w:customStyle="1" w:styleId="TableGrid1">
    <w:name w:val="Table Grid1"/>
    <w:basedOn w:val="TableNormal"/>
    <w:next w:val="TableGrid"/>
    <w:uiPriority w:val="39"/>
    <w:rsid w:val="0023056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yer Caption,IB Caption,Medical Caption,CSR Caption,Table caption,Caption Char1,Caption Char Char,Medical Caption + Arial Narrow,Bayer Caption1,IB Caption1,Medical Caption1,Medical Caption + Arial Narrow1,Bayer Caption2,IB Caption2"/>
    <w:basedOn w:val="TableHeading"/>
    <w:next w:val="Normal"/>
    <w:link w:val="CaptionChar"/>
    <w:uiPriority w:val="99"/>
    <w:unhideWhenUsed/>
    <w:qFormat/>
    <w:rsid w:val="003F4F36"/>
  </w:style>
  <w:style w:type="character" w:customStyle="1" w:styleId="CaptionChar">
    <w:name w:val="Caption Char"/>
    <w:aliases w:val="Bayer Caption Char,IB Caption Char,Medical Caption Char,CSR Caption Char,Table caption Char,Caption Char1 Char,Caption Char Char Char,Medical Caption + Arial Narrow Char,Bayer Caption1 Char,IB Caption1 Char,Medical Caption1 Char"/>
    <w:basedOn w:val="DefaultParagraphFont"/>
    <w:link w:val="Caption"/>
    <w:uiPriority w:val="99"/>
    <w:locked/>
    <w:rsid w:val="003F4F36"/>
    <w:rPr>
      <w:rFonts w:ascii="Arial Narrow" w:hAnsi="Arial Narrow"/>
      <w:b/>
      <w:sz w:val="20"/>
    </w:rPr>
  </w:style>
  <w:style w:type="paragraph" w:customStyle="1" w:styleId="Table">
    <w:name w:val="Table"/>
    <w:basedOn w:val="Normal"/>
    <w:link w:val="TableChar"/>
    <w:qFormat/>
    <w:rsid w:val="00C44301"/>
    <w:pPr>
      <w:spacing w:before="0" w:after="0"/>
      <w:jc w:val="left"/>
    </w:pPr>
    <w:rPr>
      <w:rFonts w:asciiTheme="minorHAnsi" w:eastAsiaTheme="majorEastAsia" w:hAnsiTheme="minorHAnsi" w:cs="Times New Roman"/>
      <w:sz w:val="18"/>
    </w:rPr>
  </w:style>
  <w:style w:type="character" w:customStyle="1" w:styleId="TableChar">
    <w:name w:val="Table Char"/>
    <w:basedOn w:val="DefaultParagraphFont"/>
    <w:link w:val="Table"/>
    <w:locked/>
    <w:rsid w:val="00C44301"/>
    <w:rPr>
      <w:rFonts w:eastAsiaTheme="majorEastAsia" w:cs="Times New Roman"/>
      <w:sz w:val="18"/>
    </w:rPr>
  </w:style>
  <w:style w:type="paragraph" w:customStyle="1" w:styleId="CaptionFootnote">
    <w:name w:val="Caption Footnote"/>
    <w:basedOn w:val="Caption"/>
    <w:uiPriority w:val="99"/>
    <w:qFormat/>
    <w:rsid w:val="00C44301"/>
    <w:pPr>
      <w:widowControl w:val="0"/>
      <w:spacing w:after="0"/>
    </w:pPr>
    <w:rPr>
      <w:b w:val="0"/>
      <w:sz w:val="16"/>
    </w:rPr>
  </w:style>
  <w:style w:type="character" w:customStyle="1" w:styleId="ListParagraphChar">
    <w:name w:val="List Paragraph Char"/>
    <w:aliases w:val="BulletPoints Char"/>
    <w:basedOn w:val="DefaultParagraphFont"/>
    <w:link w:val="ListParagraph"/>
    <w:uiPriority w:val="72"/>
    <w:rsid w:val="00E8449A"/>
    <w:rPr>
      <w:rFonts w:ascii="Arial" w:hAnsi="Arial"/>
    </w:rPr>
  </w:style>
  <w:style w:type="character" w:customStyle="1" w:styleId="SmallBold">
    <w:name w:val="Small Bold"/>
    <w:basedOn w:val="DefaultParagraphFont"/>
    <w:uiPriority w:val="4"/>
    <w:qFormat/>
    <w:rsid w:val="00552E90"/>
    <w:rPr>
      <w:rFonts w:ascii="Candara" w:hAnsi="Candara" w:cs="Times New Roman"/>
      <w:b/>
      <w:sz w:val="20"/>
      <w:lang w:val="en-AU" w:eastAsia="x-none"/>
    </w:rPr>
  </w:style>
  <w:style w:type="table" w:customStyle="1" w:styleId="TableGrid2">
    <w:name w:val="Table Grid2"/>
    <w:basedOn w:val="TableNormal"/>
    <w:next w:val="TableGrid"/>
    <w:uiPriority w:val="59"/>
    <w:rsid w:val="00016A1D"/>
    <w:pPr>
      <w:spacing w:after="0" w:line="240" w:lineRule="auto"/>
    </w:pPr>
    <w:rPr>
      <w:rFonts w:ascii="Candara" w:eastAsia="Times New Roman" w:hAnsi="Candara"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TableBold">
    <w:name w:val="Table Bold"/>
    <w:uiPriority w:val="4"/>
    <w:qFormat/>
    <w:rsid w:val="00F85304"/>
    <w:rPr>
      <w:rFonts w:ascii="Calibri" w:hAnsi="Calibri"/>
      <w:b/>
      <w:sz w:val="20"/>
      <w:lang w:val="en-AU"/>
    </w:rPr>
  </w:style>
  <w:style w:type="table" w:customStyle="1" w:styleId="TableGrid3">
    <w:name w:val="Table Grid3"/>
    <w:basedOn w:val="TableNormal"/>
    <w:next w:val="TableGrid"/>
    <w:uiPriority w:val="39"/>
    <w:rsid w:val="00AB66D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E46A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4E0CF5"/>
    <w:pPr>
      <w:spacing w:after="0" w:line="240" w:lineRule="auto"/>
      <w:ind w:left="6391" w:hanging="720"/>
    </w:pPr>
    <w:rPr>
      <w:rFonts w:ascii="Arial" w:eastAsia="Times New Roman" w:hAnsi="Arial" w:cs="Arial"/>
      <w:b/>
      <w:snapToGrid w:val="0"/>
    </w:rPr>
  </w:style>
  <w:style w:type="table" w:customStyle="1" w:styleId="TableGridbeth1">
    <w:name w:val="Table Gridbeth1"/>
    <w:basedOn w:val="TableNormal"/>
    <w:next w:val="TableGrid"/>
    <w:uiPriority w:val="39"/>
    <w:rsid w:val="0005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05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ListParagraph"/>
    <w:link w:val="listChar"/>
    <w:qFormat/>
    <w:rsid w:val="001F1647"/>
    <w:pPr>
      <w:spacing w:before="0" w:after="0"/>
      <w:ind w:hanging="720"/>
    </w:pPr>
    <w:rPr>
      <w:rFonts w:ascii="Arial" w:eastAsia="Times New Roman" w:hAnsi="Arial" w:cs="Arial"/>
      <w:snapToGrid w:val="0"/>
      <w:sz w:val="22"/>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D438C"/>
    <w:pPr>
      <w:spacing w:before="0" w:line="240" w:lineRule="exact"/>
      <w:jc w:val="left"/>
    </w:pPr>
    <w:rPr>
      <w:rFonts w:ascii="Verdana" w:eastAsia="MS Mincho" w:hAnsi="Verdana" w:cs="Verdana"/>
      <w:sz w:val="20"/>
      <w:szCs w:val="20"/>
      <w:lang w:val="en-US"/>
    </w:rPr>
  </w:style>
  <w:style w:type="paragraph" w:styleId="BodyText">
    <w:name w:val="Body Text"/>
    <w:basedOn w:val="Normal"/>
    <w:link w:val="BodyTextChar"/>
    <w:qFormat/>
    <w:rsid w:val="006D438C"/>
    <w:pPr>
      <w:widowControl w:val="0"/>
      <w:spacing w:before="0" w:after="0"/>
      <w:jc w:val="left"/>
    </w:pPr>
    <w:rPr>
      <w:rFonts w:ascii="Arial" w:eastAsia="Times New Roman" w:hAnsi="Arial" w:cs="Arial"/>
      <w:snapToGrid w:val="0"/>
      <w:sz w:val="22"/>
      <w:szCs w:val="20"/>
    </w:rPr>
  </w:style>
  <w:style w:type="character" w:customStyle="1" w:styleId="BodyTextChar">
    <w:name w:val="Body Text Char"/>
    <w:basedOn w:val="DefaultParagraphFont"/>
    <w:link w:val="BodyText"/>
    <w:rsid w:val="006D438C"/>
    <w:rPr>
      <w:rFonts w:ascii="Arial" w:eastAsia="Times New Roman" w:hAnsi="Arial" w:cs="Arial"/>
      <w:snapToGrid w:val="0"/>
      <w:szCs w:val="20"/>
    </w:rPr>
  </w:style>
  <w:style w:type="character" w:customStyle="1" w:styleId="listChar">
    <w:name w:val="list Char"/>
    <w:basedOn w:val="ListParagraphChar"/>
    <w:link w:val="List1"/>
    <w:rsid w:val="0059228A"/>
    <w:rPr>
      <w:rFonts w:ascii="Arial" w:eastAsia="Times New Roman" w:hAnsi="Arial" w:cs="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91336072">
      <w:bodyDiv w:val="1"/>
      <w:marLeft w:val="0"/>
      <w:marRight w:val="0"/>
      <w:marTop w:val="0"/>
      <w:marBottom w:val="0"/>
      <w:divBdr>
        <w:top w:val="none" w:sz="0" w:space="0" w:color="auto"/>
        <w:left w:val="none" w:sz="0" w:space="0" w:color="auto"/>
        <w:bottom w:val="none" w:sz="0" w:space="0" w:color="auto"/>
        <w:right w:val="none" w:sz="0" w:space="0" w:color="auto"/>
      </w:divBdr>
    </w:div>
    <w:div w:id="610548731">
      <w:bodyDiv w:val="1"/>
      <w:marLeft w:val="0"/>
      <w:marRight w:val="0"/>
      <w:marTop w:val="0"/>
      <w:marBottom w:val="0"/>
      <w:divBdr>
        <w:top w:val="none" w:sz="0" w:space="0" w:color="auto"/>
        <w:left w:val="none" w:sz="0" w:space="0" w:color="auto"/>
        <w:bottom w:val="none" w:sz="0" w:space="0" w:color="auto"/>
        <w:right w:val="none" w:sz="0" w:space="0" w:color="auto"/>
      </w:divBdr>
    </w:div>
    <w:div w:id="631441217">
      <w:bodyDiv w:val="1"/>
      <w:marLeft w:val="0"/>
      <w:marRight w:val="0"/>
      <w:marTop w:val="0"/>
      <w:marBottom w:val="0"/>
      <w:divBdr>
        <w:top w:val="none" w:sz="0" w:space="0" w:color="auto"/>
        <w:left w:val="none" w:sz="0" w:space="0" w:color="auto"/>
        <w:bottom w:val="none" w:sz="0" w:space="0" w:color="auto"/>
        <w:right w:val="none" w:sz="0" w:space="0" w:color="auto"/>
      </w:divBdr>
    </w:div>
    <w:div w:id="936523400">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578588865">
      <w:bodyDiv w:val="1"/>
      <w:marLeft w:val="0"/>
      <w:marRight w:val="0"/>
      <w:marTop w:val="0"/>
      <w:marBottom w:val="0"/>
      <w:divBdr>
        <w:top w:val="none" w:sz="0" w:space="0" w:color="auto"/>
        <w:left w:val="none" w:sz="0" w:space="0" w:color="auto"/>
        <w:bottom w:val="none" w:sz="0" w:space="0" w:color="auto"/>
        <w:right w:val="none" w:sz="0" w:space="0" w:color="auto"/>
      </w:divBdr>
    </w:div>
    <w:div w:id="1592811371">
      <w:bodyDiv w:val="1"/>
      <w:marLeft w:val="0"/>
      <w:marRight w:val="0"/>
      <w:marTop w:val="0"/>
      <w:marBottom w:val="0"/>
      <w:divBdr>
        <w:top w:val="none" w:sz="0" w:space="0" w:color="auto"/>
        <w:left w:val="none" w:sz="0" w:space="0" w:color="auto"/>
        <w:bottom w:val="none" w:sz="0" w:space="0" w:color="auto"/>
        <w:right w:val="none" w:sz="0" w:space="0" w:color="auto"/>
      </w:divBdr>
    </w:div>
    <w:div w:id="1860658240">
      <w:bodyDiv w:val="1"/>
      <w:marLeft w:val="0"/>
      <w:marRight w:val="0"/>
      <w:marTop w:val="0"/>
      <w:marBottom w:val="0"/>
      <w:divBdr>
        <w:top w:val="none" w:sz="0" w:space="0" w:color="auto"/>
        <w:left w:val="none" w:sz="0" w:space="0" w:color="auto"/>
        <w:bottom w:val="none" w:sz="0" w:space="0" w:color="auto"/>
        <w:right w:val="none" w:sz="0" w:space="0" w:color="auto"/>
      </w:divBdr>
    </w:div>
    <w:div w:id="1865096957">
      <w:bodyDiv w:val="1"/>
      <w:marLeft w:val="0"/>
      <w:marRight w:val="0"/>
      <w:marTop w:val="0"/>
      <w:marBottom w:val="0"/>
      <w:divBdr>
        <w:top w:val="none" w:sz="0" w:space="0" w:color="auto"/>
        <w:left w:val="none" w:sz="0" w:space="0" w:color="auto"/>
        <w:bottom w:val="none" w:sz="0" w:space="0" w:color="auto"/>
        <w:right w:val="none" w:sz="0" w:space="0" w:color="auto"/>
      </w:divBdr>
    </w:div>
    <w:div w:id="2084915191">
      <w:bodyDiv w:val="1"/>
      <w:marLeft w:val="0"/>
      <w:marRight w:val="0"/>
      <w:marTop w:val="0"/>
      <w:marBottom w:val="0"/>
      <w:divBdr>
        <w:top w:val="none" w:sz="0" w:space="0" w:color="auto"/>
        <w:left w:val="none" w:sz="0" w:space="0" w:color="auto"/>
        <w:bottom w:val="none" w:sz="0" w:space="0" w:color="auto"/>
        <w:right w:val="none" w:sz="0" w:space="0" w:color="auto"/>
      </w:divBdr>
    </w:div>
    <w:div w:id="209559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Luk10</b:Tag>
    <b:SourceType>JournalArticle</b:SourceType>
    <b:Guid>{13EB3B1D-878C-4FC6-86C0-67100582A531}</b:Guid>
    <b:Author>
      <b:Author>
        <b:NameList>
          <b:Person>
            <b:Last>Luke</b:Last>
            <b:First>C</b:First>
          </b:Person>
          <b:Person>
            <b:Last>Price</b:Last>
            <b:First>T,</b:First>
            <b:Middle>Townsend, A</b:Middle>
          </b:Person>
          <b:Person>
            <b:Last>Karapetis</b:Last>
            <b:First>C</b:First>
          </b:Person>
          <b:Person>
            <b:Last>Kotasek</b:Last>
            <b:First>D</b:First>
          </b:Person>
          <b:Person>
            <b:Last>Singhal</b:Last>
            <b:First>N</b:First>
          </b:Person>
          <b:Person>
            <b:Last>Tracey</b:Last>
            <b:First>E</b:First>
          </b:Person>
          <b:Person>
            <b:Last>Roder</b:Last>
            <b:First>D</b:First>
          </b:Person>
        </b:NameList>
      </b:Author>
    </b:Author>
    <b:Title>Epidemiology of neuroendocrine cancers in an Australian population</b:Title>
    <b:JournalName>Cancer Causes Control</b:JournalName>
    <b:Year>2010</b:Year>
    <b:Pages>21:931-938</b:Pages>
    <b:RefOrder>25</b:RefOrder>
  </b:Source>
  <b:Source>
    <b:Tag>Placeholder1</b:Tag>
    <b:SourceType>JournalArticle</b:SourceType>
    <b:Guid>{76DCB4FC-D885-4104-BCF5-9C85BDB0575B}</b:Guid>
    <b:Author>
      <b:Author>
        <b:NameList>
          <b:Person>
            <b:Last>Yao</b:Last>
            <b:First>J</b:First>
          </b:Person>
          <b:Person>
            <b:Last>Hassan</b:Last>
            <b:First>M</b:First>
          </b:Person>
          <b:Person>
            <b:Last>Phan</b:Last>
            <b:First>A</b:First>
          </b:Person>
          <b:Person>
            <b:Last>Dagohoy</b:Last>
            <b:First>C</b:First>
          </b:Person>
          <b:Person>
            <b:Last>Leary</b:Last>
            <b:First>C</b:First>
          </b:Person>
          <b:Person>
            <b:Last>Mares</b:Last>
            <b:First>J</b:First>
          </b:Person>
          <b:Person>
            <b:Last>Abdalla</b:Last>
            <b:First>E</b:First>
          </b:Person>
          <b:Person>
            <b:Last>Fleming</b:Last>
            <b:First>J</b:First>
          </b:Person>
          <b:Person>
            <b:Last>Vauthey</b:Last>
            <b:First>J-N</b:First>
          </b:Person>
          <b:Person>
            <b:Last>Rashid</b:Last>
            <b:First>A</b:First>
          </b:Person>
          <b:Person>
            <b:Last>Evans</b:Last>
            <b:First>D</b:First>
          </b:Person>
        </b:NameList>
      </b:Author>
    </b:Author>
    <b:Title>One hundred years after "carcinoid": Epidemiology of and prognostic factors for neuroendocrine tumours in 35,825 cases in the United States</b:Title>
    <b:JournalName>Journal of Clinical Oncology</b:JournalName>
    <b:Year>2008</b:Year>
    <b:Pages>3063-3072</b:Pages>
    <b:Volume>26</b:Volume>
    <b:Issue>18</b:Issue>
    <b:RefOrder>17</b:RefOrder>
  </b:Source>
  <b:Source>
    <b:Tag>van13</b:Tag>
    <b:SourceType>JournalArticle</b:SourceType>
    <b:Guid>{C105258E-D9A3-4CAF-864A-22ED59418327}</b:Guid>
    <b:Author>
      <b:Author>
        <b:NameList>
          <b:Person>
            <b:Last>van der Zwan</b:Last>
            <b:First>J.</b:First>
            <b:Middle>M</b:Middle>
          </b:Person>
          <b:Person>
            <b:Last>Trama</b:Last>
            <b:First>A</b:First>
          </b:Person>
          <b:Person>
            <b:Last>Otter</b:Last>
            <b:First>R</b:First>
          </b:Person>
          <b:Person>
            <b:Last>Larrañaga</b:Last>
            <b:First>N</b:First>
          </b:Person>
          <b:Person>
            <b:Last>Tavilla</b:Last>
            <b:First>A</b:First>
          </b:Person>
          <b:Person>
            <b:Last>Marcos-Gragera</b:Last>
            <b:First>R</b:First>
          </b:Person>
          <b:Person>
            <b:Last>Dei Tos</b:Last>
            <b:First>A.P</b:First>
          </b:Person>
          <b:Person>
            <b:Last>Baudin</b:Last>
            <b:First>E</b:First>
          </b:Person>
          <b:Person>
            <b:Last>Poston</b:Last>
            <b:First>G</b:First>
          </b:Person>
          <b:Person>
            <b:Last>Links</b:Last>
            <b:First>T</b:First>
          </b:Person>
        </b:NameList>
      </b:Author>
    </b:Author>
    <b:Title>Rare neuroendocrine tumours: Results of the surveillance of rare cancers in Europe project</b:Title>
    <b:JournalName>European Journal of Cancer</b:JournalName>
    <b:Year>2013</b:Year>
    <b:Pages>205-216</b:Pages>
    <b:Volume>49</b:Volume>
    <b:Issue>11</b:Issue>
    <b:RefOrder>26</b:RefOrder>
  </b:Source>
  <b:Source>
    <b:Tag>Yao08</b:Tag>
    <b:SourceType>JournalArticle</b:SourceType>
    <b:Guid>{15B9B738-BF5E-4BAF-A494-D731B695E967}</b:Guid>
    <b:Title>One hundred years after 'carcinoid': epidemiology of and prognostic factors for neuroendocrine tumours in 35,825 cases in the United States</b:Title>
    <b:Year>2008</b:Year>
    <b:Author>
      <b:Author>
        <b:NameList>
          <b:Person>
            <b:Last>Yao J.C.</b:Last>
            <b:First>Hassan</b:First>
            <b:Middle>M., Phan A., Dagohoy C., Leary C., Mares J.E., Abdalla E.K., Fleming J.B., Vauthey J.N., Rashid A. &amp; Evans D.B.</b:Middle>
          </b:Person>
        </b:NameList>
      </b:Author>
    </b:Author>
    <b:JournalName>Journal of Clinical Oncology</b:JournalName>
    <b:Pages>3063-3072</b:Pages>
    <b:Volume>26</b:Volume>
    <b:RefOrder>23</b:RefOrder>
  </b:Source>
  <b:Source>
    <b:Tag>Swi12</b:Tag>
    <b:SourceType>JournalArticle</b:SourceType>
    <b:Guid>{D223863A-B6A2-4D10-B784-62CB31CE3396}</b:Guid>
    <b:Author>
      <b:Author>
        <b:NameList>
          <b:Person>
            <b:Last>Swinburn</b:Last>
            <b:First>P</b:First>
          </b:Person>
          <b:Person>
            <b:Last>Wang</b:Last>
            <b:First>J</b:First>
          </b:Person>
          <b:Person>
            <b:Last>Chandiwana</b:Last>
            <b:First>D</b:First>
          </b:Person>
          <b:Person>
            <b:Last>Mansoor</b:Last>
            <b:First>W</b:First>
          </b:Person>
          <b:Person>
            <b:Last>Lloyd</b:Last>
            <b:First>A</b:First>
          </b:Person>
        </b:NameList>
      </b:Author>
    </b:Author>
    <b:Title>Elicitation of health state utilities in neuroendocrine tumours</b:Title>
    <b:JournalName>Journal of Medical Economics</b:JournalName>
    <b:Year>2012</b:Year>
    <b:Pages>681-687</b:Pages>
    <b:Volume>15</b:Volume>
    <b:Issue>4</b:Issue>
    <b:RefOrder>29</b:RefOrder>
  </b:Source>
  <b:Source>
    <b:Tag>Kin16</b:Tag>
    <b:SourceType>JournalArticle</b:SourceType>
    <b:Guid>{02194516-8079-41DC-80FE-D69B2DA8EC65}</b:Guid>
    <b:Author>
      <b:Author>
        <b:NameList>
          <b:Person>
            <b:Last>King M.T.</b:Last>
            <b:First>Costa</b:First>
            <b:Middle>D.S.J., Aaronson N.K., Brazier J.E., Cella D.F., Fayers P.M., Grimison P., Janda M., Kemmler G., Norman R., Pickard A.S., Rowen D., Velikova G., Young T.A., Viney R.</b:Middle>
          </b:Person>
        </b:NameList>
      </b:Author>
    </b:Author>
    <b:Title>QLU-C10D: a health state classification system for a multi-attribute utility measure based on the EORTC QLQ-C30</b:Title>
    <b:JournalName>Qual Life Res</b:JournalName>
    <b:Year>2016</b:Year>
    <b:Pages>625-636</b:Pages>
    <b:Volume>25</b:Volume>
    <b:RefOrder>4</b:RefOrder>
  </b:Source>
  <b:Source>
    <b:Tag>Nor16</b:Tag>
    <b:SourceType>JournalArticle</b:SourceType>
    <b:Guid>{BAB44001-1EB7-49BD-87A6-9175B84D1B9A}</b:Guid>
    <b:Author>
      <b:Author>
        <b:NameList>
          <b:Person>
            <b:Last>Norman R.</b:Last>
            <b:First>Viney</b:First>
            <b:Middle>R., Aaronson N.K., Brazier J.E., Cella D., Costa D.S.J., Fayers P.M., Kemmler G., Peacock S., Pickard A.S., Rowen D., Street D.J., Velikova G., Young T.A., King M.T.</b:Middle>
          </b:Person>
        </b:NameList>
      </b:Author>
    </b:Author>
    <b:Title>Using a discrete choice experiement to value the QLU-C10D: feasibility and sensitivity to presentation formate</b:Title>
    <b:JournalName>Qual Life Res</b:JournalName>
    <b:Year>2016</b:Year>
    <b:Pages>637-649</b:Pages>
    <b:Volume>25</b:Volume>
    <b:RefOrder>3</b:RefOrder>
  </b:Source>
  <b:Source>
    <b:Tag>PBA16</b:Tag>
    <b:SourceType>Report</b:SourceType>
    <b:Guid>{C77EDA36-949C-43F5-8037-0523A8F89E66}</b:Guid>
    <b:Author>
      <b:Author>
        <b:Corporate>PBAC</b:Corporate>
      </b:Author>
    </b:Author>
    <b:Title>Ratified Minutes - November 2016 PBAC Meeting; Lanreotide, Injection 120mg in single dose pre-filled syringe, Somatuline(r) Autogel(r), Ipsen Pty Ltd</b:Title>
    <b:Year>2016</b:Year>
    <b:Publisher>Department of Health</b:Publisher>
    <b:City>Canberra</b:City>
    <b:RefOrder>2</b:RefOrder>
  </b:Source>
  <b:Source>
    <b:Tag>Ros12</b:Tag>
    <b:SourceType>JournalArticle</b:SourceType>
    <b:Guid>{4888782D-D7EE-47E9-B0BB-A69BB52C4FE2}</b:Guid>
    <b:Author>
      <b:Author>
        <b:NameList>
          <b:Person>
            <b:Last>Rossi A.</b:Last>
            <b:First>Di</b:First>
            <b:Middle>Maio M., Chiodini P., et al.</b:Middle>
          </b:Person>
        </b:NameList>
      </b:Author>
    </b:Author>
    <b:Title>Carboplatin- or cisplatin- based chemotherapy in first-line treatment of small-cell lung cancer: the COCIS meta-analysis of individual patient data</b:Title>
    <b:JournalName>Journal of Clinical Oncology</b:JournalName>
    <b:Year>2012</b:Year>
    <b:Pages>1692-1698</b:Pages>
    <b:Volume>30</b:Volume>
    <b:Issue>14</b:Issue>
    <b:RefOrder>30</b:RefOrder>
  </b:Source>
  <b:Source>
    <b:Tag>PBA15</b:Tag>
    <b:SourceType>Report</b:SourceType>
    <b:Guid>{5A010248-F72B-466E-9116-D0EB8B56E615}</b:Guid>
    <b:Title>Ratified Minutes - November 2015 PBAC Meeting; 6.10 Lanreotide, 120mg injection, Somatuline(r) Autogel(r), Ipsen</b:Title>
    <b:Year>2015</b:Year>
    <b:Author>
      <b:Author>
        <b:NameList>
          <b:Person>
            <b:Last>PBAC</b:Last>
          </b:Person>
        </b:NameList>
      </b:Author>
    </b:Author>
    <b:Publisher>Department of Health</b:Publisher>
    <b:City>Canberra</b:City>
    <b:RefOrder>1</b:RefOrder>
  </b:Source>
  <b:Source>
    <b:Tag>Mar13</b:Tag>
    <b:SourceType>JournalArticle</b:SourceType>
    <b:Guid>{DDF9F29D-C222-426F-8216-6DFED259E3CC}</b:Guid>
    <b:Author>
      <b:Author>
        <b:NameList>
          <b:Person>
            <b:Last>Martin-Richard M.</b:Last>
            <b:First>Massuti</b:First>
            <b:Middle>B., Pineda E., Alonso V., Marmol M., Castellano D., Fonseca E., Galan A., Llanos M., Angeles Sala M., Pericay C., Rivera F., Sastre J., Segura A., Quindos M., Maisonobe P., and on behalf of the TTD Study Group</b:Middle>
          </b:Person>
        </b:NameList>
      </b:Author>
    </b:Author>
    <b:Title>Antiproliferative effects of lanreotide autogel in patients with progressive, well-differentiated neuroendocrine tumours: a Spanish, multicentre, open-label, single arm phase II study</b:Title>
    <b:JournalName>BMC Cancer</b:JournalName>
    <b:Year>2013</b:Year>
    <b:Pages>1-9</b:Pages>
    <b:Volume>13</b:Volume>
    <b:RefOrder>31</b:RefOrder>
  </b:Source>
  <b:Source>
    <b:Tag>Cas13</b:Tag>
    <b:SourceType>JournalArticle</b:SourceType>
    <b:Guid>{A7865589-2B56-40BD-829D-B14063C01F42}</b:Guid>
    <b:Author>
      <b:Author>
        <b:NameList>
          <b:Person>
            <b:Last>Casciano R.</b:Last>
            <b:First>Wang</b:First>
            <b:Middle>X., Stern L., Parikh R., Chulikavit M., Willet J., Liu Z., Strosberg J., Cadiot G., Riechelmann R.</b:Middle>
          </b:Person>
        </b:NameList>
      </b:Author>
    </b:Author>
    <b:Title>International Practice Patterns and Resource Utilisation in the Treatment of Neuroendocrine Tumours</b:Title>
    <b:JournalName>Pancreas</b:JournalName>
    <b:Year>2013</b:Year>
    <b:Pages>339-347</b:Pages>
    <b:Volume>42</b:Volume>
    <b:RefOrder>22</b:RefOrder>
  </b:Source>
  <b:Source>
    <b:Tag>Pav16</b:Tag>
    <b:SourceType>JournalArticle</b:SourceType>
    <b:Guid>{ED9C7BD3-12FD-4BD3-8B74-513C9EBBB08C}</b:Guid>
    <b:Title>ENETS Consensus Guidelines Update for the Management of Distant Metastatic Disease of Intestinal, Pancreatic, Bronchial Neuroendocrine Neoplasms (NEN) and NEN of Unknown Primary Site</b:Title>
    <b:JournalName>Neuroendocrinology</b:JournalName>
    <b:Year>2016</b:Year>
    <b:Pages>172-185</b:Pages>
    <b:Author>
      <b:Author>
        <b:NameList>
          <b:Person>
            <b:Last>Pavel</b:Last>
            <b:First>M</b:First>
          </b:Person>
          <b:Person>
            <b:Last>O'Toole</b:Last>
            <b:First>D</b:First>
          </b:Person>
          <b:Person>
            <b:Last>Costa</b:Last>
            <b:First>F</b:First>
          </b:Person>
          <b:Person>
            <b:Last>Capadevila</b:Last>
            <b:First>J</b:First>
          </b:Person>
          <b:Person>
            <b:Last>Gross</b:Last>
            <b:First>D</b:First>
          </b:Person>
          <b:Person>
            <b:Last>Kianmanesh</b:Last>
            <b:First>R</b:First>
          </b:Person>
          <b:Person>
            <b:Last>Krenning</b:Last>
            <b:First>E</b:First>
          </b:Person>
          <b:Person>
            <b:Last>Knigge</b:Last>
            <b:First>U</b:First>
          </b:Person>
          <b:Person>
            <b:Last>Salazar</b:Last>
            <b:First>R</b:First>
          </b:Person>
          <b:Person>
            <b:Last>Pape</b:Last>
            <b:First>U</b:First>
          </b:Person>
          <b:Person>
            <b:Last>Oberg</b:Last>
            <b:First>K</b:First>
          </b:Person>
        </b:NameList>
      </b:Author>
    </b:Author>
    <b:Volume>103</b:Volume>
    <b:Issue>2</b:Issue>
    <b:RefOrder>5</b:RefOrder>
  </b:Source>
  <b:Source>
    <b:Tag>DoH16</b:Tag>
    <b:SourceType>Report</b:SourceType>
    <b:Guid>{A0F309F2-382F-4F71-9258-C3151EA5565C}</b:Guid>
    <b:Author>
      <b:Author>
        <b:NameList>
          <b:Person>
            <b:Last>Evaluation</b:Last>
            <b:First>DoH</b:First>
          </b:Person>
        </b:NameList>
      </b:Author>
    </b:Author>
    <b:Title>Gastroenteropancreatic Neuroendocrine Tumours - Commentary on the major resubmission</b:Title>
    <b:Year>2016</b:Year>
    <b:Publisher>DoH</b:Publisher>
    <b:City>Canberra</b:City>
    <b:RefOrder>21</b:RefOrder>
  </b:Source>
  <b:Source>
    <b:Tag>Cap14</b:Tag>
    <b:SourceType>JournalArticle</b:SourceType>
    <b:Guid>{784C31BF-1E14-47D7-85F7-F656EB8CCC35}</b:Guid>
    <b:Title>Lanreotide in metastatic enteropancreatic neuroendocrine tumors</b:Title>
    <b:JournalName>New England Journal of Medicine</b:JournalName>
    <b:Year>2014</b:Year>
    <b:Pages>371(3): 224-233</b:Pages>
    <b:Author>
      <b:Author>
        <b:NameList>
          <b:Person>
            <b:Last>Caplin</b:Last>
            <b:First>M</b:First>
          </b:Person>
          <b:Person>
            <b:Last>Pavel</b:Last>
            <b:First>M</b:First>
          </b:Person>
          <b:Person>
            <b:Last>Cwikla</b:Last>
            <b:First>J</b:First>
          </b:Person>
          <b:Person>
            <b:Last>Phan</b:Last>
            <b:First>A</b:First>
          </b:Person>
          <b:Person>
            <b:Last>Raderer</b:Last>
            <b:First>M</b:First>
          </b:Person>
          <b:Person>
            <b:Last>Sedlackova</b:Last>
            <b:First>E</b:First>
          </b:Person>
          <b:Person>
            <b:Last>Cadiot</b:Last>
            <b:First>G</b:First>
          </b:Person>
          <b:Person>
            <b:Last>Wolin</b:Last>
            <b:First>E</b:First>
          </b:Person>
          <b:Person>
            <b:Last>Capdevila</b:Last>
            <b:First>J</b:First>
          </b:Person>
          <b:Person>
            <b:Last>Wall</b:Last>
            <b:First>L</b:First>
          </b:Person>
        </b:NameList>
      </b:Author>
    </b:Author>
    <b:RefOrder>10</b:RefOrder>
  </b:Source>
</b:Sources>
</file>

<file path=customXml/itemProps1.xml><?xml version="1.0" encoding="utf-8"?>
<ds:datastoreItem xmlns:ds="http://schemas.openxmlformats.org/officeDocument/2006/customXml" ds:itemID="{A2FB32C4-59D1-4C9D-B808-185F1771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9793</Words>
  <Characters>55822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2017-10-12T03:57:00Z</dcterms:created>
  <dcterms:modified xsi:type="dcterms:W3CDTF">2017-10-12T04:01:00Z</dcterms:modified>
</cp:coreProperties>
</file>