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7F" w:rsidRPr="00FD2587" w:rsidRDefault="00206B7F" w:rsidP="00A96922">
      <w:pPr>
        <w:ind w:left="709" w:hanging="709"/>
        <w:outlineLvl w:val="0"/>
        <w:rPr>
          <w:sz w:val="28"/>
          <w:szCs w:val="28"/>
          <w:lang w:eastAsia="en-AU"/>
        </w:rPr>
      </w:pPr>
      <w:bookmarkStart w:id="0" w:name="_GoBack"/>
      <w:bookmarkEnd w:id="0"/>
      <w:r w:rsidRPr="00FD2587">
        <w:rPr>
          <w:rFonts w:eastAsiaTheme="majorEastAsia" w:cs="Arial"/>
          <w:b/>
          <w:spacing w:val="5"/>
          <w:kern w:val="28"/>
          <w:sz w:val="36"/>
          <w:szCs w:val="36"/>
          <w:lang w:eastAsia="en-AU"/>
        </w:rPr>
        <w:t>6.11</w:t>
      </w:r>
      <w:r w:rsidRPr="00FD2587">
        <w:rPr>
          <w:rFonts w:eastAsiaTheme="majorEastAsia" w:cs="Arial"/>
          <w:b/>
          <w:spacing w:val="5"/>
          <w:kern w:val="28"/>
          <w:sz w:val="36"/>
          <w:szCs w:val="36"/>
          <w:lang w:eastAsia="en-AU"/>
        </w:rPr>
        <w:tab/>
        <w:t>FENTANYL CITRATE</w:t>
      </w:r>
      <w:r w:rsidR="00A96922">
        <w:rPr>
          <w:rFonts w:eastAsiaTheme="majorEastAsia" w:cs="Arial"/>
          <w:b/>
          <w:spacing w:val="5"/>
          <w:kern w:val="28"/>
          <w:sz w:val="36"/>
          <w:szCs w:val="36"/>
          <w:lang w:eastAsia="en-AU"/>
        </w:rPr>
        <w:br/>
      </w:r>
      <w:r w:rsidR="00CA6BBF" w:rsidRPr="00FD2587">
        <w:rPr>
          <w:rFonts w:eastAsiaTheme="majorEastAsia" w:cs="Arial"/>
          <w:b/>
          <w:spacing w:val="5"/>
          <w:kern w:val="28"/>
          <w:sz w:val="36"/>
          <w:szCs w:val="36"/>
          <w:lang w:eastAsia="en-AU"/>
        </w:rPr>
        <w:t>Tablet (sublingual) 100 micrograms (as citrate),</w:t>
      </w:r>
      <w:r w:rsidR="00A96922">
        <w:rPr>
          <w:rFonts w:eastAsiaTheme="majorEastAsia" w:cs="Arial"/>
          <w:b/>
          <w:spacing w:val="5"/>
          <w:kern w:val="28"/>
          <w:sz w:val="36"/>
          <w:szCs w:val="36"/>
          <w:lang w:eastAsia="en-AU"/>
        </w:rPr>
        <w:br/>
      </w:r>
      <w:r w:rsidR="00CA6BBF" w:rsidRPr="00FD2587">
        <w:rPr>
          <w:rFonts w:eastAsiaTheme="majorEastAsia" w:cs="Arial"/>
          <w:b/>
          <w:spacing w:val="5"/>
          <w:kern w:val="28"/>
          <w:sz w:val="36"/>
          <w:szCs w:val="36"/>
          <w:lang w:eastAsia="en-AU"/>
        </w:rPr>
        <w:t>Tablet (sublingual) 200 micrograms (as citrate)</w:t>
      </w:r>
      <w:r w:rsidRPr="00FD2587">
        <w:rPr>
          <w:rFonts w:eastAsiaTheme="majorEastAsia" w:cs="Arial"/>
          <w:b/>
          <w:spacing w:val="5"/>
          <w:kern w:val="28"/>
          <w:sz w:val="36"/>
          <w:szCs w:val="36"/>
          <w:lang w:eastAsia="en-AU"/>
        </w:rPr>
        <w:t>,</w:t>
      </w:r>
      <w:r w:rsidR="00A96922">
        <w:rPr>
          <w:rFonts w:eastAsiaTheme="majorEastAsia" w:cs="Arial"/>
          <w:b/>
          <w:spacing w:val="5"/>
          <w:kern w:val="28"/>
          <w:sz w:val="36"/>
          <w:szCs w:val="36"/>
          <w:lang w:eastAsia="en-AU"/>
        </w:rPr>
        <w:br/>
      </w:r>
      <w:r w:rsidRPr="00FD2587">
        <w:rPr>
          <w:rFonts w:eastAsiaTheme="majorEastAsia" w:cs="Arial"/>
          <w:b/>
          <w:spacing w:val="5"/>
          <w:kern w:val="28"/>
          <w:sz w:val="36"/>
          <w:szCs w:val="36"/>
          <w:lang w:eastAsia="en-AU"/>
        </w:rPr>
        <w:t xml:space="preserve">Abstral®, </w:t>
      </w:r>
      <w:r w:rsidR="001577DA">
        <w:rPr>
          <w:rFonts w:eastAsiaTheme="majorEastAsia" w:cs="Arial"/>
          <w:b/>
          <w:spacing w:val="5"/>
          <w:kern w:val="28"/>
          <w:sz w:val="36"/>
          <w:szCs w:val="36"/>
          <w:lang w:eastAsia="en-AU"/>
        </w:rPr>
        <w:t>A.</w:t>
      </w:r>
      <w:r w:rsidRPr="00FD2587">
        <w:rPr>
          <w:rFonts w:eastAsiaTheme="majorEastAsia" w:cs="Arial"/>
          <w:b/>
          <w:spacing w:val="5"/>
          <w:kern w:val="28"/>
          <w:sz w:val="36"/>
          <w:szCs w:val="36"/>
          <w:lang w:eastAsia="en-AU"/>
        </w:rPr>
        <w:t>Menarini Australia Pty Ltd</w:t>
      </w:r>
    </w:p>
    <w:p w:rsidR="002F0667" w:rsidRDefault="002F0667" w:rsidP="00A96922">
      <w:pPr>
        <w:rPr>
          <w:lang w:eastAsia="en-AU"/>
        </w:rPr>
      </w:pPr>
    </w:p>
    <w:p w:rsidR="00102B0E" w:rsidRPr="00FD2587" w:rsidRDefault="00102B0E" w:rsidP="00A96922">
      <w:pPr>
        <w:rPr>
          <w:lang w:eastAsia="en-AU"/>
        </w:rPr>
      </w:pPr>
    </w:p>
    <w:p w:rsidR="00206B7F" w:rsidRPr="00A96922" w:rsidRDefault="00206B7F" w:rsidP="00BD0D7A">
      <w:pPr>
        <w:pStyle w:val="PBACHeading1"/>
        <w:numPr>
          <w:ilvl w:val="0"/>
          <w:numId w:val="20"/>
        </w:numPr>
        <w:ind w:left="720" w:hanging="720"/>
        <w:rPr>
          <w:szCs w:val="32"/>
        </w:rPr>
      </w:pPr>
      <w:r w:rsidRPr="00A96922">
        <w:rPr>
          <w:szCs w:val="32"/>
        </w:rPr>
        <w:t>Purpose of Application</w:t>
      </w:r>
    </w:p>
    <w:p w:rsidR="00206B7F" w:rsidRPr="00245EE8" w:rsidRDefault="00206B7F" w:rsidP="008040FD">
      <w:pPr>
        <w:ind w:left="709" w:hanging="709"/>
        <w:rPr>
          <w:rFonts w:cs="Arial"/>
          <w:lang w:eastAsia="en-AU"/>
        </w:rPr>
      </w:pPr>
    </w:p>
    <w:p w:rsidR="004963CB" w:rsidRPr="004963CB" w:rsidRDefault="004963CB" w:rsidP="00BD0D7A">
      <w:pPr>
        <w:pStyle w:val="ListParagraph"/>
        <w:widowControl w:val="0"/>
        <w:numPr>
          <w:ilvl w:val="1"/>
          <w:numId w:val="20"/>
        </w:numPr>
        <w:ind w:left="720" w:hanging="720"/>
        <w:jc w:val="both"/>
        <w:rPr>
          <w:rFonts w:cs="Arial"/>
          <w:snapToGrid w:val="0"/>
        </w:rPr>
      </w:pPr>
      <w:r w:rsidRPr="004963CB">
        <w:rPr>
          <w:lang w:eastAsia="en-AU"/>
        </w:rPr>
        <w:t xml:space="preserve">The minor submission requested an increase in the maximum quantity per 10 pack of Abstral, fentanyl citrate sublingual tablets, 100 </w:t>
      </w:r>
      <w:r w:rsidRPr="004963CB">
        <w:rPr>
          <w:snapToGrid w:val="0"/>
        </w:rPr>
        <w:t>microgram</w:t>
      </w:r>
      <w:r w:rsidRPr="004963CB">
        <w:rPr>
          <w:lang w:eastAsia="en-AU"/>
        </w:rPr>
        <w:t xml:space="preserve"> and 200 </w:t>
      </w:r>
      <w:r w:rsidRPr="004963CB">
        <w:rPr>
          <w:snapToGrid w:val="0"/>
        </w:rPr>
        <w:t>microgram</w:t>
      </w:r>
      <w:r w:rsidRPr="004963CB">
        <w:rPr>
          <w:lang w:eastAsia="en-AU"/>
        </w:rPr>
        <w:t xml:space="preserve">, for the initial treatment for dose titration of cancer patient with breakthrough </w:t>
      </w:r>
      <w:r w:rsidR="0090462E" w:rsidRPr="004963CB">
        <w:rPr>
          <w:lang w:eastAsia="en-AU"/>
        </w:rPr>
        <w:t xml:space="preserve">pain </w:t>
      </w:r>
      <w:r w:rsidR="00234549" w:rsidRPr="004963CB">
        <w:rPr>
          <w:lang w:eastAsia="en-AU"/>
        </w:rPr>
        <w:t xml:space="preserve">(BTP) </w:t>
      </w:r>
      <w:r w:rsidRPr="004963CB">
        <w:rPr>
          <w:lang w:eastAsia="en-AU"/>
        </w:rPr>
        <w:t>attributable to this condition</w:t>
      </w:r>
      <w:r>
        <w:rPr>
          <w:lang w:eastAsia="en-AU"/>
        </w:rPr>
        <w:t>.</w:t>
      </w:r>
    </w:p>
    <w:p w:rsidR="004963CB" w:rsidRDefault="004963CB" w:rsidP="004963CB">
      <w:pPr>
        <w:widowControl w:val="0"/>
        <w:jc w:val="both"/>
        <w:rPr>
          <w:rFonts w:cs="Arial"/>
          <w:snapToGrid w:val="0"/>
        </w:rPr>
      </w:pPr>
    </w:p>
    <w:p w:rsidR="00C039DF" w:rsidRPr="00245EE8" w:rsidRDefault="00C039DF" w:rsidP="004963CB">
      <w:pPr>
        <w:widowControl w:val="0"/>
        <w:jc w:val="both"/>
        <w:rPr>
          <w:rFonts w:cs="Arial"/>
          <w:snapToGrid w:val="0"/>
        </w:rPr>
      </w:pPr>
    </w:p>
    <w:p w:rsidR="00206B7F" w:rsidRPr="00A96922" w:rsidRDefault="00206B7F" w:rsidP="00BD0D7A">
      <w:pPr>
        <w:pStyle w:val="PBACHeading1"/>
        <w:numPr>
          <w:ilvl w:val="0"/>
          <w:numId w:val="20"/>
        </w:numPr>
        <w:ind w:left="720" w:hanging="720"/>
        <w:rPr>
          <w:szCs w:val="32"/>
        </w:rPr>
      </w:pPr>
      <w:r w:rsidRPr="00A96922">
        <w:rPr>
          <w:szCs w:val="32"/>
        </w:rPr>
        <w:t>Requested changes to the existing listing</w:t>
      </w:r>
    </w:p>
    <w:p w:rsidR="00206B7F" w:rsidRPr="00245EE8" w:rsidRDefault="00206B7F" w:rsidP="00A41207">
      <w:pPr>
        <w:rPr>
          <w:rFonts w:cs="Arial"/>
          <w:lang w:eastAsia="en-AU"/>
        </w:rPr>
      </w:pPr>
    </w:p>
    <w:p w:rsidR="00E7640C" w:rsidRPr="00FD2587" w:rsidRDefault="00633A3E" w:rsidP="00BD0D7A">
      <w:pPr>
        <w:pStyle w:val="ListParagraph"/>
        <w:widowControl w:val="0"/>
        <w:numPr>
          <w:ilvl w:val="1"/>
          <w:numId w:val="20"/>
        </w:numPr>
        <w:ind w:left="720" w:hanging="720"/>
        <w:jc w:val="both"/>
        <w:rPr>
          <w:rFonts w:cs="Arial"/>
          <w:snapToGrid w:val="0"/>
        </w:rPr>
      </w:pPr>
      <w:r>
        <w:rPr>
          <w:rFonts w:cs="Arial"/>
          <w:snapToGrid w:val="0"/>
        </w:rPr>
        <w:t xml:space="preserve">The requested changes to the </w:t>
      </w:r>
      <w:r w:rsidR="001376E7">
        <w:rPr>
          <w:rFonts w:cs="Arial"/>
          <w:snapToGrid w:val="0"/>
        </w:rPr>
        <w:t xml:space="preserve">maximum quantity of the </w:t>
      </w:r>
      <w:r>
        <w:rPr>
          <w:rFonts w:cs="Arial"/>
          <w:snapToGrid w:val="0"/>
        </w:rPr>
        <w:t xml:space="preserve">current listing </w:t>
      </w:r>
      <w:r w:rsidRPr="00FD2587">
        <w:rPr>
          <w:rFonts w:cs="Arial"/>
          <w:snapToGrid w:val="0"/>
        </w:rPr>
        <w:t>are shown in italics and deletions are</w:t>
      </w:r>
      <w:r>
        <w:rPr>
          <w:rFonts w:cs="Arial"/>
          <w:snapToGrid w:val="0"/>
        </w:rPr>
        <w:t xml:space="preserve"> </w:t>
      </w:r>
      <w:r w:rsidR="001376E7">
        <w:rPr>
          <w:rFonts w:cs="Arial"/>
          <w:snapToGrid w:val="0"/>
        </w:rPr>
        <w:t>in</w:t>
      </w:r>
      <w:r w:rsidRPr="00FD2587">
        <w:rPr>
          <w:rFonts w:cs="Arial"/>
          <w:snapToGrid w:val="0"/>
        </w:rPr>
        <w:t xml:space="preserve"> strikethrough. No</w:t>
      </w:r>
      <w:r w:rsidR="001376E7">
        <w:rPr>
          <w:rFonts w:cs="Arial"/>
          <w:snapToGrid w:val="0"/>
        </w:rPr>
        <w:t xml:space="preserve"> other</w:t>
      </w:r>
      <w:r w:rsidRPr="00FD2587">
        <w:rPr>
          <w:rFonts w:cs="Arial"/>
          <w:snapToGrid w:val="0"/>
        </w:rPr>
        <w:t xml:space="preserve"> changes to the current restriction were requested</w:t>
      </w:r>
      <w:r>
        <w:rPr>
          <w:rFonts w:cs="Arial"/>
          <w:snapToGrid w:val="0"/>
        </w:rPr>
        <w:t>.</w:t>
      </w:r>
    </w:p>
    <w:p w:rsidR="00E7640C" w:rsidRPr="00245EE8" w:rsidRDefault="00E7640C" w:rsidP="00E7640C">
      <w:pPr>
        <w:widowControl w:val="0"/>
        <w:jc w:val="both"/>
        <w:rPr>
          <w:rFonts w:cs="Arial"/>
          <w:snapToGrid w:val="0"/>
        </w:rPr>
      </w:pPr>
    </w:p>
    <w:tbl>
      <w:tblPr>
        <w:tblW w:w="5000" w:type="pct"/>
        <w:tblBorders>
          <w:bottom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859"/>
        <w:gridCol w:w="851"/>
        <w:gridCol w:w="851"/>
        <w:gridCol w:w="849"/>
        <w:gridCol w:w="1417"/>
        <w:gridCol w:w="851"/>
        <w:gridCol w:w="1396"/>
      </w:tblGrid>
      <w:tr w:rsidR="00245EE8" w:rsidRPr="00633C66" w:rsidTr="00245EE8">
        <w:trPr>
          <w:trHeight w:val="441"/>
        </w:trPr>
        <w:tc>
          <w:tcPr>
            <w:tcW w:w="1575" w:type="pct"/>
            <w:tcBorders>
              <w:bottom w:val="single" w:sz="4" w:space="0" w:color="auto"/>
            </w:tcBorders>
            <w:shd w:val="clear" w:color="auto" w:fill="FFFFFF" w:themeFill="background1"/>
            <w:tcMar>
              <w:top w:w="24" w:type="dxa"/>
              <w:left w:w="24" w:type="dxa"/>
              <w:bottom w:w="24" w:type="dxa"/>
              <w:right w:w="24" w:type="dxa"/>
            </w:tcMar>
            <w:vAlign w:val="bottom"/>
            <w:hideMark/>
          </w:tcPr>
          <w:p w:rsidR="002F0667" w:rsidRPr="00633A3E" w:rsidRDefault="002F0667" w:rsidP="00614200">
            <w:pPr>
              <w:keepNext/>
              <w:rPr>
                <w:rFonts w:ascii="Arial Narrow" w:hAnsi="Arial Narrow" w:cs="Arial"/>
                <w:b/>
                <w:sz w:val="20"/>
                <w:szCs w:val="20"/>
              </w:rPr>
            </w:pPr>
            <w:r w:rsidRPr="00633A3E">
              <w:rPr>
                <w:rFonts w:ascii="Arial Narrow" w:hAnsi="Arial Narrow" w:cs="Arial"/>
                <w:b/>
                <w:sz w:val="20"/>
                <w:szCs w:val="20"/>
              </w:rPr>
              <w:t>Name, Restriction,</w:t>
            </w:r>
          </w:p>
          <w:p w:rsidR="006B1371" w:rsidRPr="00633A3E" w:rsidRDefault="002F0667" w:rsidP="00614200">
            <w:pPr>
              <w:spacing w:line="0" w:lineRule="atLeast"/>
              <w:rPr>
                <w:rFonts w:ascii="Arial Narrow" w:hAnsi="Arial Narrow" w:cs="Arial"/>
                <w:b/>
                <w:bCs/>
                <w:sz w:val="20"/>
                <w:szCs w:val="20"/>
              </w:rPr>
            </w:pPr>
            <w:r w:rsidRPr="00633A3E">
              <w:rPr>
                <w:rFonts w:ascii="Arial Narrow" w:hAnsi="Arial Narrow" w:cs="Arial"/>
                <w:b/>
                <w:sz w:val="20"/>
                <w:szCs w:val="20"/>
              </w:rPr>
              <w:t>Manner of administration and form</w:t>
            </w:r>
          </w:p>
        </w:tc>
        <w:tc>
          <w:tcPr>
            <w:tcW w:w="469" w:type="pct"/>
            <w:tcBorders>
              <w:bottom w:val="single" w:sz="4" w:space="0" w:color="auto"/>
            </w:tcBorders>
            <w:shd w:val="clear" w:color="auto" w:fill="FFFFFF" w:themeFill="background1"/>
            <w:tcMar>
              <w:top w:w="24" w:type="dxa"/>
              <w:left w:w="24" w:type="dxa"/>
              <w:bottom w:w="24" w:type="dxa"/>
              <w:right w:w="24" w:type="dxa"/>
            </w:tcMar>
            <w:vAlign w:val="bottom"/>
            <w:hideMark/>
          </w:tcPr>
          <w:p w:rsidR="006B1371" w:rsidRPr="00633A3E" w:rsidRDefault="006B1371" w:rsidP="00614200">
            <w:pPr>
              <w:spacing w:line="0" w:lineRule="atLeast"/>
              <w:jc w:val="center"/>
              <w:rPr>
                <w:rFonts w:ascii="Arial Narrow" w:hAnsi="Arial Narrow" w:cs="Arial"/>
                <w:b/>
                <w:bCs/>
                <w:sz w:val="20"/>
                <w:szCs w:val="20"/>
              </w:rPr>
            </w:pPr>
            <w:r w:rsidRPr="00633A3E">
              <w:rPr>
                <w:rFonts w:ascii="Arial Narrow" w:hAnsi="Arial Narrow" w:cs="Arial"/>
                <w:b/>
                <w:bCs/>
                <w:sz w:val="20"/>
                <w:szCs w:val="20"/>
              </w:rPr>
              <w:t>Max qty packs</w:t>
            </w:r>
          </w:p>
        </w:tc>
        <w:tc>
          <w:tcPr>
            <w:tcW w:w="469" w:type="pct"/>
            <w:tcBorders>
              <w:bottom w:val="single" w:sz="4" w:space="0" w:color="auto"/>
            </w:tcBorders>
            <w:shd w:val="clear" w:color="auto" w:fill="FFFFFF" w:themeFill="background1"/>
            <w:tcMar>
              <w:top w:w="24" w:type="dxa"/>
              <w:left w:w="24" w:type="dxa"/>
              <w:bottom w:w="24" w:type="dxa"/>
              <w:right w:w="24" w:type="dxa"/>
            </w:tcMar>
            <w:vAlign w:val="bottom"/>
            <w:hideMark/>
          </w:tcPr>
          <w:p w:rsidR="006B1371" w:rsidRPr="00633A3E" w:rsidRDefault="006B1371" w:rsidP="00614200">
            <w:pPr>
              <w:spacing w:line="0" w:lineRule="atLeast"/>
              <w:jc w:val="center"/>
              <w:rPr>
                <w:rFonts w:ascii="Arial Narrow" w:hAnsi="Arial Narrow" w:cs="Arial"/>
                <w:b/>
                <w:bCs/>
                <w:sz w:val="20"/>
                <w:szCs w:val="20"/>
              </w:rPr>
            </w:pPr>
            <w:r w:rsidRPr="00633A3E">
              <w:rPr>
                <w:rFonts w:ascii="Arial Narrow" w:hAnsi="Arial Narrow" w:cs="Arial"/>
                <w:b/>
                <w:bCs/>
                <w:sz w:val="20"/>
                <w:szCs w:val="20"/>
              </w:rPr>
              <w:t>Max qty units</w:t>
            </w:r>
          </w:p>
        </w:tc>
        <w:tc>
          <w:tcPr>
            <w:tcW w:w="468" w:type="pct"/>
            <w:tcBorders>
              <w:bottom w:val="single" w:sz="4" w:space="0" w:color="auto"/>
            </w:tcBorders>
            <w:shd w:val="clear" w:color="auto" w:fill="FFFFFF" w:themeFill="background1"/>
            <w:tcMar>
              <w:top w:w="24" w:type="dxa"/>
              <w:left w:w="24" w:type="dxa"/>
              <w:bottom w:w="24" w:type="dxa"/>
              <w:right w:w="24" w:type="dxa"/>
            </w:tcMar>
            <w:vAlign w:val="bottom"/>
            <w:hideMark/>
          </w:tcPr>
          <w:p w:rsidR="006B1371" w:rsidRPr="00633A3E" w:rsidRDefault="006B1371" w:rsidP="00EB534F">
            <w:pPr>
              <w:spacing w:line="0" w:lineRule="atLeast"/>
              <w:ind w:left="-20"/>
              <w:jc w:val="center"/>
              <w:rPr>
                <w:rFonts w:ascii="Arial Narrow" w:hAnsi="Arial Narrow" w:cs="Arial"/>
                <w:b/>
                <w:bCs/>
                <w:sz w:val="20"/>
                <w:szCs w:val="20"/>
              </w:rPr>
            </w:pPr>
            <w:r w:rsidRPr="00633A3E">
              <w:rPr>
                <w:rFonts w:ascii="Arial Narrow" w:hAnsi="Arial Narrow" w:cs="Arial"/>
                <w:b/>
                <w:bCs/>
                <w:sz w:val="20"/>
                <w:szCs w:val="20"/>
              </w:rPr>
              <w:t>No. of repeats</w:t>
            </w:r>
          </w:p>
        </w:tc>
        <w:tc>
          <w:tcPr>
            <w:tcW w:w="781" w:type="pct"/>
            <w:tcBorders>
              <w:bottom w:val="single" w:sz="4" w:space="0" w:color="auto"/>
            </w:tcBorders>
            <w:shd w:val="clear" w:color="auto" w:fill="FFFFFF" w:themeFill="background1"/>
            <w:tcMar>
              <w:top w:w="24" w:type="dxa"/>
              <w:left w:w="24" w:type="dxa"/>
              <w:bottom w:w="24" w:type="dxa"/>
              <w:right w:w="24" w:type="dxa"/>
            </w:tcMar>
            <w:vAlign w:val="bottom"/>
            <w:hideMark/>
          </w:tcPr>
          <w:p w:rsidR="006B1371" w:rsidRPr="00633A3E" w:rsidRDefault="006B1371" w:rsidP="00C00A41">
            <w:pPr>
              <w:spacing w:line="0" w:lineRule="atLeast"/>
              <w:ind w:left="90" w:right="-101"/>
              <w:rPr>
                <w:rFonts w:ascii="Arial Narrow" w:hAnsi="Arial Narrow" w:cs="Arial"/>
                <w:b/>
                <w:bCs/>
                <w:sz w:val="20"/>
                <w:szCs w:val="20"/>
              </w:rPr>
            </w:pPr>
            <w:r w:rsidRPr="00633A3E">
              <w:rPr>
                <w:rFonts w:ascii="Arial Narrow" w:hAnsi="Arial Narrow" w:cs="Arial"/>
                <w:b/>
                <w:bCs/>
                <w:sz w:val="20"/>
                <w:szCs w:val="20"/>
              </w:rPr>
              <w:t>Dispensed Price for Max Qty</w:t>
            </w:r>
          </w:p>
        </w:tc>
        <w:tc>
          <w:tcPr>
            <w:tcW w:w="1238" w:type="pct"/>
            <w:gridSpan w:val="2"/>
            <w:tcBorders>
              <w:bottom w:val="single" w:sz="4" w:space="0" w:color="auto"/>
            </w:tcBorders>
            <w:shd w:val="clear" w:color="auto" w:fill="FFFFFF" w:themeFill="background1"/>
            <w:tcMar>
              <w:top w:w="24" w:type="dxa"/>
              <w:left w:w="24" w:type="dxa"/>
              <w:bottom w:w="24" w:type="dxa"/>
              <w:right w:w="24" w:type="dxa"/>
            </w:tcMar>
          </w:tcPr>
          <w:p w:rsidR="006B1371" w:rsidRPr="00633A3E" w:rsidRDefault="006B1371" w:rsidP="00245EE8">
            <w:pPr>
              <w:spacing w:line="0" w:lineRule="atLeast"/>
              <w:ind w:left="116" w:firstLine="53"/>
              <w:jc w:val="center"/>
              <w:rPr>
                <w:rFonts w:ascii="Arial Narrow" w:hAnsi="Arial Narrow" w:cs="Arial"/>
                <w:b/>
                <w:bCs/>
                <w:sz w:val="20"/>
                <w:szCs w:val="20"/>
              </w:rPr>
            </w:pPr>
            <w:r w:rsidRPr="00633A3E">
              <w:rPr>
                <w:rFonts w:ascii="Arial Narrow" w:hAnsi="Arial Narrow" w:cs="Arial"/>
                <w:b/>
                <w:sz w:val="20"/>
                <w:szCs w:val="20"/>
              </w:rPr>
              <w:t>Proprietary Name and Manufacturer</w:t>
            </w:r>
          </w:p>
        </w:tc>
      </w:tr>
      <w:tr w:rsidR="00245EE8" w:rsidRPr="00633C66" w:rsidTr="0090462E">
        <w:trPr>
          <w:trHeight w:val="339"/>
        </w:trPr>
        <w:tc>
          <w:tcPr>
            <w:tcW w:w="1575" w:type="pct"/>
            <w:tcBorders>
              <w:top w:val="single" w:sz="4" w:space="0" w:color="auto"/>
              <w:bottom w:val="nil"/>
            </w:tcBorders>
            <w:shd w:val="clear" w:color="auto" w:fill="FFFFFF" w:themeFill="background1"/>
            <w:tcMar>
              <w:top w:w="24" w:type="dxa"/>
              <w:left w:w="24" w:type="dxa"/>
              <w:bottom w:w="24" w:type="dxa"/>
              <w:right w:w="24" w:type="dxa"/>
            </w:tcMar>
            <w:hideMark/>
          </w:tcPr>
          <w:p w:rsidR="006B1371" w:rsidRPr="00633A3E" w:rsidRDefault="006B1371" w:rsidP="0090462E">
            <w:pPr>
              <w:spacing w:line="0" w:lineRule="atLeast"/>
              <w:rPr>
                <w:rStyle w:val="form-strength"/>
                <w:rFonts w:ascii="Arial Narrow" w:hAnsi="Arial Narrow" w:cs="Arial"/>
                <w:sz w:val="20"/>
                <w:szCs w:val="20"/>
                <w:bdr w:val="none" w:sz="0" w:space="0" w:color="auto" w:frame="1"/>
              </w:rPr>
            </w:pPr>
            <w:r w:rsidRPr="00633A3E">
              <w:rPr>
                <w:rStyle w:val="form-strength"/>
                <w:rFonts w:ascii="Arial Narrow" w:hAnsi="Arial Narrow" w:cs="Arial"/>
                <w:sz w:val="20"/>
                <w:szCs w:val="20"/>
                <w:bdr w:val="none" w:sz="0" w:space="0" w:color="auto" w:frame="1"/>
              </w:rPr>
              <w:t>FENTANYL</w:t>
            </w:r>
          </w:p>
          <w:p w:rsidR="006B1371" w:rsidRPr="00633A3E" w:rsidRDefault="006B1371" w:rsidP="0090462E">
            <w:pPr>
              <w:spacing w:line="0" w:lineRule="atLeast"/>
              <w:rPr>
                <w:rFonts w:ascii="Arial Narrow" w:hAnsi="Arial Narrow" w:cs="Arial"/>
                <w:bCs/>
                <w:sz w:val="20"/>
                <w:szCs w:val="20"/>
              </w:rPr>
            </w:pPr>
            <w:r w:rsidRPr="00633A3E">
              <w:rPr>
                <w:rFonts w:ascii="Arial Narrow" w:hAnsi="Arial Narrow" w:cs="Arial"/>
                <w:bCs/>
                <w:sz w:val="20"/>
                <w:szCs w:val="20"/>
              </w:rPr>
              <w:t>100 microgram sublingual tablet, 10</w:t>
            </w:r>
          </w:p>
        </w:tc>
        <w:tc>
          <w:tcPr>
            <w:tcW w:w="469"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6B1371" w:rsidRPr="00633A3E" w:rsidRDefault="008040FD" w:rsidP="0090462E">
            <w:pPr>
              <w:spacing w:line="0" w:lineRule="atLeast"/>
              <w:ind w:left="709" w:hanging="709"/>
              <w:jc w:val="center"/>
              <w:rPr>
                <w:rFonts w:ascii="Arial Narrow" w:hAnsi="Arial Narrow" w:cs="Arial"/>
                <w:bCs/>
                <w:sz w:val="20"/>
                <w:szCs w:val="20"/>
              </w:rPr>
            </w:pPr>
            <w:r w:rsidRPr="00633A3E">
              <w:rPr>
                <w:rFonts w:ascii="Arial Narrow" w:hAnsi="Arial Narrow" w:cs="Arial"/>
                <w:bCs/>
                <w:strike/>
                <w:sz w:val="20"/>
                <w:szCs w:val="20"/>
              </w:rPr>
              <w:t>1</w:t>
            </w:r>
            <w:r w:rsidR="006B1371" w:rsidRPr="00633A3E">
              <w:rPr>
                <w:rFonts w:ascii="Arial Narrow" w:hAnsi="Arial Narrow" w:cs="Arial"/>
                <w:bCs/>
                <w:i/>
                <w:sz w:val="20"/>
                <w:szCs w:val="20"/>
              </w:rPr>
              <w:t>2</w:t>
            </w:r>
          </w:p>
        </w:tc>
        <w:tc>
          <w:tcPr>
            <w:tcW w:w="469"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6B1371" w:rsidRPr="00633A3E" w:rsidRDefault="008040FD" w:rsidP="0090462E">
            <w:pPr>
              <w:spacing w:line="0" w:lineRule="atLeast"/>
              <w:ind w:left="709" w:hanging="709"/>
              <w:jc w:val="center"/>
              <w:rPr>
                <w:rFonts w:ascii="Arial Narrow" w:hAnsi="Arial Narrow" w:cs="Arial"/>
                <w:bCs/>
                <w:sz w:val="20"/>
                <w:szCs w:val="20"/>
              </w:rPr>
            </w:pPr>
            <w:r w:rsidRPr="00633A3E">
              <w:rPr>
                <w:rFonts w:ascii="Arial Narrow" w:hAnsi="Arial Narrow" w:cs="Arial"/>
                <w:bCs/>
                <w:strike/>
                <w:sz w:val="20"/>
                <w:szCs w:val="20"/>
              </w:rPr>
              <w:t>10</w:t>
            </w:r>
            <w:r w:rsidR="006B1371" w:rsidRPr="00633A3E">
              <w:rPr>
                <w:rFonts w:ascii="Arial Narrow" w:hAnsi="Arial Narrow" w:cs="Arial"/>
                <w:bCs/>
                <w:i/>
                <w:sz w:val="20"/>
                <w:szCs w:val="20"/>
              </w:rPr>
              <w:t>20</w:t>
            </w:r>
          </w:p>
        </w:tc>
        <w:tc>
          <w:tcPr>
            <w:tcW w:w="468"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6B1371" w:rsidRPr="00633A3E" w:rsidRDefault="006B1371" w:rsidP="0090462E">
            <w:pPr>
              <w:spacing w:line="0" w:lineRule="atLeast"/>
              <w:ind w:left="709" w:hanging="709"/>
              <w:jc w:val="center"/>
              <w:rPr>
                <w:rFonts w:ascii="Arial Narrow" w:hAnsi="Arial Narrow" w:cs="Arial"/>
                <w:bCs/>
                <w:sz w:val="20"/>
                <w:szCs w:val="20"/>
              </w:rPr>
            </w:pPr>
            <w:r w:rsidRPr="00633A3E">
              <w:rPr>
                <w:rFonts w:ascii="Arial Narrow" w:hAnsi="Arial Narrow" w:cs="Arial"/>
                <w:bCs/>
                <w:sz w:val="20"/>
                <w:szCs w:val="20"/>
              </w:rPr>
              <w:t>0</w:t>
            </w:r>
          </w:p>
        </w:tc>
        <w:tc>
          <w:tcPr>
            <w:tcW w:w="781"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6B1371" w:rsidRPr="003C6F86" w:rsidRDefault="006B1371" w:rsidP="0090462E">
            <w:pPr>
              <w:spacing w:line="0" w:lineRule="atLeast"/>
              <w:ind w:left="709" w:hanging="709"/>
              <w:jc w:val="center"/>
              <w:rPr>
                <w:rFonts w:ascii="Arial Narrow" w:hAnsi="Arial Narrow" w:cs="Arial"/>
                <w:bCs/>
                <w:i/>
                <w:sz w:val="20"/>
                <w:szCs w:val="20"/>
              </w:rPr>
            </w:pPr>
            <w:r w:rsidRPr="003C6F86">
              <w:rPr>
                <w:rFonts w:ascii="Arial Narrow" w:hAnsi="Arial Narrow" w:cs="Arial"/>
                <w:bCs/>
                <w:i/>
                <w:sz w:val="20"/>
                <w:szCs w:val="20"/>
              </w:rPr>
              <w:t>$159.74</w:t>
            </w:r>
          </w:p>
        </w:tc>
        <w:tc>
          <w:tcPr>
            <w:tcW w:w="469" w:type="pct"/>
            <w:tcBorders>
              <w:top w:val="single" w:sz="4" w:space="0" w:color="auto"/>
              <w:bottom w:val="nil"/>
            </w:tcBorders>
            <w:shd w:val="clear" w:color="auto" w:fill="FFFFFF" w:themeFill="background1"/>
            <w:tcMar>
              <w:top w:w="24" w:type="dxa"/>
              <w:left w:w="24" w:type="dxa"/>
              <w:bottom w:w="24" w:type="dxa"/>
              <w:right w:w="24" w:type="dxa"/>
            </w:tcMar>
            <w:vAlign w:val="bottom"/>
          </w:tcPr>
          <w:p w:rsidR="006B1371" w:rsidRPr="00633A3E" w:rsidRDefault="006B1371" w:rsidP="0090462E">
            <w:pPr>
              <w:spacing w:line="0" w:lineRule="atLeast"/>
              <w:ind w:left="119" w:hanging="142"/>
              <w:jc w:val="center"/>
              <w:rPr>
                <w:rFonts w:ascii="Arial Narrow" w:hAnsi="Arial Narrow" w:cs="Arial"/>
                <w:bCs/>
                <w:sz w:val="20"/>
                <w:szCs w:val="20"/>
              </w:rPr>
            </w:pPr>
            <w:r w:rsidRPr="00633A3E">
              <w:rPr>
                <w:rFonts w:ascii="Arial Narrow" w:hAnsi="Arial Narrow" w:cs="Arial"/>
                <w:bCs/>
                <w:sz w:val="20"/>
                <w:szCs w:val="20"/>
              </w:rPr>
              <w:t>Abstral®</w:t>
            </w:r>
          </w:p>
        </w:tc>
        <w:tc>
          <w:tcPr>
            <w:tcW w:w="769" w:type="pct"/>
            <w:tcBorders>
              <w:top w:val="single" w:sz="4" w:space="0" w:color="auto"/>
              <w:bottom w:val="nil"/>
            </w:tcBorders>
            <w:shd w:val="clear" w:color="auto" w:fill="FFFFFF" w:themeFill="background1"/>
            <w:tcMar>
              <w:top w:w="24" w:type="dxa"/>
              <w:left w:w="24" w:type="dxa"/>
              <w:bottom w:w="24" w:type="dxa"/>
              <w:right w:w="24" w:type="dxa"/>
            </w:tcMar>
            <w:vAlign w:val="bottom"/>
          </w:tcPr>
          <w:p w:rsidR="006B1371" w:rsidRPr="00633A3E" w:rsidRDefault="00F878EA" w:rsidP="0090462E">
            <w:pPr>
              <w:spacing w:line="0" w:lineRule="atLeast"/>
              <w:ind w:firstLine="27"/>
              <w:jc w:val="center"/>
              <w:rPr>
                <w:rFonts w:ascii="Arial Narrow" w:hAnsi="Arial Narrow" w:cs="Arial"/>
                <w:bCs/>
                <w:sz w:val="20"/>
                <w:szCs w:val="20"/>
              </w:rPr>
            </w:pPr>
            <w:r w:rsidRPr="00633A3E">
              <w:rPr>
                <w:rFonts w:ascii="Arial Narrow" w:hAnsi="Arial Narrow" w:cs="Arial"/>
                <w:bCs/>
                <w:sz w:val="20"/>
                <w:szCs w:val="20"/>
              </w:rPr>
              <w:t>A Menarini Australia Pty Ltd</w:t>
            </w:r>
          </w:p>
        </w:tc>
      </w:tr>
      <w:tr w:rsidR="00245EE8" w:rsidRPr="00633C66" w:rsidTr="0090462E">
        <w:trPr>
          <w:trHeight w:val="129"/>
        </w:trPr>
        <w:tc>
          <w:tcPr>
            <w:tcW w:w="1575" w:type="pct"/>
            <w:tcBorders>
              <w:top w:val="nil"/>
              <w:bottom w:val="nil"/>
            </w:tcBorders>
            <w:shd w:val="clear" w:color="auto" w:fill="FFFFFF" w:themeFill="background1"/>
            <w:tcMar>
              <w:top w:w="24" w:type="dxa"/>
              <w:left w:w="24" w:type="dxa"/>
              <w:bottom w:w="24" w:type="dxa"/>
              <w:right w:w="24" w:type="dxa"/>
            </w:tcMar>
          </w:tcPr>
          <w:p w:rsidR="00245EE8" w:rsidRPr="00633A3E" w:rsidRDefault="00245EE8" w:rsidP="0090462E">
            <w:pPr>
              <w:spacing w:line="0" w:lineRule="atLeast"/>
              <w:rPr>
                <w:rFonts w:ascii="Arial Narrow" w:hAnsi="Arial Narrow" w:cs="Arial"/>
                <w:bCs/>
                <w:sz w:val="20"/>
                <w:szCs w:val="20"/>
              </w:rPr>
            </w:pPr>
            <w:r w:rsidRPr="00633A3E">
              <w:rPr>
                <w:rFonts w:ascii="Arial Narrow" w:hAnsi="Arial Narrow" w:cs="Arial"/>
                <w:bCs/>
                <w:sz w:val="20"/>
                <w:szCs w:val="20"/>
              </w:rPr>
              <w:t>200 microgram sublingual tablet, 10</w:t>
            </w:r>
          </w:p>
        </w:tc>
        <w:tc>
          <w:tcPr>
            <w:tcW w:w="469" w:type="pct"/>
            <w:tcBorders>
              <w:top w:val="nil"/>
              <w:bottom w:val="nil"/>
            </w:tcBorders>
            <w:shd w:val="clear" w:color="auto" w:fill="FFFFFF" w:themeFill="background1"/>
            <w:tcMar>
              <w:top w:w="24" w:type="dxa"/>
              <w:left w:w="24" w:type="dxa"/>
              <w:bottom w:w="24" w:type="dxa"/>
              <w:right w:w="24" w:type="dxa"/>
            </w:tcMar>
            <w:vAlign w:val="bottom"/>
          </w:tcPr>
          <w:p w:rsidR="00245EE8" w:rsidRPr="00633A3E" w:rsidRDefault="00245EE8" w:rsidP="003F2B20">
            <w:pPr>
              <w:spacing w:line="0" w:lineRule="atLeast"/>
              <w:ind w:left="709" w:hanging="709"/>
              <w:jc w:val="center"/>
              <w:rPr>
                <w:rFonts w:ascii="Arial Narrow" w:hAnsi="Arial Narrow" w:cs="Arial"/>
                <w:bCs/>
                <w:sz w:val="20"/>
                <w:szCs w:val="20"/>
              </w:rPr>
            </w:pPr>
            <w:r w:rsidRPr="00633A3E">
              <w:rPr>
                <w:rFonts w:ascii="Arial Narrow" w:hAnsi="Arial Narrow" w:cs="Arial"/>
                <w:bCs/>
                <w:i/>
                <w:strike/>
                <w:sz w:val="20"/>
                <w:szCs w:val="20"/>
              </w:rPr>
              <w:t>1</w:t>
            </w:r>
            <w:r w:rsidRPr="00633A3E">
              <w:rPr>
                <w:rFonts w:ascii="Arial Narrow" w:hAnsi="Arial Narrow" w:cs="Arial"/>
                <w:bCs/>
                <w:i/>
                <w:sz w:val="20"/>
                <w:szCs w:val="20"/>
              </w:rPr>
              <w:t>2</w:t>
            </w:r>
          </w:p>
        </w:tc>
        <w:tc>
          <w:tcPr>
            <w:tcW w:w="469" w:type="pct"/>
            <w:tcBorders>
              <w:top w:val="nil"/>
              <w:bottom w:val="nil"/>
            </w:tcBorders>
            <w:shd w:val="clear" w:color="auto" w:fill="FFFFFF" w:themeFill="background1"/>
            <w:tcMar>
              <w:top w:w="24" w:type="dxa"/>
              <w:left w:w="24" w:type="dxa"/>
              <w:bottom w:w="24" w:type="dxa"/>
              <w:right w:w="24" w:type="dxa"/>
            </w:tcMar>
            <w:vAlign w:val="bottom"/>
          </w:tcPr>
          <w:p w:rsidR="00245EE8" w:rsidRPr="00633A3E" w:rsidRDefault="00245EE8" w:rsidP="003F2B20">
            <w:pPr>
              <w:spacing w:line="0" w:lineRule="atLeast"/>
              <w:ind w:left="709" w:hanging="709"/>
              <w:jc w:val="center"/>
              <w:rPr>
                <w:rFonts w:ascii="Arial Narrow" w:hAnsi="Arial Narrow" w:cs="Arial"/>
                <w:bCs/>
                <w:sz w:val="20"/>
                <w:szCs w:val="20"/>
              </w:rPr>
            </w:pPr>
            <w:r w:rsidRPr="00633A3E">
              <w:rPr>
                <w:rFonts w:ascii="Arial Narrow" w:hAnsi="Arial Narrow" w:cs="Arial"/>
                <w:bCs/>
                <w:strike/>
                <w:sz w:val="20"/>
                <w:szCs w:val="20"/>
              </w:rPr>
              <w:t>10</w:t>
            </w:r>
            <w:r w:rsidRPr="00633A3E">
              <w:rPr>
                <w:rFonts w:ascii="Arial Narrow" w:hAnsi="Arial Narrow" w:cs="Arial"/>
                <w:bCs/>
                <w:i/>
                <w:sz w:val="20"/>
                <w:szCs w:val="20"/>
              </w:rPr>
              <w:t>20</w:t>
            </w:r>
          </w:p>
        </w:tc>
        <w:tc>
          <w:tcPr>
            <w:tcW w:w="468" w:type="pct"/>
            <w:tcBorders>
              <w:top w:val="nil"/>
              <w:bottom w:val="nil"/>
            </w:tcBorders>
            <w:shd w:val="clear" w:color="auto" w:fill="FFFFFF" w:themeFill="background1"/>
            <w:tcMar>
              <w:top w:w="24" w:type="dxa"/>
              <w:left w:w="24" w:type="dxa"/>
              <w:bottom w:w="24" w:type="dxa"/>
              <w:right w:w="24" w:type="dxa"/>
            </w:tcMar>
            <w:vAlign w:val="bottom"/>
          </w:tcPr>
          <w:p w:rsidR="00245EE8" w:rsidRPr="00633A3E" w:rsidRDefault="00245EE8" w:rsidP="003F2B20">
            <w:pPr>
              <w:spacing w:line="0" w:lineRule="atLeast"/>
              <w:ind w:left="709" w:hanging="709"/>
              <w:jc w:val="center"/>
              <w:rPr>
                <w:rFonts w:ascii="Arial Narrow" w:hAnsi="Arial Narrow" w:cs="Arial"/>
                <w:bCs/>
                <w:sz w:val="20"/>
                <w:szCs w:val="20"/>
              </w:rPr>
            </w:pPr>
            <w:r w:rsidRPr="00633A3E">
              <w:rPr>
                <w:rFonts w:ascii="Arial Narrow" w:hAnsi="Arial Narrow" w:cs="Arial"/>
                <w:bCs/>
                <w:sz w:val="20"/>
                <w:szCs w:val="20"/>
              </w:rPr>
              <w:t>0</w:t>
            </w:r>
          </w:p>
        </w:tc>
        <w:tc>
          <w:tcPr>
            <w:tcW w:w="781" w:type="pct"/>
            <w:tcBorders>
              <w:top w:val="nil"/>
              <w:bottom w:val="nil"/>
            </w:tcBorders>
            <w:shd w:val="clear" w:color="auto" w:fill="FFFFFF" w:themeFill="background1"/>
            <w:tcMar>
              <w:top w:w="24" w:type="dxa"/>
              <w:left w:w="24" w:type="dxa"/>
              <w:bottom w:w="24" w:type="dxa"/>
              <w:right w:w="24" w:type="dxa"/>
            </w:tcMar>
            <w:vAlign w:val="bottom"/>
          </w:tcPr>
          <w:p w:rsidR="00245EE8" w:rsidRPr="003C6F86" w:rsidRDefault="00245EE8" w:rsidP="003F2B20">
            <w:pPr>
              <w:spacing w:line="0" w:lineRule="atLeast"/>
              <w:ind w:left="709" w:hanging="709"/>
              <w:jc w:val="center"/>
              <w:rPr>
                <w:rFonts w:ascii="Arial Narrow" w:hAnsi="Arial Narrow" w:cs="Arial"/>
                <w:bCs/>
                <w:i/>
                <w:sz w:val="20"/>
                <w:szCs w:val="20"/>
              </w:rPr>
            </w:pPr>
            <w:r w:rsidRPr="003C6F86">
              <w:rPr>
                <w:rFonts w:ascii="Arial Narrow" w:hAnsi="Arial Narrow" w:cs="Arial"/>
                <w:bCs/>
                <w:i/>
                <w:sz w:val="20"/>
                <w:szCs w:val="20"/>
              </w:rPr>
              <w:t>$159.74</w:t>
            </w:r>
          </w:p>
        </w:tc>
        <w:tc>
          <w:tcPr>
            <w:tcW w:w="469" w:type="pct"/>
            <w:tcBorders>
              <w:top w:val="nil"/>
              <w:bottom w:val="nil"/>
            </w:tcBorders>
            <w:shd w:val="clear" w:color="auto" w:fill="FFFFFF" w:themeFill="background1"/>
            <w:tcMar>
              <w:top w:w="24" w:type="dxa"/>
              <w:left w:w="24" w:type="dxa"/>
              <w:bottom w:w="24" w:type="dxa"/>
              <w:right w:w="24" w:type="dxa"/>
            </w:tcMar>
            <w:vAlign w:val="bottom"/>
          </w:tcPr>
          <w:p w:rsidR="00245EE8" w:rsidRPr="00633A3E" w:rsidRDefault="00245EE8" w:rsidP="003F2B20">
            <w:pPr>
              <w:spacing w:line="0" w:lineRule="atLeast"/>
              <w:ind w:left="709" w:hanging="709"/>
              <w:jc w:val="center"/>
              <w:rPr>
                <w:rFonts w:ascii="Arial Narrow" w:hAnsi="Arial Narrow" w:cs="Arial"/>
                <w:bCs/>
                <w:sz w:val="20"/>
                <w:szCs w:val="20"/>
              </w:rPr>
            </w:pPr>
          </w:p>
        </w:tc>
        <w:tc>
          <w:tcPr>
            <w:tcW w:w="769" w:type="pct"/>
            <w:tcBorders>
              <w:top w:val="nil"/>
              <w:bottom w:val="nil"/>
            </w:tcBorders>
            <w:shd w:val="clear" w:color="auto" w:fill="FFFFFF" w:themeFill="background1"/>
            <w:tcMar>
              <w:top w:w="24" w:type="dxa"/>
              <w:left w:w="24" w:type="dxa"/>
              <w:bottom w:w="24" w:type="dxa"/>
              <w:right w:w="24" w:type="dxa"/>
            </w:tcMar>
            <w:vAlign w:val="bottom"/>
          </w:tcPr>
          <w:p w:rsidR="00245EE8" w:rsidRPr="00633A3E" w:rsidRDefault="00245EE8" w:rsidP="00245EE8">
            <w:pPr>
              <w:spacing w:line="0" w:lineRule="atLeast"/>
              <w:jc w:val="center"/>
              <w:rPr>
                <w:rFonts w:ascii="Arial Narrow" w:hAnsi="Arial Narrow" w:cs="Arial"/>
                <w:bCs/>
                <w:sz w:val="20"/>
                <w:szCs w:val="20"/>
              </w:rPr>
            </w:pPr>
          </w:p>
        </w:tc>
      </w:tr>
    </w:tbl>
    <w:p w:rsidR="002C3FBE" w:rsidRPr="00245EE8" w:rsidRDefault="002C3FBE" w:rsidP="00245EE8">
      <w:pPr>
        <w:ind w:left="709" w:hanging="709"/>
        <w:rPr>
          <w:rStyle w:val="drug-name"/>
          <w:rFonts w:cs="Arial"/>
          <w:bdr w:val="none" w:sz="0" w:space="0" w:color="auto" w:frame="1"/>
        </w:rPr>
      </w:pPr>
    </w:p>
    <w:p w:rsidR="00A96922" w:rsidRPr="00245EE8" w:rsidRDefault="00A96922" w:rsidP="00A96922">
      <w:pPr>
        <w:widowControl w:val="0"/>
        <w:contextualSpacing/>
        <w:jc w:val="both"/>
        <w:rPr>
          <w:rFonts w:cs="Arial"/>
          <w:snapToGrid w:val="0"/>
        </w:rPr>
      </w:pPr>
    </w:p>
    <w:p w:rsidR="00206B7F" w:rsidRPr="00A96922" w:rsidRDefault="00206B7F" w:rsidP="00BD0D7A">
      <w:pPr>
        <w:pStyle w:val="PBACHeading1"/>
        <w:numPr>
          <w:ilvl w:val="0"/>
          <w:numId w:val="20"/>
        </w:numPr>
        <w:ind w:left="720" w:hanging="720"/>
        <w:rPr>
          <w:szCs w:val="32"/>
        </w:rPr>
      </w:pPr>
      <w:r w:rsidRPr="00A96922">
        <w:rPr>
          <w:szCs w:val="32"/>
        </w:rPr>
        <w:t>Background</w:t>
      </w:r>
    </w:p>
    <w:p w:rsidR="00206B7F" w:rsidRPr="00245EE8" w:rsidRDefault="00206B7F" w:rsidP="008040FD">
      <w:pPr>
        <w:widowControl w:val="0"/>
        <w:ind w:left="709" w:hanging="709"/>
        <w:contextualSpacing/>
        <w:jc w:val="both"/>
        <w:rPr>
          <w:rFonts w:cs="Arial"/>
          <w:snapToGrid w:val="0"/>
        </w:rPr>
      </w:pPr>
    </w:p>
    <w:p w:rsidR="00EB534F" w:rsidRPr="00FD2587" w:rsidRDefault="00332C6A" w:rsidP="00EB534F">
      <w:pPr>
        <w:pStyle w:val="ListParagraph"/>
        <w:widowControl w:val="0"/>
        <w:numPr>
          <w:ilvl w:val="1"/>
          <w:numId w:val="20"/>
        </w:numPr>
        <w:ind w:left="720" w:hanging="720"/>
        <w:jc w:val="both"/>
        <w:rPr>
          <w:rFonts w:cs="Arial"/>
          <w:snapToGrid w:val="0"/>
        </w:rPr>
      </w:pPr>
      <w:r w:rsidRPr="00FD2587">
        <w:rPr>
          <w:rFonts w:cs="Arial"/>
          <w:snapToGrid w:val="0"/>
        </w:rPr>
        <w:t>F</w:t>
      </w:r>
      <w:r w:rsidR="001117BA" w:rsidRPr="00FD2587">
        <w:rPr>
          <w:rFonts w:cs="Arial"/>
          <w:snapToGrid w:val="0"/>
        </w:rPr>
        <w:t xml:space="preserve">entanyl </w:t>
      </w:r>
      <w:r w:rsidR="00234549">
        <w:rPr>
          <w:rFonts w:cs="Arial"/>
          <w:snapToGrid w:val="0"/>
        </w:rPr>
        <w:t>c</w:t>
      </w:r>
      <w:r w:rsidR="00E05DA1" w:rsidRPr="00FD2587">
        <w:rPr>
          <w:rFonts w:cs="Arial"/>
          <w:snapToGrid w:val="0"/>
        </w:rPr>
        <w:t>itrate sublingual tablets</w:t>
      </w:r>
      <w:r w:rsidRPr="00FD2587">
        <w:rPr>
          <w:rFonts w:cs="Arial"/>
          <w:snapToGrid w:val="0"/>
        </w:rPr>
        <w:t xml:space="preserve"> (Abstral</w:t>
      </w:r>
      <w:r w:rsidR="00234549" w:rsidRPr="00FD2587">
        <w:rPr>
          <w:rFonts w:cs="Arial"/>
        </w:rPr>
        <w:t>®</w:t>
      </w:r>
      <w:r w:rsidRPr="00FD2587">
        <w:rPr>
          <w:rFonts w:cs="Arial"/>
          <w:snapToGrid w:val="0"/>
        </w:rPr>
        <w:t>)</w:t>
      </w:r>
      <w:r w:rsidR="00E05DA1" w:rsidRPr="00FD2587">
        <w:rPr>
          <w:rFonts w:cs="Arial"/>
          <w:snapToGrid w:val="0"/>
        </w:rPr>
        <w:t xml:space="preserve"> </w:t>
      </w:r>
      <w:r w:rsidRPr="00FD2587">
        <w:rPr>
          <w:rFonts w:cs="Arial"/>
          <w:snapToGrid w:val="0"/>
        </w:rPr>
        <w:t xml:space="preserve">are </w:t>
      </w:r>
      <w:r w:rsidR="00E05DA1" w:rsidRPr="00FD2587">
        <w:rPr>
          <w:rFonts w:cs="Arial"/>
          <w:snapToGrid w:val="0"/>
        </w:rPr>
        <w:t xml:space="preserve">TGA registered for the management of </w:t>
      </w:r>
      <w:r w:rsidR="001376E7">
        <w:rPr>
          <w:rFonts w:cs="Arial"/>
          <w:snapToGrid w:val="0"/>
        </w:rPr>
        <w:t>BTP</w:t>
      </w:r>
      <w:r w:rsidR="00E05DA1" w:rsidRPr="00FD2587">
        <w:rPr>
          <w:rFonts w:cs="Arial"/>
          <w:snapToGrid w:val="0"/>
        </w:rPr>
        <w:t xml:space="preserve"> in adults with cancer who are already receiving maintenance opioid therapy for chronic pain. </w:t>
      </w:r>
      <w:r w:rsidR="001376E7">
        <w:rPr>
          <w:rFonts w:cs="Arial"/>
          <w:snapToGrid w:val="0"/>
        </w:rPr>
        <w:t>BTP</w:t>
      </w:r>
      <w:r w:rsidR="00E05DA1" w:rsidRPr="00FD2587">
        <w:rPr>
          <w:rFonts w:cs="Arial"/>
          <w:snapToGrid w:val="0"/>
        </w:rPr>
        <w:t xml:space="preserve"> is a transient exacerbation of otherwise cont</w:t>
      </w:r>
      <w:r w:rsidR="00245EE8">
        <w:rPr>
          <w:rFonts w:cs="Arial"/>
          <w:snapToGrid w:val="0"/>
        </w:rPr>
        <w:t>rolled chronic background pain.</w:t>
      </w:r>
    </w:p>
    <w:p w:rsidR="00FD79E2" w:rsidRPr="00245EE8" w:rsidRDefault="00FD79E2" w:rsidP="00FD79E2">
      <w:pPr>
        <w:widowControl w:val="0"/>
        <w:jc w:val="both"/>
        <w:rPr>
          <w:rFonts w:cs="Arial"/>
          <w:snapToGrid w:val="0"/>
        </w:rPr>
      </w:pPr>
    </w:p>
    <w:p w:rsidR="00FD79E2" w:rsidRPr="00FD2587" w:rsidRDefault="00FD79E2" w:rsidP="00EB534F">
      <w:pPr>
        <w:pStyle w:val="ListParagraph"/>
        <w:widowControl w:val="0"/>
        <w:numPr>
          <w:ilvl w:val="1"/>
          <w:numId w:val="20"/>
        </w:numPr>
        <w:ind w:left="720" w:hanging="720"/>
        <w:jc w:val="both"/>
        <w:rPr>
          <w:rFonts w:cs="Arial"/>
          <w:snapToGrid w:val="0"/>
        </w:rPr>
      </w:pPr>
      <w:r w:rsidRPr="00FD2587">
        <w:rPr>
          <w:rFonts w:cs="Arial"/>
          <w:snapToGrid w:val="0"/>
        </w:rPr>
        <w:t xml:space="preserve">Fentanyl </w:t>
      </w:r>
      <w:r w:rsidR="00234549">
        <w:rPr>
          <w:rFonts w:cs="Arial"/>
          <w:snapToGrid w:val="0"/>
        </w:rPr>
        <w:t>c</w:t>
      </w:r>
      <w:r w:rsidRPr="00FD2587">
        <w:rPr>
          <w:rFonts w:cs="Arial"/>
          <w:snapToGrid w:val="0"/>
        </w:rPr>
        <w:t xml:space="preserve">itrate </w:t>
      </w:r>
      <w:r w:rsidR="00234549">
        <w:rPr>
          <w:rFonts w:cs="Arial"/>
          <w:snapToGrid w:val="0"/>
        </w:rPr>
        <w:t>(</w:t>
      </w:r>
      <w:r w:rsidRPr="00FD2587">
        <w:rPr>
          <w:rFonts w:cs="Arial"/>
          <w:snapToGrid w:val="0"/>
        </w:rPr>
        <w:t>Abstral</w:t>
      </w:r>
      <w:r w:rsidR="00234549" w:rsidRPr="00FD2587">
        <w:rPr>
          <w:rFonts w:cs="Arial"/>
        </w:rPr>
        <w:t>®</w:t>
      </w:r>
      <w:r w:rsidR="00234549">
        <w:rPr>
          <w:rFonts w:cs="Arial"/>
          <w:snapToGrid w:val="0"/>
        </w:rPr>
        <w:t>)</w:t>
      </w:r>
      <w:r w:rsidRPr="00FD2587">
        <w:rPr>
          <w:rFonts w:cs="Arial"/>
          <w:snapToGrid w:val="0"/>
        </w:rPr>
        <w:t xml:space="preserve"> has been listed on the Palliative Schedule of the PBS since February 2016 for the treatment of cancer patients with </w:t>
      </w:r>
      <w:r w:rsidR="001376E7">
        <w:rPr>
          <w:rFonts w:cs="Arial"/>
          <w:snapToGrid w:val="0"/>
        </w:rPr>
        <w:t>BTP</w:t>
      </w:r>
      <w:r w:rsidR="00245EE8">
        <w:rPr>
          <w:rFonts w:cs="Arial"/>
          <w:snapToGrid w:val="0"/>
        </w:rPr>
        <w:t>.</w:t>
      </w:r>
    </w:p>
    <w:p w:rsidR="00FD79E2" w:rsidRPr="00245EE8" w:rsidRDefault="00FD79E2" w:rsidP="00FD79E2">
      <w:pPr>
        <w:rPr>
          <w:rFonts w:cs="Arial"/>
          <w:snapToGrid w:val="0"/>
        </w:rPr>
      </w:pPr>
    </w:p>
    <w:p w:rsidR="00FD79E2" w:rsidRPr="00FD2587" w:rsidRDefault="00FD79E2" w:rsidP="00EB534F">
      <w:pPr>
        <w:pStyle w:val="ListParagraph"/>
        <w:widowControl w:val="0"/>
        <w:numPr>
          <w:ilvl w:val="1"/>
          <w:numId w:val="20"/>
        </w:numPr>
        <w:ind w:left="720" w:hanging="720"/>
        <w:jc w:val="both"/>
        <w:rPr>
          <w:rFonts w:cs="Arial"/>
          <w:snapToGrid w:val="0"/>
        </w:rPr>
      </w:pPr>
      <w:r w:rsidRPr="00FD2587">
        <w:rPr>
          <w:rFonts w:cs="Arial"/>
          <w:snapToGrid w:val="0"/>
        </w:rPr>
        <w:t xml:space="preserve">All </w:t>
      </w:r>
      <w:r w:rsidR="00C6627D" w:rsidRPr="00FD2587">
        <w:rPr>
          <w:rFonts w:cs="Arial"/>
          <w:snapToGrid w:val="0"/>
        </w:rPr>
        <w:t xml:space="preserve">listed </w:t>
      </w:r>
      <w:r w:rsidRPr="00FD2587">
        <w:rPr>
          <w:rFonts w:cs="Arial"/>
          <w:snapToGrid w:val="0"/>
        </w:rPr>
        <w:t>strengths, 100</w:t>
      </w:r>
      <w:r w:rsidR="00234549">
        <w:rPr>
          <w:rFonts w:cs="Arial"/>
          <w:snapToGrid w:val="0"/>
        </w:rPr>
        <w:t> </w:t>
      </w:r>
      <w:r w:rsidRPr="00FD2587">
        <w:rPr>
          <w:rFonts w:cs="Arial"/>
          <w:snapToGrid w:val="0"/>
        </w:rPr>
        <w:t>mcg, 200</w:t>
      </w:r>
      <w:r w:rsidR="00234549">
        <w:rPr>
          <w:rFonts w:cs="Arial"/>
          <w:snapToGrid w:val="0"/>
        </w:rPr>
        <w:t> </w:t>
      </w:r>
      <w:r w:rsidRPr="00FD2587">
        <w:rPr>
          <w:rFonts w:cs="Arial"/>
          <w:snapToGrid w:val="0"/>
        </w:rPr>
        <w:t>mcg, 300</w:t>
      </w:r>
      <w:r w:rsidR="00234549">
        <w:rPr>
          <w:rFonts w:cs="Arial"/>
          <w:snapToGrid w:val="0"/>
        </w:rPr>
        <w:t> </w:t>
      </w:r>
      <w:r w:rsidRPr="00FD2587">
        <w:rPr>
          <w:rFonts w:cs="Arial"/>
          <w:snapToGrid w:val="0"/>
        </w:rPr>
        <w:t>mcg, 400</w:t>
      </w:r>
      <w:r w:rsidR="00234549">
        <w:rPr>
          <w:rFonts w:cs="Arial"/>
          <w:snapToGrid w:val="0"/>
        </w:rPr>
        <w:t> </w:t>
      </w:r>
      <w:r w:rsidRPr="00FD2587">
        <w:rPr>
          <w:rFonts w:cs="Arial"/>
          <w:snapToGrid w:val="0"/>
        </w:rPr>
        <w:t>mcg, 600</w:t>
      </w:r>
      <w:r w:rsidR="00234549">
        <w:rPr>
          <w:rFonts w:cs="Arial"/>
          <w:snapToGrid w:val="0"/>
        </w:rPr>
        <w:t> mcg and 800 </w:t>
      </w:r>
      <w:r w:rsidRPr="00FD2587">
        <w:rPr>
          <w:rFonts w:cs="Arial"/>
          <w:snapToGrid w:val="0"/>
        </w:rPr>
        <w:t xml:space="preserve">mcg </w:t>
      </w:r>
      <w:r w:rsidR="001117BA" w:rsidRPr="00FD2587">
        <w:rPr>
          <w:rFonts w:cs="Arial"/>
          <w:snapToGrid w:val="0"/>
        </w:rPr>
        <w:t xml:space="preserve">have flat pricing on the PBS. The </w:t>
      </w:r>
      <w:r w:rsidR="00C6627D" w:rsidRPr="00FD2587">
        <w:rPr>
          <w:rFonts w:cs="Arial"/>
          <w:snapToGrid w:val="0"/>
        </w:rPr>
        <w:t xml:space="preserve">current </w:t>
      </w:r>
      <w:r w:rsidR="001117BA" w:rsidRPr="00FD2587">
        <w:rPr>
          <w:rFonts w:cs="Arial"/>
          <w:snapToGrid w:val="0"/>
        </w:rPr>
        <w:t>listing includes an initial treatment for dose titration (10 tablets</w:t>
      </w:r>
      <w:r w:rsidR="00234549">
        <w:rPr>
          <w:rFonts w:cs="Arial"/>
          <w:snapToGrid w:val="0"/>
        </w:rPr>
        <w:t>,</w:t>
      </w:r>
      <w:r w:rsidR="001117BA" w:rsidRPr="00FD2587">
        <w:rPr>
          <w:rFonts w:cs="Arial"/>
          <w:snapToGrid w:val="0"/>
        </w:rPr>
        <w:t xml:space="preserve"> no repeats will be authorised) and continuation treatment </w:t>
      </w:r>
      <w:r w:rsidR="001117BA" w:rsidRPr="00FD2587">
        <w:rPr>
          <w:rFonts w:cs="Arial"/>
          <w:snapToGrid w:val="0"/>
        </w:rPr>
        <w:lastRenderedPageBreak/>
        <w:t>phase (60 tablets</w:t>
      </w:r>
      <w:r w:rsidR="00234549">
        <w:rPr>
          <w:rFonts w:cs="Arial"/>
          <w:snapToGrid w:val="0"/>
        </w:rPr>
        <w:t>,</w:t>
      </w:r>
      <w:r w:rsidR="001117BA" w:rsidRPr="00FD2587">
        <w:rPr>
          <w:rFonts w:cs="Arial"/>
          <w:snapToGrid w:val="0"/>
        </w:rPr>
        <w:t xml:space="preserve"> up to 3 repeats).</w:t>
      </w:r>
    </w:p>
    <w:p w:rsidR="00EB534F" w:rsidRPr="00245EE8" w:rsidRDefault="00EB534F" w:rsidP="00EB534F">
      <w:pPr>
        <w:widowControl w:val="0"/>
        <w:jc w:val="both"/>
        <w:rPr>
          <w:rFonts w:cs="Arial"/>
          <w:snapToGrid w:val="0"/>
        </w:rPr>
      </w:pPr>
    </w:p>
    <w:p w:rsidR="00EB534F" w:rsidRPr="00FD2587" w:rsidRDefault="00EB534F" w:rsidP="00EB534F">
      <w:pPr>
        <w:pStyle w:val="ListParagraph"/>
        <w:widowControl w:val="0"/>
        <w:numPr>
          <w:ilvl w:val="1"/>
          <w:numId w:val="20"/>
        </w:numPr>
        <w:ind w:left="720" w:hanging="720"/>
        <w:jc w:val="both"/>
        <w:rPr>
          <w:rFonts w:cs="Arial"/>
          <w:snapToGrid w:val="0"/>
        </w:rPr>
      </w:pPr>
      <w:r w:rsidRPr="00FD2587">
        <w:rPr>
          <w:rFonts w:cs="Arial"/>
          <w:snapToGrid w:val="0"/>
        </w:rPr>
        <w:t xml:space="preserve">The </w:t>
      </w:r>
      <w:r w:rsidR="003C1569">
        <w:rPr>
          <w:rFonts w:cs="Arial"/>
          <w:snapToGrid w:val="0"/>
        </w:rPr>
        <w:t xml:space="preserve">minor </w:t>
      </w:r>
      <w:r w:rsidRPr="00FD2587">
        <w:rPr>
          <w:rFonts w:cs="Arial"/>
          <w:snapToGrid w:val="0"/>
        </w:rPr>
        <w:t>submission requested an increase in the maximum quantity to 2 packs of 10 tablets, for the initial treatment for dose titration, for both th</w:t>
      </w:r>
      <w:r w:rsidR="00234549">
        <w:rPr>
          <w:rFonts w:cs="Arial"/>
          <w:snapToGrid w:val="0"/>
        </w:rPr>
        <w:t>e 100 </w:t>
      </w:r>
      <w:r w:rsidR="00C6627D" w:rsidRPr="00FD2587">
        <w:rPr>
          <w:rFonts w:cs="Arial"/>
          <w:snapToGrid w:val="0"/>
        </w:rPr>
        <w:t>mcg</w:t>
      </w:r>
      <w:r w:rsidR="001117BA" w:rsidRPr="00FD2587">
        <w:rPr>
          <w:rFonts w:cs="Arial"/>
          <w:snapToGrid w:val="0"/>
        </w:rPr>
        <w:t xml:space="preserve"> and 200</w:t>
      </w:r>
      <w:r w:rsidR="00234549">
        <w:rPr>
          <w:rFonts w:cs="Arial"/>
          <w:snapToGrid w:val="0"/>
        </w:rPr>
        <w:t> </w:t>
      </w:r>
      <w:r w:rsidR="00C6627D" w:rsidRPr="00FD2587">
        <w:rPr>
          <w:rFonts w:cs="Arial"/>
          <w:snapToGrid w:val="0"/>
        </w:rPr>
        <w:t>mcg</w:t>
      </w:r>
      <w:r w:rsidR="001117BA" w:rsidRPr="00FD2587">
        <w:rPr>
          <w:rFonts w:cs="Arial"/>
          <w:snapToGrid w:val="0"/>
        </w:rPr>
        <w:t xml:space="preserve"> tablets. The submission claimed that this</w:t>
      </w:r>
      <w:r w:rsidRPr="00FD2587">
        <w:rPr>
          <w:rFonts w:cs="Arial"/>
          <w:snapToGrid w:val="0"/>
        </w:rPr>
        <w:t xml:space="preserve"> increase would allow patients to achieve the average effective dose of 400</w:t>
      </w:r>
      <w:r w:rsidR="00234549">
        <w:rPr>
          <w:rFonts w:cs="Arial"/>
          <w:snapToGrid w:val="0"/>
        </w:rPr>
        <w:t> </w:t>
      </w:r>
      <w:r w:rsidR="00C6627D" w:rsidRPr="00FD2587">
        <w:rPr>
          <w:rFonts w:cs="Arial"/>
          <w:snapToGrid w:val="0"/>
        </w:rPr>
        <w:t>mcg</w:t>
      </w:r>
      <w:r w:rsidRPr="00FD2587">
        <w:rPr>
          <w:rFonts w:cs="Arial"/>
          <w:snapToGrid w:val="0"/>
        </w:rPr>
        <w:t xml:space="preserve"> or up to the maximum tolerated dose of 800</w:t>
      </w:r>
      <w:r w:rsidR="00234549">
        <w:rPr>
          <w:rFonts w:cs="Arial"/>
          <w:snapToGrid w:val="0"/>
        </w:rPr>
        <w:t> </w:t>
      </w:r>
      <w:r w:rsidR="00C6627D" w:rsidRPr="00FD2587">
        <w:rPr>
          <w:rFonts w:cs="Arial"/>
          <w:snapToGrid w:val="0"/>
        </w:rPr>
        <w:t>mcg</w:t>
      </w:r>
      <w:r w:rsidRPr="00FD2587">
        <w:rPr>
          <w:rFonts w:cs="Arial"/>
          <w:snapToGrid w:val="0"/>
        </w:rPr>
        <w:t xml:space="preserve"> without having to re-visit the doctor or incur another co-payment.</w:t>
      </w:r>
    </w:p>
    <w:p w:rsidR="00A41207" w:rsidRPr="00245EE8" w:rsidRDefault="00A41207" w:rsidP="00A41207">
      <w:pPr>
        <w:widowControl w:val="0"/>
        <w:jc w:val="both"/>
        <w:rPr>
          <w:rFonts w:cs="Arial"/>
          <w:snapToGrid w:val="0"/>
        </w:rPr>
      </w:pPr>
    </w:p>
    <w:p w:rsidR="00E05DA1" w:rsidRPr="00245EE8" w:rsidRDefault="00A41207" w:rsidP="00924C83">
      <w:pPr>
        <w:ind w:left="709"/>
        <w:jc w:val="both"/>
        <w:rPr>
          <w:rFonts w:cs="Arial"/>
          <w:snapToGrid w:val="0"/>
        </w:rPr>
      </w:pPr>
      <w:r w:rsidRPr="00245EE8">
        <w:rPr>
          <w:rFonts w:cs="Arial"/>
          <w:i/>
        </w:rPr>
        <w:t xml:space="preserve">For more detail on PBAC’s view, see section </w:t>
      </w:r>
      <w:r w:rsidR="004D11D3" w:rsidRPr="00245EE8">
        <w:rPr>
          <w:rFonts w:cs="Arial"/>
          <w:i/>
        </w:rPr>
        <w:t>6</w:t>
      </w:r>
      <w:r w:rsidRPr="00245EE8">
        <w:rPr>
          <w:rFonts w:cs="Arial"/>
          <w:i/>
        </w:rPr>
        <w:t xml:space="preserve"> “PBAC outcome.”</w:t>
      </w:r>
    </w:p>
    <w:p w:rsidR="00206B7F" w:rsidRDefault="00206B7F" w:rsidP="008040FD">
      <w:pPr>
        <w:ind w:left="709" w:hanging="709"/>
        <w:jc w:val="both"/>
        <w:rPr>
          <w:rFonts w:cs="Arial"/>
          <w:b/>
          <w:lang w:eastAsia="en-AU"/>
        </w:rPr>
      </w:pPr>
    </w:p>
    <w:p w:rsidR="00245EE8" w:rsidRPr="00245EE8" w:rsidRDefault="00245EE8" w:rsidP="008040FD">
      <w:pPr>
        <w:ind w:left="709" w:hanging="709"/>
        <w:jc w:val="both"/>
        <w:rPr>
          <w:rFonts w:cs="Arial"/>
          <w:b/>
          <w:lang w:eastAsia="en-AU"/>
        </w:rPr>
      </w:pPr>
    </w:p>
    <w:p w:rsidR="005F74A1" w:rsidRPr="00A96922" w:rsidRDefault="005F74A1" w:rsidP="00BD0D7A">
      <w:pPr>
        <w:pStyle w:val="PBACHeading1"/>
        <w:numPr>
          <w:ilvl w:val="0"/>
          <w:numId w:val="20"/>
        </w:numPr>
        <w:ind w:left="720" w:hanging="720"/>
        <w:rPr>
          <w:szCs w:val="32"/>
        </w:rPr>
      </w:pPr>
      <w:r w:rsidRPr="00A96922">
        <w:rPr>
          <w:szCs w:val="32"/>
        </w:rPr>
        <w:t>Clinical place for the proposed therapy</w:t>
      </w:r>
    </w:p>
    <w:p w:rsidR="005F74A1" w:rsidRPr="00234549" w:rsidRDefault="005F74A1" w:rsidP="00A96922"/>
    <w:p w:rsidR="005F74A1" w:rsidRPr="00FD2587" w:rsidRDefault="005F74A1" w:rsidP="005F74A1">
      <w:pPr>
        <w:pStyle w:val="ListParagraph"/>
        <w:widowControl w:val="0"/>
        <w:numPr>
          <w:ilvl w:val="1"/>
          <w:numId w:val="20"/>
        </w:numPr>
        <w:ind w:left="709" w:hanging="709"/>
        <w:jc w:val="both"/>
        <w:rPr>
          <w:rFonts w:cs="Arial"/>
          <w:snapToGrid w:val="0"/>
        </w:rPr>
      </w:pPr>
      <w:r w:rsidRPr="00FD2587">
        <w:rPr>
          <w:rFonts w:cs="Arial"/>
          <w:snapToGrid w:val="0"/>
        </w:rPr>
        <w:t xml:space="preserve">Cancer patients may experience two types of pain: persistent background pain, for 12 or more hours per day; and transitory exacerbations of pain which ‘‘breaks through’’ the background medication, known as breakthrough </w:t>
      </w:r>
      <w:r w:rsidR="0090462E">
        <w:rPr>
          <w:rFonts w:cs="Arial"/>
          <w:snapToGrid w:val="0"/>
        </w:rPr>
        <w:t>pain (BTP).</w:t>
      </w:r>
    </w:p>
    <w:p w:rsidR="005F74A1" w:rsidRPr="00FD2587" w:rsidRDefault="005F74A1" w:rsidP="005F74A1">
      <w:pPr>
        <w:pStyle w:val="ListParagraph"/>
        <w:widowControl w:val="0"/>
        <w:ind w:left="709" w:hanging="709"/>
        <w:jc w:val="both"/>
        <w:rPr>
          <w:rFonts w:cs="Arial"/>
          <w:snapToGrid w:val="0"/>
        </w:rPr>
      </w:pPr>
    </w:p>
    <w:p w:rsidR="005F74A1" w:rsidRPr="00FD2587" w:rsidRDefault="005F74A1" w:rsidP="005F74A1">
      <w:pPr>
        <w:pStyle w:val="ListParagraph"/>
        <w:widowControl w:val="0"/>
        <w:numPr>
          <w:ilvl w:val="1"/>
          <w:numId w:val="20"/>
        </w:numPr>
        <w:ind w:left="709" w:hanging="709"/>
        <w:jc w:val="both"/>
        <w:rPr>
          <w:rFonts w:cs="Arial"/>
          <w:snapToGrid w:val="0"/>
        </w:rPr>
      </w:pPr>
      <w:r w:rsidRPr="00FD2587">
        <w:rPr>
          <w:rFonts w:cs="Arial"/>
          <w:snapToGrid w:val="0"/>
        </w:rPr>
        <w:t xml:space="preserve">The approved Product information for </w:t>
      </w:r>
      <w:r w:rsidR="0090462E">
        <w:rPr>
          <w:rFonts w:cs="Arial"/>
          <w:snapToGrid w:val="0"/>
        </w:rPr>
        <w:t>f</w:t>
      </w:r>
      <w:r w:rsidRPr="00FD2587">
        <w:rPr>
          <w:rFonts w:cs="Arial"/>
          <w:snapToGrid w:val="0"/>
        </w:rPr>
        <w:t xml:space="preserve">entanyl </w:t>
      </w:r>
      <w:r w:rsidR="0090462E">
        <w:rPr>
          <w:rFonts w:cs="Arial"/>
          <w:snapToGrid w:val="0"/>
        </w:rPr>
        <w:t>c</w:t>
      </w:r>
      <w:r w:rsidRPr="00FD2587">
        <w:rPr>
          <w:rFonts w:cs="Arial"/>
          <w:snapToGrid w:val="0"/>
        </w:rPr>
        <w:t xml:space="preserve">itrate </w:t>
      </w:r>
      <w:r w:rsidR="0090462E">
        <w:rPr>
          <w:rFonts w:cs="Arial"/>
          <w:snapToGrid w:val="0"/>
        </w:rPr>
        <w:t>(</w:t>
      </w:r>
      <w:r w:rsidRPr="00FD2587">
        <w:rPr>
          <w:rFonts w:cs="Arial"/>
          <w:snapToGrid w:val="0"/>
        </w:rPr>
        <w:t>Abstral</w:t>
      </w:r>
      <w:r w:rsidR="0090462E" w:rsidRPr="00FD2587">
        <w:rPr>
          <w:rFonts w:cs="Arial"/>
        </w:rPr>
        <w:t>®</w:t>
      </w:r>
      <w:r w:rsidR="0090462E">
        <w:rPr>
          <w:rFonts w:cs="Arial"/>
          <w:snapToGrid w:val="0"/>
        </w:rPr>
        <w:t>)</w:t>
      </w:r>
      <w:r w:rsidRPr="00FD2587">
        <w:rPr>
          <w:rFonts w:cs="Arial"/>
          <w:snapToGrid w:val="0"/>
        </w:rPr>
        <w:t xml:space="preserve"> indicates that the use of Abstral</w:t>
      </w:r>
      <w:r w:rsidR="0090462E" w:rsidRPr="00FD2587">
        <w:rPr>
          <w:rFonts w:cs="Arial"/>
        </w:rPr>
        <w:t>®</w:t>
      </w:r>
      <w:r w:rsidRPr="00FD2587">
        <w:rPr>
          <w:rFonts w:cs="Arial"/>
          <w:snapToGrid w:val="0"/>
        </w:rPr>
        <w:t xml:space="preserve"> must follow titration rules that are Abstral</w:t>
      </w:r>
      <w:r w:rsidR="0090462E" w:rsidRPr="00FD2587">
        <w:rPr>
          <w:rFonts w:cs="Arial"/>
        </w:rPr>
        <w:t>®</w:t>
      </w:r>
      <w:r w:rsidR="0090462E">
        <w:rPr>
          <w:rFonts w:cs="Arial"/>
          <w:snapToGrid w:val="0"/>
        </w:rPr>
        <w:t xml:space="preserve"> specific.</w:t>
      </w:r>
    </w:p>
    <w:p w:rsidR="005F74A1" w:rsidRPr="00FD2587" w:rsidRDefault="005F74A1" w:rsidP="005F74A1">
      <w:pPr>
        <w:pStyle w:val="ListParagraph"/>
        <w:widowControl w:val="0"/>
        <w:ind w:left="709" w:hanging="709"/>
        <w:jc w:val="both"/>
        <w:rPr>
          <w:rFonts w:cs="Arial"/>
          <w:snapToGrid w:val="0"/>
          <w:sz w:val="22"/>
          <w:szCs w:val="22"/>
        </w:rPr>
      </w:pPr>
    </w:p>
    <w:p w:rsidR="005F74A1" w:rsidRPr="00FD2587" w:rsidRDefault="005F74A1" w:rsidP="00E050DC">
      <w:pPr>
        <w:pStyle w:val="ListParagraph"/>
        <w:widowControl w:val="0"/>
        <w:numPr>
          <w:ilvl w:val="1"/>
          <w:numId w:val="20"/>
        </w:numPr>
        <w:ind w:left="709" w:hanging="709"/>
        <w:jc w:val="both"/>
        <w:rPr>
          <w:rFonts w:cs="Arial"/>
          <w:snapToGrid w:val="0"/>
        </w:rPr>
      </w:pPr>
      <w:r w:rsidRPr="00FD2587">
        <w:rPr>
          <w:rFonts w:cs="Arial"/>
          <w:snapToGrid w:val="0"/>
        </w:rPr>
        <w:t>The aim of dose titration is to identify an optimal maintenance dose for treatment of BTP episodes that provides adequate analgesia with an acceptable level of adverse reactions. The optimal dose of Abstral</w:t>
      </w:r>
      <w:r w:rsidR="0090462E" w:rsidRPr="00FD2587">
        <w:rPr>
          <w:rFonts w:cs="Arial"/>
        </w:rPr>
        <w:t>®</w:t>
      </w:r>
      <w:r w:rsidRPr="00FD2587">
        <w:rPr>
          <w:rFonts w:cs="Arial"/>
          <w:snapToGrid w:val="0"/>
        </w:rPr>
        <w:t xml:space="preserve"> is determined by upward titration, on an individual patient basis. The initial dose should be </w:t>
      </w:r>
      <w:r w:rsidR="00B43D41" w:rsidRPr="00FD2587">
        <w:rPr>
          <w:rFonts w:cs="Arial"/>
          <w:snapToGrid w:val="0"/>
        </w:rPr>
        <w:t>100</w:t>
      </w:r>
      <w:r w:rsidR="0090462E">
        <w:rPr>
          <w:rFonts w:cs="Arial"/>
          <w:snapToGrid w:val="0"/>
        </w:rPr>
        <w:t> </w:t>
      </w:r>
      <w:r w:rsidR="00B43D41">
        <w:rPr>
          <w:rFonts w:cs="Arial"/>
          <w:snapToGrid w:val="0"/>
        </w:rPr>
        <w:t>mcg</w:t>
      </w:r>
      <w:r w:rsidR="00B43D41" w:rsidRPr="00FD2587">
        <w:rPr>
          <w:rFonts w:cs="Arial"/>
          <w:snapToGrid w:val="0"/>
        </w:rPr>
        <w:t xml:space="preserve"> </w:t>
      </w:r>
      <w:r w:rsidRPr="00FD2587">
        <w:rPr>
          <w:rFonts w:cs="Arial"/>
          <w:snapToGrid w:val="0"/>
        </w:rPr>
        <w:t xml:space="preserve">titrating upwards as necessary. The </w:t>
      </w:r>
      <w:r w:rsidR="00D679F8">
        <w:rPr>
          <w:rFonts w:cs="Arial"/>
          <w:snapToGrid w:val="0"/>
        </w:rPr>
        <w:t xml:space="preserve">minor </w:t>
      </w:r>
      <w:r w:rsidRPr="00FD2587">
        <w:rPr>
          <w:rFonts w:cs="Arial"/>
          <w:snapToGrid w:val="0"/>
        </w:rPr>
        <w:t>submission indicated that the current maximum quantity for the dose titration packs does not allow some patients to reach their optimal main</w:t>
      </w:r>
      <w:r w:rsidR="0090462E">
        <w:rPr>
          <w:rFonts w:cs="Arial"/>
          <w:snapToGrid w:val="0"/>
        </w:rPr>
        <w:t>tenance dose within one script.</w:t>
      </w:r>
    </w:p>
    <w:p w:rsidR="005F74A1" w:rsidRPr="00FD2587" w:rsidRDefault="005F74A1" w:rsidP="005F74A1">
      <w:pPr>
        <w:pStyle w:val="ListParagraph"/>
        <w:widowControl w:val="0"/>
        <w:ind w:left="709" w:hanging="709"/>
        <w:jc w:val="both"/>
        <w:rPr>
          <w:rFonts w:cs="Arial"/>
          <w:snapToGrid w:val="0"/>
        </w:rPr>
      </w:pPr>
    </w:p>
    <w:p w:rsidR="005F74A1" w:rsidRPr="0090462E" w:rsidRDefault="005F74A1" w:rsidP="00D109F2">
      <w:pPr>
        <w:pStyle w:val="ListParagraph"/>
        <w:widowControl w:val="0"/>
        <w:numPr>
          <w:ilvl w:val="1"/>
          <w:numId w:val="20"/>
        </w:numPr>
        <w:ind w:left="709" w:hanging="709"/>
        <w:jc w:val="both"/>
        <w:rPr>
          <w:rFonts w:cs="Arial"/>
          <w:snapToGrid w:val="0"/>
        </w:rPr>
      </w:pPr>
      <w:r w:rsidRPr="00FD2587">
        <w:rPr>
          <w:rFonts w:cs="Arial"/>
          <w:snapToGrid w:val="0"/>
        </w:rPr>
        <w:t>Abstral</w:t>
      </w:r>
      <w:r w:rsidR="0090462E" w:rsidRPr="00FD2587">
        <w:rPr>
          <w:rFonts w:cs="Arial"/>
        </w:rPr>
        <w:t>®</w:t>
      </w:r>
      <w:r w:rsidRPr="00FD2587">
        <w:rPr>
          <w:rFonts w:cs="Arial"/>
          <w:snapToGrid w:val="0"/>
        </w:rPr>
        <w:t xml:space="preserve"> is not a generic form of any other fentanyl product and it is not equivalent on a μg per μg (1:1) basis with </w:t>
      </w:r>
      <w:r w:rsidR="0090462E">
        <w:rPr>
          <w:rFonts w:cs="Arial"/>
          <w:snapToGrid w:val="0"/>
        </w:rPr>
        <w:t>any</w:t>
      </w:r>
      <w:r w:rsidRPr="00FD2587">
        <w:rPr>
          <w:rFonts w:cs="Arial"/>
          <w:snapToGrid w:val="0"/>
        </w:rPr>
        <w:t xml:space="preserve"> other fentanyl product. Due to differences in the pharmacokinetic properties of different fentanyl products and the individual variability of patients, patients switching from other fentanyl containing products to Abstral</w:t>
      </w:r>
      <w:r w:rsidR="0090462E" w:rsidRPr="00FD2587">
        <w:rPr>
          <w:rFonts w:cs="Arial"/>
        </w:rPr>
        <w:t>®</w:t>
      </w:r>
      <w:r w:rsidRPr="00FD2587">
        <w:rPr>
          <w:rFonts w:cs="Arial"/>
          <w:snapToGrid w:val="0"/>
        </w:rPr>
        <w:t xml:space="preserve"> must also start w</w:t>
      </w:r>
      <w:r w:rsidR="0090462E">
        <w:rPr>
          <w:rFonts w:cs="Arial"/>
          <w:snapToGrid w:val="0"/>
        </w:rPr>
        <w:t>ith the 100 </w:t>
      </w:r>
      <w:r w:rsidR="0002022E">
        <w:rPr>
          <w:rFonts w:cs="Arial"/>
          <w:snapToGrid w:val="0"/>
        </w:rPr>
        <w:t>mcg</w:t>
      </w:r>
      <w:r w:rsidR="0002022E" w:rsidRPr="00FD2587">
        <w:rPr>
          <w:rFonts w:cs="Arial"/>
          <w:snapToGrid w:val="0"/>
        </w:rPr>
        <w:t xml:space="preserve"> </w:t>
      </w:r>
      <w:r w:rsidRPr="00FD2587">
        <w:rPr>
          <w:rFonts w:cs="Arial"/>
          <w:snapToGrid w:val="0"/>
        </w:rPr>
        <w:t>dose and follow Abstral</w:t>
      </w:r>
      <w:r w:rsidR="0090462E" w:rsidRPr="00FD2587">
        <w:rPr>
          <w:rFonts w:cs="Arial"/>
        </w:rPr>
        <w:t>®</w:t>
      </w:r>
      <w:r w:rsidRPr="00FD2587">
        <w:rPr>
          <w:rFonts w:cs="Arial"/>
          <w:snapToGrid w:val="0"/>
        </w:rPr>
        <w:t xml:space="preserve"> specific titration process contained in the appr</w:t>
      </w:r>
      <w:r w:rsidR="0090462E">
        <w:rPr>
          <w:rFonts w:cs="Arial"/>
          <w:snapToGrid w:val="0"/>
        </w:rPr>
        <w:t>oved Product information sheet.</w:t>
      </w:r>
    </w:p>
    <w:p w:rsidR="005F74A1" w:rsidRPr="0090462E" w:rsidRDefault="005F74A1" w:rsidP="00A96922"/>
    <w:p w:rsidR="005F74A1" w:rsidRPr="0090462E" w:rsidRDefault="005F74A1" w:rsidP="00A96922"/>
    <w:p w:rsidR="00206B7F" w:rsidRPr="00A96922" w:rsidRDefault="0090462E" w:rsidP="001376E7">
      <w:pPr>
        <w:pStyle w:val="PBACHeading1"/>
        <w:numPr>
          <w:ilvl w:val="0"/>
          <w:numId w:val="20"/>
        </w:numPr>
        <w:ind w:left="720" w:hanging="720"/>
        <w:rPr>
          <w:szCs w:val="32"/>
        </w:rPr>
      </w:pPr>
      <w:r w:rsidRPr="00A96922">
        <w:rPr>
          <w:szCs w:val="32"/>
        </w:rPr>
        <w:t>Consideration of the evidence</w:t>
      </w:r>
    </w:p>
    <w:p w:rsidR="00A41207" w:rsidRPr="0090462E" w:rsidRDefault="00A41207" w:rsidP="009633C0">
      <w:pPr>
        <w:rPr>
          <w:rFonts w:cs="Arial"/>
        </w:rPr>
      </w:pPr>
    </w:p>
    <w:p w:rsidR="00A41207" w:rsidRPr="00A96922" w:rsidRDefault="0090462E" w:rsidP="00D109F2">
      <w:pPr>
        <w:keepNext/>
        <w:outlineLvl w:val="1"/>
        <w:rPr>
          <w:rFonts w:cs="Arial"/>
          <w:b/>
          <w:i/>
          <w:sz w:val="28"/>
          <w:szCs w:val="28"/>
          <w:lang w:eastAsia="en-AU"/>
        </w:rPr>
      </w:pPr>
      <w:r w:rsidRPr="00A96922">
        <w:rPr>
          <w:rFonts w:cs="Arial"/>
          <w:b/>
          <w:i/>
          <w:sz w:val="28"/>
          <w:szCs w:val="28"/>
          <w:lang w:eastAsia="en-AU"/>
        </w:rPr>
        <w:t>Sponsor hearing</w:t>
      </w:r>
    </w:p>
    <w:p w:rsidR="00D109F2" w:rsidRPr="0090462E" w:rsidRDefault="00D109F2" w:rsidP="00A96922">
      <w:pPr>
        <w:rPr>
          <w:lang w:eastAsia="en-AU"/>
        </w:rPr>
      </w:pPr>
    </w:p>
    <w:p w:rsidR="00A41207" w:rsidRPr="002267E9" w:rsidRDefault="00A41207" w:rsidP="00D109F2">
      <w:pPr>
        <w:pStyle w:val="ListParagraph"/>
        <w:widowControl w:val="0"/>
        <w:numPr>
          <w:ilvl w:val="1"/>
          <w:numId w:val="20"/>
        </w:numPr>
        <w:ind w:left="709" w:hanging="709"/>
        <w:jc w:val="both"/>
        <w:rPr>
          <w:rFonts w:cs="Arial"/>
          <w:snapToGrid w:val="0"/>
        </w:rPr>
      </w:pPr>
      <w:r w:rsidRPr="002267E9">
        <w:rPr>
          <w:rFonts w:cs="Arial"/>
          <w:snapToGrid w:val="0"/>
        </w:rPr>
        <w:t>There was no hearing for this item as it was a minor submission.</w:t>
      </w:r>
    </w:p>
    <w:p w:rsidR="00A41207" w:rsidRPr="002267E9" w:rsidRDefault="00A41207" w:rsidP="00A41207">
      <w:pPr>
        <w:ind w:left="709" w:hanging="709"/>
        <w:jc w:val="both"/>
        <w:rPr>
          <w:rFonts w:cs="Arial"/>
          <w:lang w:eastAsia="en-AU"/>
        </w:rPr>
      </w:pPr>
    </w:p>
    <w:p w:rsidR="00A41207" w:rsidRPr="00A96922" w:rsidRDefault="0090462E" w:rsidP="00D109F2">
      <w:pPr>
        <w:keepNext/>
        <w:outlineLvl w:val="1"/>
        <w:rPr>
          <w:rFonts w:cs="Arial"/>
          <w:b/>
          <w:i/>
          <w:sz w:val="28"/>
          <w:szCs w:val="28"/>
          <w:lang w:eastAsia="en-AU"/>
        </w:rPr>
      </w:pPr>
      <w:r w:rsidRPr="00A96922">
        <w:rPr>
          <w:rFonts w:cs="Arial"/>
          <w:b/>
          <w:i/>
          <w:sz w:val="28"/>
          <w:szCs w:val="28"/>
          <w:lang w:eastAsia="en-AU"/>
        </w:rPr>
        <w:lastRenderedPageBreak/>
        <w:t>Consumer comments</w:t>
      </w:r>
    </w:p>
    <w:p w:rsidR="004955E0" w:rsidRPr="0090462E" w:rsidRDefault="004955E0" w:rsidP="00A96922">
      <w:pPr>
        <w:rPr>
          <w:lang w:eastAsia="en-AU"/>
        </w:rPr>
      </w:pPr>
    </w:p>
    <w:p w:rsidR="008D14BD" w:rsidRPr="00D109F2" w:rsidRDefault="0011291A" w:rsidP="00B765B2">
      <w:pPr>
        <w:pStyle w:val="ListParagraph"/>
        <w:widowControl w:val="0"/>
        <w:numPr>
          <w:ilvl w:val="1"/>
          <w:numId w:val="20"/>
        </w:numPr>
        <w:ind w:left="709" w:hanging="709"/>
        <w:jc w:val="both"/>
        <w:rPr>
          <w:rFonts w:cs="Arial"/>
          <w:snapToGrid w:val="0"/>
        </w:rPr>
      </w:pPr>
      <w:r w:rsidRPr="0011291A">
        <w:rPr>
          <w:rFonts w:cs="Arial"/>
          <w:snapToGrid w:val="0"/>
        </w:rPr>
        <w:t>The PBAC noted and welcomed the input from</w:t>
      </w:r>
      <w:r>
        <w:rPr>
          <w:rFonts w:cs="Arial"/>
          <w:snapToGrid w:val="0"/>
        </w:rPr>
        <w:t xml:space="preserve"> </w:t>
      </w:r>
      <w:r w:rsidRPr="0011291A">
        <w:rPr>
          <w:rFonts w:cs="Arial"/>
          <w:snapToGrid w:val="0"/>
        </w:rPr>
        <w:t>health care professionals</w:t>
      </w:r>
      <w:r w:rsidR="00D109F2">
        <w:rPr>
          <w:rFonts w:cs="Arial"/>
          <w:snapToGrid w:val="0"/>
        </w:rPr>
        <w:t xml:space="preserve"> </w:t>
      </w:r>
      <w:r w:rsidRPr="0011291A">
        <w:rPr>
          <w:rFonts w:cs="Arial"/>
          <w:snapToGrid w:val="0"/>
        </w:rPr>
        <w:t xml:space="preserve">(1) via the Consumer Comments facility on the PBS website.  The comments described </w:t>
      </w:r>
      <w:r>
        <w:rPr>
          <w:rFonts w:cs="Arial"/>
          <w:snapToGrid w:val="0"/>
        </w:rPr>
        <w:t xml:space="preserve">difficulty for these patients to see a doctor easily and indicated that the proposed increase in the </w:t>
      </w:r>
      <w:r w:rsidR="00D109F2">
        <w:rPr>
          <w:rFonts w:cs="Arial"/>
          <w:snapToGrid w:val="0"/>
        </w:rPr>
        <w:t>maximum</w:t>
      </w:r>
      <w:r>
        <w:rPr>
          <w:rFonts w:cs="Arial"/>
          <w:snapToGrid w:val="0"/>
        </w:rPr>
        <w:t xml:space="preserve"> quantity would aid in the correct treatment of these terminally ill patients with fentanyl.</w:t>
      </w:r>
    </w:p>
    <w:p w:rsidR="00A41207" w:rsidRPr="002267E9" w:rsidRDefault="00A41207" w:rsidP="00A96922"/>
    <w:p w:rsidR="00A41207" w:rsidRPr="00A96922" w:rsidRDefault="00A41207" w:rsidP="00D109F2">
      <w:pPr>
        <w:pStyle w:val="ListParagraph"/>
        <w:keepNext/>
        <w:ind w:left="0"/>
        <w:outlineLvl w:val="1"/>
        <w:rPr>
          <w:rFonts w:cs="Arial"/>
          <w:b/>
          <w:i/>
          <w:sz w:val="32"/>
          <w:szCs w:val="32"/>
          <w:lang w:eastAsia="en-AU"/>
        </w:rPr>
      </w:pPr>
      <w:r w:rsidRPr="00A96922">
        <w:rPr>
          <w:rFonts w:cs="Arial"/>
          <w:b/>
          <w:i/>
          <w:sz w:val="28"/>
          <w:szCs w:val="28"/>
          <w:lang w:eastAsia="en-AU"/>
        </w:rPr>
        <w:t>Estimated PBS usage &amp; financial implications</w:t>
      </w:r>
    </w:p>
    <w:p w:rsidR="00206B7F" w:rsidRPr="0090462E" w:rsidRDefault="00206B7F" w:rsidP="008040FD">
      <w:pPr>
        <w:ind w:left="709" w:hanging="709"/>
        <w:jc w:val="both"/>
        <w:rPr>
          <w:rFonts w:cs="Arial"/>
          <w:lang w:eastAsia="en-AU"/>
        </w:rPr>
      </w:pPr>
    </w:p>
    <w:p w:rsidR="00896B98" w:rsidRPr="0077767F" w:rsidRDefault="00896B98" w:rsidP="00D109F2">
      <w:pPr>
        <w:pStyle w:val="ListParagraph"/>
        <w:widowControl w:val="0"/>
        <w:numPr>
          <w:ilvl w:val="1"/>
          <w:numId w:val="20"/>
        </w:numPr>
        <w:ind w:left="709" w:hanging="709"/>
        <w:jc w:val="both"/>
        <w:rPr>
          <w:rFonts w:cs="Arial"/>
          <w:snapToGrid w:val="0"/>
        </w:rPr>
      </w:pPr>
      <w:r w:rsidRPr="0077767F">
        <w:rPr>
          <w:rFonts w:cs="Arial"/>
          <w:snapToGrid w:val="0"/>
        </w:rPr>
        <w:t xml:space="preserve">The submission </w:t>
      </w:r>
      <w:r w:rsidR="00DF2AC2" w:rsidRPr="0077767F">
        <w:rPr>
          <w:rFonts w:cs="Arial"/>
          <w:snapToGrid w:val="0"/>
        </w:rPr>
        <w:t>did not request any changes to</w:t>
      </w:r>
      <w:r w:rsidRPr="0077767F">
        <w:rPr>
          <w:rFonts w:cs="Arial"/>
          <w:snapToGrid w:val="0"/>
        </w:rPr>
        <w:t xml:space="preserve"> the cu</w:t>
      </w:r>
      <w:r w:rsidR="0090462E">
        <w:rPr>
          <w:rFonts w:cs="Arial"/>
          <w:snapToGrid w:val="0"/>
        </w:rPr>
        <w:t>rrent prices for Abstral</w:t>
      </w:r>
      <w:r w:rsidR="0090462E" w:rsidRPr="00FD2587">
        <w:rPr>
          <w:rFonts w:cs="Arial"/>
        </w:rPr>
        <w:t>®</w:t>
      </w:r>
      <w:r w:rsidR="0090462E">
        <w:rPr>
          <w:rFonts w:cs="Arial"/>
          <w:snapToGrid w:val="0"/>
        </w:rPr>
        <w:t xml:space="preserve"> in the</w:t>
      </w:r>
      <w:r w:rsidR="0077767F">
        <w:rPr>
          <w:rFonts w:cs="Arial"/>
          <w:snapToGrid w:val="0"/>
        </w:rPr>
        <w:t xml:space="preserve"> </w:t>
      </w:r>
      <w:r w:rsidRPr="0077767F">
        <w:rPr>
          <w:rFonts w:cs="Arial"/>
          <w:snapToGrid w:val="0"/>
        </w:rPr>
        <w:t>PBS. With</w:t>
      </w:r>
      <w:r w:rsidR="00DF2AC2" w:rsidRPr="0077767F">
        <w:rPr>
          <w:rFonts w:cs="Arial"/>
          <w:snapToGrid w:val="0"/>
        </w:rPr>
        <w:t xml:space="preserve"> an increase in the maximum quantity to</w:t>
      </w:r>
      <w:r w:rsidRPr="0077767F">
        <w:rPr>
          <w:rFonts w:cs="Arial"/>
          <w:snapToGrid w:val="0"/>
        </w:rPr>
        <w:t xml:space="preserve"> 2 x 10 initiation packs, the revised </w:t>
      </w:r>
      <w:r w:rsidR="00DF2AC2" w:rsidRPr="0077767F">
        <w:rPr>
          <w:rFonts w:cs="Arial"/>
          <w:snapToGrid w:val="0"/>
        </w:rPr>
        <w:t xml:space="preserve">Dispensed Price Maximum Quantity (DPMQ) </w:t>
      </w:r>
      <w:r w:rsidRPr="0077767F">
        <w:rPr>
          <w:rFonts w:cs="Arial"/>
          <w:snapToGrid w:val="0"/>
        </w:rPr>
        <w:t xml:space="preserve">prices for </w:t>
      </w:r>
      <w:r w:rsidR="00DF2AC2" w:rsidRPr="0077767F">
        <w:rPr>
          <w:rFonts w:cs="Arial"/>
          <w:snapToGrid w:val="0"/>
        </w:rPr>
        <w:t>changes</w:t>
      </w:r>
      <w:r w:rsidRPr="0077767F">
        <w:rPr>
          <w:rFonts w:cs="Arial"/>
          <w:snapToGrid w:val="0"/>
        </w:rPr>
        <w:t xml:space="preserve"> would be:</w:t>
      </w:r>
    </w:p>
    <w:p w:rsidR="00896B98" w:rsidRPr="00FD2587" w:rsidRDefault="00896B98" w:rsidP="0090462E">
      <w:pPr>
        <w:pStyle w:val="ListParagraph"/>
        <w:widowControl w:val="0"/>
        <w:numPr>
          <w:ilvl w:val="0"/>
          <w:numId w:val="16"/>
        </w:numPr>
        <w:tabs>
          <w:tab w:val="left" w:pos="1134"/>
        </w:tabs>
        <w:ind w:left="1134" w:right="-58" w:hanging="425"/>
        <w:jc w:val="both"/>
        <w:rPr>
          <w:rFonts w:cs="Arial"/>
          <w:snapToGrid w:val="0"/>
        </w:rPr>
      </w:pPr>
      <w:r w:rsidRPr="00FD2587">
        <w:rPr>
          <w:rFonts w:cs="Arial"/>
          <w:snapToGrid w:val="0"/>
        </w:rPr>
        <w:t>Abstral</w:t>
      </w:r>
      <w:r w:rsidR="0090462E" w:rsidRPr="00FD2587">
        <w:rPr>
          <w:rFonts w:cs="Arial"/>
        </w:rPr>
        <w:t>®</w:t>
      </w:r>
      <w:r w:rsidRPr="00FD2587">
        <w:rPr>
          <w:rFonts w:cs="Arial"/>
          <w:snapToGrid w:val="0"/>
        </w:rPr>
        <w:t xml:space="preserve"> fentanyl 100</w:t>
      </w:r>
      <w:r w:rsidR="0090462E">
        <w:rPr>
          <w:rFonts w:cs="Arial"/>
          <w:snapToGrid w:val="0"/>
        </w:rPr>
        <w:t> </w:t>
      </w:r>
      <w:r w:rsidR="0090462E">
        <w:rPr>
          <w:rFonts w:cs="Arial"/>
          <w:lang w:eastAsia="en-AU"/>
        </w:rPr>
        <w:t>mc</w:t>
      </w:r>
      <w:r w:rsidRPr="00FD2587">
        <w:rPr>
          <w:rFonts w:cs="Arial"/>
          <w:lang w:eastAsia="en-AU"/>
        </w:rPr>
        <w:t>g sublingual tables, 2 x 10s, DPMQ of $ 159.74</w:t>
      </w:r>
    </w:p>
    <w:p w:rsidR="00896B98" w:rsidRPr="00FD2587" w:rsidRDefault="00896B98" w:rsidP="0090462E">
      <w:pPr>
        <w:pStyle w:val="ListParagraph"/>
        <w:widowControl w:val="0"/>
        <w:numPr>
          <w:ilvl w:val="0"/>
          <w:numId w:val="16"/>
        </w:numPr>
        <w:tabs>
          <w:tab w:val="left" w:pos="1134"/>
        </w:tabs>
        <w:ind w:left="1134" w:right="-58" w:hanging="425"/>
        <w:jc w:val="both"/>
        <w:rPr>
          <w:rFonts w:cs="Arial"/>
          <w:snapToGrid w:val="0"/>
        </w:rPr>
      </w:pPr>
      <w:r w:rsidRPr="00FD2587">
        <w:rPr>
          <w:rFonts w:cs="Arial"/>
          <w:snapToGrid w:val="0"/>
        </w:rPr>
        <w:t>Abstral</w:t>
      </w:r>
      <w:r w:rsidR="0090462E" w:rsidRPr="00FD2587">
        <w:rPr>
          <w:rFonts w:cs="Arial"/>
        </w:rPr>
        <w:t>®</w:t>
      </w:r>
      <w:r w:rsidRPr="00FD2587">
        <w:rPr>
          <w:rFonts w:cs="Arial"/>
          <w:snapToGrid w:val="0"/>
        </w:rPr>
        <w:t xml:space="preserve"> fentanyl 200</w:t>
      </w:r>
      <w:r w:rsidR="0090462E">
        <w:rPr>
          <w:rFonts w:cs="Arial"/>
          <w:snapToGrid w:val="0"/>
        </w:rPr>
        <w:t> </w:t>
      </w:r>
      <w:r w:rsidR="0090462E">
        <w:rPr>
          <w:rFonts w:cs="Arial"/>
          <w:lang w:eastAsia="en-AU"/>
        </w:rPr>
        <w:t>mc</w:t>
      </w:r>
      <w:r w:rsidRPr="00FD2587">
        <w:rPr>
          <w:rFonts w:cs="Arial"/>
          <w:lang w:eastAsia="en-AU"/>
        </w:rPr>
        <w:t>g sublingual tables, 2 x 10s, DPMQ of $ 159.74</w:t>
      </w:r>
    </w:p>
    <w:p w:rsidR="00896B98" w:rsidRPr="0090462E" w:rsidRDefault="00896B98" w:rsidP="0090462E">
      <w:pPr>
        <w:tabs>
          <w:tab w:val="left" w:pos="709"/>
        </w:tabs>
        <w:jc w:val="both"/>
        <w:rPr>
          <w:rFonts w:cs="Arial"/>
          <w:lang w:eastAsia="en-AU"/>
        </w:rPr>
      </w:pPr>
    </w:p>
    <w:p w:rsidR="00896B98" w:rsidRPr="0077767F" w:rsidRDefault="00896B98" w:rsidP="00B765B2">
      <w:pPr>
        <w:pStyle w:val="ListParagraph"/>
        <w:widowControl w:val="0"/>
        <w:numPr>
          <w:ilvl w:val="1"/>
          <w:numId w:val="20"/>
        </w:numPr>
        <w:ind w:left="709" w:hanging="709"/>
        <w:jc w:val="both"/>
        <w:rPr>
          <w:rFonts w:cs="Arial"/>
          <w:snapToGrid w:val="0"/>
        </w:rPr>
      </w:pPr>
      <w:r w:rsidRPr="0077767F">
        <w:rPr>
          <w:rFonts w:cs="Arial"/>
          <w:snapToGrid w:val="0"/>
        </w:rPr>
        <w:t xml:space="preserve">The submission stated that the proposed </w:t>
      </w:r>
      <w:r w:rsidR="009E11C6" w:rsidRPr="0077767F">
        <w:rPr>
          <w:rFonts w:cs="Arial"/>
          <w:snapToGrid w:val="0"/>
        </w:rPr>
        <w:t xml:space="preserve">change </w:t>
      </w:r>
      <w:r w:rsidR="00636943" w:rsidRPr="0077767F">
        <w:rPr>
          <w:rFonts w:cs="Arial"/>
          <w:snapToGrid w:val="0"/>
        </w:rPr>
        <w:t>to the</w:t>
      </w:r>
      <w:r w:rsidR="009E11C6" w:rsidRPr="0077767F">
        <w:rPr>
          <w:rFonts w:cs="Arial"/>
          <w:snapToGrid w:val="0"/>
        </w:rPr>
        <w:t xml:space="preserve"> </w:t>
      </w:r>
      <w:r w:rsidRPr="0077767F">
        <w:rPr>
          <w:rFonts w:cs="Arial"/>
          <w:snapToGrid w:val="0"/>
        </w:rPr>
        <w:t xml:space="preserve">listing </w:t>
      </w:r>
      <w:r w:rsidR="009E11C6" w:rsidRPr="0077767F">
        <w:rPr>
          <w:rFonts w:cs="Arial"/>
          <w:snapToGrid w:val="0"/>
        </w:rPr>
        <w:t>wa</w:t>
      </w:r>
      <w:r w:rsidRPr="0077767F">
        <w:rPr>
          <w:rFonts w:cs="Arial"/>
          <w:snapToGrid w:val="0"/>
        </w:rPr>
        <w:t>s not expected to increase the gross amount of Abstral</w:t>
      </w:r>
      <w:r w:rsidR="00D728F9" w:rsidRPr="00FD2587">
        <w:rPr>
          <w:rFonts w:cs="Arial"/>
        </w:rPr>
        <w:t>®</w:t>
      </w:r>
      <w:r w:rsidRPr="0077767F">
        <w:rPr>
          <w:rFonts w:cs="Arial"/>
          <w:snapToGrid w:val="0"/>
        </w:rPr>
        <w:t xml:space="preserve"> dispensed to patients and w</w:t>
      </w:r>
      <w:r w:rsidR="00841BAF" w:rsidRPr="0077767F">
        <w:rPr>
          <w:rFonts w:cs="Arial"/>
          <w:snapToGrid w:val="0"/>
        </w:rPr>
        <w:t>ould</w:t>
      </w:r>
      <w:r w:rsidRPr="0077767F">
        <w:rPr>
          <w:rFonts w:cs="Arial"/>
          <w:snapToGrid w:val="0"/>
        </w:rPr>
        <w:t xml:space="preserve"> likely result in some savings to the MBS budget</w:t>
      </w:r>
      <w:r w:rsidR="009E11C6" w:rsidRPr="0077767F">
        <w:rPr>
          <w:rFonts w:cs="Arial"/>
          <w:snapToGrid w:val="0"/>
        </w:rPr>
        <w:t xml:space="preserve"> through reduced consultations for a new script.</w:t>
      </w:r>
    </w:p>
    <w:p w:rsidR="00896B98" w:rsidRPr="00D728F9" w:rsidRDefault="00896B98" w:rsidP="00D728F9">
      <w:pPr>
        <w:widowControl w:val="0"/>
        <w:tabs>
          <w:tab w:val="left" w:pos="709"/>
        </w:tabs>
        <w:jc w:val="both"/>
        <w:rPr>
          <w:rFonts w:cs="Arial"/>
          <w:snapToGrid w:val="0"/>
        </w:rPr>
      </w:pPr>
    </w:p>
    <w:p w:rsidR="00CF7DD5" w:rsidRPr="00FD2587" w:rsidRDefault="00896B98" w:rsidP="00B765B2">
      <w:pPr>
        <w:pStyle w:val="ListParagraph"/>
        <w:widowControl w:val="0"/>
        <w:numPr>
          <w:ilvl w:val="1"/>
          <w:numId w:val="20"/>
        </w:numPr>
        <w:ind w:left="709" w:hanging="709"/>
        <w:jc w:val="both"/>
        <w:rPr>
          <w:rFonts w:cs="Arial"/>
          <w:snapToGrid w:val="0"/>
        </w:rPr>
      </w:pPr>
      <w:r w:rsidRPr="00FD2587">
        <w:rPr>
          <w:rFonts w:cs="Arial"/>
          <w:snapToGrid w:val="0"/>
        </w:rPr>
        <w:t>The submission presented the estimated costs to the PBS/RPBS associated with the listing of Abstral</w:t>
      </w:r>
      <w:r w:rsidR="00D728F9" w:rsidRPr="00FD2587">
        <w:rPr>
          <w:rFonts w:cs="Arial"/>
        </w:rPr>
        <w:t>®</w:t>
      </w:r>
      <w:r w:rsidRPr="00FD2587">
        <w:rPr>
          <w:rFonts w:cs="Arial"/>
          <w:snapToGrid w:val="0"/>
        </w:rPr>
        <w:t xml:space="preserve">. As an </w:t>
      </w:r>
      <w:r w:rsidR="00F61A68" w:rsidRPr="00FD2587">
        <w:rPr>
          <w:rFonts w:cs="Arial"/>
          <w:snapToGrid w:val="0"/>
        </w:rPr>
        <w:t xml:space="preserve">increase in the maximum quantity per script </w:t>
      </w:r>
      <w:r w:rsidRPr="00FD2587">
        <w:rPr>
          <w:rFonts w:cs="Arial"/>
          <w:snapToGrid w:val="0"/>
        </w:rPr>
        <w:t xml:space="preserve">would result in a reduction of </w:t>
      </w:r>
      <w:r w:rsidR="00F61A68" w:rsidRPr="00FD2587">
        <w:rPr>
          <w:rFonts w:cs="Arial"/>
          <w:snapToGrid w:val="0"/>
        </w:rPr>
        <w:t xml:space="preserve">the </w:t>
      </w:r>
      <w:r w:rsidRPr="00FD2587">
        <w:rPr>
          <w:rFonts w:cs="Arial"/>
          <w:snapToGrid w:val="0"/>
        </w:rPr>
        <w:t xml:space="preserve">net prescriptions, there </w:t>
      </w:r>
      <w:r w:rsidR="00841BAF" w:rsidRPr="00FD2587">
        <w:rPr>
          <w:rFonts w:cs="Arial"/>
          <w:snapToGrid w:val="0"/>
        </w:rPr>
        <w:t>wa</w:t>
      </w:r>
      <w:r w:rsidRPr="00FD2587">
        <w:rPr>
          <w:rFonts w:cs="Arial"/>
          <w:snapToGrid w:val="0"/>
        </w:rPr>
        <w:t xml:space="preserve">s an overall net </w:t>
      </w:r>
      <w:r w:rsidR="00F61A68" w:rsidRPr="00FD2587">
        <w:rPr>
          <w:rFonts w:cs="Arial"/>
          <w:snapToGrid w:val="0"/>
        </w:rPr>
        <w:t xml:space="preserve">cost </w:t>
      </w:r>
      <w:r w:rsidRPr="00FD2587">
        <w:rPr>
          <w:rFonts w:cs="Arial"/>
          <w:snapToGrid w:val="0"/>
        </w:rPr>
        <w:t xml:space="preserve">to </w:t>
      </w:r>
      <w:r w:rsidR="00E75CA8" w:rsidRPr="00FD2587">
        <w:rPr>
          <w:rFonts w:cs="Arial"/>
          <w:snapToGrid w:val="0"/>
        </w:rPr>
        <w:t xml:space="preserve">the PBS/RPBS across the forward </w:t>
      </w:r>
      <w:r w:rsidRPr="00FD2587">
        <w:rPr>
          <w:rFonts w:cs="Arial"/>
          <w:snapToGrid w:val="0"/>
        </w:rPr>
        <w:t>projections</w:t>
      </w:r>
      <w:r w:rsidR="00FB03FC" w:rsidRPr="00FD2587">
        <w:rPr>
          <w:rFonts w:cs="Arial"/>
          <w:snapToGrid w:val="0"/>
        </w:rPr>
        <w:t xml:space="preserve"> </w:t>
      </w:r>
      <w:r w:rsidR="00F61A68" w:rsidRPr="00FD2587">
        <w:rPr>
          <w:rFonts w:cs="Arial"/>
          <w:snapToGrid w:val="0"/>
        </w:rPr>
        <w:t>resulting from the reduced co-payments from patients</w:t>
      </w:r>
      <w:r w:rsidR="00D728F9">
        <w:rPr>
          <w:rFonts w:cs="Arial"/>
          <w:snapToGrid w:val="0"/>
        </w:rPr>
        <w:t>.</w:t>
      </w:r>
    </w:p>
    <w:p w:rsidR="00896B98" w:rsidRPr="00FD2587" w:rsidRDefault="00896B98" w:rsidP="008040FD">
      <w:pPr>
        <w:pStyle w:val="ListParagraph"/>
        <w:ind w:left="709" w:hanging="709"/>
        <w:jc w:val="both"/>
        <w:rPr>
          <w:lang w:eastAsia="en-AU"/>
        </w:rPr>
      </w:pPr>
    </w:p>
    <w:p w:rsidR="00A75708" w:rsidRPr="00FD2587" w:rsidRDefault="00FF32A6" w:rsidP="00B765B2">
      <w:pPr>
        <w:pStyle w:val="ListParagraph"/>
        <w:widowControl w:val="0"/>
        <w:numPr>
          <w:ilvl w:val="1"/>
          <w:numId w:val="20"/>
        </w:numPr>
        <w:ind w:left="709" w:hanging="709"/>
        <w:jc w:val="both"/>
        <w:rPr>
          <w:rFonts w:cs="Arial"/>
          <w:snapToGrid w:val="0"/>
        </w:rPr>
      </w:pPr>
      <w:r w:rsidRPr="00FD2587">
        <w:rPr>
          <w:rFonts w:cs="Arial"/>
          <w:snapToGrid w:val="0"/>
        </w:rPr>
        <w:t xml:space="preserve">The submission also presented the </w:t>
      </w:r>
      <w:r w:rsidR="009E11C6" w:rsidRPr="00FD2587">
        <w:rPr>
          <w:rFonts w:cs="Arial"/>
          <w:snapToGrid w:val="0"/>
        </w:rPr>
        <w:t xml:space="preserve">proposed </w:t>
      </w:r>
      <w:r w:rsidRPr="00FD2587">
        <w:rPr>
          <w:rFonts w:cs="Arial"/>
          <w:snapToGrid w:val="0"/>
        </w:rPr>
        <w:t xml:space="preserve">net implications for the health budget. Due to the </w:t>
      </w:r>
      <w:r w:rsidR="00841BAF" w:rsidRPr="00FD2587">
        <w:rPr>
          <w:rFonts w:cs="Arial"/>
          <w:snapToGrid w:val="0"/>
        </w:rPr>
        <w:t xml:space="preserve">predicted </w:t>
      </w:r>
      <w:r w:rsidRPr="00FD2587">
        <w:rPr>
          <w:rFonts w:cs="Arial"/>
          <w:snapToGrid w:val="0"/>
        </w:rPr>
        <w:t xml:space="preserve">reduction in MBS costs, the proposed amendment to the listing of Abstral </w:t>
      </w:r>
      <w:r w:rsidR="00841BAF" w:rsidRPr="00FD2587">
        <w:rPr>
          <w:rFonts w:cs="Arial"/>
          <w:snapToGrid w:val="0"/>
        </w:rPr>
        <w:t>was</w:t>
      </w:r>
      <w:r w:rsidR="009E11C6" w:rsidRPr="00FD2587">
        <w:rPr>
          <w:rFonts w:cs="Arial"/>
          <w:snapToGrid w:val="0"/>
        </w:rPr>
        <w:t xml:space="preserve"> predicted</w:t>
      </w:r>
      <w:r w:rsidR="0011291A">
        <w:rPr>
          <w:rFonts w:cs="Arial"/>
          <w:snapToGrid w:val="0"/>
        </w:rPr>
        <w:t xml:space="preserve"> by the sponsor</w:t>
      </w:r>
      <w:r w:rsidR="009E11C6" w:rsidRPr="00FD2587">
        <w:rPr>
          <w:rFonts w:cs="Arial"/>
          <w:snapToGrid w:val="0"/>
        </w:rPr>
        <w:t xml:space="preserve"> to be a</w:t>
      </w:r>
      <w:r w:rsidRPr="00FD2587">
        <w:rPr>
          <w:rFonts w:cs="Arial"/>
          <w:snapToGrid w:val="0"/>
        </w:rPr>
        <w:t xml:space="preserve"> cost saving in each </w:t>
      </w:r>
      <w:bookmarkStart w:id="1" w:name="_Toc480190972"/>
      <w:r w:rsidR="00D728F9">
        <w:rPr>
          <w:rFonts w:cs="Arial"/>
          <w:snapToGrid w:val="0"/>
        </w:rPr>
        <w:t>of the forward projected years.</w:t>
      </w:r>
    </w:p>
    <w:p w:rsidR="00A75708" w:rsidRPr="00D728F9" w:rsidRDefault="00A75708" w:rsidP="00D728F9">
      <w:pPr>
        <w:widowControl w:val="0"/>
        <w:jc w:val="both"/>
        <w:rPr>
          <w:rFonts w:cs="Arial"/>
          <w:snapToGrid w:val="0"/>
        </w:rPr>
      </w:pPr>
    </w:p>
    <w:p w:rsidR="00912F5A" w:rsidRPr="003C6F86" w:rsidRDefault="00912F5A" w:rsidP="00D728F9">
      <w:pPr>
        <w:ind w:left="709"/>
        <w:jc w:val="both"/>
        <w:rPr>
          <w:rFonts w:cs="Arial"/>
          <w:snapToGrid w:val="0"/>
        </w:rPr>
      </w:pPr>
      <w:r w:rsidRPr="003C6F86">
        <w:rPr>
          <w:rFonts w:cs="Arial"/>
          <w:i/>
        </w:rPr>
        <w:t>For more detail on PBAC’s view, see section 6 “PBAC outcome.”</w:t>
      </w:r>
    </w:p>
    <w:p w:rsidR="00912F5A" w:rsidRDefault="00912F5A" w:rsidP="00D728F9">
      <w:pPr>
        <w:widowControl w:val="0"/>
        <w:jc w:val="both"/>
        <w:rPr>
          <w:rFonts w:cs="Arial"/>
          <w:snapToGrid w:val="0"/>
        </w:rPr>
      </w:pPr>
    </w:p>
    <w:p w:rsidR="00D728F9" w:rsidRPr="00D728F9" w:rsidRDefault="00D728F9" w:rsidP="00D728F9">
      <w:pPr>
        <w:widowControl w:val="0"/>
        <w:jc w:val="both"/>
        <w:rPr>
          <w:rFonts w:cs="Arial"/>
          <w:snapToGrid w:val="0"/>
        </w:rPr>
      </w:pPr>
    </w:p>
    <w:bookmarkEnd w:id="1"/>
    <w:p w:rsidR="004345C0" w:rsidRPr="00A96922" w:rsidRDefault="00D728F9" w:rsidP="00B765B2">
      <w:pPr>
        <w:pStyle w:val="PBACHeading1"/>
        <w:numPr>
          <w:ilvl w:val="0"/>
          <w:numId w:val="20"/>
        </w:numPr>
        <w:ind w:left="720" w:hanging="720"/>
        <w:rPr>
          <w:szCs w:val="32"/>
        </w:rPr>
      </w:pPr>
      <w:r w:rsidRPr="00A96922">
        <w:rPr>
          <w:szCs w:val="32"/>
        </w:rPr>
        <w:t>PBAC Outcome</w:t>
      </w:r>
    </w:p>
    <w:p w:rsidR="00427488" w:rsidRPr="00427488" w:rsidRDefault="00427488" w:rsidP="00A96922"/>
    <w:p w:rsidR="00427488" w:rsidRDefault="00383CEF" w:rsidP="00D728F9">
      <w:pPr>
        <w:pStyle w:val="ListParagraph"/>
        <w:numPr>
          <w:ilvl w:val="1"/>
          <w:numId w:val="36"/>
        </w:numPr>
        <w:ind w:left="709" w:hanging="709"/>
        <w:jc w:val="both"/>
        <w:rPr>
          <w:bCs/>
        </w:rPr>
      </w:pPr>
      <w:r w:rsidRPr="00427488">
        <w:rPr>
          <w:bCs/>
        </w:rPr>
        <w:t>The PBA</w:t>
      </w:r>
      <w:r w:rsidR="0011291A">
        <w:rPr>
          <w:bCs/>
        </w:rPr>
        <w:t>C</w:t>
      </w:r>
      <w:r w:rsidRPr="00427488">
        <w:rPr>
          <w:bCs/>
        </w:rPr>
        <w:t xml:space="preserve"> recommended </w:t>
      </w:r>
      <w:r w:rsidR="008F31AF" w:rsidRPr="00427488">
        <w:rPr>
          <w:bCs/>
        </w:rPr>
        <w:t>the changes to the curr</w:t>
      </w:r>
      <w:r w:rsidR="00390548" w:rsidRPr="00427488">
        <w:rPr>
          <w:bCs/>
        </w:rPr>
        <w:t xml:space="preserve">ent Authority Required listing </w:t>
      </w:r>
      <w:r w:rsidR="00D728F9">
        <w:rPr>
          <w:bCs/>
        </w:rPr>
        <w:t>of f</w:t>
      </w:r>
      <w:r w:rsidR="00D728F9" w:rsidRPr="00FD2587">
        <w:rPr>
          <w:rFonts w:cs="Arial"/>
          <w:snapToGrid w:val="0"/>
        </w:rPr>
        <w:t xml:space="preserve">entanyl </w:t>
      </w:r>
      <w:r w:rsidR="00D728F9">
        <w:rPr>
          <w:rFonts w:cs="Arial"/>
          <w:snapToGrid w:val="0"/>
        </w:rPr>
        <w:t>c</w:t>
      </w:r>
      <w:r w:rsidR="00D728F9" w:rsidRPr="00FD2587">
        <w:rPr>
          <w:rFonts w:cs="Arial"/>
          <w:snapToGrid w:val="0"/>
        </w:rPr>
        <w:t xml:space="preserve">itrate </w:t>
      </w:r>
      <w:r w:rsidR="00D728F9">
        <w:rPr>
          <w:rFonts w:cs="Arial"/>
          <w:snapToGrid w:val="0"/>
        </w:rPr>
        <w:t>(</w:t>
      </w:r>
      <w:r w:rsidR="00D728F9" w:rsidRPr="00FD2587">
        <w:rPr>
          <w:rFonts w:cs="Arial"/>
          <w:snapToGrid w:val="0"/>
        </w:rPr>
        <w:t>Abstral</w:t>
      </w:r>
      <w:r w:rsidR="00D728F9" w:rsidRPr="00FD2587">
        <w:rPr>
          <w:rFonts w:cs="Arial"/>
        </w:rPr>
        <w:t>®</w:t>
      </w:r>
      <w:r w:rsidR="00D728F9">
        <w:rPr>
          <w:rFonts w:cs="Arial"/>
          <w:snapToGrid w:val="0"/>
        </w:rPr>
        <w:t>)</w:t>
      </w:r>
      <w:r w:rsidR="00D728F9" w:rsidRPr="00FD2587">
        <w:rPr>
          <w:rFonts w:cs="Arial"/>
          <w:snapToGrid w:val="0"/>
        </w:rPr>
        <w:t xml:space="preserve"> </w:t>
      </w:r>
      <w:r w:rsidR="00390548" w:rsidRPr="00427488">
        <w:rPr>
          <w:bCs/>
        </w:rPr>
        <w:t>o</w:t>
      </w:r>
      <w:r w:rsidR="008F31AF" w:rsidRPr="00427488">
        <w:rPr>
          <w:bCs/>
        </w:rPr>
        <w:t xml:space="preserve">n the Palliative Care Schedule of the PBS </w:t>
      </w:r>
      <w:r w:rsidR="00390548" w:rsidRPr="00427488">
        <w:rPr>
          <w:bCs/>
        </w:rPr>
        <w:t xml:space="preserve">by </w:t>
      </w:r>
      <w:r w:rsidR="00395EE9" w:rsidRPr="00427488">
        <w:rPr>
          <w:bCs/>
        </w:rPr>
        <w:t>increasing</w:t>
      </w:r>
      <w:r w:rsidR="00F25384" w:rsidRPr="00427488">
        <w:rPr>
          <w:bCs/>
        </w:rPr>
        <w:t xml:space="preserve"> the maximum quantity of the 100</w:t>
      </w:r>
      <w:r w:rsidR="00D728F9">
        <w:rPr>
          <w:bCs/>
        </w:rPr>
        <w:t> mcg and 200 </w:t>
      </w:r>
      <w:r w:rsidR="00F25384" w:rsidRPr="00427488">
        <w:rPr>
          <w:bCs/>
        </w:rPr>
        <w:t xml:space="preserve">mcg presentations from 10 to 20 tablets per </w:t>
      </w:r>
      <w:r w:rsidR="00D728F9">
        <w:rPr>
          <w:bCs/>
        </w:rPr>
        <w:t>pre</w:t>
      </w:r>
      <w:r w:rsidR="0023433C">
        <w:rPr>
          <w:bCs/>
        </w:rPr>
        <w:t>script</w:t>
      </w:r>
      <w:r w:rsidR="00D728F9">
        <w:rPr>
          <w:bCs/>
        </w:rPr>
        <w:t>ion</w:t>
      </w:r>
      <w:r w:rsidR="0023433C" w:rsidRPr="00427488">
        <w:rPr>
          <w:bCs/>
        </w:rPr>
        <w:t xml:space="preserve"> </w:t>
      </w:r>
      <w:r w:rsidR="00F25384" w:rsidRPr="00427488">
        <w:rPr>
          <w:bCs/>
        </w:rPr>
        <w:t xml:space="preserve">for dose titration </w:t>
      </w:r>
      <w:r w:rsidR="00315D13">
        <w:rPr>
          <w:bCs/>
        </w:rPr>
        <w:t>in</w:t>
      </w:r>
      <w:r w:rsidR="00315D13" w:rsidRPr="00427488">
        <w:rPr>
          <w:bCs/>
        </w:rPr>
        <w:t xml:space="preserve"> the initiation of treatment </w:t>
      </w:r>
      <w:r w:rsidR="00F25384" w:rsidRPr="00427488">
        <w:rPr>
          <w:bCs/>
        </w:rPr>
        <w:t>of cancer p</w:t>
      </w:r>
      <w:r w:rsidR="00D728F9">
        <w:rPr>
          <w:bCs/>
        </w:rPr>
        <w:t>atients with breakthrough pain.</w:t>
      </w:r>
    </w:p>
    <w:p w:rsidR="00427488" w:rsidRPr="00D728F9" w:rsidRDefault="00427488" w:rsidP="00D728F9">
      <w:pPr>
        <w:jc w:val="both"/>
        <w:rPr>
          <w:bCs/>
        </w:rPr>
      </w:pPr>
    </w:p>
    <w:p w:rsidR="00427488" w:rsidRPr="004D11D3" w:rsidRDefault="00427488" w:rsidP="00D728F9">
      <w:pPr>
        <w:pStyle w:val="ListParagraph"/>
        <w:numPr>
          <w:ilvl w:val="1"/>
          <w:numId w:val="36"/>
        </w:numPr>
        <w:ind w:left="709" w:hanging="709"/>
        <w:jc w:val="both"/>
      </w:pPr>
      <w:r w:rsidRPr="00427488">
        <w:rPr>
          <w:bCs/>
        </w:rPr>
        <w:t xml:space="preserve">The PBAC </w:t>
      </w:r>
      <w:r w:rsidR="00D728F9">
        <w:rPr>
          <w:bCs/>
        </w:rPr>
        <w:t xml:space="preserve">advised </w:t>
      </w:r>
      <w:r w:rsidRPr="00427488">
        <w:rPr>
          <w:bCs/>
        </w:rPr>
        <w:t xml:space="preserve">that the recommended changes to the listing </w:t>
      </w:r>
      <w:r w:rsidR="00D728F9">
        <w:rPr>
          <w:bCs/>
        </w:rPr>
        <w:t>would</w:t>
      </w:r>
      <w:r w:rsidRPr="00427488">
        <w:rPr>
          <w:bCs/>
        </w:rPr>
        <w:t xml:space="preserve"> not </w:t>
      </w:r>
      <w:r w:rsidR="00D728F9">
        <w:rPr>
          <w:bCs/>
        </w:rPr>
        <w:t xml:space="preserve">be </w:t>
      </w:r>
      <w:r w:rsidRPr="00427488">
        <w:rPr>
          <w:bCs/>
        </w:rPr>
        <w:t xml:space="preserve">expected to increase the gross amount dispensed to patients </w:t>
      </w:r>
      <w:r w:rsidR="004D11D3">
        <w:rPr>
          <w:bCs/>
        </w:rPr>
        <w:t>however, it would</w:t>
      </w:r>
      <w:r w:rsidRPr="00427488">
        <w:rPr>
          <w:bCs/>
        </w:rPr>
        <w:t xml:space="preserve"> incur additional costs to the PBS.</w:t>
      </w:r>
    </w:p>
    <w:p w:rsidR="004D11D3" w:rsidRPr="00D728F9" w:rsidRDefault="004D11D3" w:rsidP="00D728F9">
      <w:pPr>
        <w:jc w:val="both"/>
      </w:pPr>
    </w:p>
    <w:p w:rsidR="0023433C" w:rsidRPr="00427488" w:rsidRDefault="0023433C" w:rsidP="00D728F9">
      <w:pPr>
        <w:pStyle w:val="ListParagraph"/>
        <w:numPr>
          <w:ilvl w:val="1"/>
          <w:numId w:val="36"/>
        </w:numPr>
        <w:ind w:left="709" w:hanging="709"/>
        <w:jc w:val="both"/>
      </w:pPr>
      <w:r>
        <w:rPr>
          <w:bCs/>
        </w:rPr>
        <w:t xml:space="preserve">The PBAC considered that the reduction in MBS items as proposed by the sponsor were unlikely to be realised in actuality and that the recommended changes in the maximum quantity of </w:t>
      </w:r>
      <w:r w:rsidR="004D11D3">
        <w:rPr>
          <w:bCs/>
        </w:rPr>
        <w:t xml:space="preserve">fentanyl </w:t>
      </w:r>
      <w:r w:rsidR="004D11D3" w:rsidRPr="00427488">
        <w:rPr>
          <w:bCs/>
        </w:rPr>
        <w:t>100 mcg and 200 mcg presentations</w:t>
      </w:r>
      <w:r w:rsidR="004D11D3">
        <w:rPr>
          <w:bCs/>
        </w:rPr>
        <w:t xml:space="preserve"> would result in a cost to the PBS and the Government health budget</w:t>
      </w:r>
      <w:r w:rsidR="00D728F9">
        <w:rPr>
          <w:bCs/>
        </w:rPr>
        <w:t>s</w:t>
      </w:r>
      <w:r w:rsidR="004D11D3">
        <w:rPr>
          <w:bCs/>
        </w:rPr>
        <w:t>.</w:t>
      </w:r>
    </w:p>
    <w:p w:rsidR="00427488" w:rsidRPr="00D728F9" w:rsidRDefault="00427488" w:rsidP="00D728F9">
      <w:pPr>
        <w:rPr>
          <w:bCs/>
        </w:rPr>
      </w:pPr>
    </w:p>
    <w:p w:rsidR="0079309B" w:rsidRPr="00427488" w:rsidRDefault="00486836" w:rsidP="00D728F9">
      <w:pPr>
        <w:pStyle w:val="ListParagraph"/>
        <w:numPr>
          <w:ilvl w:val="1"/>
          <w:numId w:val="36"/>
        </w:numPr>
        <w:ind w:left="709" w:hanging="709"/>
        <w:jc w:val="both"/>
      </w:pPr>
      <w:r w:rsidRPr="00427488">
        <w:rPr>
          <w:bCs/>
        </w:rPr>
        <w:t xml:space="preserve">The PBAC </w:t>
      </w:r>
      <w:r w:rsidR="00C77C19" w:rsidRPr="00427488">
        <w:rPr>
          <w:bCs/>
        </w:rPr>
        <w:t xml:space="preserve">additionally </w:t>
      </w:r>
      <w:r w:rsidR="008C2181" w:rsidRPr="00427488">
        <w:rPr>
          <w:bCs/>
        </w:rPr>
        <w:t xml:space="preserve">recommended future discussion in regards to the growing size of </w:t>
      </w:r>
      <w:r w:rsidR="00390548" w:rsidRPr="00427488">
        <w:rPr>
          <w:bCs/>
        </w:rPr>
        <w:t xml:space="preserve">dose </w:t>
      </w:r>
      <w:r w:rsidR="008C2181" w:rsidRPr="00427488">
        <w:rPr>
          <w:bCs/>
        </w:rPr>
        <w:t>titration packs</w:t>
      </w:r>
      <w:r w:rsidR="00303284" w:rsidRPr="00427488">
        <w:rPr>
          <w:bCs/>
        </w:rPr>
        <w:t xml:space="preserve"> </w:t>
      </w:r>
      <w:r w:rsidR="008C2181" w:rsidRPr="00427488">
        <w:rPr>
          <w:bCs/>
        </w:rPr>
        <w:t>and the potential issue that this might represent in term</w:t>
      </w:r>
      <w:r w:rsidR="00C77C19" w:rsidRPr="00427488">
        <w:rPr>
          <w:bCs/>
        </w:rPr>
        <w:t xml:space="preserve">s of </w:t>
      </w:r>
      <w:r w:rsidR="00D728F9">
        <w:rPr>
          <w:bCs/>
        </w:rPr>
        <w:t xml:space="preserve">the </w:t>
      </w:r>
      <w:r w:rsidR="0002016F" w:rsidRPr="00427488">
        <w:rPr>
          <w:bCs/>
        </w:rPr>
        <w:t xml:space="preserve">quality use of </w:t>
      </w:r>
      <w:r w:rsidR="00303284" w:rsidRPr="00427488">
        <w:rPr>
          <w:bCs/>
        </w:rPr>
        <w:t xml:space="preserve">these </w:t>
      </w:r>
      <w:r w:rsidR="0002016F" w:rsidRPr="00427488">
        <w:rPr>
          <w:bCs/>
        </w:rPr>
        <w:t xml:space="preserve">medicines, particularly in terms of </w:t>
      </w:r>
      <w:r w:rsidR="00C77C19" w:rsidRPr="00427488">
        <w:rPr>
          <w:bCs/>
        </w:rPr>
        <w:t xml:space="preserve">product diversion. </w:t>
      </w:r>
      <w:r w:rsidR="004D11D3">
        <w:rPr>
          <w:bCs/>
        </w:rPr>
        <w:t xml:space="preserve">The PBAC noted that the submission did not </w:t>
      </w:r>
      <w:r w:rsidR="00B765B2">
        <w:rPr>
          <w:bCs/>
        </w:rPr>
        <w:t xml:space="preserve">fully </w:t>
      </w:r>
      <w:r w:rsidR="004D11D3">
        <w:rPr>
          <w:bCs/>
        </w:rPr>
        <w:t xml:space="preserve">address quality use of medicines issues and considered that all future submissions of drugs of high risk of dependence must </w:t>
      </w:r>
      <w:r w:rsidR="00B765B2">
        <w:rPr>
          <w:bCs/>
        </w:rPr>
        <w:t xml:space="preserve">fully </w:t>
      </w:r>
      <w:r w:rsidR="004D11D3">
        <w:rPr>
          <w:bCs/>
        </w:rPr>
        <w:t xml:space="preserve">address these issues. </w:t>
      </w:r>
      <w:r w:rsidR="00C77C19" w:rsidRPr="00427488">
        <w:rPr>
          <w:bCs/>
        </w:rPr>
        <w:t>However,</w:t>
      </w:r>
      <w:r w:rsidR="00390548" w:rsidRPr="00427488">
        <w:rPr>
          <w:bCs/>
        </w:rPr>
        <w:t xml:space="preserve"> the PBAC</w:t>
      </w:r>
      <w:r w:rsidR="00C77C19" w:rsidRPr="00427488">
        <w:rPr>
          <w:bCs/>
        </w:rPr>
        <w:t xml:space="preserve"> </w:t>
      </w:r>
      <w:r w:rsidR="004D11D3">
        <w:rPr>
          <w:bCs/>
        </w:rPr>
        <w:t>considered</w:t>
      </w:r>
      <w:r w:rsidR="004D11D3" w:rsidRPr="00427488">
        <w:rPr>
          <w:bCs/>
        </w:rPr>
        <w:t xml:space="preserve"> </w:t>
      </w:r>
      <w:r w:rsidR="00C77C19" w:rsidRPr="00427488">
        <w:rPr>
          <w:bCs/>
        </w:rPr>
        <w:t>that</w:t>
      </w:r>
      <w:r w:rsidR="00D728F9">
        <w:rPr>
          <w:bCs/>
        </w:rPr>
        <w:t>,</w:t>
      </w:r>
      <w:r w:rsidR="00C77C19" w:rsidRPr="00427488">
        <w:rPr>
          <w:bCs/>
        </w:rPr>
        <w:t xml:space="preserve"> </w:t>
      </w:r>
      <w:r w:rsidR="008C2181" w:rsidRPr="00427488">
        <w:rPr>
          <w:bCs/>
        </w:rPr>
        <w:t xml:space="preserve">in the case of this particular </w:t>
      </w:r>
      <w:r w:rsidR="00C77C19" w:rsidRPr="00427488">
        <w:rPr>
          <w:bCs/>
        </w:rPr>
        <w:t>population</w:t>
      </w:r>
      <w:r w:rsidR="0002016F" w:rsidRPr="00427488">
        <w:rPr>
          <w:bCs/>
        </w:rPr>
        <w:t xml:space="preserve"> (cancer patients undergoing Palliative Care)</w:t>
      </w:r>
      <w:r w:rsidR="00C77C19" w:rsidRPr="00427488">
        <w:rPr>
          <w:bCs/>
        </w:rPr>
        <w:t xml:space="preserve">, this risk </w:t>
      </w:r>
      <w:r w:rsidR="0002016F" w:rsidRPr="00427488">
        <w:rPr>
          <w:bCs/>
        </w:rPr>
        <w:t>is considered to be</w:t>
      </w:r>
      <w:r w:rsidR="00C77C19" w:rsidRPr="00427488">
        <w:rPr>
          <w:bCs/>
        </w:rPr>
        <w:t xml:space="preserve"> low.</w:t>
      </w:r>
    </w:p>
    <w:p w:rsidR="0002022E" w:rsidRDefault="0002022E" w:rsidP="00D728F9">
      <w:pPr>
        <w:ind w:left="709" w:hanging="709"/>
        <w:jc w:val="both"/>
        <w:rPr>
          <w:rFonts w:cs="Arial"/>
        </w:rPr>
      </w:pPr>
    </w:p>
    <w:p w:rsidR="00C039DF" w:rsidRPr="00D728F9" w:rsidRDefault="00C039DF" w:rsidP="00D728F9">
      <w:pPr>
        <w:ind w:left="709" w:hanging="709"/>
        <w:jc w:val="both"/>
        <w:rPr>
          <w:rFonts w:cs="Arial"/>
        </w:rPr>
      </w:pPr>
    </w:p>
    <w:p w:rsidR="0079309B" w:rsidRPr="002F7254" w:rsidRDefault="0079309B" w:rsidP="002F7254">
      <w:pPr>
        <w:pStyle w:val="PBACHeading1"/>
        <w:numPr>
          <w:ilvl w:val="0"/>
          <w:numId w:val="20"/>
        </w:numPr>
        <w:ind w:left="720" w:hanging="720"/>
        <w:rPr>
          <w:szCs w:val="32"/>
        </w:rPr>
      </w:pPr>
      <w:r w:rsidRPr="002F7254">
        <w:rPr>
          <w:szCs w:val="32"/>
        </w:rPr>
        <w:t>Recommended listing</w:t>
      </w:r>
    </w:p>
    <w:p w:rsidR="0079309B" w:rsidRPr="00D728F9" w:rsidRDefault="0079309B" w:rsidP="0079309B">
      <w:pPr>
        <w:ind w:left="709" w:hanging="709"/>
        <w:jc w:val="both"/>
        <w:rPr>
          <w:bCs/>
          <w:lang w:val="en-GB"/>
        </w:rPr>
      </w:pPr>
    </w:p>
    <w:p w:rsidR="0079309B" w:rsidRPr="00390548" w:rsidRDefault="0079309B" w:rsidP="00D728F9">
      <w:pPr>
        <w:numPr>
          <w:ilvl w:val="1"/>
          <w:numId w:val="36"/>
        </w:numPr>
        <w:spacing w:after="240"/>
        <w:ind w:left="709" w:hanging="709"/>
        <w:jc w:val="both"/>
        <w:rPr>
          <w:b/>
          <w:bCs/>
        </w:rPr>
      </w:pPr>
      <w:r w:rsidRPr="00390548">
        <w:rPr>
          <w:bCs/>
        </w:rPr>
        <w:t>Amend maximum quantity as follows:</w:t>
      </w:r>
    </w:p>
    <w:tbl>
      <w:tblPr>
        <w:tblW w:w="5000" w:type="pct"/>
        <w:tblBorders>
          <w:bottom w:val="single" w:sz="4"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855"/>
        <w:gridCol w:w="849"/>
        <w:gridCol w:w="849"/>
        <w:gridCol w:w="1142"/>
        <w:gridCol w:w="851"/>
        <w:gridCol w:w="2528"/>
      </w:tblGrid>
      <w:tr w:rsidR="00924C83" w:rsidRPr="00633C66" w:rsidTr="00924C83">
        <w:trPr>
          <w:trHeight w:val="441"/>
        </w:trPr>
        <w:tc>
          <w:tcPr>
            <w:tcW w:w="1573" w:type="pct"/>
            <w:tcBorders>
              <w:bottom w:val="single" w:sz="4" w:space="0" w:color="auto"/>
            </w:tcBorders>
            <w:shd w:val="clear" w:color="auto" w:fill="FFFFFF" w:themeFill="background1"/>
            <w:tcMar>
              <w:top w:w="24" w:type="dxa"/>
              <w:left w:w="24" w:type="dxa"/>
              <w:bottom w:w="24" w:type="dxa"/>
              <w:right w:w="24" w:type="dxa"/>
            </w:tcMar>
            <w:vAlign w:val="bottom"/>
            <w:hideMark/>
          </w:tcPr>
          <w:p w:rsidR="00924C83" w:rsidRPr="00315D13" w:rsidRDefault="00924C83" w:rsidP="00315D13">
            <w:pPr>
              <w:keepNext/>
              <w:rPr>
                <w:rFonts w:ascii="Arial Narrow" w:hAnsi="Arial Narrow" w:cs="Arial"/>
                <w:b/>
                <w:sz w:val="20"/>
                <w:szCs w:val="20"/>
              </w:rPr>
            </w:pPr>
            <w:r w:rsidRPr="00315D13">
              <w:rPr>
                <w:rFonts w:ascii="Arial Narrow" w:hAnsi="Arial Narrow" w:cs="Arial"/>
                <w:b/>
                <w:sz w:val="20"/>
                <w:szCs w:val="20"/>
              </w:rPr>
              <w:t>Name, Restriction,</w:t>
            </w:r>
          </w:p>
          <w:p w:rsidR="00924C83" w:rsidRPr="00315D13" w:rsidRDefault="00924C83" w:rsidP="00315D13">
            <w:pPr>
              <w:spacing w:line="0" w:lineRule="atLeast"/>
              <w:rPr>
                <w:rFonts w:ascii="Arial Narrow" w:hAnsi="Arial Narrow" w:cs="Arial"/>
                <w:b/>
                <w:bCs/>
                <w:sz w:val="20"/>
                <w:szCs w:val="20"/>
              </w:rPr>
            </w:pPr>
            <w:r w:rsidRPr="00315D13">
              <w:rPr>
                <w:rFonts w:ascii="Arial Narrow" w:hAnsi="Arial Narrow" w:cs="Arial"/>
                <w:b/>
                <w:sz w:val="20"/>
                <w:szCs w:val="20"/>
              </w:rPr>
              <w:t>Manner of administration and form</w:t>
            </w:r>
          </w:p>
        </w:tc>
        <w:tc>
          <w:tcPr>
            <w:tcW w:w="468" w:type="pct"/>
            <w:tcBorders>
              <w:bottom w:val="single" w:sz="4" w:space="0" w:color="auto"/>
            </w:tcBorders>
            <w:shd w:val="clear" w:color="auto" w:fill="FFFFFF" w:themeFill="background1"/>
            <w:tcMar>
              <w:top w:w="24" w:type="dxa"/>
              <w:left w:w="24" w:type="dxa"/>
              <w:bottom w:w="24" w:type="dxa"/>
              <w:right w:w="24" w:type="dxa"/>
            </w:tcMar>
            <w:vAlign w:val="bottom"/>
            <w:hideMark/>
          </w:tcPr>
          <w:p w:rsidR="00924C83" w:rsidRPr="00633A3E" w:rsidRDefault="00924C83" w:rsidP="003F2B20">
            <w:pPr>
              <w:spacing w:line="0" w:lineRule="atLeast"/>
              <w:jc w:val="center"/>
              <w:rPr>
                <w:rFonts w:ascii="Arial Narrow" w:hAnsi="Arial Narrow" w:cs="Arial"/>
                <w:b/>
                <w:bCs/>
                <w:sz w:val="20"/>
                <w:szCs w:val="20"/>
              </w:rPr>
            </w:pPr>
            <w:r w:rsidRPr="00633A3E">
              <w:rPr>
                <w:rFonts w:ascii="Arial Narrow" w:hAnsi="Arial Narrow" w:cs="Arial"/>
                <w:b/>
                <w:bCs/>
                <w:sz w:val="20"/>
                <w:szCs w:val="20"/>
              </w:rPr>
              <w:t>Max qty packs</w:t>
            </w:r>
          </w:p>
        </w:tc>
        <w:tc>
          <w:tcPr>
            <w:tcW w:w="468" w:type="pct"/>
            <w:tcBorders>
              <w:bottom w:val="single" w:sz="4" w:space="0" w:color="auto"/>
            </w:tcBorders>
            <w:shd w:val="clear" w:color="auto" w:fill="FFFFFF" w:themeFill="background1"/>
            <w:tcMar>
              <w:top w:w="24" w:type="dxa"/>
              <w:left w:w="24" w:type="dxa"/>
              <w:bottom w:w="24" w:type="dxa"/>
              <w:right w:w="24" w:type="dxa"/>
            </w:tcMar>
            <w:vAlign w:val="bottom"/>
            <w:hideMark/>
          </w:tcPr>
          <w:p w:rsidR="00924C83" w:rsidRPr="00633A3E" w:rsidRDefault="00924C83" w:rsidP="003F2B20">
            <w:pPr>
              <w:spacing w:line="0" w:lineRule="atLeast"/>
              <w:jc w:val="center"/>
              <w:rPr>
                <w:rFonts w:ascii="Arial Narrow" w:hAnsi="Arial Narrow" w:cs="Arial"/>
                <w:b/>
                <w:bCs/>
                <w:sz w:val="20"/>
                <w:szCs w:val="20"/>
              </w:rPr>
            </w:pPr>
            <w:r w:rsidRPr="00633A3E">
              <w:rPr>
                <w:rFonts w:ascii="Arial Narrow" w:hAnsi="Arial Narrow" w:cs="Arial"/>
                <w:b/>
                <w:bCs/>
                <w:sz w:val="20"/>
                <w:szCs w:val="20"/>
              </w:rPr>
              <w:t>Max qty units</w:t>
            </w:r>
          </w:p>
        </w:tc>
        <w:tc>
          <w:tcPr>
            <w:tcW w:w="629" w:type="pct"/>
            <w:tcBorders>
              <w:bottom w:val="single" w:sz="4" w:space="0" w:color="auto"/>
            </w:tcBorders>
            <w:shd w:val="clear" w:color="auto" w:fill="FFFFFF" w:themeFill="background1"/>
            <w:tcMar>
              <w:top w:w="24" w:type="dxa"/>
              <w:left w:w="24" w:type="dxa"/>
              <w:bottom w:w="24" w:type="dxa"/>
              <w:right w:w="24" w:type="dxa"/>
            </w:tcMar>
            <w:vAlign w:val="bottom"/>
            <w:hideMark/>
          </w:tcPr>
          <w:p w:rsidR="00924C83" w:rsidRPr="00633A3E" w:rsidRDefault="00924C83" w:rsidP="003F2B20">
            <w:pPr>
              <w:spacing w:line="0" w:lineRule="atLeast"/>
              <w:ind w:left="-20"/>
              <w:jc w:val="center"/>
              <w:rPr>
                <w:rFonts w:ascii="Arial Narrow" w:hAnsi="Arial Narrow" w:cs="Arial"/>
                <w:b/>
                <w:bCs/>
                <w:sz w:val="20"/>
                <w:szCs w:val="20"/>
              </w:rPr>
            </w:pPr>
            <w:r w:rsidRPr="00633A3E">
              <w:rPr>
                <w:rFonts w:ascii="Arial Narrow" w:hAnsi="Arial Narrow" w:cs="Arial"/>
                <w:b/>
                <w:bCs/>
                <w:sz w:val="20"/>
                <w:szCs w:val="20"/>
              </w:rPr>
              <w:t>No. of repeats</w:t>
            </w:r>
          </w:p>
        </w:tc>
        <w:tc>
          <w:tcPr>
            <w:tcW w:w="1862" w:type="pct"/>
            <w:gridSpan w:val="2"/>
            <w:tcBorders>
              <w:bottom w:val="single" w:sz="4" w:space="0" w:color="auto"/>
            </w:tcBorders>
            <w:shd w:val="clear" w:color="auto" w:fill="FFFFFF" w:themeFill="background1"/>
            <w:tcMar>
              <w:top w:w="24" w:type="dxa"/>
              <w:left w:w="24" w:type="dxa"/>
              <w:bottom w:w="24" w:type="dxa"/>
              <w:right w:w="24" w:type="dxa"/>
            </w:tcMar>
          </w:tcPr>
          <w:p w:rsidR="00924C83" w:rsidRPr="00633A3E" w:rsidRDefault="00924C83" w:rsidP="003F2B20">
            <w:pPr>
              <w:spacing w:line="0" w:lineRule="atLeast"/>
              <w:ind w:left="116" w:firstLine="53"/>
              <w:jc w:val="center"/>
              <w:rPr>
                <w:rFonts w:ascii="Arial Narrow" w:hAnsi="Arial Narrow" w:cs="Arial"/>
                <w:b/>
                <w:bCs/>
                <w:sz w:val="20"/>
                <w:szCs w:val="20"/>
              </w:rPr>
            </w:pPr>
            <w:r w:rsidRPr="00633A3E">
              <w:rPr>
                <w:rFonts w:ascii="Arial Narrow" w:hAnsi="Arial Narrow" w:cs="Arial"/>
                <w:b/>
                <w:sz w:val="20"/>
                <w:szCs w:val="20"/>
              </w:rPr>
              <w:t>Proprietary Name and Manufacturer</w:t>
            </w:r>
          </w:p>
        </w:tc>
      </w:tr>
      <w:tr w:rsidR="00924C83" w:rsidRPr="00633C66" w:rsidTr="00924C83">
        <w:trPr>
          <w:trHeight w:val="339"/>
        </w:trPr>
        <w:tc>
          <w:tcPr>
            <w:tcW w:w="1573" w:type="pct"/>
            <w:tcBorders>
              <w:top w:val="single" w:sz="4" w:space="0" w:color="auto"/>
              <w:bottom w:val="nil"/>
            </w:tcBorders>
            <w:shd w:val="clear" w:color="auto" w:fill="FFFFFF" w:themeFill="background1"/>
            <w:tcMar>
              <w:top w:w="24" w:type="dxa"/>
              <w:left w:w="24" w:type="dxa"/>
              <w:bottom w:w="24" w:type="dxa"/>
              <w:right w:w="24" w:type="dxa"/>
            </w:tcMar>
            <w:hideMark/>
          </w:tcPr>
          <w:p w:rsidR="00924C83" w:rsidRPr="00633A3E" w:rsidRDefault="00924C83" w:rsidP="003F2B20">
            <w:pPr>
              <w:spacing w:line="0" w:lineRule="atLeast"/>
              <w:rPr>
                <w:rStyle w:val="form-strength"/>
                <w:rFonts w:ascii="Arial Narrow" w:hAnsi="Arial Narrow" w:cs="Arial"/>
                <w:sz w:val="20"/>
                <w:szCs w:val="20"/>
                <w:bdr w:val="none" w:sz="0" w:space="0" w:color="auto" w:frame="1"/>
              </w:rPr>
            </w:pPr>
            <w:r w:rsidRPr="00633A3E">
              <w:rPr>
                <w:rStyle w:val="form-strength"/>
                <w:rFonts w:ascii="Arial Narrow" w:hAnsi="Arial Narrow" w:cs="Arial"/>
                <w:sz w:val="20"/>
                <w:szCs w:val="20"/>
                <w:bdr w:val="none" w:sz="0" w:space="0" w:color="auto" w:frame="1"/>
              </w:rPr>
              <w:t>FENTANYL</w:t>
            </w:r>
          </w:p>
          <w:p w:rsidR="00924C83" w:rsidRPr="00633A3E" w:rsidRDefault="00924C83" w:rsidP="003F2B20">
            <w:pPr>
              <w:spacing w:line="0" w:lineRule="atLeast"/>
              <w:rPr>
                <w:rFonts w:ascii="Arial Narrow" w:hAnsi="Arial Narrow" w:cs="Arial"/>
                <w:bCs/>
                <w:sz w:val="20"/>
                <w:szCs w:val="20"/>
              </w:rPr>
            </w:pPr>
            <w:r w:rsidRPr="00633A3E">
              <w:rPr>
                <w:rFonts w:ascii="Arial Narrow" w:hAnsi="Arial Narrow" w:cs="Arial"/>
                <w:bCs/>
                <w:sz w:val="20"/>
                <w:szCs w:val="20"/>
              </w:rPr>
              <w:t>100 microgram sublingual tablet, 10</w:t>
            </w:r>
          </w:p>
        </w:tc>
        <w:tc>
          <w:tcPr>
            <w:tcW w:w="468"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924C83" w:rsidRPr="00315D13" w:rsidRDefault="00924C83" w:rsidP="003F2B20">
            <w:pPr>
              <w:spacing w:line="0" w:lineRule="atLeast"/>
              <w:ind w:left="709" w:hanging="709"/>
              <w:jc w:val="center"/>
              <w:rPr>
                <w:rFonts w:ascii="Arial Narrow" w:hAnsi="Arial Narrow" w:cs="Arial"/>
                <w:bCs/>
                <w:sz w:val="20"/>
                <w:szCs w:val="20"/>
              </w:rPr>
            </w:pPr>
            <w:r w:rsidRPr="00315D13">
              <w:rPr>
                <w:rFonts w:ascii="Arial Narrow" w:hAnsi="Arial Narrow" w:cs="Arial"/>
                <w:bCs/>
                <w:sz w:val="20"/>
                <w:szCs w:val="20"/>
              </w:rPr>
              <w:t>2</w:t>
            </w:r>
          </w:p>
        </w:tc>
        <w:tc>
          <w:tcPr>
            <w:tcW w:w="468"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924C83" w:rsidRPr="00315D13" w:rsidRDefault="00924C83" w:rsidP="003F2B20">
            <w:pPr>
              <w:spacing w:line="0" w:lineRule="atLeast"/>
              <w:ind w:left="709" w:hanging="709"/>
              <w:jc w:val="center"/>
              <w:rPr>
                <w:rFonts w:ascii="Arial Narrow" w:hAnsi="Arial Narrow" w:cs="Arial"/>
                <w:bCs/>
                <w:sz w:val="20"/>
                <w:szCs w:val="20"/>
              </w:rPr>
            </w:pPr>
            <w:r w:rsidRPr="00315D13">
              <w:rPr>
                <w:rFonts w:ascii="Arial Narrow" w:hAnsi="Arial Narrow" w:cs="Arial"/>
                <w:bCs/>
                <w:sz w:val="20"/>
                <w:szCs w:val="20"/>
              </w:rPr>
              <w:t>20</w:t>
            </w:r>
          </w:p>
        </w:tc>
        <w:tc>
          <w:tcPr>
            <w:tcW w:w="629" w:type="pct"/>
            <w:tcBorders>
              <w:top w:val="single" w:sz="4" w:space="0" w:color="auto"/>
              <w:bottom w:val="nil"/>
            </w:tcBorders>
            <w:shd w:val="clear" w:color="auto" w:fill="FFFFFF" w:themeFill="background1"/>
            <w:tcMar>
              <w:top w:w="24" w:type="dxa"/>
              <w:left w:w="24" w:type="dxa"/>
              <w:bottom w:w="24" w:type="dxa"/>
              <w:right w:w="24" w:type="dxa"/>
            </w:tcMar>
            <w:vAlign w:val="bottom"/>
            <w:hideMark/>
          </w:tcPr>
          <w:p w:rsidR="00924C83" w:rsidRPr="00633A3E" w:rsidRDefault="00924C83" w:rsidP="003F2B20">
            <w:pPr>
              <w:spacing w:line="0" w:lineRule="atLeast"/>
              <w:ind w:left="709" w:hanging="709"/>
              <w:jc w:val="center"/>
              <w:rPr>
                <w:rFonts w:ascii="Arial Narrow" w:hAnsi="Arial Narrow" w:cs="Arial"/>
                <w:bCs/>
                <w:sz w:val="20"/>
                <w:szCs w:val="20"/>
              </w:rPr>
            </w:pPr>
            <w:r w:rsidRPr="00633A3E">
              <w:rPr>
                <w:rFonts w:ascii="Arial Narrow" w:hAnsi="Arial Narrow" w:cs="Arial"/>
                <w:bCs/>
                <w:sz w:val="20"/>
                <w:szCs w:val="20"/>
              </w:rPr>
              <w:t>0</w:t>
            </w:r>
          </w:p>
        </w:tc>
        <w:tc>
          <w:tcPr>
            <w:tcW w:w="469" w:type="pct"/>
            <w:tcBorders>
              <w:top w:val="single" w:sz="4" w:space="0" w:color="auto"/>
              <w:bottom w:val="nil"/>
            </w:tcBorders>
            <w:shd w:val="clear" w:color="auto" w:fill="FFFFFF" w:themeFill="background1"/>
            <w:tcMar>
              <w:top w:w="24" w:type="dxa"/>
              <w:left w:w="24" w:type="dxa"/>
              <w:bottom w:w="24" w:type="dxa"/>
              <w:right w:w="24" w:type="dxa"/>
            </w:tcMar>
            <w:vAlign w:val="bottom"/>
          </w:tcPr>
          <w:p w:rsidR="00924C83" w:rsidRPr="00633A3E" w:rsidRDefault="00924C83" w:rsidP="003F2B20">
            <w:pPr>
              <w:spacing w:line="0" w:lineRule="atLeast"/>
              <w:ind w:left="119" w:hanging="142"/>
              <w:jc w:val="center"/>
              <w:rPr>
                <w:rFonts w:ascii="Arial Narrow" w:hAnsi="Arial Narrow" w:cs="Arial"/>
                <w:bCs/>
                <w:sz w:val="20"/>
                <w:szCs w:val="20"/>
              </w:rPr>
            </w:pPr>
            <w:r w:rsidRPr="00633A3E">
              <w:rPr>
                <w:rFonts w:ascii="Arial Narrow" w:hAnsi="Arial Narrow" w:cs="Arial"/>
                <w:bCs/>
                <w:sz w:val="20"/>
                <w:szCs w:val="20"/>
              </w:rPr>
              <w:t>Abstral®</w:t>
            </w:r>
          </w:p>
        </w:tc>
        <w:tc>
          <w:tcPr>
            <w:tcW w:w="1394" w:type="pct"/>
            <w:tcBorders>
              <w:top w:val="single" w:sz="4" w:space="0" w:color="auto"/>
              <w:bottom w:val="nil"/>
            </w:tcBorders>
            <w:shd w:val="clear" w:color="auto" w:fill="FFFFFF" w:themeFill="background1"/>
            <w:tcMar>
              <w:top w:w="24" w:type="dxa"/>
              <w:left w:w="24" w:type="dxa"/>
              <w:bottom w:w="24" w:type="dxa"/>
              <w:right w:w="24" w:type="dxa"/>
            </w:tcMar>
            <w:vAlign w:val="bottom"/>
          </w:tcPr>
          <w:p w:rsidR="00924C83" w:rsidRPr="00633A3E" w:rsidRDefault="00924C83" w:rsidP="003F2B20">
            <w:pPr>
              <w:spacing w:line="0" w:lineRule="atLeast"/>
              <w:ind w:firstLine="27"/>
              <w:jc w:val="center"/>
              <w:rPr>
                <w:rFonts w:ascii="Arial Narrow" w:hAnsi="Arial Narrow" w:cs="Arial"/>
                <w:bCs/>
                <w:sz w:val="20"/>
                <w:szCs w:val="20"/>
              </w:rPr>
            </w:pPr>
            <w:r w:rsidRPr="00633A3E">
              <w:rPr>
                <w:rFonts w:ascii="Arial Narrow" w:hAnsi="Arial Narrow" w:cs="Arial"/>
                <w:bCs/>
                <w:sz w:val="20"/>
                <w:szCs w:val="20"/>
              </w:rPr>
              <w:t>A Menarini Australia Pty Ltd</w:t>
            </w:r>
          </w:p>
        </w:tc>
      </w:tr>
      <w:tr w:rsidR="00924C83" w:rsidRPr="00633C66" w:rsidTr="00924C83">
        <w:trPr>
          <w:trHeight w:val="129"/>
        </w:trPr>
        <w:tc>
          <w:tcPr>
            <w:tcW w:w="1573" w:type="pct"/>
            <w:tcBorders>
              <w:top w:val="nil"/>
              <w:bottom w:val="nil"/>
            </w:tcBorders>
            <w:shd w:val="clear" w:color="auto" w:fill="FFFFFF" w:themeFill="background1"/>
            <w:tcMar>
              <w:top w:w="24" w:type="dxa"/>
              <w:left w:w="24" w:type="dxa"/>
              <w:bottom w:w="24" w:type="dxa"/>
              <w:right w:w="24" w:type="dxa"/>
            </w:tcMar>
          </w:tcPr>
          <w:p w:rsidR="00924C83" w:rsidRPr="00633A3E" w:rsidRDefault="00924C83" w:rsidP="003F2B20">
            <w:pPr>
              <w:spacing w:line="0" w:lineRule="atLeast"/>
              <w:rPr>
                <w:rFonts w:ascii="Arial Narrow" w:hAnsi="Arial Narrow" w:cs="Arial"/>
                <w:bCs/>
                <w:sz w:val="20"/>
                <w:szCs w:val="20"/>
              </w:rPr>
            </w:pPr>
            <w:r w:rsidRPr="00633A3E">
              <w:rPr>
                <w:rFonts w:ascii="Arial Narrow" w:hAnsi="Arial Narrow" w:cs="Arial"/>
                <w:bCs/>
                <w:sz w:val="20"/>
                <w:szCs w:val="20"/>
              </w:rPr>
              <w:t>200 microgram sublingual tablet, 10</w:t>
            </w:r>
          </w:p>
        </w:tc>
        <w:tc>
          <w:tcPr>
            <w:tcW w:w="468" w:type="pct"/>
            <w:tcBorders>
              <w:top w:val="nil"/>
              <w:bottom w:val="nil"/>
            </w:tcBorders>
            <w:shd w:val="clear" w:color="auto" w:fill="FFFFFF" w:themeFill="background1"/>
            <w:tcMar>
              <w:top w:w="24" w:type="dxa"/>
              <w:left w:w="24" w:type="dxa"/>
              <w:bottom w:w="24" w:type="dxa"/>
              <w:right w:w="24" w:type="dxa"/>
            </w:tcMar>
            <w:vAlign w:val="bottom"/>
          </w:tcPr>
          <w:p w:rsidR="00924C83" w:rsidRPr="00315D13" w:rsidRDefault="00924C83" w:rsidP="003F2B20">
            <w:pPr>
              <w:spacing w:line="0" w:lineRule="atLeast"/>
              <w:ind w:left="709" w:hanging="709"/>
              <w:jc w:val="center"/>
              <w:rPr>
                <w:rFonts w:ascii="Arial Narrow" w:hAnsi="Arial Narrow" w:cs="Arial"/>
                <w:bCs/>
                <w:sz w:val="20"/>
                <w:szCs w:val="20"/>
              </w:rPr>
            </w:pPr>
            <w:r w:rsidRPr="00315D13">
              <w:rPr>
                <w:rFonts w:ascii="Arial Narrow" w:hAnsi="Arial Narrow" w:cs="Arial"/>
                <w:bCs/>
                <w:sz w:val="20"/>
                <w:szCs w:val="20"/>
              </w:rPr>
              <w:t>2</w:t>
            </w:r>
          </w:p>
        </w:tc>
        <w:tc>
          <w:tcPr>
            <w:tcW w:w="468" w:type="pct"/>
            <w:tcBorders>
              <w:top w:val="nil"/>
              <w:bottom w:val="nil"/>
            </w:tcBorders>
            <w:shd w:val="clear" w:color="auto" w:fill="FFFFFF" w:themeFill="background1"/>
            <w:tcMar>
              <w:top w:w="24" w:type="dxa"/>
              <w:left w:w="24" w:type="dxa"/>
              <w:bottom w:w="24" w:type="dxa"/>
              <w:right w:w="24" w:type="dxa"/>
            </w:tcMar>
            <w:vAlign w:val="bottom"/>
          </w:tcPr>
          <w:p w:rsidR="00924C83" w:rsidRPr="00315D13" w:rsidRDefault="00924C83" w:rsidP="003F2B20">
            <w:pPr>
              <w:spacing w:line="0" w:lineRule="atLeast"/>
              <w:ind w:left="709" w:hanging="709"/>
              <w:jc w:val="center"/>
              <w:rPr>
                <w:rFonts w:ascii="Arial Narrow" w:hAnsi="Arial Narrow" w:cs="Arial"/>
                <w:bCs/>
                <w:sz w:val="20"/>
                <w:szCs w:val="20"/>
              </w:rPr>
            </w:pPr>
            <w:r w:rsidRPr="00315D13">
              <w:rPr>
                <w:rFonts w:ascii="Arial Narrow" w:hAnsi="Arial Narrow" w:cs="Arial"/>
                <w:bCs/>
                <w:sz w:val="20"/>
                <w:szCs w:val="20"/>
              </w:rPr>
              <w:t>20</w:t>
            </w:r>
          </w:p>
        </w:tc>
        <w:tc>
          <w:tcPr>
            <w:tcW w:w="629" w:type="pct"/>
            <w:tcBorders>
              <w:top w:val="nil"/>
              <w:bottom w:val="nil"/>
            </w:tcBorders>
            <w:shd w:val="clear" w:color="auto" w:fill="FFFFFF" w:themeFill="background1"/>
            <w:tcMar>
              <w:top w:w="24" w:type="dxa"/>
              <w:left w:w="24" w:type="dxa"/>
              <w:bottom w:w="24" w:type="dxa"/>
              <w:right w:w="24" w:type="dxa"/>
            </w:tcMar>
            <w:vAlign w:val="bottom"/>
          </w:tcPr>
          <w:p w:rsidR="00924C83" w:rsidRPr="00633A3E" w:rsidRDefault="00924C83" w:rsidP="003F2B20">
            <w:pPr>
              <w:spacing w:line="0" w:lineRule="atLeast"/>
              <w:ind w:left="709" w:hanging="709"/>
              <w:jc w:val="center"/>
              <w:rPr>
                <w:rFonts w:ascii="Arial Narrow" w:hAnsi="Arial Narrow" w:cs="Arial"/>
                <w:bCs/>
                <w:sz w:val="20"/>
                <w:szCs w:val="20"/>
              </w:rPr>
            </w:pPr>
            <w:r w:rsidRPr="00633A3E">
              <w:rPr>
                <w:rFonts w:ascii="Arial Narrow" w:hAnsi="Arial Narrow" w:cs="Arial"/>
                <w:bCs/>
                <w:sz w:val="20"/>
                <w:szCs w:val="20"/>
              </w:rPr>
              <w:t>0</w:t>
            </w:r>
          </w:p>
        </w:tc>
        <w:tc>
          <w:tcPr>
            <w:tcW w:w="469" w:type="pct"/>
            <w:tcBorders>
              <w:top w:val="nil"/>
              <w:bottom w:val="nil"/>
            </w:tcBorders>
            <w:shd w:val="clear" w:color="auto" w:fill="FFFFFF" w:themeFill="background1"/>
            <w:tcMar>
              <w:top w:w="24" w:type="dxa"/>
              <w:left w:w="24" w:type="dxa"/>
              <w:bottom w:w="24" w:type="dxa"/>
              <w:right w:w="24" w:type="dxa"/>
            </w:tcMar>
            <w:vAlign w:val="bottom"/>
          </w:tcPr>
          <w:p w:rsidR="00924C83" w:rsidRPr="00633A3E" w:rsidRDefault="00924C83" w:rsidP="003F2B20">
            <w:pPr>
              <w:spacing w:line="0" w:lineRule="atLeast"/>
              <w:ind w:left="709" w:hanging="709"/>
              <w:jc w:val="center"/>
              <w:rPr>
                <w:rFonts w:ascii="Arial Narrow" w:hAnsi="Arial Narrow" w:cs="Arial"/>
                <w:bCs/>
                <w:sz w:val="20"/>
                <w:szCs w:val="20"/>
              </w:rPr>
            </w:pPr>
          </w:p>
        </w:tc>
        <w:tc>
          <w:tcPr>
            <w:tcW w:w="1394" w:type="pct"/>
            <w:tcBorders>
              <w:top w:val="nil"/>
              <w:bottom w:val="nil"/>
            </w:tcBorders>
            <w:shd w:val="clear" w:color="auto" w:fill="FFFFFF" w:themeFill="background1"/>
            <w:tcMar>
              <w:top w:w="24" w:type="dxa"/>
              <w:left w:w="24" w:type="dxa"/>
              <w:bottom w:w="24" w:type="dxa"/>
              <w:right w:w="24" w:type="dxa"/>
            </w:tcMar>
            <w:vAlign w:val="bottom"/>
          </w:tcPr>
          <w:p w:rsidR="00924C83" w:rsidRPr="00633A3E" w:rsidRDefault="00924C83" w:rsidP="003F2B20">
            <w:pPr>
              <w:spacing w:line="0" w:lineRule="atLeast"/>
              <w:jc w:val="center"/>
              <w:rPr>
                <w:rFonts w:ascii="Arial Narrow" w:hAnsi="Arial Narrow" w:cs="Arial"/>
                <w:bCs/>
                <w:sz w:val="20"/>
                <w:szCs w:val="20"/>
              </w:rPr>
            </w:pPr>
          </w:p>
        </w:tc>
      </w:tr>
    </w:tbl>
    <w:p w:rsidR="009633C0" w:rsidRDefault="009633C0" w:rsidP="009633C0">
      <w:pPr>
        <w:rPr>
          <w:sz w:val="22"/>
          <w:szCs w:val="22"/>
        </w:rPr>
      </w:pPr>
    </w:p>
    <w:p w:rsidR="002F7254" w:rsidRDefault="002F7254" w:rsidP="009633C0">
      <w:pPr>
        <w:rPr>
          <w:sz w:val="22"/>
          <w:szCs w:val="22"/>
        </w:rPr>
      </w:pPr>
    </w:p>
    <w:p w:rsidR="002F7254" w:rsidRPr="006C2DAA" w:rsidRDefault="002F7254" w:rsidP="002F7254">
      <w:pPr>
        <w:pStyle w:val="PBACHeading1"/>
        <w:numPr>
          <w:ilvl w:val="0"/>
          <w:numId w:val="20"/>
        </w:numPr>
        <w:ind w:left="720" w:hanging="720"/>
        <w:rPr>
          <w:b w:val="0"/>
          <w:szCs w:val="32"/>
        </w:rPr>
      </w:pPr>
      <w:r w:rsidRPr="006C2DAA">
        <w:rPr>
          <w:szCs w:val="32"/>
        </w:rPr>
        <w:t>Context for Decision</w:t>
      </w:r>
    </w:p>
    <w:p w:rsidR="002F7254" w:rsidRPr="00440A84" w:rsidRDefault="002F7254" w:rsidP="002F7254">
      <w:pPr>
        <w:ind w:left="426"/>
        <w:jc w:val="both"/>
        <w:rPr>
          <w:rFonts w:cs="Arial"/>
        </w:rPr>
      </w:pPr>
    </w:p>
    <w:p w:rsidR="002F7254" w:rsidRPr="00440A84" w:rsidRDefault="002F7254" w:rsidP="002F7254">
      <w:pPr>
        <w:jc w:val="both"/>
        <w:rPr>
          <w:rFonts w:cs="Arial"/>
        </w:rPr>
      </w:pPr>
      <w:r w:rsidRPr="00440A84">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7254" w:rsidRPr="00440A84" w:rsidRDefault="002F7254" w:rsidP="002F7254">
      <w:pPr>
        <w:ind w:left="426"/>
        <w:jc w:val="both"/>
        <w:rPr>
          <w:rFonts w:cs="Arial"/>
        </w:rPr>
      </w:pPr>
    </w:p>
    <w:p w:rsidR="002F7254" w:rsidRPr="002F7254" w:rsidRDefault="002F7254" w:rsidP="002F7254">
      <w:pPr>
        <w:pStyle w:val="PBACHeading1"/>
        <w:numPr>
          <w:ilvl w:val="0"/>
          <w:numId w:val="20"/>
        </w:numPr>
        <w:ind w:left="720" w:hanging="720"/>
        <w:rPr>
          <w:szCs w:val="32"/>
        </w:rPr>
      </w:pPr>
      <w:r w:rsidRPr="006C2DAA">
        <w:rPr>
          <w:szCs w:val="32"/>
        </w:rPr>
        <w:t>Sponsor’s Comment</w:t>
      </w:r>
    </w:p>
    <w:p w:rsidR="002F7254" w:rsidRPr="00440A84" w:rsidRDefault="002F7254" w:rsidP="002F7254">
      <w:pPr>
        <w:ind w:left="426"/>
        <w:jc w:val="both"/>
        <w:rPr>
          <w:rFonts w:cs="Arial"/>
          <w:bCs/>
          <w:highlight w:val="yellow"/>
          <w:lang w:val="en-GB"/>
        </w:rPr>
      </w:pPr>
    </w:p>
    <w:p w:rsidR="002F7254" w:rsidRPr="00440A84" w:rsidRDefault="002F7254" w:rsidP="002F7254">
      <w:pPr>
        <w:spacing w:after="120"/>
        <w:jc w:val="both"/>
        <w:rPr>
          <w:rFonts w:cs="Arial"/>
          <w:bCs/>
        </w:rPr>
      </w:pPr>
      <w:r w:rsidRPr="00440A84">
        <w:rPr>
          <w:rFonts w:cs="Arial"/>
          <w:bCs/>
        </w:rPr>
        <w:t>The sponsor had no comment.</w:t>
      </w:r>
    </w:p>
    <w:p w:rsidR="002F7254" w:rsidRPr="009633C0" w:rsidRDefault="002F7254" w:rsidP="009633C0">
      <w:pPr>
        <w:rPr>
          <w:sz w:val="22"/>
          <w:szCs w:val="22"/>
        </w:rPr>
      </w:pPr>
    </w:p>
    <w:sectPr w:rsidR="002F7254" w:rsidRPr="009633C0" w:rsidSect="00E971B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C8" w:rsidRDefault="006371C8" w:rsidP="00206B7F">
      <w:r>
        <w:separator/>
      </w:r>
    </w:p>
  </w:endnote>
  <w:endnote w:type="continuationSeparator" w:id="0">
    <w:p w:rsidR="006371C8" w:rsidRDefault="006371C8" w:rsidP="0020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11C6" w:rsidTr="00206B7F">
      <w:trPr>
        <w:trHeight w:val="151"/>
      </w:trPr>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500" w:type="pct"/>
          <w:vMerge w:val="restart"/>
          <w:noWrap/>
          <w:vAlign w:val="center"/>
          <w:hideMark/>
        </w:tcPr>
        <w:p w:rsidR="009E11C6" w:rsidRPr="005A3173" w:rsidRDefault="009E11C6" w:rsidP="00206B7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r>
    <w:tr w:rsidR="009E11C6" w:rsidTr="00206B7F">
      <w:trPr>
        <w:trHeight w:val="150"/>
      </w:trPr>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0" w:type="auto"/>
          <w:vMerge/>
          <w:vAlign w:val="center"/>
          <w:hideMark/>
        </w:tcPr>
        <w:p w:rsidR="009E11C6" w:rsidRPr="005A3173" w:rsidRDefault="009E11C6" w:rsidP="00206B7F">
          <w:pPr>
            <w:rPr>
              <w:rFonts w:ascii="Calibri" w:hAnsi="Calibri"/>
              <w:color w:val="365F91"/>
              <w:sz w:val="22"/>
              <w:szCs w:val="22"/>
            </w:rPr>
          </w:pPr>
        </w:p>
      </w:tc>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r>
  </w:tbl>
  <w:p w:rsidR="009E11C6" w:rsidRDefault="009E11C6" w:rsidP="00206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C6" w:rsidRDefault="009E11C6">
    <w:pPr>
      <w:pStyle w:val="Footer"/>
    </w:pPr>
  </w:p>
  <w:p w:rsidR="009E11C6" w:rsidRDefault="009E11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C6" w:rsidRDefault="009E11C6" w:rsidP="00206B7F">
    <w:pPr>
      <w:pStyle w:val="Footer"/>
      <w:jc w:val="center"/>
      <w:rPr>
        <w:rFonts w:ascii="Arial" w:hAnsi="Arial" w:cs="Arial"/>
        <w:b/>
        <w:sz w:val="20"/>
        <w:szCs w:val="20"/>
      </w:rPr>
    </w:pPr>
  </w:p>
  <w:p w:rsidR="009E11C6" w:rsidRDefault="00A41207" w:rsidP="00A41207">
    <w:pPr>
      <w:pStyle w:val="Footer"/>
      <w:jc w:val="center"/>
      <w:rPr>
        <w:rFonts w:ascii="Arial" w:hAnsi="Arial" w:cs="Arial"/>
        <w:b/>
        <w:sz w:val="20"/>
        <w:szCs w:val="20"/>
      </w:rPr>
    </w:pPr>
    <w:r w:rsidRPr="00057A4B">
      <w:rPr>
        <w:rFonts w:cs="Arial"/>
      </w:rPr>
      <w:fldChar w:fldCharType="begin"/>
    </w:r>
    <w:r w:rsidRPr="00057A4B">
      <w:rPr>
        <w:rFonts w:cs="Arial"/>
      </w:rPr>
      <w:instrText xml:space="preserve"> PAGE   \* MERGEFORMAT </w:instrText>
    </w:r>
    <w:r w:rsidRPr="00057A4B">
      <w:rPr>
        <w:rFonts w:cs="Arial"/>
      </w:rPr>
      <w:fldChar w:fldCharType="separate"/>
    </w:r>
    <w:r w:rsidR="006371C8">
      <w:rPr>
        <w:rFonts w:cs="Arial"/>
        <w:noProof/>
      </w:rPr>
      <w:t>1</w:t>
    </w:r>
    <w:r w:rsidRPr="00057A4B">
      <w:rPr>
        <w:rFonts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E11C6" w:rsidTr="00206B7F">
      <w:trPr>
        <w:trHeight w:val="151"/>
      </w:trPr>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500" w:type="pct"/>
          <w:vMerge w:val="restart"/>
          <w:noWrap/>
          <w:vAlign w:val="center"/>
          <w:hideMark/>
        </w:tcPr>
        <w:p w:rsidR="009E11C6" w:rsidRPr="005A3173" w:rsidRDefault="009E11C6" w:rsidP="00206B7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r>
    <w:tr w:rsidR="009E11C6" w:rsidTr="00206B7F">
      <w:trPr>
        <w:trHeight w:val="150"/>
      </w:trPr>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0" w:type="auto"/>
          <w:vMerge/>
          <w:vAlign w:val="center"/>
          <w:hideMark/>
        </w:tcPr>
        <w:p w:rsidR="009E11C6" w:rsidRPr="005A3173" w:rsidRDefault="009E11C6" w:rsidP="00206B7F">
          <w:pPr>
            <w:rPr>
              <w:rFonts w:ascii="Calibri" w:hAnsi="Calibri"/>
              <w:color w:val="365F91"/>
              <w:sz w:val="22"/>
              <w:szCs w:val="22"/>
            </w:rPr>
          </w:pPr>
        </w:p>
      </w:tc>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11C6" w:rsidTr="00206B7F">
      <w:trPr>
        <w:trHeight w:val="151"/>
      </w:trPr>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500" w:type="pct"/>
          <w:vMerge w:val="restart"/>
          <w:noWrap/>
          <w:vAlign w:val="center"/>
          <w:hideMark/>
        </w:tcPr>
        <w:p w:rsidR="009E11C6" w:rsidRPr="005A3173" w:rsidRDefault="009E11C6" w:rsidP="00206B7F">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11C6" w:rsidRPr="005A3173" w:rsidRDefault="009E11C6" w:rsidP="00206B7F">
          <w:pPr>
            <w:pStyle w:val="Header"/>
            <w:spacing w:line="276" w:lineRule="auto"/>
            <w:rPr>
              <w:rFonts w:ascii="Calibri" w:eastAsia="MS Gothic" w:hAnsi="Calibri"/>
              <w:b/>
              <w:bCs/>
              <w:color w:val="4F81BD"/>
            </w:rPr>
          </w:pPr>
        </w:p>
      </w:tc>
    </w:tr>
    <w:tr w:rsidR="009E11C6" w:rsidTr="00206B7F">
      <w:trPr>
        <w:trHeight w:val="150"/>
      </w:trPr>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c>
        <w:tcPr>
          <w:tcW w:w="0" w:type="auto"/>
          <w:vMerge/>
          <w:vAlign w:val="center"/>
          <w:hideMark/>
        </w:tcPr>
        <w:p w:rsidR="009E11C6" w:rsidRPr="005A3173" w:rsidRDefault="009E11C6" w:rsidP="00206B7F">
          <w:pPr>
            <w:rPr>
              <w:rFonts w:ascii="Calibri" w:hAnsi="Calibri"/>
              <w:color w:val="365F91"/>
              <w:sz w:val="22"/>
              <w:szCs w:val="22"/>
            </w:rPr>
          </w:pPr>
        </w:p>
      </w:tc>
      <w:tc>
        <w:tcPr>
          <w:tcW w:w="2250" w:type="pct"/>
          <w:tcBorders>
            <w:top w:val="single" w:sz="4" w:space="0" w:color="4F81BD"/>
            <w:left w:val="nil"/>
            <w:bottom w:val="nil"/>
            <w:right w:val="nil"/>
          </w:tcBorders>
        </w:tcPr>
        <w:p w:rsidR="009E11C6" w:rsidRPr="005A3173" w:rsidRDefault="009E11C6" w:rsidP="00206B7F">
          <w:pPr>
            <w:pStyle w:val="Header"/>
            <w:spacing w:line="276" w:lineRule="auto"/>
            <w:rPr>
              <w:rFonts w:ascii="Calibri" w:eastAsia="MS Gothic" w:hAnsi="Calibri"/>
              <w:b/>
              <w:bCs/>
              <w:color w:val="4F81BD"/>
            </w:rPr>
          </w:pPr>
        </w:p>
      </w:tc>
    </w:tr>
  </w:tbl>
  <w:p w:rsidR="009E11C6" w:rsidRPr="007C0F57" w:rsidRDefault="009E11C6" w:rsidP="00206B7F">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E11C6" w:rsidRPr="007C0F57" w:rsidRDefault="009E11C6" w:rsidP="00206B7F">
    <w:pPr>
      <w:pStyle w:val="Footer"/>
      <w:jc w:val="center"/>
      <w:rPr>
        <w:b/>
        <w:i/>
        <w:sz w:val="20"/>
        <w:szCs w:val="20"/>
      </w:rPr>
    </w:pPr>
    <w:r w:rsidRPr="007C0F57">
      <w:rPr>
        <w:b/>
        <w:i/>
        <w:sz w:val="20"/>
        <w:szCs w:val="20"/>
      </w:rPr>
      <w:t>Commercial-in-Confidence</w:t>
    </w:r>
  </w:p>
  <w:p w:rsidR="009E11C6" w:rsidRDefault="009E11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C8" w:rsidRDefault="006371C8" w:rsidP="00206B7F">
      <w:r>
        <w:separator/>
      </w:r>
    </w:p>
  </w:footnote>
  <w:footnote w:type="continuationSeparator" w:id="0">
    <w:p w:rsidR="006371C8" w:rsidRDefault="006371C8" w:rsidP="00206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E11C6" w:rsidRPr="008E0D90" w:rsidTr="00206B7F">
      <w:trPr>
        <w:trHeight w:val="151"/>
      </w:trPr>
      <w:tc>
        <w:tcPr>
          <w:tcW w:w="2389" w:type="pct"/>
          <w:tcBorders>
            <w:top w:val="nil"/>
            <w:left w:val="nil"/>
            <w:bottom w:val="single" w:sz="4" w:space="0" w:color="4F81BD"/>
            <w:right w:val="nil"/>
          </w:tcBorders>
        </w:tcPr>
        <w:p w:rsidR="009E11C6" w:rsidRPr="00A06225" w:rsidRDefault="009E11C6">
          <w:pPr>
            <w:pStyle w:val="Header"/>
            <w:spacing w:line="276" w:lineRule="auto"/>
            <w:rPr>
              <w:rFonts w:ascii="Cambria" w:eastAsia="MS Gothic" w:hAnsi="Cambria"/>
              <w:b/>
              <w:bCs/>
              <w:color w:val="4F81BD"/>
            </w:rPr>
          </w:pPr>
        </w:p>
      </w:tc>
      <w:tc>
        <w:tcPr>
          <w:tcW w:w="333" w:type="pct"/>
          <w:vMerge w:val="restart"/>
          <w:noWrap/>
          <w:vAlign w:val="center"/>
          <w:hideMark/>
        </w:tcPr>
        <w:p w:rsidR="009E11C6" w:rsidRPr="00A06225" w:rsidRDefault="009E11C6" w:rsidP="00206B7F">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E11C6" w:rsidRPr="00A06225" w:rsidRDefault="009E11C6">
          <w:pPr>
            <w:pStyle w:val="Header"/>
            <w:spacing w:line="276" w:lineRule="auto"/>
            <w:rPr>
              <w:rFonts w:ascii="Cambria" w:eastAsia="MS Gothic" w:hAnsi="Cambria"/>
              <w:b/>
              <w:bCs/>
              <w:color w:val="4F81BD"/>
            </w:rPr>
          </w:pPr>
        </w:p>
      </w:tc>
    </w:tr>
    <w:tr w:rsidR="009E11C6" w:rsidRPr="008E0D90" w:rsidTr="00206B7F">
      <w:trPr>
        <w:trHeight w:val="150"/>
      </w:trPr>
      <w:tc>
        <w:tcPr>
          <w:tcW w:w="2389" w:type="pct"/>
          <w:tcBorders>
            <w:top w:val="single" w:sz="4" w:space="0" w:color="4F81BD"/>
            <w:left w:val="nil"/>
            <w:bottom w:val="nil"/>
            <w:right w:val="nil"/>
          </w:tcBorders>
        </w:tcPr>
        <w:p w:rsidR="009E11C6" w:rsidRPr="00A06225" w:rsidRDefault="009E11C6">
          <w:pPr>
            <w:pStyle w:val="Header"/>
            <w:spacing w:line="276" w:lineRule="auto"/>
            <w:rPr>
              <w:rFonts w:ascii="Cambria" w:eastAsia="MS Gothic" w:hAnsi="Cambria"/>
              <w:b/>
              <w:bCs/>
              <w:color w:val="4F81BD"/>
            </w:rPr>
          </w:pPr>
        </w:p>
      </w:tc>
      <w:tc>
        <w:tcPr>
          <w:tcW w:w="0" w:type="auto"/>
          <w:vMerge/>
          <w:vAlign w:val="center"/>
          <w:hideMark/>
        </w:tcPr>
        <w:p w:rsidR="009E11C6" w:rsidRPr="00A06225" w:rsidRDefault="009E11C6">
          <w:pPr>
            <w:rPr>
              <w:rFonts w:ascii="Cambria" w:hAnsi="Cambria"/>
              <w:color w:val="4F81BD"/>
              <w:sz w:val="22"/>
              <w:szCs w:val="22"/>
            </w:rPr>
          </w:pPr>
        </w:p>
      </w:tc>
      <w:tc>
        <w:tcPr>
          <w:tcW w:w="2278" w:type="pct"/>
          <w:tcBorders>
            <w:top w:val="single" w:sz="4" w:space="0" w:color="4F81BD"/>
            <w:left w:val="nil"/>
            <w:bottom w:val="nil"/>
            <w:right w:val="nil"/>
          </w:tcBorders>
        </w:tcPr>
        <w:p w:rsidR="009E11C6" w:rsidRPr="00A06225" w:rsidRDefault="009E11C6">
          <w:pPr>
            <w:pStyle w:val="Header"/>
            <w:spacing w:line="276" w:lineRule="auto"/>
            <w:rPr>
              <w:rFonts w:ascii="Cambria" w:eastAsia="MS Gothic" w:hAnsi="Cambria"/>
              <w:b/>
              <w:bCs/>
              <w:color w:val="4F81BD"/>
            </w:rPr>
          </w:pPr>
        </w:p>
      </w:tc>
    </w:tr>
  </w:tbl>
  <w:p w:rsidR="009E11C6" w:rsidRDefault="009E11C6">
    <w:pPr>
      <w:pStyle w:val="Header"/>
    </w:pPr>
  </w:p>
  <w:p w:rsidR="009E11C6" w:rsidRDefault="009E11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07" w:rsidRPr="00A41207" w:rsidRDefault="002F7254" w:rsidP="00A96922">
    <w:pPr>
      <w:tabs>
        <w:tab w:val="center" w:pos="4153"/>
        <w:tab w:val="right" w:pos="8306"/>
      </w:tabs>
      <w:ind w:left="357"/>
      <w:jc w:val="center"/>
      <w:rPr>
        <w:rFonts w:cs="Arial"/>
        <w:i/>
        <w:color w:val="808080"/>
      </w:rPr>
    </w:pPr>
    <w:r>
      <w:rPr>
        <w:rFonts w:cs="Arial"/>
        <w:i/>
        <w:color w:val="808080"/>
      </w:rPr>
      <w:t xml:space="preserve">Public Summary Document </w:t>
    </w:r>
    <w:r w:rsidR="00A41207" w:rsidRPr="00A41207">
      <w:rPr>
        <w:rFonts w:cs="Arial"/>
        <w:i/>
        <w:color w:val="808080"/>
      </w:rPr>
      <w:t xml:space="preserve">– </w:t>
    </w:r>
    <w:r w:rsidR="00A41207">
      <w:rPr>
        <w:rFonts w:cs="Arial"/>
        <w:i/>
        <w:color w:val="808080"/>
      </w:rPr>
      <w:t>July 2017</w:t>
    </w:r>
    <w:r w:rsidR="00A41207" w:rsidRPr="00A41207">
      <w:rPr>
        <w:rFonts w:cs="Arial"/>
        <w:i/>
        <w:color w:val="808080"/>
      </w:rPr>
      <w:t xml:space="preserve"> PBAC Meeting</w:t>
    </w:r>
  </w:p>
  <w:p w:rsidR="00A41207" w:rsidRPr="00A41207" w:rsidRDefault="00A41207" w:rsidP="00A96922">
    <w:pPr>
      <w:tabs>
        <w:tab w:val="center" w:pos="4153"/>
        <w:tab w:val="right" w:pos="8306"/>
      </w:tabs>
      <w:ind w:left="357"/>
      <w:jc w:val="center"/>
      <w:rPr>
        <w:rFonts w:cs="Arial"/>
        <w:i/>
        <w:color w:val="808080"/>
      </w:rPr>
    </w:pPr>
  </w:p>
  <w:p w:rsidR="009E11C6" w:rsidRDefault="009E11C6" w:rsidP="00206B7F">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C8" w:rsidRDefault="00637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83500D4"/>
    <w:multiLevelType w:val="multilevel"/>
    <w:tmpl w:val="E3F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920D76"/>
    <w:multiLevelType w:val="multilevel"/>
    <w:tmpl w:val="FF1C6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1FD4F2A"/>
    <w:multiLevelType w:val="hybridMultilevel"/>
    <w:tmpl w:val="793A3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EA73C4"/>
    <w:multiLevelType w:val="multilevel"/>
    <w:tmpl w:val="E01E6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3216C1"/>
    <w:multiLevelType w:val="hybridMultilevel"/>
    <w:tmpl w:val="31C4764A"/>
    <w:lvl w:ilvl="0" w:tplc="94342B1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1975510"/>
    <w:multiLevelType w:val="hybridMultilevel"/>
    <w:tmpl w:val="02503914"/>
    <w:lvl w:ilvl="0" w:tplc="94342B1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141B4F"/>
    <w:multiLevelType w:val="multilevel"/>
    <w:tmpl w:val="E01E6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9F67F2E"/>
    <w:multiLevelType w:val="multilevel"/>
    <w:tmpl w:val="E01E6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A8B4A1F"/>
    <w:multiLevelType w:val="multilevel"/>
    <w:tmpl w:val="914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9C0863"/>
    <w:multiLevelType w:val="multilevel"/>
    <w:tmpl w:val="A1F478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CC74D4E"/>
    <w:multiLevelType w:val="multilevel"/>
    <w:tmpl w:val="F0E412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451225B"/>
    <w:multiLevelType w:val="hybridMultilevel"/>
    <w:tmpl w:val="547C93F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FCA2ECD"/>
    <w:multiLevelType w:val="multilevel"/>
    <w:tmpl w:val="997E12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50186B40"/>
    <w:multiLevelType w:val="multilevel"/>
    <w:tmpl w:val="D50E23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21157D"/>
    <w:multiLevelType w:val="multilevel"/>
    <w:tmpl w:val="206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69330C"/>
    <w:multiLevelType w:val="multilevel"/>
    <w:tmpl w:val="0D42239C"/>
    <w:lvl w:ilvl="0">
      <w:start w:val="1"/>
      <w:numFmt w:val="decimal"/>
      <w:lvlText w:val="%1."/>
      <w:lvlJc w:val="left"/>
      <w:pPr>
        <w:ind w:left="72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1B23E61"/>
    <w:multiLevelType w:val="multilevel"/>
    <w:tmpl w:val="9D0C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B0945"/>
    <w:multiLevelType w:val="multilevel"/>
    <w:tmpl w:val="56F8F2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D00EF9"/>
    <w:multiLevelType w:val="multilevel"/>
    <w:tmpl w:val="D50E23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7901A33"/>
    <w:multiLevelType w:val="multilevel"/>
    <w:tmpl w:val="D50E23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25044F"/>
    <w:multiLevelType w:val="hybridMultilevel"/>
    <w:tmpl w:val="CE3ED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AB42127"/>
    <w:multiLevelType w:val="multilevel"/>
    <w:tmpl w:val="56F8F2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6"/>
  </w:num>
  <w:num w:numId="4">
    <w:abstractNumId w:val="24"/>
  </w:num>
  <w:num w:numId="5">
    <w:abstractNumId w:val="35"/>
  </w:num>
  <w:num w:numId="6">
    <w:abstractNumId w:val="9"/>
  </w:num>
  <w:num w:numId="7">
    <w:abstractNumId w:val="20"/>
  </w:num>
  <w:num w:numId="8">
    <w:abstractNumId w:val="2"/>
  </w:num>
  <w:num w:numId="9">
    <w:abstractNumId w:val="19"/>
  </w:num>
  <w:num w:numId="10">
    <w:abstractNumId w:val="18"/>
  </w:num>
  <w:num w:numId="11">
    <w:abstractNumId w:val="17"/>
  </w:num>
  <w:num w:numId="12">
    <w:abstractNumId w:val="22"/>
  </w:num>
  <w:num w:numId="13">
    <w:abstractNumId w:val="29"/>
  </w:num>
  <w:num w:numId="14">
    <w:abstractNumId w:val="32"/>
  </w:num>
  <w:num w:numId="15">
    <w:abstractNumId w:val="31"/>
  </w:num>
  <w:num w:numId="16">
    <w:abstractNumId w:val="23"/>
  </w:num>
  <w:num w:numId="17">
    <w:abstractNumId w:val="7"/>
  </w:num>
  <w:num w:numId="18">
    <w:abstractNumId w:val="33"/>
  </w:num>
  <w:num w:numId="19">
    <w:abstractNumId w:val="26"/>
  </w:num>
  <w:num w:numId="20">
    <w:abstractNumId w:val="21"/>
  </w:num>
  <w:num w:numId="21">
    <w:abstractNumId w:val="14"/>
  </w:num>
  <w:num w:numId="22">
    <w:abstractNumId w:val="8"/>
  </w:num>
  <w:num w:numId="23">
    <w:abstractNumId w:val="15"/>
  </w:num>
  <w:num w:numId="24">
    <w:abstractNumId w:val="36"/>
  </w:num>
  <w:num w:numId="25">
    <w:abstractNumId w:val="12"/>
  </w:num>
  <w:num w:numId="26">
    <w:abstractNumId w:val="10"/>
  </w:num>
  <w:num w:numId="27">
    <w:abstractNumId w:val="25"/>
  </w:num>
  <w:num w:numId="28">
    <w:abstractNumId w:val="27"/>
  </w:num>
  <w:num w:numId="29">
    <w:abstractNumId w:val="4"/>
  </w:num>
  <w:num w:numId="30">
    <w:abstractNumId w:val="0"/>
  </w:num>
  <w:num w:numId="31">
    <w:abstractNumId w:val="13"/>
  </w:num>
  <w:num w:numId="32">
    <w:abstractNumId w:val="30"/>
  </w:num>
  <w:num w:numId="33">
    <w:abstractNumId w:val="16"/>
  </w:num>
  <w:num w:numId="34">
    <w:abstractNumId w:val="3"/>
  </w:num>
  <w:num w:numId="35">
    <w:abstractNumId w:val="28"/>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4A"/>
    <w:rsid w:val="00003743"/>
    <w:rsid w:val="0002016F"/>
    <w:rsid w:val="0002022E"/>
    <w:rsid w:val="00024432"/>
    <w:rsid w:val="0002511A"/>
    <w:rsid w:val="00067456"/>
    <w:rsid w:val="000922BC"/>
    <w:rsid w:val="00102B0E"/>
    <w:rsid w:val="00110FE6"/>
    <w:rsid w:val="001117BA"/>
    <w:rsid w:val="0011291A"/>
    <w:rsid w:val="00126538"/>
    <w:rsid w:val="001332FC"/>
    <w:rsid w:val="001376E7"/>
    <w:rsid w:val="001577DA"/>
    <w:rsid w:val="00170449"/>
    <w:rsid w:val="0017097C"/>
    <w:rsid w:val="0019461E"/>
    <w:rsid w:val="001B3443"/>
    <w:rsid w:val="001E420C"/>
    <w:rsid w:val="00206B7F"/>
    <w:rsid w:val="002267E9"/>
    <w:rsid w:val="0023433C"/>
    <w:rsid w:val="00234549"/>
    <w:rsid w:val="00245EE8"/>
    <w:rsid w:val="00263242"/>
    <w:rsid w:val="00280EDD"/>
    <w:rsid w:val="002B01B7"/>
    <w:rsid w:val="002C3FBE"/>
    <w:rsid w:val="002E6FA0"/>
    <w:rsid w:val="002F0667"/>
    <w:rsid w:val="002F27B8"/>
    <w:rsid w:val="002F3AE3"/>
    <w:rsid w:val="002F7254"/>
    <w:rsid w:val="00303284"/>
    <w:rsid w:val="00303FD9"/>
    <w:rsid w:val="0030786C"/>
    <w:rsid w:val="00315D13"/>
    <w:rsid w:val="00332C6A"/>
    <w:rsid w:val="00355019"/>
    <w:rsid w:val="00377CD4"/>
    <w:rsid w:val="00383CEF"/>
    <w:rsid w:val="00390548"/>
    <w:rsid w:val="00395EE9"/>
    <w:rsid w:val="003B315F"/>
    <w:rsid w:val="003C0241"/>
    <w:rsid w:val="003C1569"/>
    <w:rsid w:val="003C6F86"/>
    <w:rsid w:val="003D17F9"/>
    <w:rsid w:val="003D1CF8"/>
    <w:rsid w:val="003D3C4A"/>
    <w:rsid w:val="003E25C1"/>
    <w:rsid w:val="00416CE4"/>
    <w:rsid w:val="00417C0D"/>
    <w:rsid w:val="00427488"/>
    <w:rsid w:val="004345C0"/>
    <w:rsid w:val="00436269"/>
    <w:rsid w:val="00467197"/>
    <w:rsid w:val="004867E2"/>
    <w:rsid w:val="00486836"/>
    <w:rsid w:val="004955E0"/>
    <w:rsid w:val="00496031"/>
    <w:rsid w:val="004963CB"/>
    <w:rsid w:val="004B18D4"/>
    <w:rsid w:val="004D11D3"/>
    <w:rsid w:val="004F0711"/>
    <w:rsid w:val="00500AF3"/>
    <w:rsid w:val="00514981"/>
    <w:rsid w:val="005608F1"/>
    <w:rsid w:val="0056124D"/>
    <w:rsid w:val="0057044F"/>
    <w:rsid w:val="005969D8"/>
    <w:rsid w:val="005C717C"/>
    <w:rsid w:val="005D6C5B"/>
    <w:rsid w:val="005E50F5"/>
    <w:rsid w:val="005E72AF"/>
    <w:rsid w:val="005F74A1"/>
    <w:rsid w:val="0061127F"/>
    <w:rsid w:val="00612D11"/>
    <w:rsid w:val="00614200"/>
    <w:rsid w:val="0063240C"/>
    <w:rsid w:val="00633A3E"/>
    <w:rsid w:val="00633C66"/>
    <w:rsid w:val="00636943"/>
    <w:rsid w:val="006371C8"/>
    <w:rsid w:val="00662237"/>
    <w:rsid w:val="006B1371"/>
    <w:rsid w:val="006F7B0F"/>
    <w:rsid w:val="00706246"/>
    <w:rsid w:val="00721284"/>
    <w:rsid w:val="00742D2D"/>
    <w:rsid w:val="0077767F"/>
    <w:rsid w:val="0079309B"/>
    <w:rsid w:val="00794483"/>
    <w:rsid w:val="007A26AC"/>
    <w:rsid w:val="007E778E"/>
    <w:rsid w:val="007F19D6"/>
    <w:rsid w:val="007F28AD"/>
    <w:rsid w:val="008040FD"/>
    <w:rsid w:val="008078C1"/>
    <w:rsid w:val="008264EB"/>
    <w:rsid w:val="008278E0"/>
    <w:rsid w:val="00841BAF"/>
    <w:rsid w:val="00844193"/>
    <w:rsid w:val="00862E6F"/>
    <w:rsid w:val="00893984"/>
    <w:rsid w:val="00896096"/>
    <w:rsid w:val="00896B98"/>
    <w:rsid w:val="008C2181"/>
    <w:rsid w:val="008C2194"/>
    <w:rsid w:val="008C3737"/>
    <w:rsid w:val="008D14BD"/>
    <w:rsid w:val="008F0C9F"/>
    <w:rsid w:val="008F31AF"/>
    <w:rsid w:val="0090462E"/>
    <w:rsid w:val="009117BE"/>
    <w:rsid w:val="00912F5A"/>
    <w:rsid w:val="00924C83"/>
    <w:rsid w:val="00927498"/>
    <w:rsid w:val="009329DC"/>
    <w:rsid w:val="00950643"/>
    <w:rsid w:val="009551D3"/>
    <w:rsid w:val="009633C0"/>
    <w:rsid w:val="009674B3"/>
    <w:rsid w:val="00971674"/>
    <w:rsid w:val="00980129"/>
    <w:rsid w:val="009B184D"/>
    <w:rsid w:val="009C4A96"/>
    <w:rsid w:val="009D20B3"/>
    <w:rsid w:val="009D4CC9"/>
    <w:rsid w:val="009E11C6"/>
    <w:rsid w:val="009F5E5C"/>
    <w:rsid w:val="00A0007B"/>
    <w:rsid w:val="00A14F97"/>
    <w:rsid w:val="00A41207"/>
    <w:rsid w:val="00A4512D"/>
    <w:rsid w:val="00A705AF"/>
    <w:rsid w:val="00A75708"/>
    <w:rsid w:val="00A81FE7"/>
    <w:rsid w:val="00A82538"/>
    <w:rsid w:val="00A96922"/>
    <w:rsid w:val="00AB1B5F"/>
    <w:rsid w:val="00AB5EB5"/>
    <w:rsid w:val="00B3306C"/>
    <w:rsid w:val="00B33F02"/>
    <w:rsid w:val="00B35205"/>
    <w:rsid w:val="00B42851"/>
    <w:rsid w:val="00B43D41"/>
    <w:rsid w:val="00B575AD"/>
    <w:rsid w:val="00B765B2"/>
    <w:rsid w:val="00B96F82"/>
    <w:rsid w:val="00BC328F"/>
    <w:rsid w:val="00BD0D7A"/>
    <w:rsid w:val="00BD64BD"/>
    <w:rsid w:val="00BF641C"/>
    <w:rsid w:val="00BF79B4"/>
    <w:rsid w:val="00C00A41"/>
    <w:rsid w:val="00C039DF"/>
    <w:rsid w:val="00C2776D"/>
    <w:rsid w:val="00C41778"/>
    <w:rsid w:val="00C4472C"/>
    <w:rsid w:val="00C46F0D"/>
    <w:rsid w:val="00C6627D"/>
    <w:rsid w:val="00C77C19"/>
    <w:rsid w:val="00C8018C"/>
    <w:rsid w:val="00C82444"/>
    <w:rsid w:val="00C82F04"/>
    <w:rsid w:val="00C949F8"/>
    <w:rsid w:val="00CA6BBF"/>
    <w:rsid w:val="00CB55B5"/>
    <w:rsid w:val="00CB5B1A"/>
    <w:rsid w:val="00CF7DD5"/>
    <w:rsid w:val="00D02B9A"/>
    <w:rsid w:val="00D109F2"/>
    <w:rsid w:val="00D14BCD"/>
    <w:rsid w:val="00D1518D"/>
    <w:rsid w:val="00D326C5"/>
    <w:rsid w:val="00D535D4"/>
    <w:rsid w:val="00D57B6C"/>
    <w:rsid w:val="00D64749"/>
    <w:rsid w:val="00D647C3"/>
    <w:rsid w:val="00D679F8"/>
    <w:rsid w:val="00D728F9"/>
    <w:rsid w:val="00D93EC6"/>
    <w:rsid w:val="00DA4438"/>
    <w:rsid w:val="00DC38B8"/>
    <w:rsid w:val="00DF1255"/>
    <w:rsid w:val="00DF2AC2"/>
    <w:rsid w:val="00DF55D0"/>
    <w:rsid w:val="00E0143F"/>
    <w:rsid w:val="00E050DC"/>
    <w:rsid w:val="00E05DA1"/>
    <w:rsid w:val="00E113F8"/>
    <w:rsid w:val="00E24C88"/>
    <w:rsid w:val="00E75CA8"/>
    <w:rsid w:val="00E7640C"/>
    <w:rsid w:val="00E81F9D"/>
    <w:rsid w:val="00E971B8"/>
    <w:rsid w:val="00EA0D42"/>
    <w:rsid w:val="00EB534F"/>
    <w:rsid w:val="00EB602D"/>
    <w:rsid w:val="00EE19B0"/>
    <w:rsid w:val="00F25384"/>
    <w:rsid w:val="00F61A68"/>
    <w:rsid w:val="00F878EA"/>
    <w:rsid w:val="00FA3246"/>
    <w:rsid w:val="00FB03FC"/>
    <w:rsid w:val="00FD2587"/>
    <w:rsid w:val="00FD2E5A"/>
    <w:rsid w:val="00FD79E2"/>
    <w:rsid w:val="00FE1261"/>
    <w:rsid w:val="00FF32A6"/>
    <w:rsid w:val="00FF5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922"/>
    <w:rPr>
      <w:rFonts w:asciiTheme="minorHAnsi" w:hAnsiTheme="minorHAnsi"/>
      <w:sz w:val="24"/>
      <w:szCs w:val="24"/>
      <w:lang w:eastAsia="en-US"/>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qFormat/>
    <w:rsid w:val="00A4512D"/>
    <w:pPr>
      <w:ind w:left="720"/>
      <w:contextualSpacing/>
    </w:pPr>
  </w:style>
  <w:style w:type="paragraph" w:styleId="Header">
    <w:name w:val="header"/>
    <w:basedOn w:val="Normal"/>
    <w:link w:val="HeaderChar"/>
    <w:rsid w:val="00206B7F"/>
    <w:pPr>
      <w:tabs>
        <w:tab w:val="center" w:pos="4513"/>
        <w:tab w:val="right" w:pos="9026"/>
      </w:tabs>
    </w:pPr>
  </w:style>
  <w:style w:type="character" w:customStyle="1" w:styleId="HeaderChar">
    <w:name w:val="Header Char"/>
    <w:basedOn w:val="DefaultParagraphFont"/>
    <w:link w:val="Header"/>
    <w:rsid w:val="00206B7F"/>
    <w:rPr>
      <w:sz w:val="24"/>
      <w:szCs w:val="24"/>
      <w:lang w:eastAsia="en-US"/>
    </w:rPr>
  </w:style>
  <w:style w:type="paragraph" w:styleId="Footer">
    <w:name w:val="footer"/>
    <w:basedOn w:val="Normal"/>
    <w:link w:val="FooterChar"/>
    <w:rsid w:val="00206B7F"/>
    <w:pPr>
      <w:tabs>
        <w:tab w:val="center" w:pos="4513"/>
        <w:tab w:val="right" w:pos="9026"/>
      </w:tabs>
    </w:pPr>
  </w:style>
  <w:style w:type="character" w:customStyle="1" w:styleId="FooterChar">
    <w:name w:val="Footer Char"/>
    <w:basedOn w:val="DefaultParagraphFont"/>
    <w:link w:val="Footer"/>
    <w:rsid w:val="00206B7F"/>
    <w:rPr>
      <w:sz w:val="24"/>
      <w:szCs w:val="24"/>
      <w:lang w:eastAsia="en-US"/>
    </w:rPr>
  </w:style>
  <w:style w:type="character" w:styleId="PageNumber">
    <w:name w:val="page number"/>
    <w:basedOn w:val="DefaultParagraphFont"/>
    <w:rsid w:val="00206B7F"/>
  </w:style>
  <w:style w:type="paragraph" w:customStyle="1" w:styleId="MediumGrid21">
    <w:name w:val="Medium Grid 21"/>
    <w:link w:val="MediumGrid2Char"/>
    <w:qFormat/>
    <w:rsid w:val="00206B7F"/>
    <w:rPr>
      <w:rFonts w:ascii="PMingLiU" w:eastAsia="MS Mincho" w:hAnsi="PMingLiU"/>
      <w:sz w:val="22"/>
      <w:szCs w:val="22"/>
      <w:lang w:val="en-US" w:eastAsia="en-US"/>
    </w:rPr>
  </w:style>
  <w:style w:type="character" w:customStyle="1" w:styleId="MediumGrid2Char">
    <w:name w:val="Medium Grid 2 Char"/>
    <w:link w:val="MediumGrid21"/>
    <w:rsid w:val="00206B7F"/>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206B7F"/>
    <w:rPr>
      <w:sz w:val="16"/>
      <w:szCs w:val="16"/>
    </w:rPr>
  </w:style>
  <w:style w:type="paragraph" w:styleId="CommentText">
    <w:name w:val="annotation text"/>
    <w:basedOn w:val="Normal"/>
    <w:link w:val="CommentTextChar"/>
    <w:rsid w:val="00206B7F"/>
    <w:rPr>
      <w:sz w:val="20"/>
      <w:szCs w:val="20"/>
      <w:lang w:eastAsia="en-AU"/>
    </w:rPr>
  </w:style>
  <w:style w:type="character" w:customStyle="1" w:styleId="CommentTextChar">
    <w:name w:val="Comment Text Char"/>
    <w:basedOn w:val="DefaultParagraphFont"/>
    <w:link w:val="CommentText"/>
    <w:rsid w:val="00206B7F"/>
  </w:style>
  <w:style w:type="paragraph" w:customStyle="1" w:styleId="PBACHeading1">
    <w:name w:val="PBAC Heading 1"/>
    <w:qFormat/>
    <w:rsid w:val="00A96922"/>
    <w:pPr>
      <w:outlineLvl w:val="0"/>
    </w:pPr>
    <w:rPr>
      <w:rFonts w:asciiTheme="minorHAnsi" w:hAnsiTheme="minorHAnsi" w:cs="Arial"/>
      <w:b/>
      <w:snapToGrid w:val="0"/>
      <w:sz w:val="32"/>
      <w:szCs w:val="22"/>
      <w:lang w:eastAsia="en-US"/>
    </w:rPr>
  </w:style>
  <w:style w:type="paragraph" w:styleId="BalloonText">
    <w:name w:val="Balloon Text"/>
    <w:basedOn w:val="Normal"/>
    <w:link w:val="BalloonTextChar"/>
    <w:rsid w:val="00206B7F"/>
    <w:rPr>
      <w:rFonts w:ascii="Tahoma" w:hAnsi="Tahoma" w:cs="Tahoma"/>
      <w:sz w:val="16"/>
      <w:szCs w:val="16"/>
    </w:rPr>
  </w:style>
  <w:style w:type="character" w:customStyle="1" w:styleId="BalloonTextChar">
    <w:name w:val="Balloon Text Char"/>
    <w:basedOn w:val="DefaultParagraphFont"/>
    <w:link w:val="BalloonText"/>
    <w:rsid w:val="00206B7F"/>
    <w:rPr>
      <w:rFonts w:ascii="Tahoma" w:hAnsi="Tahoma" w:cs="Tahoma"/>
      <w:sz w:val="16"/>
      <w:szCs w:val="16"/>
      <w:lang w:eastAsia="en-US"/>
    </w:rPr>
  </w:style>
  <w:style w:type="character" w:styleId="Hyperlink">
    <w:name w:val="Hyperlink"/>
    <w:uiPriority w:val="99"/>
    <w:rsid w:val="00206B7F"/>
    <w:rPr>
      <w:color w:val="0000FF"/>
      <w:u w:val="single"/>
    </w:rPr>
  </w:style>
  <w:style w:type="character" w:customStyle="1" w:styleId="drug-name">
    <w:name w:val="drug-name"/>
    <w:basedOn w:val="DefaultParagraphFont"/>
    <w:rsid w:val="00206B7F"/>
  </w:style>
  <w:style w:type="character" w:customStyle="1" w:styleId="form-strength">
    <w:name w:val="form-strength"/>
    <w:basedOn w:val="DefaultParagraphFont"/>
    <w:rsid w:val="00206B7F"/>
  </w:style>
  <w:style w:type="paragraph" w:styleId="CommentSubject">
    <w:name w:val="annotation subject"/>
    <w:basedOn w:val="CommentText"/>
    <w:next w:val="CommentText"/>
    <w:link w:val="CommentSubjectChar"/>
    <w:rsid w:val="00B96F82"/>
    <w:rPr>
      <w:b/>
      <w:bCs/>
      <w:lang w:eastAsia="en-US"/>
    </w:rPr>
  </w:style>
  <w:style w:type="character" w:customStyle="1" w:styleId="CommentSubjectChar">
    <w:name w:val="Comment Subject Char"/>
    <w:basedOn w:val="CommentTextChar"/>
    <w:link w:val="CommentSubject"/>
    <w:rsid w:val="00B96F82"/>
    <w:rPr>
      <w:b/>
      <w:bCs/>
      <w:lang w:eastAsia="en-US"/>
    </w:rPr>
  </w:style>
  <w:style w:type="character" w:customStyle="1" w:styleId="ListParagraphChar">
    <w:name w:val="List Paragraph Char"/>
    <w:aliases w:val="BulletPoints Char"/>
    <w:basedOn w:val="DefaultParagraphFont"/>
    <w:link w:val="ListParagraph"/>
    <w:rsid w:val="00303FD9"/>
    <w:rPr>
      <w:sz w:val="24"/>
      <w:szCs w:val="24"/>
      <w:lang w:eastAsia="en-US"/>
    </w:rPr>
  </w:style>
  <w:style w:type="character" w:customStyle="1" w:styleId="Heading1Char">
    <w:name w:val="Heading 1 Char"/>
    <w:basedOn w:val="DefaultParagraphFont"/>
    <w:link w:val="Heading1"/>
    <w:rsid w:val="0079309B"/>
    <w:rPr>
      <w:rFonts w:ascii="Arial" w:hAnsi="Arial" w:cs="Arial"/>
      <w:b/>
      <w:bCs/>
      <w:kern w:val="28"/>
      <w:sz w:val="28"/>
      <w:szCs w:val="32"/>
      <w:lang w:eastAsia="en-US"/>
    </w:rPr>
  </w:style>
  <w:style w:type="table" w:styleId="TableGrid">
    <w:name w:val="Table Grid"/>
    <w:basedOn w:val="TableNormal"/>
    <w:rsid w:val="002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1778"/>
    <w:pPr>
      <w:spacing w:after="150"/>
    </w:pPr>
    <w:rPr>
      <w:color w:val="222222"/>
      <w:lang w:eastAsia="en-AU"/>
    </w:rPr>
  </w:style>
  <w:style w:type="character" w:customStyle="1" w:styleId="label-">
    <w:name w:val="label-"/>
    <w:basedOn w:val="DefaultParagraphFont"/>
    <w:rsid w:val="00C41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922"/>
    <w:rPr>
      <w:rFonts w:asciiTheme="minorHAnsi" w:hAnsiTheme="minorHAnsi"/>
      <w:sz w:val="24"/>
      <w:szCs w:val="24"/>
      <w:lang w:eastAsia="en-US"/>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qFormat/>
    <w:rsid w:val="00A4512D"/>
    <w:pPr>
      <w:ind w:left="720"/>
      <w:contextualSpacing/>
    </w:pPr>
  </w:style>
  <w:style w:type="paragraph" w:styleId="Header">
    <w:name w:val="header"/>
    <w:basedOn w:val="Normal"/>
    <w:link w:val="HeaderChar"/>
    <w:rsid w:val="00206B7F"/>
    <w:pPr>
      <w:tabs>
        <w:tab w:val="center" w:pos="4513"/>
        <w:tab w:val="right" w:pos="9026"/>
      </w:tabs>
    </w:pPr>
  </w:style>
  <w:style w:type="character" w:customStyle="1" w:styleId="HeaderChar">
    <w:name w:val="Header Char"/>
    <w:basedOn w:val="DefaultParagraphFont"/>
    <w:link w:val="Header"/>
    <w:rsid w:val="00206B7F"/>
    <w:rPr>
      <w:sz w:val="24"/>
      <w:szCs w:val="24"/>
      <w:lang w:eastAsia="en-US"/>
    </w:rPr>
  </w:style>
  <w:style w:type="paragraph" w:styleId="Footer">
    <w:name w:val="footer"/>
    <w:basedOn w:val="Normal"/>
    <w:link w:val="FooterChar"/>
    <w:rsid w:val="00206B7F"/>
    <w:pPr>
      <w:tabs>
        <w:tab w:val="center" w:pos="4513"/>
        <w:tab w:val="right" w:pos="9026"/>
      </w:tabs>
    </w:pPr>
  </w:style>
  <w:style w:type="character" w:customStyle="1" w:styleId="FooterChar">
    <w:name w:val="Footer Char"/>
    <w:basedOn w:val="DefaultParagraphFont"/>
    <w:link w:val="Footer"/>
    <w:rsid w:val="00206B7F"/>
    <w:rPr>
      <w:sz w:val="24"/>
      <w:szCs w:val="24"/>
      <w:lang w:eastAsia="en-US"/>
    </w:rPr>
  </w:style>
  <w:style w:type="character" w:styleId="PageNumber">
    <w:name w:val="page number"/>
    <w:basedOn w:val="DefaultParagraphFont"/>
    <w:rsid w:val="00206B7F"/>
  </w:style>
  <w:style w:type="paragraph" w:customStyle="1" w:styleId="MediumGrid21">
    <w:name w:val="Medium Grid 21"/>
    <w:link w:val="MediumGrid2Char"/>
    <w:qFormat/>
    <w:rsid w:val="00206B7F"/>
    <w:rPr>
      <w:rFonts w:ascii="PMingLiU" w:eastAsia="MS Mincho" w:hAnsi="PMingLiU"/>
      <w:sz w:val="22"/>
      <w:szCs w:val="22"/>
      <w:lang w:val="en-US" w:eastAsia="en-US"/>
    </w:rPr>
  </w:style>
  <w:style w:type="character" w:customStyle="1" w:styleId="MediumGrid2Char">
    <w:name w:val="Medium Grid 2 Char"/>
    <w:link w:val="MediumGrid21"/>
    <w:rsid w:val="00206B7F"/>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206B7F"/>
    <w:rPr>
      <w:sz w:val="16"/>
      <w:szCs w:val="16"/>
    </w:rPr>
  </w:style>
  <w:style w:type="paragraph" w:styleId="CommentText">
    <w:name w:val="annotation text"/>
    <w:basedOn w:val="Normal"/>
    <w:link w:val="CommentTextChar"/>
    <w:rsid w:val="00206B7F"/>
    <w:rPr>
      <w:sz w:val="20"/>
      <w:szCs w:val="20"/>
      <w:lang w:eastAsia="en-AU"/>
    </w:rPr>
  </w:style>
  <w:style w:type="character" w:customStyle="1" w:styleId="CommentTextChar">
    <w:name w:val="Comment Text Char"/>
    <w:basedOn w:val="DefaultParagraphFont"/>
    <w:link w:val="CommentText"/>
    <w:rsid w:val="00206B7F"/>
  </w:style>
  <w:style w:type="paragraph" w:customStyle="1" w:styleId="PBACHeading1">
    <w:name w:val="PBAC Heading 1"/>
    <w:qFormat/>
    <w:rsid w:val="00A96922"/>
    <w:pPr>
      <w:outlineLvl w:val="0"/>
    </w:pPr>
    <w:rPr>
      <w:rFonts w:asciiTheme="minorHAnsi" w:hAnsiTheme="minorHAnsi" w:cs="Arial"/>
      <w:b/>
      <w:snapToGrid w:val="0"/>
      <w:sz w:val="32"/>
      <w:szCs w:val="22"/>
      <w:lang w:eastAsia="en-US"/>
    </w:rPr>
  </w:style>
  <w:style w:type="paragraph" w:styleId="BalloonText">
    <w:name w:val="Balloon Text"/>
    <w:basedOn w:val="Normal"/>
    <w:link w:val="BalloonTextChar"/>
    <w:rsid w:val="00206B7F"/>
    <w:rPr>
      <w:rFonts w:ascii="Tahoma" w:hAnsi="Tahoma" w:cs="Tahoma"/>
      <w:sz w:val="16"/>
      <w:szCs w:val="16"/>
    </w:rPr>
  </w:style>
  <w:style w:type="character" w:customStyle="1" w:styleId="BalloonTextChar">
    <w:name w:val="Balloon Text Char"/>
    <w:basedOn w:val="DefaultParagraphFont"/>
    <w:link w:val="BalloonText"/>
    <w:rsid w:val="00206B7F"/>
    <w:rPr>
      <w:rFonts w:ascii="Tahoma" w:hAnsi="Tahoma" w:cs="Tahoma"/>
      <w:sz w:val="16"/>
      <w:szCs w:val="16"/>
      <w:lang w:eastAsia="en-US"/>
    </w:rPr>
  </w:style>
  <w:style w:type="character" w:styleId="Hyperlink">
    <w:name w:val="Hyperlink"/>
    <w:uiPriority w:val="99"/>
    <w:rsid w:val="00206B7F"/>
    <w:rPr>
      <w:color w:val="0000FF"/>
      <w:u w:val="single"/>
    </w:rPr>
  </w:style>
  <w:style w:type="character" w:customStyle="1" w:styleId="drug-name">
    <w:name w:val="drug-name"/>
    <w:basedOn w:val="DefaultParagraphFont"/>
    <w:rsid w:val="00206B7F"/>
  </w:style>
  <w:style w:type="character" w:customStyle="1" w:styleId="form-strength">
    <w:name w:val="form-strength"/>
    <w:basedOn w:val="DefaultParagraphFont"/>
    <w:rsid w:val="00206B7F"/>
  </w:style>
  <w:style w:type="paragraph" w:styleId="CommentSubject">
    <w:name w:val="annotation subject"/>
    <w:basedOn w:val="CommentText"/>
    <w:next w:val="CommentText"/>
    <w:link w:val="CommentSubjectChar"/>
    <w:rsid w:val="00B96F82"/>
    <w:rPr>
      <w:b/>
      <w:bCs/>
      <w:lang w:eastAsia="en-US"/>
    </w:rPr>
  </w:style>
  <w:style w:type="character" w:customStyle="1" w:styleId="CommentSubjectChar">
    <w:name w:val="Comment Subject Char"/>
    <w:basedOn w:val="CommentTextChar"/>
    <w:link w:val="CommentSubject"/>
    <w:rsid w:val="00B96F82"/>
    <w:rPr>
      <w:b/>
      <w:bCs/>
      <w:lang w:eastAsia="en-US"/>
    </w:rPr>
  </w:style>
  <w:style w:type="character" w:customStyle="1" w:styleId="ListParagraphChar">
    <w:name w:val="List Paragraph Char"/>
    <w:aliases w:val="BulletPoints Char"/>
    <w:basedOn w:val="DefaultParagraphFont"/>
    <w:link w:val="ListParagraph"/>
    <w:rsid w:val="00303FD9"/>
    <w:rPr>
      <w:sz w:val="24"/>
      <w:szCs w:val="24"/>
      <w:lang w:eastAsia="en-US"/>
    </w:rPr>
  </w:style>
  <w:style w:type="character" w:customStyle="1" w:styleId="Heading1Char">
    <w:name w:val="Heading 1 Char"/>
    <w:basedOn w:val="DefaultParagraphFont"/>
    <w:link w:val="Heading1"/>
    <w:rsid w:val="0079309B"/>
    <w:rPr>
      <w:rFonts w:ascii="Arial" w:hAnsi="Arial" w:cs="Arial"/>
      <w:b/>
      <w:bCs/>
      <w:kern w:val="28"/>
      <w:sz w:val="28"/>
      <w:szCs w:val="32"/>
      <w:lang w:eastAsia="en-US"/>
    </w:rPr>
  </w:style>
  <w:style w:type="table" w:styleId="TableGrid">
    <w:name w:val="Table Grid"/>
    <w:basedOn w:val="TableNormal"/>
    <w:rsid w:val="002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1778"/>
    <w:pPr>
      <w:spacing w:after="150"/>
    </w:pPr>
    <w:rPr>
      <w:color w:val="222222"/>
      <w:lang w:eastAsia="en-AU"/>
    </w:rPr>
  </w:style>
  <w:style w:type="character" w:customStyle="1" w:styleId="label-">
    <w:name w:val="label-"/>
    <w:basedOn w:val="DefaultParagraphFont"/>
    <w:rsid w:val="00C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445357">
      <w:bodyDiv w:val="1"/>
      <w:marLeft w:val="0"/>
      <w:marRight w:val="0"/>
      <w:marTop w:val="0"/>
      <w:marBottom w:val="0"/>
      <w:divBdr>
        <w:top w:val="none" w:sz="0" w:space="0" w:color="auto"/>
        <w:left w:val="none" w:sz="0" w:space="0" w:color="auto"/>
        <w:bottom w:val="none" w:sz="0" w:space="0" w:color="auto"/>
        <w:right w:val="none" w:sz="0" w:space="0" w:color="auto"/>
      </w:divBdr>
      <w:divsChild>
        <w:div w:id="1219853665">
          <w:marLeft w:val="0"/>
          <w:marRight w:val="0"/>
          <w:marTop w:val="0"/>
          <w:marBottom w:val="0"/>
          <w:divBdr>
            <w:top w:val="none" w:sz="0" w:space="0" w:color="auto"/>
            <w:left w:val="none" w:sz="0" w:space="0" w:color="auto"/>
            <w:bottom w:val="none" w:sz="0" w:space="0" w:color="auto"/>
            <w:right w:val="none" w:sz="0" w:space="0" w:color="auto"/>
          </w:divBdr>
          <w:divsChild>
            <w:div w:id="320159393">
              <w:marLeft w:val="0"/>
              <w:marRight w:val="0"/>
              <w:marTop w:val="0"/>
              <w:marBottom w:val="0"/>
              <w:divBdr>
                <w:top w:val="none" w:sz="0" w:space="0" w:color="auto"/>
                <w:left w:val="none" w:sz="0" w:space="0" w:color="auto"/>
                <w:bottom w:val="none" w:sz="0" w:space="0" w:color="auto"/>
                <w:right w:val="none" w:sz="0" w:space="0" w:color="auto"/>
              </w:divBdr>
              <w:divsChild>
                <w:div w:id="3514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89174">
      <w:bodyDiv w:val="1"/>
      <w:marLeft w:val="0"/>
      <w:marRight w:val="0"/>
      <w:marTop w:val="0"/>
      <w:marBottom w:val="0"/>
      <w:divBdr>
        <w:top w:val="none" w:sz="0" w:space="0" w:color="auto"/>
        <w:left w:val="none" w:sz="0" w:space="0" w:color="auto"/>
        <w:bottom w:val="none" w:sz="0" w:space="0" w:color="auto"/>
        <w:right w:val="none" w:sz="0" w:space="0" w:color="auto"/>
      </w:divBdr>
      <w:divsChild>
        <w:div w:id="1346322394">
          <w:marLeft w:val="0"/>
          <w:marRight w:val="0"/>
          <w:marTop w:val="0"/>
          <w:marBottom w:val="0"/>
          <w:divBdr>
            <w:top w:val="none" w:sz="0" w:space="0" w:color="auto"/>
            <w:left w:val="none" w:sz="0" w:space="0" w:color="auto"/>
            <w:bottom w:val="none" w:sz="0" w:space="0" w:color="auto"/>
            <w:right w:val="none" w:sz="0" w:space="0" w:color="auto"/>
          </w:divBdr>
          <w:divsChild>
            <w:div w:id="1656228653">
              <w:marLeft w:val="0"/>
              <w:marRight w:val="0"/>
              <w:marTop w:val="0"/>
              <w:marBottom w:val="0"/>
              <w:divBdr>
                <w:top w:val="none" w:sz="0" w:space="0" w:color="auto"/>
                <w:left w:val="none" w:sz="0" w:space="0" w:color="auto"/>
                <w:bottom w:val="none" w:sz="0" w:space="0" w:color="auto"/>
                <w:right w:val="none" w:sz="0" w:space="0" w:color="auto"/>
              </w:divBdr>
              <w:divsChild>
                <w:div w:id="656687165">
                  <w:marLeft w:val="0"/>
                  <w:marRight w:val="0"/>
                  <w:marTop w:val="0"/>
                  <w:marBottom w:val="0"/>
                  <w:divBdr>
                    <w:top w:val="none" w:sz="0" w:space="0" w:color="auto"/>
                    <w:left w:val="none" w:sz="0" w:space="0" w:color="auto"/>
                    <w:bottom w:val="none" w:sz="0" w:space="0" w:color="auto"/>
                    <w:right w:val="none" w:sz="0" w:space="0" w:color="auto"/>
                  </w:divBdr>
                  <w:divsChild>
                    <w:div w:id="1732540859">
                      <w:marLeft w:val="0"/>
                      <w:marRight w:val="0"/>
                      <w:marTop w:val="0"/>
                      <w:marBottom w:val="0"/>
                      <w:divBdr>
                        <w:top w:val="none" w:sz="0" w:space="0" w:color="auto"/>
                        <w:left w:val="none" w:sz="0" w:space="0" w:color="auto"/>
                        <w:bottom w:val="none" w:sz="0" w:space="0" w:color="auto"/>
                        <w:right w:val="none" w:sz="0" w:space="0" w:color="auto"/>
                      </w:divBdr>
                      <w:divsChild>
                        <w:div w:id="1850606595">
                          <w:marLeft w:val="0"/>
                          <w:marRight w:val="0"/>
                          <w:marTop w:val="0"/>
                          <w:marBottom w:val="0"/>
                          <w:divBdr>
                            <w:top w:val="none" w:sz="0" w:space="0" w:color="auto"/>
                            <w:left w:val="none" w:sz="0" w:space="0" w:color="auto"/>
                            <w:bottom w:val="none" w:sz="0" w:space="0" w:color="auto"/>
                            <w:right w:val="none" w:sz="0" w:space="0" w:color="auto"/>
                          </w:divBdr>
                          <w:divsChild>
                            <w:div w:id="17276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B42A-AC09-4B32-8EB8-E1421086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2017-10-11T00:30:00Z</dcterms:created>
  <dcterms:modified xsi:type="dcterms:W3CDTF">2017-10-11T00:32:00Z</dcterms:modified>
</cp:coreProperties>
</file>