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268" w:rsidRPr="00EB1C2A" w:rsidRDefault="00165268" w:rsidP="00165268">
      <w:pPr>
        <w:jc w:val="both"/>
        <w:rPr>
          <w:rFonts w:asciiTheme="minorHAnsi" w:hAnsiTheme="minorHAnsi" w:cs="Arial"/>
        </w:rPr>
      </w:pPr>
    </w:p>
    <w:p w:rsidR="00CE10C4" w:rsidRPr="00617D5D" w:rsidRDefault="006203CB" w:rsidP="001544E4">
      <w:pPr>
        <w:pStyle w:val="Title"/>
        <w:ind w:left="720" w:hanging="720"/>
        <w:rPr>
          <w:rFonts w:asciiTheme="minorHAnsi" w:hAnsiTheme="minorHAnsi" w:cs="Arial"/>
          <w:sz w:val="36"/>
          <w:szCs w:val="36"/>
        </w:rPr>
      </w:pPr>
      <w:r w:rsidRPr="00617D5D">
        <w:rPr>
          <w:rFonts w:asciiTheme="minorHAnsi" w:hAnsiTheme="minorHAnsi" w:cs="Arial"/>
          <w:sz w:val="36"/>
          <w:szCs w:val="36"/>
        </w:rPr>
        <w:t>4.01</w:t>
      </w:r>
      <w:r w:rsidR="007C0F57" w:rsidRPr="00617D5D">
        <w:rPr>
          <w:rFonts w:asciiTheme="minorHAnsi" w:hAnsiTheme="minorHAnsi" w:cs="Arial"/>
          <w:sz w:val="36"/>
          <w:szCs w:val="36"/>
        </w:rPr>
        <w:tab/>
      </w:r>
      <w:r w:rsidRPr="00617D5D">
        <w:rPr>
          <w:rFonts w:asciiTheme="minorHAnsi" w:hAnsiTheme="minorHAnsi" w:cs="Arial"/>
          <w:sz w:val="36"/>
          <w:szCs w:val="36"/>
        </w:rPr>
        <w:t>ECULIZUMAB</w:t>
      </w:r>
      <w:r w:rsidR="008A50F1" w:rsidRPr="00617D5D">
        <w:rPr>
          <w:rFonts w:asciiTheme="minorHAnsi" w:hAnsiTheme="minorHAnsi" w:cs="Arial"/>
          <w:sz w:val="36"/>
          <w:szCs w:val="36"/>
        </w:rPr>
        <w:t xml:space="preserve"> </w:t>
      </w:r>
      <w:r w:rsidR="008A50F1" w:rsidRPr="00617D5D">
        <w:rPr>
          <w:rFonts w:asciiTheme="minorHAnsi" w:hAnsiTheme="minorHAnsi" w:cs="Arial"/>
          <w:sz w:val="36"/>
          <w:szCs w:val="36"/>
        </w:rPr>
        <w:br/>
      </w:r>
      <w:r w:rsidR="00844CB9" w:rsidRPr="00617D5D">
        <w:rPr>
          <w:rFonts w:asciiTheme="minorHAnsi" w:hAnsiTheme="minorHAnsi" w:cs="Arial"/>
          <w:sz w:val="36"/>
          <w:szCs w:val="36"/>
        </w:rPr>
        <w:t>Solution concentrate for I.V. infusion 300 mg in 30 mL</w:t>
      </w:r>
      <w:proofErr w:type="gramStart"/>
      <w:r w:rsidRPr="00617D5D">
        <w:rPr>
          <w:rFonts w:asciiTheme="minorHAnsi" w:hAnsiTheme="minorHAnsi" w:cs="Arial"/>
          <w:sz w:val="36"/>
          <w:szCs w:val="36"/>
        </w:rPr>
        <w:t>,</w:t>
      </w:r>
      <w:proofErr w:type="gramEnd"/>
      <w:r w:rsidR="001544E4">
        <w:rPr>
          <w:rFonts w:asciiTheme="minorHAnsi" w:hAnsiTheme="minorHAnsi" w:cs="Arial"/>
          <w:sz w:val="36"/>
          <w:szCs w:val="36"/>
        </w:rPr>
        <w:br/>
      </w:r>
      <w:proofErr w:type="spellStart"/>
      <w:r w:rsidRPr="00617D5D">
        <w:rPr>
          <w:rFonts w:asciiTheme="minorHAnsi" w:hAnsiTheme="minorHAnsi" w:cs="Arial"/>
          <w:sz w:val="36"/>
          <w:szCs w:val="36"/>
        </w:rPr>
        <w:t>Soliris</w:t>
      </w:r>
      <w:proofErr w:type="spellEnd"/>
      <w:r w:rsidRPr="00617D5D">
        <w:rPr>
          <w:rFonts w:asciiTheme="minorHAnsi" w:hAnsiTheme="minorHAnsi" w:cs="Arial"/>
          <w:sz w:val="36"/>
          <w:szCs w:val="36"/>
        </w:rPr>
        <w:t>®, Alexion Pharmaceutical Australia Pty Ltd.</w:t>
      </w:r>
    </w:p>
    <w:p w:rsidR="00C27B58" w:rsidRPr="00F77380" w:rsidRDefault="00C27B58" w:rsidP="00C27B58">
      <w:pPr>
        <w:pStyle w:val="NoSpacing"/>
        <w:rPr>
          <w:rFonts w:asciiTheme="minorHAnsi" w:hAnsiTheme="minorHAnsi" w:cs="Arial"/>
        </w:rPr>
      </w:pPr>
    </w:p>
    <w:p w:rsidR="00E15627" w:rsidRPr="00617D5D" w:rsidRDefault="00CE10C4" w:rsidP="00FC668B">
      <w:pPr>
        <w:pStyle w:val="PBACHeading1"/>
        <w:rPr>
          <w:rFonts w:asciiTheme="minorHAnsi" w:hAnsiTheme="minorHAnsi"/>
          <w:sz w:val="32"/>
          <w:szCs w:val="32"/>
        </w:rPr>
      </w:pPr>
      <w:r w:rsidRPr="00617D5D">
        <w:rPr>
          <w:rFonts w:asciiTheme="minorHAnsi" w:hAnsiTheme="minorHAnsi"/>
          <w:sz w:val="32"/>
          <w:szCs w:val="32"/>
        </w:rPr>
        <w:t xml:space="preserve">Purpose of </w:t>
      </w:r>
      <w:r w:rsidR="0004240E" w:rsidRPr="00617D5D">
        <w:rPr>
          <w:rFonts w:asciiTheme="minorHAnsi" w:hAnsiTheme="minorHAnsi"/>
          <w:sz w:val="32"/>
          <w:szCs w:val="32"/>
        </w:rPr>
        <w:t>Application</w:t>
      </w:r>
    </w:p>
    <w:p w:rsidR="008A50F1" w:rsidRPr="00F77380" w:rsidRDefault="008A50F1" w:rsidP="00FC668B">
      <w:pPr>
        <w:ind w:left="720" w:hanging="720"/>
        <w:rPr>
          <w:rFonts w:asciiTheme="minorHAnsi" w:hAnsiTheme="minorHAnsi" w:cs="Arial"/>
        </w:rPr>
      </w:pPr>
    </w:p>
    <w:p w:rsidR="00EF44A0" w:rsidRPr="00617D5D" w:rsidRDefault="006203CB" w:rsidP="00FC668B">
      <w:pPr>
        <w:pStyle w:val="ListParagraph"/>
        <w:widowControl/>
        <w:numPr>
          <w:ilvl w:val="1"/>
          <w:numId w:val="5"/>
        </w:numPr>
        <w:ind w:left="720"/>
        <w:rPr>
          <w:rFonts w:asciiTheme="minorHAnsi" w:hAnsiTheme="minorHAnsi"/>
          <w:sz w:val="24"/>
          <w:szCs w:val="24"/>
        </w:rPr>
      </w:pPr>
      <w:r w:rsidRPr="00617D5D">
        <w:rPr>
          <w:rFonts w:asciiTheme="minorHAnsi" w:hAnsiTheme="minorHAnsi"/>
          <w:sz w:val="24"/>
          <w:szCs w:val="24"/>
        </w:rPr>
        <w:t xml:space="preserve">The minor resubmission requested an extension of the current Authority Required Section 100 (Highly Specialised Drugs Program) listing for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for the treatment of patients with atypical haemolytic uraemic syndrome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in end stage renal disease (ESRD) who are eligible for a renal transplant.</w:t>
      </w:r>
    </w:p>
    <w:p w:rsidR="00F9629A" w:rsidRPr="00BF5429" w:rsidRDefault="00F9629A" w:rsidP="00FC668B">
      <w:pPr>
        <w:pStyle w:val="NoSpacing"/>
        <w:ind w:left="720" w:hanging="720"/>
        <w:rPr>
          <w:rFonts w:asciiTheme="minorHAnsi" w:hAnsiTheme="minorHAnsi" w:cs="Arial"/>
          <w:sz w:val="24"/>
          <w:szCs w:val="24"/>
        </w:rPr>
      </w:pPr>
    </w:p>
    <w:p w:rsidR="00EF44A0" w:rsidRPr="00BF5429" w:rsidRDefault="00EF44A0" w:rsidP="00FC668B">
      <w:pPr>
        <w:pStyle w:val="NoSpacing"/>
        <w:ind w:left="720" w:hanging="720"/>
        <w:rPr>
          <w:rFonts w:asciiTheme="minorHAnsi" w:hAnsiTheme="minorHAnsi" w:cs="Arial"/>
          <w:sz w:val="24"/>
          <w:szCs w:val="24"/>
        </w:rPr>
      </w:pPr>
    </w:p>
    <w:p w:rsidR="00962223" w:rsidRPr="00617D5D" w:rsidRDefault="006A12A5" w:rsidP="00FC668B">
      <w:pPr>
        <w:pStyle w:val="PBACHeading1"/>
        <w:rPr>
          <w:rFonts w:asciiTheme="minorHAnsi" w:hAnsiTheme="minorHAnsi"/>
          <w:sz w:val="32"/>
          <w:szCs w:val="32"/>
        </w:rPr>
      </w:pPr>
      <w:r w:rsidRPr="00617D5D">
        <w:rPr>
          <w:rFonts w:asciiTheme="minorHAnsi" w:hAnsiTheme="minorHAnsi"/>
          <w:sz w:val="32"/>
          <w:szCs w:val="32"/>
        </w:rPr>
        <w:t>Requested listing</w:t>
      </w:r>
    </w:p>
    <w:p w:rsidR="006A12A5" w:rsidRPr="00F77380" w:rsidRDefault="006A12A5" w:rsidP="00FC668B">
      <w:pPr>
        <w:ind w:left="720" w:hanging="720"/>
        <w:jc w:val="both"/>
        <w:rPr>
          <w:rFonts w:asciiTheme="minorHAnsi" w:hAnsiTheme="minorHAnsi" w:cs="Arial"/>
          <w:b/>
          <w:sz w:val="22"/>
          <w:szCs w:val="22"/>
        </w:rPr>
      </w:pPr>
    </w:p>
    <w:p w:rsidR="0053225D" w:rsidRPr="00617D5D" w:rsidRDefault="00B721E4" w:rsidP="00FC668B">
      <w:pPr>
        <w:pStyle w:val="ListParagraph"/>
        <w:widowControl/>
        <w:numPr>
          <w:ilvl w:val="1"/>
          <w:numId w:val="5"/>
        </w:numPr>
        <w:ind w:left="720"/>
        <w:rPr>
          <w:rFonts w:asciiTheme="minorHAnsi" w:hAnsiTheme="minorHAnsi"/>
          <w:sz w:val="24"/>
          <w:szCs w:val="24"/>
        </w:rPr>
      </w:pPr>
      <w:r w:rsidRPr="00617D5D">
        <w:rPr>
          <w:rFonts w:asciiTheme="minorHAnsi" w:hAnsiTheme="minorHAnsi"/>
          <w:sz w:val="24"/>
          <w:szCs w:val="24"/>
        </w:rPr>
        <w:t xml:space="preserve">The submission requested access to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treatment for with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w:t>
      </w:r>
      <w:r w:rsidR="0053225D" w:rsidRPr="00617D5D">
        <w:rPr>
          <w:rFonts w:asciiTheme="minorHAnsi" w:hAnsiTheme="minorHAnsi"/>
          <w:sz w:val="24"/>
          <w:szCs w:val="24"/>
        </w:rPr>
        <w:t xml:space="preserve">in ESRD on chronic dialysis who are suitable for renal transplantation, and have a medium to high risk of subsequent thrombotic </w:t>
      </w:r>
      <w:proofErr w:type="spellStart"/>
      <w:r w:rsidR="0053225D" w:rsidRPr="00617D5D">
        <w:rPr>
          <w:rFonts w:asciiTheme="minorHAnsi" w:hAnsiTheme="minorHAnsi"/>
          <w:sz w:val="24"/>
          <w:szCs w:val="24"/>
        </w:rPr>
        <w:t>microangiopathy</w:t>
      </w:r>
      <w:proofErr w:type="spellEnd"/>
      <w:r w:rsidR="0053225D" w:rsidRPr="00617D5D">
        <w:rPr>
          <w:rFonts w:asciiTheme="minorHAnsi" w:hAnsiTheme="minorHAnsi"/>
          <w:sz w:val="24"/>
          <w:szCs w:val="24"/>
        </w:rPr>
        <w:t xml:space="preserve"> (TMA), without the current requirement for evidence of active, progressive TMA</w:t>
      </w:r>
      <w:r w:rsidRPr="00617D5D">
        <w:rPr>
          <w:rFonts w:asciiTheme="minorHAnsi" w:hAnsiTheme="minorHAnsi"/>
          <w:sz w:val="24"/>
          <w:szCs w:val="24"/>
        </w:rPr>
        <w:t>, to prevent recurrence of TMA and g</w:t>
      </w:r>
      <w:r w:rsidR="0053225D" w:rsidRPr="00617D5D">
        <w:rPr>
          <w:rFonts w:asciiTheme="minorHAnsi" w:hAnsiTheme="minorHAnsi"/>
          <w:sz w:val="24"/>
          <w:szCs w:val="24"/>
        </w:rPr>
        <w:t>raft loss.</w:t>
      </w:r>
      <w:r w:rsidR="00675462" w:rsidRPr="00617D5D">
        <w:rPr>
          <w:rFonts w:asciiTheme="minorHAnsi" w:hAnsiTheme="minorHAnsi"/>
          <w:sz w:val="24"/>
          <w:szCs w:val="24"/>
        </w:rPr>
        <w:t xml:space="preserve"> </w:t>
      </w:r>
    </w:p>
    <w:p w:rsidR="00675462" w:rsidRPr="00617D5D" w:rsidRDefault="00675462" w:rsidP="00FC668B">
      <w:pPr>
        <w:pStyle w:val="ListParagraph"/>
        <w:widowControl/>
        <w:ind w:hanging="720"/>
        <w:rPr>
          <w:rFonts w:asciiTheme="minorHAnsi" w:hAnsiTheme="minorHAnsi"/>
          <w:sz w:val="24"/>
          <w:szCs w:val="24"/>
        </w:rPr>
      </w:pPr>
    </w:p>
    <w:p w:rsidR="0053225D" w:rsidRPr="00617D5D" w:rsidRDefault="0053225D" w:rsidP="00FC668B">
      <w:pPr>
        <w:pStyle w:val="ListParagraph"/>
        <w:widowControl/>
        <w:numPr>
          <w:ilvl w:val="1"/>
          <w:numId w:val="5"/>
        </w:numPr>
        <w:ind w:left="720"/>
        <w:rPr>
          <w:rFonts w:asciiTheme="minorHAnsi" w:hAnsiTheme="minorHAnsi"/>
          <w:sz w:val="24"/>
          <w:szCs w:val="24"/>
        </w:rPr>
      </w:pPr>
      <w:r w:rsidRPr="00617D5D">
        <w:rPr>
          <w:rFonts w:asciiTheme="minorHAnsi" w:hAnsiTheme="minorHAnsi"/>
          <w:sz w:val="24"/>
          <w:szCs w:val="24"/>
        </w:rPr>
        <w:t xml:space="preserve">The sponsor </w:t>
      </w:r>
      <w:r w:rsidR="00BF716D" w:rsidRPr="00617D5D">
        <w:rPr>
          <w:rFonts w:asciiTheme="minorHAnsi" w:hAnsiTheme="minorHAnsi"/>
          <w:sz w:val="24"/>
          <w:szCs w:val="24"/>
        </w:rPr>
        <w:t>request</w:t>
      </w:r>
      <w:r w:rsidR="00194CEB">
        <w:rPr>
          <w:rFonts w:asciiTheme="minorHAnsi" w:hAnsiTheme="minorHAnsi"/>
          <w:sz w:val="24"/>
          <w:szCs w:val="24"/>
        </w:rPr>
        <w:t>ed</w:t>
      </w:r>
      <w:r w:rsidR="00BF716D" w:rsidRPr="00617D5D">
        <w:rPr>
          <w:rFonts w:asciiTheme="minorHAnsi" w:hAnsiTheme="minorHAnsi"/>
          <w:sz w:val="24"/>
          <w:szCs w:val="24"/>
        </w:rPr>
        <w:t xml:space="preserve"> initiation of </w:t>
      </w:r>
      <w:proofErr w:type="spellStart"/>
      <w:r w:rsidR="00BF716D" w:rsidRPr="00617D5D">
        <w:rPr>
          <w:rFonts w:asciiTheme="minorHAnsi" w:hAnsiTheme="minorHAnsi"/>
          <w:sz w:val="24"/>
          <w:szCs w:val="24"/>
        </w:rPr>
        <w:t>eculizumab</w:t>
      </w:r>
      <w:proofErr w:type="spellEnd"/>
      <w:r w:rsidR="00BF716D" w:rsidRPr="00617D5D">
        <w:rPr>
          <w:rFonts w:asciiTheme="minorHAnsi" w:hAnsiTheme="minorHAnsi"/>
          <w:sz w:val="24"/>
          <w:szCs w:val="24"/>
        </w:rPr>
        <w:t xml:space="preserve"> at the time of renal transplantation (peri-transplantation), and </w:t>
      </w:r>
      <w:r w:rsidRPr="00617D5D">
        <w:rPr>
          <w:rFonts w:asciiTheme="minorHAnsi" w:hAnsiTheme="minorHAnsi"/>
          <w:sz w:val="24"/>
          <w:szCs w:val="24"/>
        </w:rPr>
        <w:t xml:space="preserve">sustained access to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post-transplantation to protect the renal allograft</w:t>
      </w:r>
      <w:r w:rsidR="00BF716D" w:rsidRPr="00617D5D">
        <w:rPr>
          <w:rFonts w:asciiTheme="minorHAnsi" w:hAnsiTheme="minorHAnsi"/>
          <w:sz w:val="24"/>
          <w:szCs w:val="24"/>
        </w:rPr>
        <w:t>.</w:t>
      </w:r>
      <w:r w:rsidR="008907AB">
        <w:rPr>
          <w:rFonts w:asciiTheme="minorHAnsi" w:hAnsiTheme="minorHAnsi"/>
          <w:sz w:val="24"/>
          <w:szCs w:val="24"/>
        </w:rPr>
        <w:t xml:space="preserve"> </w:t>
      </w:r>
      <w:r w:rsidR="00675462" w:rsidRPr="00617D5D">
        <w:rPr>
          <w:rFonts w:asciiTheme="minorHAnsi" w:hAnsiTheme="minorHAnsi"/>
          <w:i/>
          <w:sz w:val="24"/>
          <w:szCs w:val="24"/>
        </w:rPr>
        <w:t xml:space="preserve"> </w:t>
      </w:r>
      <w:r w:rsidR="009A5BA8" w:rsidRPr="00617D5D">
        <w:rPr>
          <w:rFonts w:asciiTheme="minorHAnsi" w:hAnsiTheme="minorHAnsi"/>
          <w:sz w:val="24"/>
          <w:szCs w:val="24"/>
        </w:rPr>
        <w:t>In</w:t>
      </w:r>
      <w:r w:rsidR="00675462" w:rsidRPr="00617D5D">
        <w:rPr>
          <w:rFonts w:asciiTheme="minorHAnsi" w:hAnsiTheme="minorHAnsi"/>
          <w:sz w:val="24"/>
          <w:szCs w:val="24"/>
        </w:rPr>
        <w:t xml:space="preserve"> </w:t>
      </w:r>
      <w:r w:rsidR="009A5BA8" w:rsidRPr="00617D5D">
        <w:rPr>
          <w:rFonts w:asciiTheme="minorHAnsi" w:hAnsiTheme="minorHAnsi"/>
          <w:sz w:val="24"/>
          <w:szCs w:val="24"/>
        </w:rPr>
        <w:t xml:space="preserve">its </w:t>
      </w:r>
      <w:r w:rsidR="00675462" w:rsidRPr="00617D5D">
        <w:rPr>
          <w:rFonts w:asciiTheme="minorHAnsi" w:hAnsiTheme="minorHAnsi"/>
          <w:sz w:val="24"/>
          <w:szCs w:val="24"/>
        </w:rPr>
        <w:t>March 2016</w:t>
      </w:r>
      <w:r w:rsidR="00313BE4" w:rsidRPr="00617D5D">
        <w:rPr>
          <w:rFonts w:asciiTheme="minorHAnsi" w:hAnsiTheme="minorHAnsi"/>
          <w:sz w:val="24"/>
          <w:szCs w:val="24"/>
        </w:rPr>
        <w:t xml:space="preserve"> </w:t>
      </w:r>
      <w:r w:rsidR="009A5BA8" w:rsidRPr="00617D5D">
        <w:rPr>
          <w:rFonts w:asciiTheme="minorHAnsi" w:hAnsiTheme="minorHAnsi"/>
          <w:sz w:val="24"/>
          <w:szCs w:val="24"/>
        </w:rPr>
        <w:t xml:space="preserve">consideration of the use of </w:t>
      </w:r>
      <w:proofErr w:type="spellStart"/>
      <w:r w:rsidR="009A5BA8" w:rsidRPr="00617D5D">
        <w:rPr>
          <w:rFonts w:asciiTheme="minorHAnsi" w:hAnsiTheme="minorHAnsi"/>
          <w:sz w:val="24"/>
          <w:szCs w:val="24"/>
        </w:rPr>
        <w:t>eculizumab</w:t>
      </w:r>
      <w:proofErr w:type="spellEnd"/>
      <w:r w:rsidR="009A5BA8" w:rsidRPr="00617D5D">
        <w:rPr>
          <w:rFonts w:asciiTheme="minorHAnsi" w:hAnsiTheme="minorHAnsi"/>
          <w:sz w:val="24"/>
          <w:szCs w:val="24"/>
        </w:rPr>
        <w:t xml:space="preserve"> in patients undergoing renal transplantation, the </w:t>
      </w:r>
      <w:r w:rsidR="00675462" w:rsidRPr="00617D5D">
        <w:rPr>
          <w:rFonts w:asciiTheme="minorHAnsi" w:hAnsiTheme="minorHAnsi"/>
          <w:sz w:val="24"/>
          <w:szCs w:val="24"/>
        </w:rPr>
        <w:t xml:space="preserve">PBAC </w:t>
      </w:r>
      <w:r w:rsidR="009A5BA8" w:rsidRPr="00617D5D">
        <w:rPr>
          <w:rFonts w:asciiTheme="minorHAnsi" w:hAnsiTheme="minorHAnsi"/>
          <w:sz w:val="24"/>
          <w:szCs w:val="24"/>
        </w:rPr>
        <w:t>considered</w:t>
      </w:r>
      <w:r w:rsidR="00675462" w:rsidRPr="00617D5D">
        <w:rPr>
          <w:rFonts w:asciiTheme="minorHAnsi" w:hAnsiTheme="minorHAnsi"/>
          <w:i/>
          <w:sz w:val="24"/>
          <w:szCs w:val="24"/>
        </w:rPr>
        <w:t xml:space="preserve"> “that responsibility for subsidising </w:t>
      </w:r>
      <w:proofErr w:type="spellStart"/>
      <w:r w:rsidR="00675462" w:rsidRPr="00617D5D">
        <w:rPr>
          <w:rFonts w:asciiTheme="minorHAnsi" w:hAnsiTheme="minorHAnsi"/>
          <w:i/>
          <w:sz w:val="24"/>
          <w:szCs w:val="24"/>
        </w:rPr>
        <w:t>eculizumab</w:t>
      </w:r>
      <w:proofErr w:type="spellEnd"/>
      <w:r w:rsidR="00675462" w:rsidRPr="00617D5D">
        <w:rPr>
          <w:rFonts w:asciiTheme="minorHAnsi" w:hAnsiTheme="minorHAnsi"/>
          <w:i/>
          <w:sz w:val="24"/>
          <w:szCs w:val="24"/>
        </w:rPr>
        <w:t xml:space="preserve"> during hospital inpatient treatment would be a matter for the treating hospital.</w:t>
      </w:r>
      <w:r w:rsidR="00787DF7" w:rsidRPr="00617D5D">
        <w:rPr>
          <w:rFonts w:asciiTheme="minorHAnsi" w:hAnsiTheme="minorHAnsi"/>
          <w:i/>
          <w:sz w:val="24"/>
          <w:szCs w:val="24"/>
        </w:rPr>
        <w:t xml:space="preserve"> </w:t>
      </w:r>
      <w:r w:rsidR="008907AB">
        <w:rPr>
          <w:rFonts w:asciiTheme="minorHAnsi" w:hAnsiTheme="minorHAnsi"/>
          <w:i/>
          <w:sz w:val="24"/>
          <w:szCs w:val="24"/>
        </w:rPr>
        <w:t xml:space="preserve"> </w:t>
      </w:r>
      <w:r w:rsidR="00675462" w:rsidRPr="00617D5D">
        <w:rPr>
          <w:rFonts w:asciiTheme="minorHAnsi" w:hAnsiTheme="minorHAnsi"/>
          <w:i/>
          <w:sz w:val="24"/>
          <w:szCs w:val="24"/>
        </w:rPr>
        <w:t>The PBAC noted that PBS subsidy would commence once a patient is discharged from hospital and once PBS eligibility is established as defined by the restriction criteria.”</w:t>
      </w:r>
      <w:r w:rsidR="00D90B84">
        <w:rPr>
          <w:rFonts w:asciiTheme="minorHAnsi" w:hAnsiTheme="minorHAnsi"/>
          <w:i/>
          <w:sz w:val="24"/>
          <w:szCs w:val="24"/>
        </w:rPr>
        <w:t xml:space="preserve"> (March 2016</w:t>
      </w:r>
      <w:r w:rsidR="00724F9E">
        <w:rPr>
          <w:rFonts w:asciiTheme="minorHAnsi" w:hAnsiTheme="minorHAnsi"/>
          <w:i/>
          <w:sz w:val="24"/>
          <w:szCs w:val="24"/>
        </w:rPr>
        <w:t xml:space="preserve"> web outcome</w:t>
      </w:r>
      <w:r w:rsidR="009A5BA8" w:rsidRPr="00617D5D">
        <w:rPr>
          <w:rFonts w:asciiTheme="minorHAnsi" w:hAnsiTheme="minorHAnsi"/>
          <w:i/>
          <w:sz w:val="24"/>
          <w:szCs w:val="24"/>
        </w:rPr>
        <w:t>).</w:t>
      </w:r>
      <w:r w:rsidR="00787DF7" w:rsidRPr="00617D5D">
        <w:rPr>
          <w:rFonts w:asciiTheme="minorHAnsi" w:hAnsiTheme="minorHAnsi"/>
          <w:i/>
          <w:sz w:val="24"/>
          <w:szCs w:val="24"/>
        </w:rPr>
        <w:t xml:space="preserve"> </w:t>
      </w:r>
    </w:p>
    <w:p w:rsidR="00BF716D" w:rsidRPr="00617D5D" w:rsidRDefault="00BF716D" w:rsidP="00FC668B">
      <w:pPr>
        <w:pStyle w:val="ListParagraph"/>
        <w:widowControl/>
        <w:ind w:hanging="720"/>
        <w:rPr>
          <w:rFonts w:asciiTheme="minorHAnsi" w:hAnsiTheme="minorHAnsi"/>
          <w:sz w:val="24"/>
          <w:szCs w:val="24"/>
        </w:rPr>
      </w:pPr>
    </w:p>
    <w:p w:rsidR="00BF716D" w:rsidRPr="00617D5D" w:rsidRDefault="00BF716D" w:rsidP="00FC668B">
      <w:pPr>
        <w:pStyle w:val="ListParagraph"/>
        <w:widowControl/>
        <w:numPr>
          <w:ilvl w:val="1"/>
          <w:numId w:val="5"/>
        </w:numPr>
        <w:ind w:left="720"/>
        <w:rPr>
          <w:rFonts w:asciiTheme="minorHAnsi" w:hAnsiTheme="minorHAnsi"/>
          <w:i/>
          <w:sz w:val="24"/>
          <w:szCs w:val="24"/>
        </w:rPr>
      </w:pPr>
      <w:r w:rsidRPr="00617D5D">
        <w:rPr>
          <w:rFonts w:asciiTheme="minorHAnsi" w:hAnsiTheme="minorHAnsi"/>
          <w:sz w:val="24"/>
          <w:szCs w:val="24"/>
        </w:rPr>
        <w:t xml:space="preserve">The submission </w:t>
      </w:r>
      <w:r w:rsidR="00313BE4" w:rsidRPr="00617D5D">
        <w:rPr>
          <w:rFonts w:asciiTheme="minorHAnsi" w:hAnsiTheme="minorHAnsi"/>
          <w:sz w:val="24"/>
          <w:szCs w:val="24"/>
        </w:rPr>
        <w:t xml:space="preserve">continues to assume PBS subsidised treatment will be initiated as an inpatient and </w:t>
      </w:r>
      <w:r w:rsidRPr="00617D5D">
        <w:rPr>
          <w:rFonts w:asciiTheme="minorHAnsi" w:hAnsiTheme="minorHAnsi"/>
          <w:sz w:val="24"/>
          <w:szCs w:val="24"/>
        </w:rPr>
        <w:t xml:space="preserve">argued that, due to the need for timely access to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when a donor graft becomes available, pre-approval would be needed at the time the patient is activated on the deceased kidney donor list or once </w:t>
      </w:r>
      <w:proofErr w:type="gramStart"/>
      <w:r w:rsidRPr="00617D5D">
        <w:rPr>
          <w:rFonts w:asciiTheme="minorHAnsi" w:hAnsiTheme="minorHAnsi"/>
          <w:sz w:val="24"/>
          <w:szCs w:val="24"/>
        </w:rPr>
        <w:t>a living</w:t>
      </w:r>
      <w:proofErr w:type="gramEnd"/>
      <w:r w:rsidRPr="00617D5D">
        <w:rPr>
          <w:rFonts w:asciiTheme="minorHAnsi" w:hAnsiTheme="minorHAnsi"/>
          <w:sz w:val="24"/>
          <w:szCs w:val="24"/>
        </w:rPr>
        <w:t xml:space="preserve"> kidney donor transplantation is scheduled. </w:t>
      </w:r>
      <w:r w:rsidR="008907AB">
        <w:rPr>
          <w:rFonts w:asciiTheme="minorHAnsi" w:hAnsiTheme="minorHAnsi"/>
          <w:sz w:val="24"/>
          <w:szCs w:val="24"/>
        </w:rPr>
        <w:t xml:space="preserve"> </w:t>
      </w:r>
      <w:r w:rsidRPr="00617D5D">
        <w:rPr>
          <w:rFonts w:asciiTheme="minorHAnsi" w:hAnsiTheme="minorHAnsi"/>
          <w:sz w:val="24"/>
          <w:szCs w:val="24"/>
        </w:rPr>
        <w:t>This would enable drug delivery in advance of the transplant procedure.</w:t>
      </w:r>
    </w:p>
    <w:p w:rsidR="00B721E4" w:rsidRPr="00617D5D" w:rsidRDefault="00B721E4" w:rsidP="00FC668B">
      <w:pPr>
        <w:pStyle w:val="ListParagraph"/>
        <w:widowControl/>
        <w:ind w:hanging="720"/>
        <w:rPr>
          <w:rFonts w:asciiTheme="minorHAnsi" w:hAnsiTheme="minorHAnsi"/>
          <w:sz w:val="24"/>
          <w:szCs w:val="24"/>
        </w:rPr>
      </w:pPr>
    </w:p>
    <w:p w:rsidR="006203CB" w:rsidRPr="00617D5D" w:rsidRDefault="006203CB"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Under the current PBS listing,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patients with either their native kidneys or a renal allograft are eligible to receive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if they have evidence of </w:t>
      </w:r>
      <w:r w:rsidRPr="00617D5D">
        <w:rPr>
          <w:rFonts w:asciiTheme="minorHAnsi" w:hAnsiTheme="minorHAnsi"/>
          <w:sz w:val="24"/>
          <w:szCs w:val="24"/>
          <w:u w:val="single"/>
        </w:rPr>
        <w:t xml:space="preserve">active, </w:t>
      </w:r>
      <w:r w:rsidRPr="00617D5D">
        <w:rPr>
          <w:rFonts w:asciiTheme="minorHAnsi" w:hAnsiTheme="minorHAnsi"/>
          <w:sz w:val="24"/>
          <w:szCs w:val="24"/>
          <w:u w:val="single"/>
        </w:rPr>
        <w:lastRenderedPageBreak/>
        <w:t xml:space="preserve">progressive TMA </w:t>
      </w:r>
      <w:r w:rsidRPr="00617D5D">
        <w:rPr>
          <w:rFonts w:asciiTheme="minorHAnsi" w:hAnsiTheme="minorHAnsi"/>
          <w:sz w:val="24"/>
          <w:szCs w:val="24"/>
        </w:rPr>
        <w:t xml:space="preserve">and they meet the other restriction criteria. </w:t>
      </w:r>
    </w:p>
    <w:p w:rsidR="00B721E4" w:rsidRPr="00617D5D" w:rsidRDefault="00B721E4" w:rsidP="00FC668B">
      <w:pPr>
        <w:pStyle w:val="ListParagraph"/>
        <w:ind w:hanging="720"/>
        <w:rPr>
          <w:rFonts w:asciiTheme="minorHAnsi" w:hAnsiTheme="minorHAnsi"/>
          <w:sz w:val="24"/>
          <w:szCs w:val="24"/>
        </w:rPr>
      </w:pPr>
    </w:p>
    <w:p w:rsidR="00455302" w:rsidRDefault="00EF44A0"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The submission </w:t>
      </w:r>
      <w:r w:rsidR="00313BE4" w:rsidRPr="00617D5D">
        <w:rPr>
          <w:rFonts w:asciiTheme="minorHAnsi" w:hAnsiTheme="minorHAnsi"/>
          <w:sz w:val="24"/>
          <w:szCs w:val="24"/>
        </w:rPr>
        <w:t>requested a number of changes to the existing restriction</w:t>
      </w:r>
      <w:r w:rsidR="008907AB">
        <w:rPr>
          <w:rFonts w:asciiTheme="minorHAnsi" w:hAnsiTheme="minorHAnsi"/>
          <w:sz w:val="24"/>
          <w:szCs w:val="24"/>
        </w:rPr>
        <w:t>s</w:t>
      </w:r>
      <w:r w:rsidR="00313BE4" w:rsidRPr="00617D5D">
        <w:rPr>
          <w:rFonts w:asciiTheme="minorHAnsi" w:hAnsiTheme="minorHAnsi"/>
          <w:sz w:val="24"/>
          <w:szCs w:val="24"/>
        </w:rPr>
        <w:t xml:space="preserve"> to accommodate the new patients eligible for treatment</w:t>
      </w:r>
      <w:r w:rsidR="00313BE4" w:rsidRPr="008907AB">
        <w:rPr>
          <w:rFonts w:asciiTheme="minorHAnsi" w:hAnsiTheme="minorHAnsi"/>
          <w:sz w:val="24"/>
          <w:szCs w:val="24"/>
        </w:rPr>
        <w:t>.</w:t>
      </w:r>
      <w:r w:rsidR="00787DF7" w:rsidRPr="008907AB">
        <w:rPr>
          <w:rFonts w:asciiTheme="minorHAnsi" w:hAnsiTheme="minorHAnsi"/>
          <w:sz w:val="24"/>
          <w:szCs w:val="24"/>
        </w:rPr>
        <w:t xml:space="preserve"> </w:t>
      </w:r>
      <w:r w:rsidR="00750E9A">
        <w:rPr>
          <w:rFonts w:asciiTheme="minorHAnsi" w:hAnsiTheme="minorHAnsi"/>
          <w:sz w:val="24"/>
          <w:szCs w:val="24"/>
        </w:rPr>
        <w:t xml:space="preserve"> </w:t>
      </w:r>
    </w:p>
    <w:p w:rsidR="009205A7" w:rsidRDefault="009205A7" w:rsidP="00FC668B">
      <w:pPr>
        <w:pStyle w:val="ListParagraph"/>
        <w:ind w:hanging="720"/>
        <w:rPr>
          <w:rFonts w:asciiTheme="minorHAnsi" w:hAnsiTheme="minorHAnsi"/>
          <w:szCs w:val="22"/>
        </w:rPr>
      </w:pPr>
    </w:p>
    <w:p w:rsidR="003C010F" w:rsidRDefault="00165268" w:rsidP="00FC668B">
      <w:pPr>
        <w:pStyle w:val="ListParagraph"/>
        <w:numPr>
          <w:ilvl w:val="1"/>
          <w:numId w:val="5"/>
        </w:numPr>
        <w:ind w:left="720"/>
        <w:rPr>
          <w:rFonts w:asciiTheme="minorHAnsi" w:hAnsiTheme="minorHAnsi"/>
          <w:sz w:val="24"/>
          <w:szCs w:val="24"/>
        </w:rPr>
      </w:pPr>
      <w:r w:rsidRPr="00DB7728">
        <w:rPr>
          <w:rFonts w:asciiTheme="minorHAnsi" w:hAnsiTheme="minorHAnsi"/>
          <w:sz w:val="24"/>
          <w:szCs w:val="24"/>
        </w:rPr>
        <w:t xml:space="preserve">The PBAC considered that a separate restriction for this indication was required </w:t>
      </w:r>
      <w:r w:rsidR="004F00C2">
        <w:rPr>
          <w:rFonts w:asciiTheme="minorHAnsi" w:hAnsiTheme="minorHAnsi"/>
          <w:sz w:val="24"/>
          <w:szCs w:val="24"/>
        </w:rPr>
        <w:t xml:space="preserve">for administrative simplicity and </w:t>
      </w:r>
      <w:r w:rsidRPr="00DB7728">
        <w:rPr>
          <w:rFonts w:asciiTheme="minorHAnsi" w:hAnsiTheme="minorHAnsi"/>
          <w:sz w:val="24"/>
          <w:szCs w:val="24"/>
        </w:rPr>
        <w:t xml:space="preserve">to remove internal inconsistencies </w:t>
      </w:r>
      <w:r w:rsidR="002C1807">
        <w:rPr>
          <w:rFonts w:asciiTheme="minorHAnsi" w:hAnsiTheme="minorHAnsi"/>
          <w:sz w:val="24"/>
          <w:szCs w:val="24"/>
        </w:rPr>
        <w:t>such as the patient must not have reached end stage renal disease</w:t>
      </w:r>
      <w:r w:rsidR="00A86710">
        <w:rPr>
          <w:rFonts w:asciiTheme="minorHAnsi" w:hAnsiTheme="minorHAnsi"/>
          <w:sz w:val="24"/>
          <w:szCs w:val="24"/>
        </w:rPr>
        <w:t>.</w:t>
      </w:r>
      <w:r w:rsidR="008907AB">
        <w:rPr>
          <w:rFonts w:asciiTheme="minorHAnsi" w:hAnsiTheme="minorHAnsi"/>
          <w:sz w:val="24"/>
          <w:szCs w:val="24"/>
        </w:rPr>
        <w:t xml:space="preserve"> </w:t>
      </w:r>
      <w:r w:rsidR="00750E9A">
        <w:rPr>
          <w:rFonts w:asciiTheme="minorHAnsi" w:hAnsiTheme="minorHAnsi"/>
          <w:sz w:val="24"/>
          <w:szCs w:val="24"/>
        </w:rPr>
        <w:t xml:space="preserve"> </w:t>
      </w:r>
      <w:r w:rsidR="008907AB">
        <w:rPr>
          <w:rFonts w:asciiTheme="minorHAnsi" w:hAnsiTheme="minorHAnsi"/>
          <w:sz w:val="24"/>
          <w:szCs w:val="24"/>
        </w:rPr>
        <w:t>The finalised restriction can be seen in paragraph 8.1 below.</w:t>
      </w:r>
    </w:p>
    <w:p w:rsidR="003C010F" w:rsidRPr="003C010F" w:rsidRDefault="003C010F" w:rsidP="00FC668B">
      <w:pPr>
        <w:pStyle w:val="ListParagraph"/>
        <w:ind w:hanging="720"/>
        <w:rPr>
          <w:rFonts w:asciiTheme="minorHAnsi" w:hAnsiTheme="minorHAnsi"/>
          <w:sz w:val="24"/>
          <w:szCs w:val="24"/>
        </w:rPr>
      </w:pPr>
    </w:p>
    <w:p w:rsidR="00A86710" w:rsidRPr="00A86710" w:rsidRDefault="00A86710" w:rsidP="00FC668B">
      <w:pPr>
        <w:pStyle w:val="ListParagraph"/>
        <w:numPr>
          <w:ilvl w:val="1"/>
          <w:numId w:val="5"/>
        </w:numPr>
        <w:ind w:left="720"/>
        <w:rPr>
          <w:rFonts w:asciiTheme="minorHAnsi" w:hAnsiTheme="minorHAnsi"/>
          <w:sz w:val="24"/>
          <w:szCs w:val="24"/>
        </w:rPr>
      </w:pPr>
      <w:r w:rsidRPr="00A86710">
        <w:rPr>
          <w:rFonts w:asciiTheme="minorHAnsi" w:hAnsiTheme="minorHAnsi"/>
          <w:sz w:val="24"/>
          <w:szCs w:val="24"/>
        </w:rPr>
        <w:t>The PBAC also considered that prescribers should be restricted to nephrologists or paediatric nephrologis</w:t>
      </w:r>
      <w:r>
        <w:rPr>
          <w:rFonts w:asciiTheme="minorHAnsi" w:hAnsiTheme="minorHAnsi"/>
          <w:sz w:val="24"/>
          <w:szCs w:val="24"/>
        </w:rPr>
        <w:t>ts withi</w:t>
      </w:r>
      <w:r w:rsidRPr="00A86710">
        <w:rPr>
          <w:rFonts w:asciiTheme="minorHAnsi" w:hAnsiTheme="minorHAnsi"/>
          <w:sz w:val="24"/>
          <w:szCs w:val="24"/>
        </w:rPr>
        <w:t>n a transplant unit.</w:t>
      </w:r>
    </w:p>
    <w:p w:rsidR="00AC193C" w:rsidRPr="00A86710" w:rsidRDefault="00AC193C" w:rsidP="00FC668B">
      <w:pPr>
        <w:ind w:left="720" w:hanging="720"/>
        <w:jc w:val="both"/>
        <w:rPr>
          <w:rFonts w:asciiTheme="minorHAnsi" w:hAnsiTheme="minorHAnsi" w:cs="Arial"/>
        </w:rPr>
      </w:pPr>
    </w:p>
    <w:p w:rsidR="005F3820" w:rsidRPr="00906C5A" w:rsidRDefault="005F3820" w:rsidP="00906C5A">
      <w:pPr>
        <w:pStyle w:val="NoSpacing"/>
        <w:ind w:left="1440" w:hanging="720"/>
        <w:rPr>
          <w:rFonts w:asciiTheme="minorHAnsi" w:hAnsiTheme="minorHAnsi" w:cs="Arial"/>
          <w:i/>
          <w:sz w:val="24"/>
          <w:szCs w:val="24"/>
        </w:rPr>
      </w:pPr>
      <w:r w:rsidRPr="00906C5A">
        <w:rPr>
          <w:rFonts w:asciiTheme="minorHAnsi" w:hAnsiTheme="minorHAnsi" w:cs="Arial"/>
          <w:i/>
          <w:sz w:val="24"/>
          <w:szCs w:val="24"/>
        </w:rPr>
        <w:t>For more detail on PBAC’s view, see section 7 “PBAC outcome.”</w:t>
      </w:r>
    </w:p>
    <w:p w:rsidR="00BB7EC3" w:rsidRPr="00617D5D" w:rsidRDefault="00BB7EC3" w:rsidP="00FC668B">
      <w:pPr>
        <w:ind w:left="720" w:hanging="720"/>
        <w:jc w:val="both"/>
        <w:rPr>
          <w:rFonts w:asciiTheme="minorHAnsi" w:hAnsiTheme="minorHAnsi" w:cs="Arial"/>
          <w:b/>
        </w:rPr>
      </w:pPr>
    </w:p>
    <w:p w:rsidR="00CE10C4" w:rsidRPr="00617D5D" w:rsidRDefault="00CE10C4" w:rsidP="00FC668B">
      <w:pPr>
        <w:pStyle w:val="PBACHeading1"/>
        <w:rPr>
          <w:rFonts w:asciiTheme="minorHAnsi" w:hAnsiTheme="minorHAnsi"/>
          <w:sz w:val="32"/>
          <w:szCs w:val="32"/>
        </w:rPr>
      </w:pPr>
      <w:r w:rsidRPr="00617D5D">
        <w:rPr>
          <w:rFonts w:asciiTheme="minorHAnsi" w:hAnsiTheme="minorHAnsi"/>
          <w:sz w:val="32"/>
          <w:szCs w:val="32"/>
        </w:rPr>
        <w:t>Background</w:t>
      </w:r>
    </w:p>
    <w:p w:rsidR="00C603D4" w:rsidRPr="000A6EB5" w:rsidRDefault="00C603D4" w:rsidP="00FC668B">
      <w:pPr>
        <w:pStyle w:val="ListParagraph"/>
        <w:ind w:hanging="720"/>
        <w:rPr>
          <w:rFonts w:asciiTheme="minorHAnsi" w:hAnsiTheme="minorHAnsi"/>
          <w:szCs w:val="22"/>
        </w:rPr>
      </w:pPr>
    </w:p>
    <w:p w:rsidR="00EE033C" w:rsidRPr="00617D5D" w:rsidRDefault="00EE033C" w:rsidP="00FC668B">
      <w:pPr>
        <w:pStyle w:val="ListParagraph"/>
        <w:numPr>
          <w:ilvl w:val="1"/>
          <w:numId w:val="5"/>
        </w:numPr>
        <w:ind w:left="720"/>
        <w:rPr>
          <w:rFonts w:asciiTheme="minorHAnsi" w:hAnsiTheme="minorHAnsi"/>
          <w:sz w:val="24"/>
          <w:szCs w:val="24"/>
        </w:rPr>
      </w:pP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was TGA registered on the 20 March 2009 for the treatment of patients with paroxysmal nocturnal haemoglobinuria to reduce haemolysis, and was approved for TGA registration for treatment of patients with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on 3 October 2012. </w:t>
      </w:r>
    </w:p>
    <w:p w:rsidR="00EE033C" w:rsidRPr="00617D5D" w:rsidRDefault="00EE033C" w:rsidP="00FC668B">
      <w:pPr>
        <w:pStyle w:val="ListParagraph"/>
        <w:ind w:hanging="720"/>
        <w:rPr>
          <w:rFonts w:asciiTheme="minorHAnsi" w:hAnsiTheme="minorHAnsi"/>
          <w:sz w:val="24"/>
          <w:szCs w:val="24"/>
        </w:rPr>
      </w:pPr>
    </w:p>
    <w:p w:rsidR="00EE033C" w:rsidRPr="00617D5D" w:rsidRDefault="00EE033C"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This is the fourth submission for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to the PBAC for the treatment of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w:t>
      </w:r>
    </w:p>
    <w:p w:rsidR="00EE033C" w:rsidRPr="00617D5D" w:rsidRDefault="00EE033C" w:rsidP="00FC668B">
      <w:pPr>
        <w:pStyle w:val="ListParagraph"/>
        <w:ind w:hanging="720"/>
        <w:rPr>
          <w:rFonts w:asciiTheme="minorHAnsi" w:hAnsiTheme="minorHAnsi"/>
          <w:sz w:val="24"/>
          <w:szCs w:val="24"/>
        </w:rPr>
      </w:pPr>
    </w:p>
    <w:p w:rsidR="00EE033C" w:rsidRPr="00617D5D" w:rsidRDefault="00EE033C"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The first submission was considered by PBAC in March 2013. The PBAC rejected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for PBS listing under Section 100 due to uncertainty regarding the clinical effectiveness and unacceptable cost-effectiveness of treating newly diagnosed and long-term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and patients with renal transplant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Public Summary Document (PSD), March 2013 PBAC meeting).</w:t>
      </w:r>
    </w:p>
    <w:p w:rsidR="00EE033C" w:rsidRPr="00617D5D" w:rsidRDefault="00EE033C" w:rsidP="00FC668B">
      <w:pPr>
        <w:pStyle w:val="ListParagraph"/>
        <w:ind w:hanging="720"/>
        <w:rPr>
          <w:rFonts w:asciiTheme="minorHAnsi" w:hAnsiTheme="minorHAnsi"/>
          <w:sz w:val="24"/>
          <w:szCs w:val="24"/>
        </w:rPr>
      </w:pPr>
    </w:p>
    <w:p w:rsidR="00EE033C" w:rsidRPr="00617D5D" w:rsidRDefault="00EE033C"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A re-submission was considered by PBAC in March 2014. </w:t>
      </w:r>
      <w:r w:rsidR="00750E9A">
        <w:rPr>
          <w:rFonts w:asciiTheme="minorHAnsi" w:hAnsiTheme="minorHAnsi"/>
          <w:sz w:val="24"/>
          <w:szCs w:val="24"/>
        </w:rPr>
        <w:t xml:space="preserve"> </w:t>
      </w:r>
      <w:r w:rsidRPr="00617D5D">
        <w:rPr>
          <w:rFonts w:asciiTheme="minorHAnsi" w:hAnsiTheme="minorHAnsi"/>
          <w:sz w:val="24"/>
          <w:szCs w:val="24"/>
        </w:rPr>
        <w:t xml:space="preserve">The PBAC recommended the listing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under Section 100. </w:t>
      </w:r>
      <w:r w:rsidR="00750E9A">
        <w:rPr>
          <w:rFonts w:asciiTheme="minorHAnsi" w:hAnsiTheme="minorHAnsi"/>
          <w:sz w:val="24"/>
          <w:szCs w:val="24"/>
        </w:rPr>
        <w:t xml:space="preserve"> </w:t>
      </w:r>
      <w:r w:rsidRPr="00617D5D">
        <w:rPr>
          <w:rFonts w:asciiTheme="minorHAnsi" w:hAnsiTheme="minorHAnsi"/>
          <w:sz w:val="24"/>
          <w:szCs w:val="24"/>
        </w:rPr>
        <w:t xml:space="preserve">The PBAC was satisfied that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provides, for some patients, a significant improvement in efficacy over supportive care. </w:t>
      </w:r>
      <w:r w:rsidR="00750E9A">
        <w:rPr>
          <w:rFonts w:asciiTheme="minorHAnsi" w:hAnsiTheme="minorHAnsi"/>
          <w:sz w:val="24"/>
          <w:szCs w:val="24"/>
        </w:rPr>
        <w:t xml:space="preserve"> </w:t>
      </w:r>
      <w:r w:rsidRPr="00617D5D">
        <w:rPr>
          <w:rFonts w:asciiTheme="minorHAnsi" w:hAnsiTheme="minorHAnsi"/>
          <w:sz w:val="24"/>
          <w:szCs w:val="24"/>
        </w:rPr>
        <w:t xml:space="preserve">This included patients with active, progressive TMA during acute episodes of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who have not progressed to ESRD; and prevalent patients on long-term dialysis who have extra-renal TMA. </w:t>
      </w:r>
      <w:r w:rsidR="00750E9A">
        <w:rPr>
          <w:rFonts w:asciiTheme="minorHAnsi" w:hAnsiTheme="minorHAnsi"/>
          <w:sz w:val="24"/>
          <w:szCs w:val="24"/>
        </w:rPr>
        <w:t xml:space="preserve"> </w:t>
      </w:r>
      <w:r w:rsidRPr="00617D5D">
        <w:rPr>
          <w:rFonts w:asciiTheme="minorHAnsi" w:hAnsiTheme="minorHAnsi"/>
          <w:sz w:val="24"/>
          <w:szCs w:val="24"/>
        </w:rPr>
        <w:t xml:space="preserve">The PBAC was unable to determine the effectiveness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in patients on long-term dialysis.</w:t>
      </w:r>
      <w:r w:rsidR="00750E9A">
        <w:rPr>
          <w:rFonts w:asciiTheme="minorHAnsi" w:hAnsiTheme="minorHAnsi"/>
          <w:sz w:val="24"/>
          <w:szCs w:val="24"/>
        </w:rPr>
        <w:t xml:space="preserve"> </w:t>
      </w:r>
      <w:r w:rsidRPr="00617D5D">
        <w:rPr>
          <w:rFonts w:asciiTheme="minorHAnsi" w:hAnsiTheme="minorHAnsi"/>
          <w:sz w:val="24"/>
          <w:szCs w:val="24"/>
        </w:rPr>
        <w:t xml:space="preserve"> The PBAC noted the significant morbidity and mortality associated with long-term dialysis for patients who do progress to ESRD. </w:t>
      </w:r>
      <w:r w:rsidR="00750E9A">
        <w:rPr>
          <w:rFonts w:asciiTheme="minorHAnsi" w:hAnsiTheme="minorHAnsi"/>
          <w:sz w:val="24"/>
          <w:szCs w:val="24"/>
        </w:rPr>
        <w:t xml:space="preserve"> </w:t>
      </w:r>
      <w:r w:rsidRPr="00617D5D">
        <w:rPr>
          <w:rFonts w:asciiTheme="minorHAnsi" w:hAnsiTheme="minorHAnsi"/>
          <w:sz w:val="24"/>
          <w:szCs w:val="24"/>
        </w:rPr>
        <w:t xml:space="preserve">However, the PBAC considered that it was important that further information is obtained regarding the risk-benefit profile of long-term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and how this differs between patient groups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PSD, March 2014 PBAC meeting).</w:t>
      </w:r>
    </w:p>
    <w:p w:rsidR="00EE033C" w:rsidRPr="00617D5D" w:rsidRDefault="00EE033C" w:rsidP="00FC668B">
      <w:pPr>
        <w:pStyle w:val="ListParagraph"/>
        <w:ind w:hanging="720"/>
        <w:rPr>
          <w:rFonts w:asciiTheme="minorHAnsi" w:hAnsiTheme="minorHAnsi"/>
          <w:sz w:val="24"/>
          <w:szCs w:val="24"/>
        </w:rPr>
      </w:pPr>
    </w:p>
    <w:p w:rsidR="00EE033C" w:rsidRPr="00617D5D" w:rsidRDefault="00EE033C"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The previous March 2016 minor submission</w:t>
      </w:r>
      <w:r w:rsidR="00116BFD" w:rsidRPr="00617D5D">
        <w:rPr>
          <w:rFonts w:asciiTheme="minorHAnsi" w:hAnsiTheme="minorHAnsi"/>
          <w:sz w:val="24"/>
          <w:szCs w:val="24"/>
        </w:rPr>
        <w:t xml:space="preserve">, to extend the current listing for </w:t>
      </w:r>
      <w:proofErr w:type="spellStart"/>
      <w:r w:rsidR="00116BFD" w:rsidRPr="00617D5D">
        <w:rPr>
          <w:rFonts w:asciiTheme="minorHAnsi" w:hAnsiTheme="minorHAnsi"/>
          <w:sz w:val="24"/>
          <w:szCs w:val="24"/>
        </w:rPr>
        <w:t>eculizumab</w:t>
      </w:r>
      <w:proofErr w:type="spellEnd"/>
      <w:r w:rsidR="00116BFD" w:rsidRPr="00617D5D">
        <w:rPr>
          <w:rFonts w:asciiTheme="minorHAnsi" w:hAnsiTheme="minorHAnsi"/>
          <w:sz w:val="24"/>
          <w:szCs w:val="24"/>
        </w:rPr>
        <w:t xml:space="preserve"> to include patients who had progressed to ESRD and were scheduled to receive a renal transplant,</w:t>
      </w:r>
      <w:r w:rsidRPr="00617D5D">
        <w:rPr>
          <w:rFonts w:asciiTheme="minorHAnsi" w:hAnsiTheme="minorHAnsi"/>
          <w:sz w:val="24"/>
          <w:szCs w:val="24"/>
        </w:rPr>
        <w:t xml:space="preserve"> was submitted following a request from the PBAC for a summary of relevant data that had become available since the PBAC’s consideration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in March 2014 - on the use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for the treatment of atypical haemolytic uraemic syndrome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following kidney transplantation. </w:t>
      </w:r>
      <w:r w:rsidR="00A96394">
        <w:rPr>
          <w:rFonts w:asciiTheme="minorHAnsi" w:hAnsiTheme="minorHAnsi"/>
          <w:sz w:val="24"/>
          <w:szCs w:val="24"/>
        </w:rPr>
        <w:t xml:space="preserve"> </w:t>
      </w:r>
      <w:r w:rsidRPr="00617D5D">
        <w:rPr>
          <w:rFonts w:asciiTheme="minorHAnsi" w:hAnsiTheme="minorHAnsi"/>
          <w:sz w:val="24"/>
          <w:szCs w:val="24"/>
        </w:rPr>
        <w:t xml:space="preserve">This matter was discussed at the stakeholder meeting held on 24 June 2014, with the meeting record stating that: </w:t>
      </w:r>
    </w:p>
    <w:p w:rsidR="00EE033C" w:rsidRPr="00617D5D" w:rsidRDefault="00EE033C" w:rsidP="00906C5A">
      <w:pPr>
        <w:pStyle w:val="ListParagraph"/>
        <w:rPr>
          <w:rFonts w:asciiTheme="minorHAnsi" w:hAnsiTheme="minorHAnsi"/>
          <w:sz w:val="24"/>
          <w:szCs w:val="24"/>
        </w:rPr>
      </w:pPr>
      <w:r w:rsidRPr="00292BAA">
        <w:rPr>
          <w:rFonts w:asciiTheme="minorHAnsi" w:hAnsiTheme="minorHAnsi"/>
          <w:i/>
          <w:sz w:val="24"/>
          <w:szCs w:val="24"/>
        </w:rPr>
        <w:t xml:space="preserve">“Although the significant morbidity and mortality associated with long-term dialysis for patients who had progressed to end stage renal failure was noted by the PBAC in March 2014, the Committee was unable to determine the efficacy and cost-effectiveness of </w:t>
      </w:r>
      <w:proofErr w:type="spellStart"/>
      <w:r w:rsidRPr="00292BAA">
        <w:rPr>
          <w:rFonts w:asciiTheme="minorHAnsi" w:hAnsiTheme="minorHAnsi"/>
          <w:i/>
          <w:sz w:val="24"/>
          <w:szCs w:val="24"/>
        </w:rPr>
        <w:t>eculizumab</w:t>
      </w:r>
      <w:proofErr w:type="spellEnd"/>
      <w:r w:rsidRPr="00292BAA">
        <w:rPr>
          <w:rFonts w:asciiTheme="minorHAnsi" w:hAnsiTheme="minorHAnsi"/>
          <w:i/>
          <w:sz w:val="24"/>
          <w:szCs w:val="24"/>
        </w:rPr>
        <w:t xml:space="preserve"> for prevention of recurrence of thrombotic </w:t>
      </w:r>
      <w:proofErr w:type="spellStart"/>
      <w:r w:rsidRPr="00292BAA">
        <w:rPr>
          <w:rFonts w:asciiTheme="minorHAnsi" w:hAnsiTheme="minorHAnsi"/>
          <w:i/>
          <w:sz w:val="24"/>
          <w:szCs w:val="24"/>
        </w:rPr>
        <w:t>microangiopathy</w:t>
      </w:r>
      <w:proofErr w:type="spellEnd"/>
      <w:r w:rsidRPr="00292BAA">
        <w:rPr>
          <w:rFonts w:asciiTheme="minorHAnsi" w:hAnsiTheme="minorHAnsi"/>
          <w:i/>
          <w:sz w:val="24"/>
          <w:szCs w:val="24"/>
        </w:rPr>
        <w:t xml:space="preserve"> (TMA) following kidney transplantation. Data about use in these patients should become available over time and therefore, this additional indication could be reconsidered for subsidy in the future.”</w:t>
      </w:r>
      <w:r w:rsidR="003C010F">
        <w:rPr>
          <w:rFonts w:asciiTheme="minorHAnsi" w:hAnsiTheme="minorHAnsi"/>
          <w:i/>
          <w:sz w:val="24"/>
          <w:szCs w:val="24"/>
        </w:rPr>
        <w:t xml:space="preserve">  </w:t>
      </w:r>
      <w:r w:rsidRPr="00617D5D">
        <w:rPr>
          <w:rFonts w:asciiTheme="minorHAnsi" w:hAnsiTheme="minorHAnsi"/>
          <w:sz w:val="24"/>
          <w:szCs w:val="24"/>
        </w:rPr>
        <w:t xml:space="preserve">New evidence presented in the </w:t>
      </w:r>
      <w:r w:rsidR="004B4B26" w:rsidRPr="00617D5D">
        <w:rPr>
          <w:rFonts w:asciiTheme="minorHAnsi" w:hAnsiTheme="minorHAnsi"/>
          <w:sz w:val="24"/>
          <w:szCs w:val="24"/>
        </w:rPr>
        <w:t xml:space="preserve">March 2016 </w:t>
      </w:r>
      <w:r w:rsidRPr="00617D5D">
        <w:rPr>
          <w:rFonts w:asciiTheme="minorHAnsi" w:hAnsiTheme="minorHAnsi"/>
          <w:sz w:val="24"/>
          <w:szCs w:val="24"/>
        </w:rPr>
        <w:t>submission included two case series (N=</w:t>
      </w:r>
      <w:r w:rsidR="000671F9">
        <w:rPr>
          <w:rFonts w:asciiTheme="minorHAnsi" w:hAnsiTheme="minorHAnsi"/>
          <w:noProof/>
          <w:color w:val="000000"/>
          <w:sz w:val="24"/>
          <w:szCs w:val="24"/>
          <w:highlight w:val="black"/>
        </w:rPr>
        <w:t>''''''</w:t>
      </w:r>
      <w:r w:rsidRPr="00617D5D">
        <w:rPr>
          <w:rFonts w:asciiTheme="minorHAnsi" w:hAnsiTheme="minorHAnsi"/>
          <w:sz w:val="24"/>
          <w:szCs w:val="24"/>
        </w:rPr>
        <w:t xml:space="preserve">) and </w:t>
      </w:r>
      <w:r w:rsidR="000671F9">
        <w:rPr>
          <w:rFonts w:asciiTheme="minorHAnsi" w:hAnsiTheme="minorHAnsi"/>
          <w:noProof/>
          <w:color w:val="000000"/>
          <w:sz w:val="24"/>
          <w:szCs w:val="24"/>
          <w:highlight w:val="black"/>
        </w:rPr>
        <w:t>''''''</w:t>
      </w:r>
      <w:r w:rsidRPr="00617D5D">
        <w:rPr>
          <w:rFonts w:asciiTheme="minorHAnsi" w:hAnsiTheme="minorHAnsi"/>
          <w:sz w:val="24"/>
          <w:szCs w:val="24"/>
        </w:rPr>
        <w:t xml:space="preserve"> case reports.</w:t>
      </w:r>
    </w:p>
    <w:p w:rsidR="00EE033C" w:rsidRPr="00617D5D" w:rsidRDefault="00EE033C" w:rsidP="00FC668B">
      <w:pPr>
        <w:pStyle w:val="ListParagraph"/>
        <w:ind w:hanging="720"/>
        <w:rPr>
          <w:rFonts w:asciiTheme="minorHAnsi" w:hAnsiTheme="minorHAnsi"/>
          <w:sz w:val="24"/>
          <w:szCs w:val="24"/>
        </w:rPr>
      </w:pPr>
    </w:p>
    <w:p w:rsidR="00116BFD" w:rsidRPr="00617D5D" w:rsidRDefault="00EE033C"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The </w:t>
      </w:r>
      <w:r w:rsidR="00116BFD" w:rsidRPr="00617D5D">
        <w:rPr>
          <w:rFonts w:asciiTheme="minorHAnsi" w:hAnsiTheme="minorHAnsi"/>
          <w:sz w:val="24"/>
          <w:szCs w:val="24"/>
        </w:rPr>
        <w:t xml:space="preserve">PBAC rejected the March 2016 submission on the basis that the submission provided sparse data in support of the use of </w:t>
      </w:r>
      <w:proofErr w:type="spellStart"/>
      <w:r w:rsidR="00116BFD" w:rsidRPr="00617D5D">
        <w:rPr>
          <w:rFonts w:asciiTheme="minorHAnsi" w:hAnsiTheme="minorHAnsi"/>
          <w:sz w:val="24"/>
          <w:szCs w:val="24"/>
        </w:rPr>
        <w:t>eculizumab</w:t>
      </w:r>
      <w:proofErr w:type="spellEnd"/>
      <w:r w:rsidR="00116BFD" w:rsidRPr="00617D5D">
        <w:rPr>
          <w:rFonts w:asciiTheme="minorHAnsi" w:hAnsiTheme="minorHAnsi"/>
          <w:sz w:val="24"/>
          <w:szCs w:val="24"/>
        </w:rPr>
        <w:t xml:space="preserve"> in a renal transplant setting.</w:t>
      </w:r>
      <w:r w:rsidR="00787DF7" w:rsidRPr="00617D5D">
        <w:rPr>
          <w:rFonts w:asciiTheme="minorHAnsi" w:hAnsiTheme="minorHAnsi"/>
          <w:sz w:val="24"/>
          <w:szCs w:val="24"/>
        </w:rPr>
        <w:t xml:space="preserve"> </w:t>
      </w:r>
      <w:r w:rsidR="00A96394">
        <w:rPr>
          <w:rFonts w:asciiTheme="minorHAnsi" w:hAnsiTheme="minorHAnsi"/>
          <w:sz w:val="24"/>
          <w:szCs w:val="24"/>
        </w:rPr>
        <w:t xml:space="preserve"> </w:t>
      </w:r>
      <w:r w:rsidR="00116BFD" w:rsidRPr="00617D5D">
        <w:rPr>
          <w:rFonts w:asciiTheme="minorHAnsi" w:hAnsiTheme="minorHAnsi"/>
          <w:sz w:val="24"/>
          <w:szCs w:val="24"/>
        </w:rPr>
        <w:t xml:space="preserve">No comparative data were available to determine the relative effectiveness of </w:t>
      </w:r>
      <w:proofErr w:type="spellStart"/>
      <w:r w:rsidR="00116BFD" w:rsidRPr="00617D5D">
        <w:rPr>
          <w:rFonts w:asciiTheme="minorHAnsi" w:hAnsiTheme="minorHAnsi"/>
          <w:sz w:val="24"/>
          <w:szCs w:val="24"/>
        </w:rPr>
        <w:t>eculizumab</w:t>
      </w:r>
      <w:proofErr w:type="spellEnd"/>
      <w:r w:rsidR="00116BFD" w:rsidRPr="00617D5D">
        <w:rPr>
          <w:rFonts w:asciiTheme="minorHAnsi" w:hAnsiTheme="minorHAnsi"/>
          <w:sz w:val="24"/>
          <w:szCs w:val="24"/>
        </w:rPr>
        <w:t xml:space="preserve"> compared with supportive care.</w:t>
      </w:r>
    </w:p>
    <w:p w:rsidR="000A4955" w:rsidRPr="00617D5D" w:rsidRDefault="000A4955" w:rsidP="00FC668B">
      <w:pPr>
        <w:pStyle w:val="ListParagraph"/>
        <w:ind w:hanging="720"/>
        <w:rPr>
          <w:rFonts w:asciiTheme="minorHAnsi" w:hAnsiTheme="minorHAnsi"/>
          <w:sz w:val="24"/>
          <w:szCs w:val="24"/>
        </w:rPr>
      </w:pPr>
    </w:p>
    <w:p w:rsidR="000A4955" w:rsidRPr="00617D5D" w:rsidRDefault="000A4955"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In July 2016, the PBAC noted the report and conclusions of the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Reference Group into the use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in the first 12 months of the PBS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listing.</w:t>
      </w:r>
      <w:r w:rsidR="00787DF7" w:rsidRPr="00617D5D">
        <w:rPr>
          <w:rFonts w:asciiTheme="minorHAnsi" w:hAnsiTheme="minorHAnsi"/>
          <w:sz w:val="24"/>
          <w:szCs w:val="24"/>
        </w:rPr>
        <w:t xml:space="preserve"> </w:t>
      </w:r>
      <w:r w:rsidRPr="00617D5D">
        <w:rPr>
          <w:rFonts w:asciiTheme="minorHAnsi" w:hAnsiTheme="minorHAnsi"/>
          <w:sz w:val="24"/>
          <w:szCs w:val="24"/>
        </w:rPr>
        <w:t>Amongst other matters, the PBAC considered:</w:t>
      </w:r>
    </w:p>
    <w:p w:rsidR="00E90B3C" w:rsidRPr="00617D5D" w:rsidRDefault="000A4955" w:rsidP="00C06BE1">
      <w:pPr>
        <w:pStyle w:val="ListParagraph"/>
        <w:numPr>
          <w:ilvl w:val="0"/>
          <w:numId w:val="22"/>
        </w:numPr>
        <w:ind w:left="1644" w:hanging="720"/>
        <w:rPr>
          <w:rFonts w:asciiTheme="minorHAnsi" w:hAnsiTheme="minorHAnsi"/>
          <w:sz w:val="24"/>
          <w:szCs w:val="24"/>
        </w:rPr>
      </w:pPr>
      <w:proofErr w:type="gramStart"/>
      <w:r w:rsidRPr="00617D5D">
        <w:rPr>
          <w:rFonts w:asciiTheme="minorHAnsi" w:hAnsiTheme="minorHAnsi"/>
          <w:sz w:val="24"/>
          <w:szCs w:val="24"/>
        </w:rPr>
        <w:t>that</w:t>
      </w:r>
      <w:proofErr w:type="gramEnd"/>
      <w:r w:rsidRPr="00617D5D">
        <w:rPr>
          <w:rFonts w:asciiTheme="minorHAnsi" w:hAnsiTheme="minorHAnsi"/>
          <w:sz w:val="24"/>
          <w:szCs w:val="24"/>
        </w:rPr>
        <w:t xml:space="preserve"> the utilisation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was inconsistent with the intent of the Committee’s recommendations for the drug.</w:t>
      </w:r>
      <w:r w:rsidR="00787DF7" w:rsidRPr="00617D5D">
        <w:rPr>
          <w:rFonts w:asciiTheme="minorHAnsi" w:hAnsiTheme="minorHAnsi"/>
          <w:sz w:val="24"/>
          <w:szCs w:val="24"/>
        </w:rPr>
        <w:t xml:space="preserve"> </w:t>
      </w:r>
      <w:r w:rsidRPr="00617D5D">
        <w:rPr>
          <w:rFonts w:asciiTheme="minorHAnsi" w:hAnsiTheme="minorHAnsi"/>
          <w:sz w:val="24"/>
          <w:szCs w:val="24"/>
        </w:rPr>
        <w:t xml:space="preserve">The PBAC considered that observed patterns in the first 12 months of PBS listing for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raised questions about the accuracy of the estimates presented to the Committee in the sponsor’s submissions, and about the reliability of information provided in prescribers’ applications for PBS-subsidised </w:t>
      </w:r>
      <w:proofErr w:type="spellStart"/>
      <w:r w:rsidRPr="00617D5D">
        <w:rPr>
          <w:rFonts w:asciiTheme="minorHAnsi" w:hAnsiTheme="minorHAnsi"/>
          <w:sz w:val="24"/>
          <w:szCs w:val="24"/>
        </w:rPr>
        <w:t>eculizumab</w:t>
      </w:r>
      <w:proofErr w:type="spellEnd"/>
      <w:r w:rsidR="00E90B3C" w:rsidRPr="00617D5D">
        <w:rPr>
          <w:rFonts w:asciiTheme="minorHAnsi" w:hAnsiTheme="minorHAnsi"/>
          <w:sz w:val="24"/>
          <w:szCs w:val="24"/>
        </w:rPr>
        <w:t>, and</w:t>
      </w:r>
    </w:p>
    <w:p w:rsidR="00502051" w:rsidRPr="00617D5D" w:rsidRDefault="000A4955" w:rsidP="00C06BE1">
      <w:pPr>
        <w:pStyle w:val="ListParagraph"/>
        <w:numPr>
          <w:ilvl w:val="0"/>
          <w:numId w:val="22"/>
        </w:numPr>
        <w:ind w:left="1644" w:hanging="720"/>
        <w:rPr>
          <w:rFonts w:asciiTheme="minorHAnsi" w:hAnsiTheme="minorHAnsi"/>
          <w:sz w:val="24"/>
          <w:szCs w:val="24"/>
        </w:rPr>
      </w:pPr>
      <w:r w:rsidRPr="00617D5D">
        <w:rPr>
          <w:rFonts w:asciiTheme="minorHAnsi" w:hAnsiTheme="minorHAnsi"/>
          <w:sz w:val="24"/>
          <w:szCs w:val="24"/>
        </w:rPr>
        <w:t>that the larger than expected number of patients (</w:t>
      </w:r>
      <w:r w:rsidR="000671F9">
        <w:rPr>
          <w:rFonts w:asciiTheme="minorHAnsi" w:hAnsiTheme="minorHAnsi"/>
          <w:noProof/>
          <w:color w:val="000000"/>
          <w:sz w:val="24"/>
          <w:szCs w:val="24"/>
          <w:highlight w:val="black"/>
        </w:rPr>
        <w:t>'''''</w:t>
      </w:r>
      <w:r w:rsidRPr="00617D5D">
        <w:rPr>
          <w:rFonts w:asciiTheme="minorHAnsi" w:hAnsiTheme="minorHAnsi"/>
          <w:sz w:val="24"/>
          <w:szCs w:val="24"/>
        </w:rPr>
        <w:t xml:space="preserve"> vs </w:t>
      </w:r>
      <w:r w:rsidR="000671F9">
        <w:rPr>
          <w:rFonts w:asciiTheme="minorHAnsi" w:hAnsiTheme="minorHAnsi"/>
          <w:noProof/>
          <w:color w:val="000000"/>
          <w:sz w:val="24"/>
          <w:szCs w:val="24"/>
          <w:highlight w:val="black"/>
        </w:rPr>
        <w:t>'''''</w:t>
      </w:r>
      <w:r w:rsidRPr="00617D5D">
        <w:rPr>
          <w:rFonts w:asciiTheme="minorHAnsi" w:hAnsiTheme="minorHAnsi"/>
          <w:sz w:val="24"/>
          <w:szCs w:val="24"/>
        </w:rPr>
        <w:t xml:space="preserve">) did not reflect a genuine excess of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patients, noting the Reference Group’s conclusion that numerous patients who received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appear to have had TMA secondary to causes other than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w:t>
      </w:r>
      <w:r w:rsidR="00787DF7" w:rsidRPr="00617D5D">
        <w:rPr>
          <w:rFonts w:asciiTheme="minorHAnsi" w:hAnsiTheme="minorHAnsi"/>
          <w:sz w:val="24"/>
          <w:szCs w:val="24"/>
        </w:rPr>
        <w:t xml:space="preserve"> </w:t>
      </w:r>
    </w:p>
    <w:p w:rsidR="00E90B3C" w:rsidRPr="00617D5D" w:rsidRDefault="00E90B3C" w:rsidP="00FC668B">
      <w:pPr>
        <w:pStyle w:val="ListParagraph"/>
        <w:ind w:hanging="720"/>
        <w:rPr>
          <w:rFonts w:asciiTheme="minorHAnsi" w:hAnsiTheme="minorHAnsi"/>
          <w:sz w:val="24"/>
          <w:szCs w:val="24"/>
        </w:rPr>
      </w:pPr>
    </w:p>
    <w:p w:rsidR="00D848B7" w:rsidRPr="00617D5D" w:rsidRDefault="000A4955"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The PBAC also considered that the </w:t>
      </w:r>
      <w:r w:rsidR="00256C38">
        <w:rPr>
          <w:rFonts w:asciiTheme="minorHAnsi" w:hAnsiTheme="minorHAnsi"/>
          <w:sz w:val="24"/>
          <w:szCs w:val="24"/>
        </w:rPr>
        <w:t xml:space="preserve">potential for </w:t>
      </w:r>
      <w:r w:rsidRPr="00617D5D">
        <w:rPr>
          <w:rFonts w:asciiTheme="minorHAnsi" w:hAnsiTheme="minorHAnsi"/>
          <w:sz w:val="24"/>
          <w:szCs w:val="24"/>
        </w:rPr>
        <w:t xml:space="preserve">PBS subsidy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for </w:t>
      </w:r>
      <w:r w:rsidR="00256C38">
        <w:rPr>
          <w:rFonts w:asciiTheme="minorHAnsi" w:hAnsiTheme="minorHAnsi"/>
          <w:sz w:val="24"/>
          <w:szCs w:val="24"/>
        </w:rPr>
        <w:t xml:space="preserve">inpatients in </w:t>
      </w:r>
      <w:r w:rsidRPr="00617D5D">
        <w:rPr>
          <w:rFonts w:asciiTheme="minorHAnsi" w:hAnsiTheme="minorHAnsi"/>
          <w:sz w:val="24"/>
          <w:szCs w:val="24"/>
        </w:rPr>
        <w:t xml:space="preserve">public hospital was a contributing factor </w:t>
      </w:r>
      <w:r w:rsidR="00256C38">
        <w:rPr>
          <w:rFonts w:asciiTheme="minorHAnsi" w:hAnsiTheme="minorHAnsi"/>
          <w:sz w:val="24"/>
          <w:szCs w:val="24"/>
        </w:rPr>
        <w:t>to the use</w:t>
      </w:r>
      <w:r w:rsidRPr="00617D5D">
        <w:rPr>
          <w:rFonts w:asciiTheme="minorHAnsi" w:hAnsiTheme="minorHAnsi"/>
          <w:sz w:val="24"/>
          <w:szCs w:val="24"/>
        </w:rPr>
        <w:t xml:space="preserve"> of the drug</w:t>
      </w:r>
      <w:r w:rsidR="00256C38">
        <w:rPr>
          <w:rFonts w:asciiTheme="minorHAnsi" w:hAnsiTheme="minorHAnsi"/>
          <w:sz w:val="24"/>
          <w:szCs w:val="24"/>
        </w:rPr>
        <w:t xml:space="preserve"> in clinical scenarios beyond those recommended by PBAC based on clinical trial data</w:t>
      </w:r>
      <w:r w:rsidRPr="00617D5D">
        <w:rPr>
          <w:rFonts w:asciiTheme="minorHAnsi" w:hAnsiTheme="minorHAnsi"/>
          <w:sz w:val="24"/>
          <w:szCs w:val="24"/>
        </w:rPr>
        <w:t>.</w:t>
      </w:r>
      <w:r w:rsidR="00787DF7" w:rsidRPr="00617D5D">
        <w:rPr>
          <w:rFonts w:asciiTheme="minorHAnsi" w:hAnsiTheme="minorHAnsi"/>
          <w:sz w:val="24"/>
          <w:szCs w:val="24"/>
        </w:rPr>
        <w:t xml:space="preserve"> </w:t>
      </w:r>
      <w:r w:rsidR="00A96394">
        <w:rPr>
          <w:rFonts w:asciiTheme="minorHAnsi" w:hAnsiTheme="minorHAnsi"/>
          <w:sz w:val="24"/>
          <w:szCs w:val="24"/>
        </w:rPr>
        <w:t xml:space="preserve"> </w:t>
      </w:r>
      <w:r w:rsidRPr="00617D5D">
        <w:rPr>
          <w:rFonts w:asciiTheme="minorHAnsi" w:hAnsiTheme="minorHAnsi"/>
          <w:sz w:val="24"/>
          <w:szCs w:val="24"/>
        </w:rPr>
        <w:t xml:space="preserve">The PBAC considered that it would be reasonable for acute inpatient treatment to be </w:t>
      </w:r>
      <w:r w:rsidR="00256C38">
        <w:rPr>
          <w:rFonts w:asciiTheme="minorHAnsi" w:hAnsiTheme="minorHAnsi"/>
          <w:sz w:val="24"/>
          <w:szCs w:val="24"/>
        </w:rPr>
        <w:t xml:space="preserve">initiated and </w:t>
      </w:r>
      <w:r w:rsidRPr="00617D5D">
        <w:rPr>
          <w:rFonts w:asciiTheme="minorHAnsi" w:hAnsiTheme="minorHAnsi"/>
          <w:sz w:val="24"/>
          <w:szCs w:val="24"/>
        </w:rPr>
        <w:t xml:space="preserve">funded by the public hospital, with PBS subsidy to commence once </w:t>
      </w:r>
      <w:r w:rsidR="00256C38">
        <w:rPr>
          <w:rFonts w:asciiTheme="minorHAnsi" w:hAnsiTheme="minorHAnsi"/>
          <w:sz w:val="24"/>
          <w:szCs w:val="24"/>
        </w:rPr>
        <w:t>a</w:t>
      </w:r>
      <w:r w:rsidR="00256C38" w:rsidRPr="00617D5D">
        <w:rPr>
          <w:rFonts w:asciiTheme="minorHAnsi" w:hAnsiTheme="minorHAnsi"/>
          <w:sz w:val="24"/>
          <w:szCs w:val="24"/>
        </w:rPr>
        <w:t xml:space="preserve"> </w:t>
      </w:r>
      <w:r w:rsidR="00256C38">
        <w:rPr>
          <w:rFonts w:asciiTheme="minorHAnsi" w:hAnsiTheme="minorHAnsi"/>
          <w:sz w:val="24"/>
          <w:szCs w:val="24"/>
        </w:rPr>
        <w:t xml:space="preserve">PBS-eligible </w:t>
      </w:r>
      <w:r w:rsidRPr="00617D5D">
        <w:rPr>
          <w:rFonts w:asciiTheme="minorHAnsi" w:hAnsiTheme="minorHAnsi"/>
          <w:sz w:val="24"/>
          <w:szCs w:val="24"/>
        </w:rPr>
        <w:t>patient</w:t>
      </w:r>
      <w:r w:rsidR="00256C38">
        <w:rPr>
          <w:rFonts w:asciiTheme="minorHAnsi" w:hAnsiTheme="minorHAnsi"/>
          <w:sz w:val="24"/>
          <w:szCs w:val="24"/>
        </w:rPr>
        <w:t xml:space="preserve"> </w:t>
      </w:r>
      <w:r w:rsidRPr="00617D5D">
        <w:rPr>
          <w:rFonts w:asciiTheme="minorHAnsi" w:hAnsiTheme="minorHAnsi"/>
          <w:sz w:val="24"/>
          <w:szCs w:val="24"/>
        </w:rPr>
        <w:t xml:space="preserve">is ambulatory and has been discharged. </w:t>
      </w:r>
    </w:p>
    <w:p w:rsidR="000A4955" w:rsidRPr="00617D5D" w:rsidRDefault="000A4955" w:rsidP="00FC668B">
      <w:pPr>
        <w:pStyle w:val="ListParagraph"/>
        <w:ind w:hanging="720"/>
        <w:rPr>
          <w:rFonts w:asciiTheme="minorHAnsi" w:hAnsiTheme="minorHAnsi"/>
          <w:sz w:val="24"/>
          <w:szCs w:val="24"/>
        </w:rPr>
      </w:pPr>
    </w:p>
    <w:p w:rsidR="00E90B3C" w:rsidRPr="00617D5D" w:rsidRDefault="00E90B3C"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The PBAC recommended that the Department engage with the sponsor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to negotiate an appropriate arrangement to manage the risks indicated in the first 12 months’ utilisation data.</w:t>
      </w:r>
      <w:r w:rsidR="00787DF7" w:rsidRPr="00617D5D">
        <w:rPr>
          <w:rFonts w:asciiTheme="minorHAnsi" w:hAnsiTheme="minorHAnsi"/>
          <w:sz w:val="24"/>
          <w:szCs w:val="24"/>
        </w:rPr>
        <w:t xml:space="preserve"> </w:t>
      </w:r>
      <w:r w:rsidRPr="00617D5D">
        <w:rPr>
          <w:rFonts w:asciiTheme="minorHAnsi" w:hAnsiTheme="minorHAnsi"/>
          <w:sz w:val="24"/>
          <w:szCs w:val="24"/>
        </w:rPr>
        <w:t xml:space="preserve">The Committee advised it would be appropriate for the Department to enter into a Risk Sharing Arrangement with the sponsor where financial caps would limit cost to Government to appropriate use under the PBS listing for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with the sponsor to rebate the cost of any utilisation above the financial cap. </w:t>
      </w:r>
      <w:r w:rsidR="00D848B7" w:rsidRPr="00617D5D">
        <w:rPr>
          <w:rFonts w:asciiTheme="minorHAnsi" w:hAnsiTheme="minorHAnsi"/>
          <w:sz w:val="24"/>
          <w:szCs w:val="24"/>
        </w:rPr>
        <w:t xml:space="preserve">Discussions between the Department and the sponsor regarding this risk share are continuing. </w:t>
      </w:r>
    </w:p>
    <w:p w:rsidR="00116BFD" w:rsidRPr="00617D5D" w:rsidRDefault="00116BFD" w:rsidP="00FC668B">
      <w:pPr>
        <w:pStyle w:val="ListParagraph"/>
        <w:ind w:hanging="720"/>
        <w:rPr>
          <w:rFonts w:asciiTheme="minorHAnsi" w:hAnsiTheme="minorHAnsi"/>
          <w:sz w:val="24"/>
          <w:szCs w:val="24"/>
        </w:rPr>
      </w:pPr>
    </w:p>
    <w:p w:rsidR="00EE033C" w:rsidRPr="00617D5D" w:rsidRDefault="00EE033C"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 xml:space="preserve">The current minor resubmission </w:t>
      </w:r>
      <w:r w:rsidR="00C5309E" w:rsidRPr="00617D5D">
        <w:rPr>
          <w:rFonts w:asciiTheme="minorHAnsi" w:hAnsiTheme="minorHAnsi"/>
          <w:sz w:val="24"/>
          <w:szCs w:val="24"/>
        </w:rPr>
        <w:t xml:space="preserve">presents new data from the Global </w:t>
      </w:r>
      <w:proofErr w:type="spellStart"/>
      <w:r w:rsidR="00C5309E" w:rsidRPr="00617D5D">
        <w:rPr>
          <w:rFonts w:asciiTheme="minorHAnsi" w:hAnsiTheme="minorHAnsi"/>
          <w:sz w:val="24"/>
          <w:szCs w:val="24"/>
        </w:rPr>
        <w:t>aHUS</w:t>
      </w:r>
      <w:proofErr w:type="spellEnd"/>
      <w:r w:rsidR="00C5309E" w:rsidRPr="00617D5D">
        <w:rPr>
          <w:rFonts w:asciiTheme="minorHAnsi" w:hAnsiTheme="minorHAnsi"/>
          <w:sz w:val="24"/>
          <w:szCs w:val="24"/>
        </w:rPr>
        <w:t xml:space="preserve"> Registry, four retrospective case </w:t>
      </w:r>
      <w:r w:rsidR="002626CB" w:rsidRPr="00617D5D">
        <w:rPr>
          <w:rFonts w:asciiTheme="minorHAnsi" w:hAnsiTheme="minorHAnsi"/>
          <w:sz w:val="24"/>
          <w:szCs w:val="24"/>
        </w:rPr>
        <w:t xml:space="preserve">series </w:t>
      </w:r>
      <w:r w:rsidR="00C5309E" w:rsidRPr="00617D5D">
        <w:rPr>
          <w:rFonts w:asciiTheme="minorHAnsi" w:hAnsiTheme="minorHAnsi"/>
          <w:sz w:val="24"/>
          <w:szCs w:val="24"/>
        </w:rPr>
        <w:t xml:space="preserve">studies and </w:t>
      </w:r>
      <w:r w:rsidR="002626CB" w:rsidRPr="00617D5D">
        <w:rPr>
          <w:rFonts w:asciiTheme="minorHAnsi" w:hAnsiTheme="minorHAnsi"/>
          <w:sz w:val="24"/>
          <w:szCs w:val="24"/>
        </w:rPr>
        <w:t>4</w:t>
      </w:r>
      <w:r w:rsidR="00C5309E" w:rsidRPr="00617D5D">
        <w:rPr>
          <w:rFonts w:asciiTheme="minorHAnsi" w:hAnsiTheme="minorHAnsi"/>
          <w:sz w:val="24"/>
          <w:szCs w:val="24"/>
        </w:rPr>
        <w:t xml:space="preserve"> case reports.</w:t>
      </w:r>
      <w:r w:rsidR="00A858A4" w:rsidRPr="00617D5D">
        <w:rPr>
          <w:rFonts w:asciiTheme="minorHAnsi" w:hAnsiTheme="minorHAnsi"/>
          <w:sz w:val="24"/>
          <w:szCs w:val="24"/>
        </w:rPr>
        <w:t xml:space="preserve"> A summary of changes made between the March 2016 submission and the current re-submission </w:t>
      </w:r>
      <w:r w:rsidR="004B4B26" w:rsidRPr="00617D5D">
        <w:rPr>
          <w:rFonts w:asciiTheme="minorHAnsi" w:hAnsiTheme="minorHAnsi"/>
          <w:sz w:val="24"/>
          <w:szCs w:val="24"/>
        </w:rPr>
        <w:t xml:space="preserve">is </w:t>
      </w:r>
      <w:r w:rsidR="00A858A4" w:rsidRPr="00617D5D">
        <w:rPr>
          <w:rFonts w:asciiTheme="minorHAnsi" w:hAnsiTheme="minorHAnsi"/>
          <w:sz w:val="24"/>
          <w:szCs w:val="24"/>
        </w:rPr>
        <w:t>presented in Table 1.</w:t>
      </w:r>
    </w:p>
    <w:p w:rsidR="00A858A4" w:rsidRPr="00617D5D" w:rsidRDefault="00A858A4" w:rsidP="00A858A4">
      <w:pPr>
        <w:pStyle w:val="ListParagraph"/>
        <w:rPr>
          <w:rFonts w:asciiTheme="minorHAnsi" w:hAnsiTheme="minorHAnsi"/>
          <w:sz w:val="24"/>
          <w:szCs w:val="24"/>
        </w:rPr>
      </w:pPr>
    </w:p>
    <w:p w:rsidR="00A858A4" w:rsidRPr="00617D5D" w:rsidRDefault="00A858A4" w:rsidP="00A858A4">
      <w:pPr>
        <w:pStyle w:val="PBACHeading1"/>
        <w:numPr>
          <w:ilvl w:val="0"/>
          <w:numId w:val="0"/>
        </w:numPr>
        <w:ind w:left="720"/>
        <w:rPr>
          <w:sz w:val="24"/>
          <w:szCs w:val="24"/>
        </w:rPr>
        <w:sectPr w:rsidR="00A858A4" w:rsidRPr="00617D5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pPr>
    </w:p>
    <w:p w:rsidR="004A6028" w:rsidRDefault="004A6028" w:rsidP="004A6028">
      <w:pPr>
        <w:pStyle w:val="Caption"/>
      </w:pPr>
      <w:proofErr w:type="gramStart"/>
      <w:r>
        <w:t xml:space="preserve">Table </w:t>
      </w:r>
      <w:proofErr w:type="gramEnd"/>
      <w:r>
        <w:fldChar w:fldCharType="begin"/>
      </w:r>
      <w:r>
        <w:instrText xml:space="preserve"> SEQ Table \* ARABIC </w:instrText>
      </w:r>
      <w:r>
        <w:fldChar w:fldCharType="separate"/>
      </w:r>
      <w:r>
        <w:rPr>
          <w:noProof/>
        </w:rPr>
        <w:t>1</w:t>
      </w:r>
      <w:r>
        <w:fldChar w:fldCharType="end"/>
      </w:r>
      <w:proofErr w:type="gramStart"/>
      <w:r>
        <w:t>:</w:t>
      </w:r>
      <w:r w:rsidRPr="009F5418">
        <w:t xml:space="preserve"> Comparison table between March 2016 submission and the July 2017 resubmission.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29"/>
        <w:gridCol w:w="5891"/>
        <w:gridCol w:w="5894"/>
      </w:tblGrid>
      <w:tr w:rsidR="00A858A4" w:rsidRPr="00A858A4" w:rsidTr="00A858A4">
        <w:trPr>
          <w:cantSplit/>
          <w:trHeight w:val="220"/>
          <w:tblHeader/>
        </w:trPr>
        <w:tc>
          <w:tcPr>
            <w:tcW w:w="795" w:type="pct"/>
          </w:tcPr>
          <w:p w:rsidR="00A858A4" w:rsidRPr="00A858A4" w:rsidRDefault="00A858A4" w:rsidP="00A858A4">
            <w:pPr>
              <w:keepNext/>
              <w:rPr>
                <w:rFonts w:ascii="Arial Narrow" w:hAnsi="Arial Narrow"/>
                <w:sz w:val="20"/>
                <w:szCs w:val="20"/>
              </w:rPr>
            </w:pPr>
          </w:p>
        </w:tc>
        <w:tc>
          <w:tcPr>
            <w:tcW w:w="2102" w:type="pct"/>
            <w:vAlign w:val="center"/>
          </w:tcPr>
          <w:p w:rsidR="00A858A4" w:rsidRPr="00A858A4" w:rsidRDefault="00A858A4" w:rsidP="00A858A4">
            <w:pPr>
              <w:keepNext/>
              <w:jc w:val="center"/>
              <w:rPr>
                <w:rFonts w:ascii="Arial Narrow" w:hAnsi="Arial Narrow"/>
                <w:b/>
                <w:sz w:val="20"/>
                <w:szCs w:val="20"/>
              </w:rPr>
            </w:pPr>
            <w:r w:rsidRPr="00A858A4">
              <w:rPr>
                <w:rFonts w:ascii="Arial Narrow" w:hAnsi="Arial Narrow"/>
                <w:b/>
                <w:sz w:val="20"/>
                <w:szCs w:val="20"/>
              </w:rPr>
              <w:t>March 2016 submission</w:t>
            </w:r>
          </w:p>
        </w:tc>
        <w:tc>
          <w:tcPr>
            <w:tcW w:w="2103" w:type="pct"/>
          </w:tcPr>
          <w:p w:rsidR="00A858A4" w:rsidRPr="00A858A4" w:rsidRDefault="00A858A4" w:rsidP="00A858A4">
            <w:pPr>
              <w:keepNext/>
              <w:jc w:val="center"/>
              <w:rPr>
                <w:rFonts w:ascii="Arial Narrow" w:hAnsi="Arial Narrow"/>
                <w:b/>
                <w:sz w:val="20"/>
                <w:szCs w:val="20"/>
              </w:rPr>
            </w:pPr>
            <w:r w:rsidRPr="00A858A4">
              <w:rPr>
                <w:rFonts w:ascii="Arial Narrow" w:hAnsi="Arial Narrow"/>
                <w:b/>
                <w:sz w:val="20"/>
                <w:szCs w:val="20"/>
              </w:rPr>
              <w:t>Current resubmission</w:t>
            </w:r>
          </w:p>
        </w:tc>
      </w:tr>
      <w:tr w:rsidR="00A858A4" w:rsidRPr="00A858A4" w:rsidTr="00A858A4">
        <w:trPr>
          <w:cantSplit/>
          <w:trHeight w:val="525"/>
        </w:trPr>
        <w:tc>
          <w:tcPr>
            <w:tcW w:w="795" w:type="pct"/>
            <w:shd w:val="clear" w:color="auto" w:fill="auto"/>
          </w:tcPr>
          <w:p w:rsidR="00A858A4" w:rsidRPr="00A858A4" w:rsidRDefault="00A858A4" w:rsidP="00A858A4">
            <w:pPr>
              <w:rPr>
                <w:rFonts w:ascii="Arial Narrow" w:hAnsi="Arial Narrow"/>
                <w:sz w:val="20"/>
                <w:szCs w:val="20"/>
              </w:rPr>
            </w:pPr>
            <w:r w:rsidRPr="00A858A4">
              <w:rPr>
                <w:rFonts w:ascii="Arial Narrow" w:hAnsi="Arial Narrow"/>
                <w:sz w:val="20"/>
                <w:szCs w:val="20"/>
              </w:rPr>
              <w:t>Requested PBS listing</w:t>
            </w:r>
          </w:p>
        </w:tc>
        <w:tc>
          <w:tcPr>
            <w:tcW w:w="2102" w:type="pct"/>
            <w:shd w:val="clear" w:color="auto" w:fill="auto"/>
          </w:tcPr>
          <w:p w:rsidR="00A858A4" w:rsidRPr="00A858A4" w:rsidRDefault="00A858A4" w:rsidP="00A858A4">
            <w:pPr>
              <w:rPr>
                <w:rFonts w:ascii="Arial Narrow" w:hAnsi="Arial Narrow"/>
                <w:sz w:val="20"/>
                <w:szCs w:val="20"/>
              </w:rPr>
            </w:pPr>
            <w:r w:rsidRPr="00A858A4">
              <w:rPr>
                <w:rFonts w:ascii="Arial Narrow" w:hAnsi="Arial Narrow"/>
                <w:sz w:val="20"/>
                <w:szCs w:val="20"/>
              </w:rPr>
              <w:t xml:space="preserve">To request access to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treatment for two subgroups of patient with </w:t>
            </w:r>
            <w:proofErr w:type="spellStart"/>
            <w:r w:rsidRPr="00A858A4">
              <w:rPr>
                <w:rFonts w:ascii="Arial Narrow" w:hAnsi="Arial Narrow"/>
                <w:sz w:val="20"/>
                <w:szCs w:val="20"/>
              </w:rPr>
              <w:t>aHUS</w:t>
            </w:r>
            <w:proofErr w:type="spellEnd"/>
            <w:r w:rsidRPr="00A858A4">
              <w:rPr>
                <w:rFonts w:ascii="Arial Narrow" w:hAnsi="Arial Narrow"/>
                <w:sz w:val="20"/>
                <w:szCs w:val="20"/>
              </w:rPr>
              <w:t xml:space="preserve"> in the renal transplant setting, to prevent recurrence of thrombotic </w:t>
            </w:r>
            <w:proofErr w:type="spellStart"/>
            <w:r w:rsidRPr="00A858A4">
              <w:rPr>
                <w:rFonts w:ascii="Arial Narrow" w:hAnsi="Arial Narrow"/>
                <w:sz w:val="20"/>
                <w:szCs w:val="20"/>
              </w:rPr>
              <w:t>microangiopathy</w:t>
            </w:r>
            <w:proofErr w:type="spellEnd"/>
            <w:r w:rsidRPr="00A858A4">
              <w:rPr>
                <w:rFonts w:ascii="Arial Narrow" w:hAnsi="Arial Narrow"/>
                <w:sz w:val="20"/>
                <w:szCs w:val="20"/>
              </w:rPr>
              <w:t xml:space="preserve"> (TMA):</w:t>
            </w:r>
          </w:p>
          <w:p w:rsidR="00A858A4" w:rsidRPr="00A858A4" w:rsidRDefault="00A858A4" w:rsidP="00A858A4">
            <w:pPr>
              <w:rPr>
                <w:rFonts w:ascii="Arial Narrow" w:hAnsi="Arial Narrow"/>
                <w:sz w:val="20"/>
                <w:szCs w:val="20"/>
              </w:rPr>
            </w:pPr>
            <w:r w:rsidRPr="00A858A4">
              <w:rPr>
                <w:rFonts w:ascii="Arial Narrow" w:hAnsi="Arial Narrow"/>
                <w:sz w:val="20"/>
                <w:szCs w:val="20"/>
              </w:rPr>
              <w:t>1)</w:t>
            </w:r>
            <w:r w:rsidRPr="00A858A4">
              <w:rPr>
                <w:rFonts w:ascii="Arial Narrow" w:hAnsi="Arial Narrow"/>
                <w:sz w:val="20"/>
                <w:szCs w:val="20"/>
              </w:rPr>
              <w:tab/>
              <w:t xml:space="preserve">Patients with end stage renal disease (ESRD) on chronic dialysis who are suitable for renal transplantation, without the current requirement for evidence of active, progressive TMA; and </w:t>
            </w:r>
          </w:p>
          <w:p w:rsidR="00A858A4" w:rsidRPr="00A858A4" w:rsidRDefault="00A858A4" w:rsidP="00A858A4">
            <w:pPr>
              <w:rPr>
                <w:rFonts w:ascii="Arial Narrow" w:hAnsi="Arial Narrow"/>
                <w:sz w:val="20"/>
                <w:szCs w:val="20"/>
              </w:rPr>
            </w:pPr>
            <w:r w:rsidRPr="00A858A4">
              <w:rPr>
                <w:rFonts w:ascii="Arial Narrow" w:hAnsi="Arial Narrow"/>
                <w:sz w:val="20"/>
                <w:szCs w:val="20"/>
              </w:rPr>
              <w:t>2)</w:t>
            </w:r>
            <w:r w:rsidRPr="00A858A4">
              <w:rPr>
                <w:rFonts w:ascii="Arial Narrow" w:hAnsi="Arial Narrow"/>
                <w:sz w:val="20"/>
                <w:szCs w:val="20"/>
              </w:rPr>
              <w:tab/>
              <w:t>Patients who have been deemed a “treatment failure” under the current criteria PBS but who have access to a renal allograft.</w:t>
            </w:r>
          </w:p>
        </w:tc>
        <w:tc>
          <w:tcPr>
            <w:tcW w:w="2103" w:type="pct"/>
          </w:tcPr>
          <w:p w:rsidR="00A858A4" w:rsidRDefault="00A858A4" w:rsidP="00A858A4">
            <w:pPr>
              <w:rPr>
                <w:rFonts w:ascii="Arial Narrow" w:hAnsi="Arial Narrow"/>
                <w:sz w:val="20"/>
                <w:szCs w:val="20"/>
              </w:rPr>
            </w:pPr>
            <w:r w:rsidRPr="00A858A4">
              <w:rPr>
                <w:rFonts w:ascii="Arial Narrow" w:hAnsi="Arial Narrow"/>
                <w:sz w:val="20"/>
                <w:szCs w:val="20"/>
              </w:rPr>
              <w:t xml:space="preserve">To request access to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for patients with a diagnosis of </w:t>
            </w:r>
            <w:proofErr w:type="spellStart"/>
            <w:r w:rsidRPr="00A858A4">
              <w:rPr>
                <w:rFonts w:ascii="Arial Narrow" w:hAnsi="Arial Narrow"/>
                <w:sz w:val="20"/>
                <w:szCs w:val="20"/>
              </w:rPr>
              <w:t>aHUS</w:t>
            </w:r>
            <w:proofErr w:type="spellEnd"/>
            <w:r w:rsidRPr="00A858A4">
              <w:rPr>
                <w:rFonts w:ascii="Arial Narrow" w:hAnsi="Arial Narrow"/>
                <w:sz w:val="20"/>
                <w:szCs w:val="20"/>
              </w:rPr>
              <w:t xml:space="preserve"> in end stage renal disease (ESRD) on chronic dialysis who are suitable for renal transplantation, and have a medium to high risk of subsequent TMA, without the current requirement for evidence of active, progressive TMA.</w:t>
            </w:r>
          </w:p>
          <w:p w:rsidR="00BF701C" w:rsidRDefault="00BF701C" w:rsidP="00A858A4">
            <w:pPr>
              <w:rPr>
                <w:rFonts w:ascii="Arial Narrow" w:hAnsi="Arial Narrow"/>
                <w:sz w:val="20"/>
                <w:szCs w:val="20"/>
              </w:rPr>
            </w:pPr>
          </w:p>
          <w:p w:rsidR="00BF701C" w:rsidRPr="00850B72" w:rsidRDefault="00BF701C" w:rsidP="00A858A4">
            <w:pPr>
              <w:rPr>
                <w:rFonts w:ascii="Arial Narrow" w:hAnsi="Arial Narrow"/>
                <w:i/>
                <w:sz w:val="20"/>
                <w:szCs w:val="20"/>
              </w:rPr>
            </w:pPr>
            <w:r>
              <w:rPr>
                <w:rFonts w:ascii="Arial Narrow" w:hAnsi="Arial Narrow"/>
                <w:i/>
                <w:sz w:val="20"/>
                <w:szCs w:val="20"/>
              </w:rPr>
              <w:t>Although the submission no longer specifically requests a listing in patients wh</w:t>
            </w:r>
            <w:r w:rsidR="006649BF">
              <w:rPr>
                <w:rFonts w:ascii="Arial Narrow" w:hAnsi="Arial Narrow"/>
                <w:i/>
                <w:sz w:val="20"/>
                <w:szCs w:val="20"/>
              </w:rPr>
              <w:t xml:space="preserve">o have previously failed </w:t>
            </w:r>
            <w:proofErr w:type="spellStart"/>
            <w:r w:rsidR="006649BF">
              <w:rPr>
                <w:rFonts w:ascii="Arial Narrow" w:hAnsi="Arial Narrow"/>
                <w:i/>
                <w:sz w:val="20"/>
                <w:szCs w:val="20"/>
              </w:rPr>
              <w:t>eculiz</w:t>
            </w:r>
            <w:r>
              <w:rPr>
                <w:rFonts w:ascii="Arial Narrow" w:hAnsi="Arial Narrow"/>
                <w:i/>
                <w:sz w:val="20"/>
                <w:szCs w:val="20"/>
              </w:rPr>
              <w:t>umab</w:t>
            </w:r>
            <w:proofErr w:type="spellEnd"/>
            <w:r>
              <w:rPr>
                <w:rFonts w:ascii="Arial Narrow" w:hAnsi="Arial Narrow"/>
                <w:i/>
                <w:sz w:val="20"/>
                <w:szCs w:val="20"/>
              </w:rPr>
              <w:t xml:space="preserve"> but have access to a renal allograft, the requested restriction also does not exclude these patients.</w:t>
            </w:r>
          </w:p>
        </w:tc>
      </w:tr>
      <w:tr w:rsidR="00A858A4" w:rsidRPr="00A858A4" w:rsidTr="00A858A4">
        <w:trPr>
          <w:cantSplit/>
          <w:trHeight w:val="422"/>
        </w:trPr>
        <w:tc>
          <w:tcPr>
            <w:tcW w:w="795"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Requested effective DPMQs</w:t>
            </w:r>
          </w:p>
        </w:tc>
        <w:tc>
          <w:tcPr>
            <w:tcW w:w="2102" w:type="pct"/>
          </w:tcPr>
          <w:p w:rsidR="00A858A4" w:rsidRPr="00A858A4" w:rsidRDefault="00A858A4" w:rsidP="00A858A4">
            <w:pPr>
              <w:numPr>
                <w:ilvl w:val="0"/>
                <w:numId w:val="20"/>
              </w:numPr>
              <w:ind w:left="114" w:hanging="114"/>
              <w:contextualSpacing/>
              <w:rPr>
                <w:rFonts w:ascii="Arial Narrow" w:hAnsi="Arial Narrow"/>
                <w:sz w:val="20"/>
              </w:rPr>
            </w:pPr>
            <w:r w:rsidRPr="00A858A4">
              <w:rPr>
                <w:rFonts w:ascii="Arial Narrow" w:hAnsi="Arial Narrow"/>
                <w:sz w:val="20"/>
              </w:rPr>
              <w:t>$5937.50 (Public)</w:t>
            </w:r>
          </w:p>
          <w:p w:rsidR="00A858A4" w:rsidRPr="00A858A4" w:rsidRDefault="00A858A4" w:rsidP="00A858A4">
            <w:pPr>
              <w:numPr>
                <w:ilvl w:val="0"/>
                <w:numId w:val="20"/>
              </w:numPr>
              <w:ind w:left="114" w:hanging="114"/>
              <w:contextualSpacing/>
              <w:rPr>
                <w:rFonts w:ascii="Arial Narrow" w:hAnsi="Arial Narrow"/>
                <w:sz w:val="20"/>
              </w:rPr>
            </w:pPr>
            <w:r w:rsidRPr="00A858A4">
              <w:rPr>
                <w:rFonts w:ascii="Arial Narrow" w:hAnsi="Arial Narrow"/>
                <w:sz w:val="20"/>
              </w:rPr>
              <w:t>$5984.52 (Private)</w:t>
            </w:r>
          </w:p>
        </w:tc>
        <w:tc>
          <w:tcPr>
            <w:tcW w:w="2103" w:type="pct"/>
          </w:tcPr>
          <w:p w:rsidR="00A858A4" w:rsidRPr="00A858A4" w:rsidRDefault="00A858A4" w:rsidP="00A858A4">
            <w:pPr>
              <w:numPr>
                <w:ilvl w:val="0"/>
                <w:numId w:val="20"/>
              </w:numPr>
              <w:ind w:left="114" w:hanging="114"/>
              <w:contextualSpacing/>
              <w:rPr>
                <w:rFonts w:ascii="Arial Narrow" w:hAnsi="Arial Narrow"/>
                <w:sz w:val="20"/>
              </w:rPr>
            </w:pPr>
            <w:r w:rsidRPr="00A858A4">
              <w:rPr>
                <w:rFonts w:ascii="Arial Narrow" w:hAnsi="Arial Narrow"/>
                <w:sz w:val="20"/>
              </w:rPr>
              <w:t>Same as previous.</w:t>
            </w:r>
          </w:p>
        </w:tc>
      </w:tr>
      <w:tr w:rsidR="00A858A4" w:rsidRPr="00A858A4" w:rsidTr="00A858A4">
        <w:trPr>
          <w:cantSplit/>
          <w:trHeight w:val="860"/>
        </w:trPr>
        <w:tc>
          <w:tcPr>
            <w:tcW w:w="795"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Comparator</w:t>
            </w:r>
          </w:p>
        </w:tc>
        <w:tc>
          <w:tcPr>
            <w:tcW w:w="2102"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No comparator nominated by Sponsor.</w:t>
            </w:r>
          </w:p>
          <w:p w:rsidR="00A858A4" w:rsidRPr="00A858A4" w:rsidRDefault="00A858A4" w:rsidP="00A858A4">
            <w:pPr>
              <w:rPr>
                <w:rFonts w:ascii="Arial Narrow" w:hAnsi="Arial Narrow"/>
                <w:sz w:val="20"/>
                <w:szCs w:val="20"/>
              </w:rPr>
            </w:pPr>
            <w:r w:rsidRPr="00A858A4">
              <w:rPr>
                <w:rFonts w:ascii="Arial Narrow" w:hAnsi="Arial Narrow"/>
                <w:b/>
                <w:sz w:val="20"/>
                <w:szCs w:val="20"/>
              </w:rPr>
              <w:t>PBAC:</w:t>
            </w:r>
            <w:r w:rsidRPr="00A858A4">
              <w:rPr>
                <w:rFonts w:ascii="Arial Narrow" w:hAnsi="Arial Narrow"/>
                <w:sz w:val="20"/>
                <w:szCs w:val="20"/>
              </w:rPr>
              <w:t xml:space="preserve"> Suggested that supportive care, consisting of long-term dialysis or renal transplantation with prophylactic plasma exchange/infusion, was an appropriate comparator (paragraph 5.2).</w:t>
            </w:r>
          </w:p>
        </w:tc>
        <w:tc>
          <w:tcPr>
            <w:tcW w:w="2103" w:type="pct"/>
          </w:tcPr>
          <w:p w:rsidR="00A858A4" w:rsidRPr="00A858A4" w:rsidRDefault="00A858A4" w:rsidP="00A858A4">
            <w:pPr>
              <w:numPr>
                <w:ilvl w:val="0"/>
                <w:numId w:val="20"/>
              </w:numPr>
              <w:ind w:left="114" w:hanging="114"/>
              <w:contextualSpacing/>
              <w:rPr>
                <w:rFonts w:ascii="Arial Narrow" w:hAnsi="Arial Narrow"/>
                <w:sz w:val="20"/>
              </w:rPr>
            </w:pPr>
            <w:r w:rsidRPr="00A858A4">
              <w:rPr>
                <w:rFonts w:ascii="Arial Narrow" w:hAnsi="Arial Narrow"/>
                <w:sz w:val="20"/>
              </w:rPr>
              <w:t>Sponsor claimed no PBS comparator.</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 xml:space="preserve">Included comparisons between PBACs suggested comparators of </w:t>
            </w:r>
            <w:r w:rsidRPr="00A858A4">
              <w:rPr>
                <w:rFonts w:ascii="Arial Narrow" w:hAnsi="Arial Narrow"/>
                <w:sz w:val="20"/>
                <w:szCs w:val="20"/>
              </w:rPr>
              <w:t>long-term dialysis, renal transplantation with prophylactic plasma exchange/infusion and treatment initiation at recurrence of active TMA post-transplantation.</w:t>
            </w:r>
          </w:p>
        </w:tc>
      </w:tr>
      <w:tr w:rsidR="00A858A4" w:rsidRPr="00A858A4" w:rsidTr="00A858A4">
        <w:trPr>
          <w:cantSplit/>
          <w:trHeight w:val="860"/>
        </w:trPr>
        <w:tc>
          <w:tcPr>
            <w:tcW w:w="795" w:type="pct"/>
          </w:tcPr>
          <w:p w:rsidR="00A858A4" w:rsidRPr="00A858A4" w:rsidRDefault="00A858A4" w:rsidP="00A858A4">
            <w:pPr>
              <w:rPr>
                <w:rFonts w:ascii="Arial Narrow" w:hAnsi="Arial Narrow"/>
                <w:sz w:val="20"/>
                <w:szCs w:val="20"/>
                <w:highlight w:val="yellow"/>
              </w:rPr>
            </w:pPr>
            <w:r w:rsidRPr="00A858A4">
              <w:rPr>
                <w:rFonts w:ascii="Arial Narrow" w:hAnsi="Arial Narrow"/>
                <w:sz w:val="20"/>
                <w:szCs w:val="20"/>
              </w:rPr>
              <w:t>Clinical evidence</w:t>
            </w:r>
          </w:p>
        </w:tc>
        <w:tc>
          <w:tcPr>
            <w:tcW w:w="2102" w:type="pct"/>
          </w:tcPr>
          <w:p w:rsidR="00A858A4" w:rsidRPr="00A858A4" w:rsidRDefault="00A858A4" w:rsidP="00A858A4">
            <w:pPr>
              <w:numPr>
                <w:ilvl w:val="0"/>
                <w:numId w:val="20"/>
              </w:numPr>
              <w:ind w:left="114" w:hanging="114"/>
              <w:contextualSpacing/>
              <w:rPr>
                <w:rFonts w:ascii="Arial Narrow" w:hAnsi="Arial Narrow"/>
                <w:sz w:val="20"/>
              </w:rPr>
            </w:pPr>
            <w:r w:rsidRPr="00A858A4">
              <w:rPr>
                <w:rFonts w:ascii="Arial Narrow" w:hAnsi="Arial Narrow"/>
                <w:sz w:val="20"/>
              </w:rPr>
              <w:t>Previously assessed for original listing:</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 xml:space="preserve">•One retrospective case series evaluating </w:t>
            </w:r>
            <w:proofErr w:type="spellStart"/>
            <w:r w:rsidRPr="00A858A4">
              <w:rPr>
                <w:rFonts w:ascii="Arial Narrow" w:hAnsi="Arial Narrow"/>
                <w:sz w:val="20"/>
              </w:rPr>
              <w:t>eculizumab</w:t>
            </w:r>
            <w:proofErr w:type="spellEnd"/>
            <w:r w:rsidRPr="00A858A4">
              <w:rPr>
                <w:rFonts w:ascii="Arial Narrow" w:hAnsi="Arial Narrow"/>
                <w:sz w:val="20"/>
              </w:rPr>
              <w:t xml:space="preserve"> for the prevention or treatment of </w:t>
            </w:r>
            <w:proofErr w:type="spellStart"/>
            <w:r w:rsidRPr="00A858A4">
              <w:rPr>
                <w:rFonts w:ascii="Arial Narrow" w:hAnsi="Arial Narrow"/>
                <w:sz w:val="20"/>
              </w:rPr>
              <w:t>aHUS</w:t>
            </w:r>
            <w:proofErr w:type="spellEnd"/>
            <w:r w:rsidRPr="00A858A4">
              <w:rPr>
                <w:rFonts w:ascii="Arial Narrow" w:hAnsi="Arial Narrow"/>
                <w:sz w:val="20"/>
              </w:rPr>
              <w:t xml:space="preserve"> recurrence after renal transplantation (reported in both Zuber 2012 and </w:t>
            </w:r>
            <w:proofErr w:type="spellStart"/>
            <w:r w:rsidRPr="00A858A4">
              <w:rPr>
                <w:rFonts w:ascii="Arial Narrow" w:hAnsi="Arial Narrow"/>
                <w:sz w:val="20"/>
              </w:rPr>
              <w:t>Noris</w:t>
            </w:r>
            <w:proofErr w:type="spellEnd"/>
            <w:r w:rsidRPr="00A858A4">
              <w:rPr>
                <w:rFonts w:ascii="Arial Narrow" w:hAnsi="Arial Narrow"/>
                <w:sz w:val="20"/>
              </w:rPr>
              <w:t xml:space="preserve"> 2013 );</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 xml:space="preserve">•Post-hoc subgroup analyses from three prospective, open-label, single-arm studies of </w:t>
            </w:r>
            <w:proofErr w:type="spellStart"/>
            <w:r w:rsidRPr="00A858A4">
              <w:rPr>
                <w:rFonts w:ascii="Arial Narrow" w:hAnsi="Arial Narrow"/>
                <w:sz w:val="20"/>
              </w:rPr>
              <w:t>eculizumab</w:t>
            </w:r>
            <w:proofErr w:type="spellEnd"/>
            <w:r w:rsidRPr="00A858A4">
              <w:rPr>
                <w:rFonts w:ascii="Arial Narrow" w:hAnsi="Arial Narrow"/>
                <w:sz w:val="20"/>
              </w:rPr>
              <w:t xml:space="preserve"> for </w:t>
            </w:r>
            <w:proofErr w:type="spellStart"/>
            <w:r w:rsidRPr="00A858A4">
              <w:rPr>
                <w:rFonts w:ascii="Arial Narrow" w:hAnsi="Arial Narrow"/>
                <w:sz w:val="20"/>
              </w:rPr>
              <w:t>aHUS</w:t>
            </w:r>
            <w:proofErr w:type="spellEnd"/>
            <w:r w:rsidRPr="00A858A4">
              <w:rPr>
                <w:rFonts w:ascii="Arial Narrow" w:hAnsi="Arial Narrow"/>
                <w:sz w:val="20"/>
              </w:rPr>
              <w:t xml:space="preserve"> (Studies C08-002, C08-003 and C10-004);</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•An analysis of pooled data from patients in Studies C08-002, C08-003, C10-003 and C10-004 (Legendre 2015);</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 xml:space="preserve">•4 case reports detailing interrupted </w:t>
            </w:r>
            <w:proofErr w:type="spellStart"/>
            <w:r w:rsidRPr="00A858A4">
              <w:rPr>
                <w:rFonts w:ascii="Arial Narrow" w:hAnsi="Arial Narrow"/>
                <w:sz w:val="20"/>
              </w:rPr>
              <w:t>eculizumab</w:t>
            </w:r>
            <w:proofErr w:type="spellEnd"/>
            <w:r w:rsidRPr="00A858A4">
              <w:rPr>
                <w:rFonts w:ascii="Arial Narrow" w:hAnsi="Arial Narrow"/>
                <w:sz w:val="20"/>
              </w:rPr>
              <w:t xml:space="preserve"> dosing in patients with </w:t>
            </w:r>
            <w:proofErr w:type="spellStart"/>
            <w:r w:rsidRPr="00A858A4">
              <w:rPr>
                <w:rFonts w:ascii="Arial Narrow" w:hAnsi="Arial Narrow"/>
                <w:sz w:val="20"/>
              </w:rPr>
              <w:t>aHUS</w:t>
            </w:r>
            <w:proofErr w:type="spellEnd"/>
            <w:r w:rsidRPr="00A858A4">
              <w:rPr>
                <w:rFonts w:ascii="Arial Narrow" w:hAnsi="Arial Narrow"/>
                <w:sz w:val="20"/>
              </w:rPr>
              <w:t xml:space="preserve"> and a transplanted kidney.</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New studies:</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 xml:space="preserve">•Two retrospective case series evaluating </w:t>
            </w:r>
            <w:proofErr w:type="spellStart"/>
            <w:r w:rsidRPr="00A858A4">
              <w:rPr>
                <w:rFonts w:ascii="Arial Narrow" w:hAnsi="Arial Narrow"/>
                <w:sz w:val="20"/>
              </w:rPr>
              <w:t>eculizumab</w:t>
            </w:r>
            <w:proofErr w:type="spellEnd"/>
            <w:r w:rsidRPr="00A858A4">
              <w:rPr>
                <w:rFonts w:ascii="Arial Narrow" w:hAnsi="Arial Narrow"/>
                <w:sz w:val="20"/>
              </w:rPr>
              <w:t xml:space="preserve"> for prevention or treatment of </w:t>
            </w:r>
            <w:proofErr w:type="spellStart"/>
            <w:r w:rsidRPr="00A858A4">
              <w:rPr>
                <w:rFonts w:ascii="Arial Narrow" w:hAnsi="Arial Narrow"/>
                <w:sz w:val="20"/>
              </w:rPr>
              <w:t>aHUS</w:t>
            </w:r>
            <w:proofErr w:type="spellEnd"/>
            <w:r w:rsidRPr="00A858A4">
              <w:rPr>
                <w:rFonts w:ascii="Arial Narrow" w:hAnsi="Arial Narrow"/>
                <w:sz w:val="20"/>
              </w:rPr>
              <w:t xml:space="preserve"> recurrence after renal transplantation (</w:t>
            </w:r>
            <w:proofErr w:type="spellStart"/>
            <w:r w:rsidRPr="00A858A4">
              <w:rPr>
                <w:rFonts w:ascii="Arial Narrow" w:hAnsi="Arial Narrow"/>
                <w:sz w:val="20"/>
              </w:rPr>
              <w:t>Matar</w:t>
            </w:r>
            <w:proofErr w:type="spellEnd"/>
            <w:r w:rsidRPr="00A858A4">
              <w:rPr>
                <w:rFonts w:ascii="Arial Narrow" w:hAnsi="Arial Narrow"/>
                <w:sz w:val="20"/>
              </w:rPr>
              <w:t xml:space="preserve"> 2014 and Sheerin 2015);</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 xml:space="preserve">•14 case reports describing the use of </w:t>
            </w:r>
            <w:proofErr w:type="spellStart"/>
            <w:r w:rsidRPr="00A858A4">
              <w:rPr>
                <w:rFonts w:ascii="Arial Narrow" w:hAnsi="Arial Narrow"/>
                <w:sz w:val="20"/>
              </w:rPr>
              <w:t>eculizumab</w:t>
            </w:r>
            <w:proofErr w:type="spellEnd"/>
            <w:r w:rsidRPr="00A858A4">
              <w:rPr>
                <w:rFonts w:ascii="Arial Narrow" w:hAnsi="Arial Narrow"/>
                <w:sz w:val="20"/>
              </w:rPr>
              <w:t xml:space="preserve"> to prevent TMA recurrence in </w:t>
            </w:r>
            <w:proofErr w:type="spellStart"/>
            <w:r w:rsidRPr="00A858A4">
              <w:rPr>
                <w:rFonts w:ascii="Arial Narrow" w:hAnsi="Arial Narrow"/>
                <w:sz w:val="20"/>
              </w:rPr>
              <w:t>aHUS</w:t>
            </w:r>
            <w:proofErr w:type="spellEnd"/>
            <w:r w:rsidRPr="00A858A4">
              <w:rPr>
                <w:rFonts w:ascii="Arial Narrow" w:hAnsi="Arial Narrow"/>
                <w:sz w:val="20"/>
              </w:rPr>
              <w:t xml:space="preserve"> patients undergoing renal transplantation, including one patient who had previously failed treatment with </w:t>
            </w:r>
            <w:proofErr w:type="spellStart"/>
            <w:r w:rsidRPr="00A858A4">
              <w:rPr>
                <w:rFonts w:ascii="Arial Narrow" w:hAnsi="Arial Narrow"/>
                <w:sz w:val="20"/>
              </w:rPr>
              <w:t>eculizumab</w:t>
            </w:r>
            <w:proofErr w:type="spellEnd"/>
            <w:r w:rsidRPr="00A858A4">
              <w:rPr>
                <w:rFonts w:ascii="Arial Narrow" w:hAnsi="Arial Narrow"/>
                <w:sz w:val="20"/>
              </w:rPr>
              <w:t>. One additional case report was identified during the evaluation; and</w:t>
            </w:r>
          </w:p>
          <w:p w:rsidR="00A858A4" w:rsidRPr="00A858A4" w:rsidRDefault="00A858A4" w:rsidP="00A858A4">
            <w:pPr>
              <w:ind w:left="114"/>
              <w:contextualSpacing/>
              <w:rPr>
                <w:rFonts w:ascii="Arial Narrow" w:hAnsi="Arial Narrow"/>
                <w:sz w:val="20"/>
              </w:rPr>
            </w:pPr>
            <w:r w:rsidRPr="00A858A4">
              <w:rPr>
                <w:rFonts w:ascii="Arial Narrow" w:hAnsi="Arial Narrow"/>
                <w:sz w:val="20"/>
              </w:rPr>
              <w:t xml:space="preserve">•5 case reports detailing interrupted </w:t>
            </w:r>
            <w:proofErr w:type="spellStart"/>
            <w:r w:rsidRPr="00A858A4">
              <w:rPr>
                <w:rFonts w:ascii="Arial Narrow" w:hAnsi="Arial Narrow"/>
                <w:sz w:val="20"/>
              </w:rPr>
              <w:t>eculizumab</w:t>
            </w:r>
            <w:proofErr w:type="spellEnd"/>
            <w:r w:rsidRPr="00A858A4">
              <w:rPr>
                <w:rFonts w:ascii="Arial Narrow" w:hAnsi="Arial Narrow"/>
                <w:sz w:val="20"/>
              </w:rPr>
              <w:t xml:space="preserve"> dosing in patients with </w:t>
            </w:r>
            <w:proofErr w:type="spellStart"/>
            <w:r w:rsidRPr="00A858A4">
              <w:rPr>
                <w:rFonts w:ascii="Arial Narrow" w:hAnsi="Arial Narrow"/>
                <w:sz w:val="20"/>
              </w:rPr>
              <w:t>aHUS</w:t>
            </w:r>
            <w:proofErr w:type="spellEnd"/>
            <w:r w:rsidRPr="00A858A4">
              <w:rPr>
                <w:rFonts w:ascii="Arial Narrow" w:hAnsi="Arial Narrow"/>
                <w:sz w:val="20"/>
              </w:rPr>
              <w:t xml:space="preserve"> and a transplanted kidney. Two of these case reports were excluded from the evaluation.</w:t>
            </w:r>
          </w:p>
        </w:tc>
        <w:tc>
          <w:tcPr>
            <w:tcW w:w="2103"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 xml:space="preserve">New studies submitted which include the use of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in patients with </w:t>
            </w:r>
            <w:proofErr w:type="spellStart"/>
            <w:r w:rsidRPr="00A858A4">
              <w:rPr>
                <w:rFonts w:ascii="Arial Narrow" w:hAnsi="Arial Narrow"/>
                <w:sz w:val="20"/>
                <w:szCs w:val="20"/>
              </w:rPr>
              <w:t>aHUS</w:t>
            </w:r>
            <w:proofErr w:type="spellEnd"/>
            <w:r w:rsidRPr="00A858A4">
              <w:rPr>
                <w:rFonts w:ascii="Arial Narrow" w:hAnsi="Arial Narrow"/>
                <w:sz w:val="20"/>
                <w:szCs w:val="20"/>
              </w:rPr>
              <w:t xml:space="preserve"> peri-transplant and long-term use after kidney transplantation:</w:t>
            </w:r>
          </w:p>
          <w:p w:rsidR="00A858A4" w:rsidRPr="00A858A4" w:rsidRDefault="00A858A4" w:rsidP="00A858A4">
            <w:pPr>
              <w:rPr>
                <w:rFonts w:ascii="Arial Narrow" w:hAnsi="Arial Narrow"/>
                <w:sz w:val="20"/>
                <w:szCs w:val="20"/>
              </w:rPr>
            </w:pPr>
            <w:r w:rsidRPr="00A858A4">
              <w:rPr>
                <w:rFonts w:ascii="Arial Narrow" w:hAnsi="Arial Narrow"/>
                <w:sz w:val="20"/>
              </w:rPr>
              <w:t>•</w:t>
            </w:r>
            <w:r w:rsidRPr="00A858A4">
              <w:rPr>
                <w:rFonts w:ascii="Arial Narrow" w:hAnsi="Arial Narrow"/>
                <w:sz w:val="20"/>
                <w:szCs w:val="20"/>
              </w:rPr>
              <w:t>Four new retrospective case series;</w:t>
            </w:r>
          </w:p>
          <w:p w:rsidR="00A858A4" w:rsidRPr="00A858A4" w:rsidRDefault="00A858A4" w:rsidP="00A858A4">
            <w:pPr>
              <w:rPr>
                <w:rFonts w:ascii="Arial Narrow" w:hAnsi="Arial Narrow"/>
                <w:sz w:val="20"/>
                <w:szCs w:val="20"/>
              </w:rPr>
            </w:pPr>
            <w:r w:rsidRPr="00A858A4">
              <w:rPr>
                <w:rFonts w:ascii="Arial Narrow" w:hAnsi="Arial Narrow"/>
                <w:sz w:val="20"/>
              </w:rPr>
              <w:t>•</w:t>
            </w:r>
            <w:r w:rsidRPr="00A858A4">
              <w:rPr>
                <w:rFonts w:ascii="Arial Narrow" w:hAnsi="Arial Narrow"/>
                <w:sz w:val="20"/>
                <w:szCs w:val="20"/>
              </w:rPr>
              <w:t xml:space="preserve">Data from the </w:t>
            </w:r>
            <w:proofErr w:type="spellStart"/>
            <w:r w:rsidRPr="00A858A4">
              <w:rPr>
                <w:rFonts w:ascii="Arial Narrow" w:hAnsi="Arial Narrow"/>
                <w:sz w:val="20"/>
                <w:szCs w:val="20"/>
              </w:rPr>
              <w:t>aHUS</w:t>
            </w:r>
            <w:proofErr w:type="spellEnd"/>
            <w:r w:rsidRPr="00A858A4">
              <w:rPr>
                <w:rFonts w:ascii="Arial Narrow" w:hAnsi="Arial Narrow"/>
                <w:sz w:val="20"/>
                <w:szCs w:val="20"/>
              </w:rPr>
              <w:t xml:space="preserve"> registry; </w:t>
            </w:r>
          </w:p>
          <w:p w:rsidR="00A858A4" w:rsidRPr="00A858A4" w:rsidRDefault="00A858A4" w:rsidP="00A858A4">
            <w:pPr>
              <w:rPr>
                <w:rFonts w:ascii="Arial Narrow" w:hAnsi="Arial Narrow"/>
                <w:sz w:val="20"/>
                <w:szCs w:val="20"/>
              </w:rPr>
            </w:pPr>
            <w:r w:rsidRPr="00A858A4">
              <w:rPr>
                <w:rFonts w:ascii="Arial Narrow" w:hAnsi="Arial Narrow"/>
                <w:sz w:val="20"/>
              </w:rPr>
              <w:t>•</w:t>
            </w:r>
            <w:r>
              <w:rPr>
                <w:rFonts w:ascii="Arial Narrow" w:hAnsi="Arial Narrow"/>
                <w:sz w:val="20"/>
                <w:szCs w:val="20"/>
              </w:rPr>
              <w:t>4</w:t>
            </w:r>
            <w:r w:rsidRPr="00A858A4">
              <w:rPr>
                <w:rFonts w:ascii="Arial Narrow" w:hAnsi="Arial Narrow"/>
                <w:sz w:val="20"/>
                <w:szCs w:val="20"/>
              </w:rPr>
              <w:t xml:space="preserve"> new individual case reports. </w:t>
            </w:r>
          </w:p>
          <w:p w:rsidR="00A858A4" w:rsidRPr="00A858A4" w:rsidRDefault="00A858A4" w:rsidP="00A858A4">
            <w:pPr>
              <w:rPr>
                <w:rFonts w:ascii="Arial Narrow" w:hAnsi="Arial Narrow"/>
                <w:sz w:val="20"/>
                <w:szCs w:val="20"/>
              </w:rPr>
            </w:pPr>
          </w:p>
        </w:tc>
      </w:tr>
      <w:tr w:rsidR="00A858A4" w:rsidRPr="00A858A4" w:rsidTr="00A858A4">
        <w:trPr>
          <w:cantSplit/>
          <w:trHeight w:val="860"/>
        </w:trPr>
        <w:tc>
          <w:tcPr>
            <w:tcW w:w="795" w:type="pct"/>
          </w:tcPr>
          <w:p w:rsidR="00A858A4" w:rsidRPr="00A858A4" w:rsidRDefault="00A858A4" w:rsidP="00A858A4">
            <w:pPr>
              <w:rPr>
                <w:rFonts w:ascii="Arial Narrow" w:hAnsi="Arial Narrow"/>
                <w:sz w:val="20"/>
                <w:szCs w:val="20"/>
                <w:highlight w:val="yellow"/>
              </w:rPr>
            </w:pPr>
            <w:r w:rsidRPr="00A858A4">
              <w:rPr>
                <w:rFonts w:ascii="Arial Narrow" w:hAnsi="Arial Narrow"/>
                <w:sz w:val="20"/>
                <w:szCs w:val="20"/>
              </w:rPr>
              <w:t>Key effectiveness data</w:t>
            </w:r>
          </w:p>
        </w:tc>
        <w:tc>
          <w:tcPr>
            <w:tcW w:w="2102" w:type="pct"/>
          </w:tcPr>
          <w:p w:rsidR="00A858A4" w:rsidRPr="00A858A4" w:rsidRDefault="00A858A4" w:rsidP="00A858A4">
            <w:pPr>
              <w:contextualSpacing/>
              <w:rPr>
                <w:rFonts w:ascii="Arial Narrow" w:hAnsi="Arial Narrow"/>
                <w:sz w:val="20"/>
              </w:rPr>
            </w:pPr>
            <w:proofErr w:type="spellStart"/>
            <w:r w:rsidRPr="00A858A4">
              <w:rPr>
                <w:rFonts w:ascii="Arial Narrow" w:hAnsi="Arial Narrow"/>
                <w:sz w:val="20"/>
              </w:rPr>
              <w:t>Post transplant</w:t>
            </w:r>
            <w:proofErr w:type="spellEnd"/>
            <w:r w:rsidRPr="00A858A4">
              <w:rPr>
                <w:rFonts w:ascii="Arial Narrow" w:hAnsi="Arial Narrow"/>
                <w:sz w:val="20"/>
              </w:rPr>
              <w:t xml:space="preserve"> Graft function satisfactory: 32/34 (94%).</w:t>
            </w:r>
          </w:p>
          <w:p w:rsidR="00A858A4" w:rsidRPr="00A858A4" w:rsidRDefault="00A858A4" w:rsidP="00A858A4">
            <w:pPr>
              <w:contextualSpacing/>
              <w:rPr>
                <w:rFonts w:ascii="Arial Narrow" w:hAnsi="Arial Narrow"/>
                <w:sz w:val="20"/>
              </w:rPr>
            </w:pPr>
            <w:r w:rsidRPr="00A858A4">
              <w:rPr>
                <w:rFonts w:ascii="Arial Narrow" w:hAnsi="Arial Narrow"/>
                <w:sz w:val="20"/>
              </w:rPr>
              <w:t>Re-occurrence of TMA: 1/9 (11.1%) only one study reported.</w:t>
            </w:r>
          </w:p>
          <w:p w:rsidR="00A858A4" w:rsidRPr="00A858A4" w:rsidRDefault="00A858A4" w:rsidP="00A858A4">
            <w:pPr>
              <w:contextualSpacing/>
              <w:rPr>
                <w:rFonts w:ascii="Arial Narrow" w:hAnsi="Arial Narrow"/>
                <w:sz w:val="20"/>
              </w:rPr>
            </w:pPr>
          </w:p>
          <w:p w:rsidR="00A858A4" w:rsidRPr="00A858A4" w:rsidRDefault="00A858A4" w:rsidP="00A858A4">
            <w:pPr>
              <w:contextualSpacing/>
              <w:rPr>
                <w:rFonts w:ascii="Arial Narrow" w:hAnsi="Arial Narrow"/>
                <w:sz w:val="20"/>
              </w:rPr>
            </w:pPr>
            <w:r w:rsidRPr="00A858A4">
              <w:rPr>
                <w:rFonts w:ascii="Arial Narrow" w:hAnsi="Arial Narrow"/>
                <w:b/>
                <w:sz w:val="20"/>
              </w:rPr>
              <w:t>PBAC comment</w:t>
            </w:r>
            <w:r w:rsidRPr="00A858A4">
              <w:rPr>
                <w:rFonts w:ascii="Arial Narrow" w:hAnsi="Arial Narrow"/>
                <w:sz w:val="20"/>
              </w:rPr>
              <w:t xml:space="preserve">: (paragraph 7.2 and 7.3) No comparative data were available to determine the relative effectiveness of </w:t>
            </w:r>
            <w:proofErr w:type="spellStart"/>
            <w:r w:rsidRPr="00A858A4">
              <w:rPr>
                <w:rFonts w:ascii="Arial Narrow" w:hAnsi="Arial Narrow"/>
                <w:sz w:val="20"/>
              </w:rPr>
              <w:t>eculizumab</w:t>
            </w:r>
            <w:proofErr w:type="spellEnd"/>
            <w:r w:rsidRPr="00A858A4">
              <w:rPr>
                <w:rFonts w:ascii="Arial Narrow" w:hAnsi="Arial Narrow"/>
                <w:sz w:val="20"/>
              </w:rPr>
              <w:t xml:space="preserve"> compared with supportive care.</w:t>
            </w:r>
            <w:r w:rsidR="00787DF7">
              <w:rPr>
                <w:rFonts w:ascii="Arial Narrow" w:hAnsi="Arial Narrow"/>
                <w:sz w:val="20"/>
              </w:rPr>
              <w:t xml:space="preserve"> </w:t>
            </w:r>
            <w:r w:rsidRPr="00A858A4">
              <w:rPr>
                <w:rFonts w:ascii="Arial Narrow" w:hAnsi="Arial Narrow"/>
                <w:sz w:val="20"/>
              </w:rPr>
              <w:t>However, the PBAC also considered that the clinical data provided did not permit a confident estimate of the magnitude of the additional benefit over supportive care (ongoing dialysis), prophylactic use versus treatment should recurrence occur, and long-term use versus short term use</w:t>
            </w:r>
          </w:p>
        </w:tc>
        <w:tc>
          <w:tcPr>
            <w:tcW w:w="2103"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 xml:space="preserve">A total of 147 patients have been reported in the newly submitted, published literature as receiving prophylactic treatment with </w:t>
            </w:r>
            <w:proofErr w:type="spellStart"/>
            <w:r w:rsidRPr="00A858A4">
              <w:rPr>
                <w:rFonts w:ascii="Arial Narrow" w:hAnsi="Arial Narrow"/>
                <w:sz w:val="20"/>
                <w:szCs w:val="20"/>
              </w:rPr>
              <w:t>eculizumab</w:t>
            </w:r>
            <w:proofErr w:type="spellEnd"/>
            <w:r w:rsidRPr="00A858A4">
              <w:rPr>
                <w:rFonts w:ascii="Arial Narrow" w:hAnsi="Arial Narrow"/>
                <w:sz w:val="20"/>
                <w:szCs w:val="20"/>
              </w:rPr>
              <w:t>, initiated peri-transplant.</w:t>
            </w:r>
            <w:r w:rsidR="00787DF7">
              <w:rPr>
                <w:rFonts w:ascii="Arial Narrow" w:hAnsi="Arial Narrow"/>
                <w:sz w:val="20"/>
                <w:szCs w:val="20"/>
              </w:rPr>
              <w:t xml:space="preserve"> </w:t>
            </w:r>
          </w:p>
          <w:p w:rsidR="00A858A4" w:rsidRPr="00A858A4" w:rsidRDefault="00A858A4" w:rsidP="00A858A4">
            <w:pPr>
              <w:rPr>
                <w:rFonts w:ascii="Arial Narrow" w:hAnsi="Arial Narrow"/>
                <w:sz w:val="20"/>
                <w:szCs w:val="20"/>
              </w:rPr>
            </w:pPr>
          </w:p>
          <w:p w:rsidR="00A858A4" w:rsidRPr="00850B72" w:rsidRDefault="00454419" w:rsidP="00EC5207">
            <w:pPr>
              <w:rPr>
                <w:rFonts w:ascii="Arial Narrow" w:hAnsi="Arial Narrow"/>
                <w:i/>
                <w:sz w:val="20"/>
                <w:szCs w:val="20"/>
              </w:rPr>
            </w:pPr>
            <w:r>
              <w:rPr>
                <w:rFonts w:ascii="Arial Narrow" w:hAnsi="Arial Narrow"/>
                <w:i/>
                <w:sz w:val="20"/>
                <w:szCs w:val="20"/>
              </w:rPr>
              <w:t>New evidence was provided</w:t>
            </w:r>
            <w:r w:rsidR="00EC5207" w:rsidRPr="00850B72">
              <w:rPr>
                <w:rFonts w:ascii="Arial Narrow" w:hAnsi="Arial Narrow"/>
                <w:i/>
                <w:sz w:val="20"/>
                <w:szCs w:val="20"/>
              </w:rPr>
              <w:t xml:space="preserve"> </w:t>
            </w:r>
            <w:r>
              <w:rPr>
                <w:rFonts w:ascii="Arial Narrow" w:hAnsi="Arial Narrow"/>
                <w:i/>
                <w:sz w:val="20"/>
                <w:szCs w:val="20"/>
              </w:rPr>
              <w:t xml:space="preserve">for </w:t>
            </w:r>
            <w:r w:rsidR="00EC5207" w:rsidRPr="00850B72">
              <w:rPr>
                <w:rFonts w:ascii="Arial Narrow" w:hAnsi="Arial Narrow"/>
                <w:i/>
                <w:sz w:val="20"/>
                <w:szCs w:val="20"/>
              </w:rPr>
              <w:t xml:space="preserve">98 </w:t>
            </w:r>
            <w:r>
              <w:rPr>
                <w:rFonts w:ascii="Arial Narrow" w:hAnsi="Arial Narrow"/>
                <w:i/>
                <w:sz w:val="20"/>
                <w:szCs w:val="20"/>
              </w:rPr>
              <w:t xml:space="preserve">who </w:t>
            </w:r>
            <w:r w:rsidR="00EC5207" w:rsidRPr="00850B72">
              <w:rPr>
                <w:rFonts w:ascii="Arial Narrow" w:hAnsi="Arial Narrow"/>
                <w:i/>
                <w:sz w:val="20"/>
                <w:szCs w:val="20"/>
              </w:rPr>
              <w:t xml:space="preserve">patients </w:t>
            </w:r>
            <w:r w:rsidR="004D7281" w:rsidRPr="00850B72">
              <w:rPr>
                <w:rFonts w:ascii="Arial Narrow" w:hAnsi="Arial Narrow"/>
                <w:i/>
                <w:sz w:val="20"/>
                <w:szCs w:val="20"/>
              </w:rPr>
              <w:t>initiated</w:t>
            </w:r>
            <w:r w:rsidR="00EC5207" w:rsidRPr="00850B72">
              <w:rPr>
                <w:rFonts w:ascii="Arial Narrow" w:hAnsi="Arial Narrow"/>
                <w:i/>
                <w:sz w:val="20"/>
                <w:szCs w:val="20"/>
              </w:rPr>
              <w:t xml:space="preserve"> </w:t>
            </w:r>
            <w:proofErr w:type="spellStart"/>
            <w:r w:rsidR="00EC5207" w:rsidRPr="00850B72">
              <w:rPr>
                <w:rFonts w:ascii="Arial Narrow" w:hAnsi="Arial Narrow"/>
                <w:i/>
                <w:sz w:val="20"/>
                <w:szCs w:val="20"/>
              </w:rPr>
              <w:t>eculizumab</w:t>
            </w:r>
            <w:proofErr w:type="spellEnd"/>
            <w:r w:rsidR="00EC5207" w:rsidRPr="00850B72">
              <w:rPr>
                <w:rFonts w:ascii="Arial Narrow" w:hAnsi="Arial Narrow"/>
                <w:i/>
                <w:sz w:val="20"/>
                <w:szCs w:val="20"/>
              </w:rPr>
              <w:t xml:space="preserve"> peri-transplant </w:t>
            </w:r>
            <w:r w:rsidR="004D7281" w:rsidRPr="00850B72">
              <w:rPr>
                <w:rFonts w:ascii="Arial Narrow" w:hAnsi="Arial Narrow"/>
                <w:i/>
                <w:sz w:val="20"/>
                <w:szCs w:val="20"/>
              </w:rPr>
              <w:t>with a satisfactory allograft function maintained in 97%</w:t>
            </w:r>
            <w:r w:rsidR="00F46C9A" w:rsidRPr="00850B72">
              <w:rPr>
                <w:rFonts w:ascii="Arial Narrow" w:hAnsi="Arial Narrow"/>
                <w:i/>
                <w:sz w:val="20"/>
                <w:szCs w:val="20"/>
              </w:rPr>
              <w:t xml:space="preserve"> </w:t>
            </w:r>
            <w:r>
              <w:rPr>
                <w:rFonts w:ascii="Arial Narrow" w:hAnsi="Arial Narrow"/>
                <w:i/>
                <w:sz w:val="20"/>
                <w:szCs w:val="20"/>
              </w:rPr>
              <w:t xml:space="preserve">and </w:t>
            </w:r>
            <w:r w:rsidR="00F46C9A" w:rsidRPr="00850B72">
              <w:rPr>
                <w:rFonts w:ascii="Arial Narrow" w:hAnsi="Arial Narrow"/>
                <w:i/>
                <w:sz w:val="20"/>
                <w:szCs w:val="20"/>
              </w:rPr>
              <w:t>with a TMA recurrence rate of 6%</w:t>
            </w:r>
            <w:r w:rsidR="00A858A4" w:rsidRPr="00850B72">
              <w:rPr>
                <w:rFonts w:ascii="Arial Narrow" w:hAnsi="Arial Narrow"/>
                <w:i/>
                <w:sz w:val="20"/>
                <w:szCs w:val="20"/>
              </w:rPr>
              <w:t xml:space="preserve">. </w:t>
            </w:r>
          </w:p>
          <w:p w:rsidR="004D7281" w:rsidRPr="00A858A4" w:rsidRDefault="004D7281" w:rsidP="00EC5207">
            <w:pPr>
              <w:rPr>
                <w:rFonts w:ascii="Arial Narrow" w:hAnsi="Arial Narrow"/>
                <w:sz w:val="20"/>
                <w:szCs w:val="20"/>
              </w:rPr>
            </w:pPr>
            <w:r w:rsidRPr="00850B72">
              <w:rPr>
                <w:rFonts w:ascii="Arial Narrow" w:hAnsi="Arial Narrow"/>
                <w:i/>
                <w:sz w:val="20"/>
                <w:szCs w:val="20"/>
              </w:rPr>
              <w:t xml:space="preserve">Of 39 new patients initiated on </w:t>
            </w:r>
            <w:proofErr w:type="spellStart"/>
            <w:r w:rsidRPr="00850B72">
              <w:rPr>
                <w:rFonts w:ascii="Arial Narrow" w:hAnsi="Arial Narrow"/>
                <w:i/>
                <w:sz w:val="20"/>
                <w:szCs w:val="20"/>
              </w:rPr>
              <w:t>eculizumab</w:t>
            </w:r>
            <w:proofErr w:type="spellEnd"/>
            <w:r w:rsidRPr="00850B72">
              <w:rPr>
                <w:rFonts w:ascii="Arial Narrow" w:hAnsi="Arial Narrow"/>
                <w:i/>
                <w:sz w:val="20"/>
                <w:szCs w:val="20"/>
              </w:rPr>
              <w:t xml:space="preserve"> post-transplant</w:t>
            </w:r>
            <w:r w:rsidR="00F46C9A" w:rsidRPr="00850B72">
              <w:rPr>
                <w:rFonts w:ascii="Arial Narrow" w:hAnsi="Arial Narrow"/>
                <w:i/>
                <w:sz w:val="20"/>
                <w:szCs w:val="20"/>
              </w:rPr>
              <w:t xml:space="preserve"> 61% maintained satisfactory allograft function with a TMA recurrence rate of 42%.</w:t>
            </w:r>
          </w:p>
        </w:tc>
      </w:tr>
      <w:tr w:rsidR="00A858A4" w:rsidRPr="00A858A4" w:rsidTr="00A858A4">
        <w:trPr>
          <w:cantSplit/>
          <w:trHeight w:val="860"/>
        </w:trPr>
        <w:tc>
          <w:tcPr>
            <w:tcW w:w="795"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Clinical claim</w:t>
            </w:r>
          </w:p>
        </w:tc>
        <w:tc>
          <w:tcPr>
            <w:tcW w:w="2102" w:type="pct"/>
          </w:tcPr>
          <w:p w:rsidR="00A858A4" w:rsidRPr="00A858A4" w:rsidRDefault="00A858A4" w:rsidP="00A858A4">
            <w:pPr>
              <w:rPr>
                <w:rFonts w:ascii="Arial Narrow" w:hAnsi="Arial Narrow"/>
                <w:sz w:val="20"/>
                <w:szCs w:val="20"/>
              </w:rPr>
            </w:pP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is effective in preventing post-transplantation recurrence of TMA and graft loss.</w:t>
            </w:r>
          </w:p>
          <w:p w:rsidR="00A858A4" w:rsidRPr="00A858A4" w:rsidRDefault="00A858A4" w:rsidP="00A858A4">
            <w:pPr>
              <w:rPr>
                <w:rFonts w:ascii="Arial Narrow" w:hAnsi="Arial Narrow"/>
                <w:sz w:val="20"/>
                <w:szCs w:val="20"/>
              </w:rPr>
            </w:pPr>
          </w:p>
          <w:p w:rsidR="00A858A4" w:rsidRPr="00A858A4" w:rsidRDefault="00A858A4" w:rsidP="00A858A4">
            <w:pPr>
              <w:rPr>
                <w:rFonts w:ascii="Arial Narrow" w:hAnsi="Arial Narrow"/>
                <w:sz w:val="20"/>
                <w:szCs w:val="20"/>
              </w:rPr>
            </w:pPr>
            <w:r w:rsidRPr="00A858A4">
              <w:rPr>
                <w:rFonts w:ascii="Arial Narrow" w:hAnsi="Arial Narrow"/>
                <w:b/>
                <w:sz w:val="20"/>
                <w:szCs w:val="20"/>
              </w:rPr>
              <w:t>PBAC comment</w:t>
            </w:r>
            <w:r w:rsidRPr="00A858A4">
              <w:rPr>
                <w:rFonts w:ascii="Arial Narrow" w:hAnsi="Arial Narrow"/>
                <w:sz w:val="20"/>
                <w:szCs w:val="20"/>
              </w:rPr>
              <w:t xml:space="preserve">: (paragraph 6.51) The PBAC considered that while the claim that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is effective in preventing post-transplantation recurrence of TMA and graft loss was reasonable, it was not possible to confidently quantify the extent of the clinical benefit.</w:t>
            </w:r>
          </w:p>
        </w:tc>
        <w:tc>
          <w:tcPr>
            <w:tcW w:w="2103"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Not explicitly stated</w:t>
            </w:r>
            <w:r w:rsidR="00A25556">
              <w:rPr>
                <w:rFonts w:ascii="Arial Narrow" w:hAnsi="Arial Narrow"/>
                <w:sz w:val="20"/>
                <w:szCs w:val="20"/>
              </w:rPr>
              <w:t>,</w:t>
            </w:r>
            <w:r w:rsidRPr="00A858A4">
              <w:rPr>
                <w:rFonts w:ascii="Arial Narrow" w:hAnsi="Arial Narrow"/>
                <w:sz w:val="20"/>
                <w:szCs w:val="20"/>
              </w:rPr>
              <w:t xml:space="preserve"> assumed to be the same as previous.</w:t>
            </w:r>
          </w:p>
        </w:tc>
      </w:tr>
      <w:tr w:rsidR="00A858A4" w:rsidRPr="00A858A4" w:rsidTr="00A858A4">
        <w:trPr>
          <w:cantSplit/>
          <w:trHeight w:val="321"/>
        </w:trPr>
        <w:tc>
          <w:tcPr>
            <w:tcW w:w="795" w:type="pct"/>
          </w:tcPr>
          <w:p w:rsidR="00A858A4" w:rsidRPr="00A858A4" w:rsidRDefault="00A858A4" w:rsidP="00A858A4">
            <w:pPr>
              <w:rPr>
                <w:rFonts w:ascii="Arial Narrow" w:hAnsi="Arial Narrow"/>
                <w:sz w:val="20"/>
                <w:szCs w:val="20"/>
                <w:highlight w:val="yellow"/>
              </w:rPr>
            </w:pPr>
            <w:r w:rsidRPr="00A858A4">
              <w:rPr>
                <w:rFonts w:ascii="Arial Narrow" w:hAnsi="Arial Narrow"/>
                <w:sz w:val="20"/>
                <w:szCs w:val="20"/>
              </w:rPr>
              <w:t>Economic evaluation</w:t>
            </w:r>
          </w:p>
        </w:tc>
        <w:tc>
          <w:tcPr>
            <w:tcW w:w="2102" w:type="pct"/>
          </w:tcPr>
          <w:p w:rsidR="00A858A4" w:rsidRPr="00A858A4" w:rsidRDefault="00A858A4" w:rsidP="00A858A4">
            <w:pPr>
              <w:rPr>
                <w:rFonts w:ascii="Arial Narrow" w:hAnsi="Arial Narrow"/>
                <w:iCs/>
                <w:sz w:val="20"/>
                <w:szCs w:val="20"/>
              </w:rPr>
            </w:pPr>
            <w:r w:rsidRPr="00A858A4">
              <w:rPr>
                <w:rFonts w:ascii="Arial Narrow" w:hAnsi="Arial Narrow"/>
                <w:iCs/>
                <w:sz w:val="20"/>
                <w:szCs w:val="20"/>
              </w:rPr>
              <w:t xml:space="preserve">None presented. </w:t>
            </w:r>
          </w:p>
        </w:tc>
        <w:tc>
          <w:tcPr>
            <w:tcW w:w="2103"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Same as previous.</w:t>
            </w:r>
          </w:p>
        </w:tc>
      </w:tr>
      <w:tr w:rsidR="00A858A4" w:rsidRPr="00A858A4" w:rsidTr="00A858A4">
        <w:trPr>
          <w:cantSplit/>
          <w:trHeight w:val="416"/>
        </w:trPr>
        <w:tc>
          <w:tcPr>
            <w:tcW w:w="795" w:type="pct"/>
          </w:tcPr>
          <w:p w:rsidR="00A858A4" w:rsidRPr="00A858A4" w:rsidRDefault="00A858A4" w:rsidP="00A858A4">
            <w:pPr>
              <w:rPr>
                <w:rFonts w:ascii="Arial Narrow" w:hAnsi="Arial Narrow"/>
                <w:sz w:val="20"/>
                <w:szCs w:val="20"/>
                <w:highlight w:val="yellow"/>
              </w:rPr>
            </w:pPr>
            <w:r w:rsidRPr="00A858A4">
              <w:rPr>
                <w:rFonts w:ascii="Arial Narrow" w:hAnsi="Arial Narrow"/>
                <w:sz w:val="20"/>
                <w:szCs w:val="20"/>
              </w:rPr>
              <w:t>Number of patients</w:t>
            </w:r>
          </w:p>
        </w:tc>
        <w:tc>
          <w:tcPr>
            <w:tcW w:w="2102" w:type="pct"/>
          </w:tcPr>
          <w:p w:rsidR="00A858A4" w:rsidRPr="00A858A4" w:rsidRDefault="000671F9" w:rsidP="00A858A4">
            <w:pPr>
              <w:rPr>
                <w:rFonts w:ascii="Arial Narrow" w:hAnsi="Arial Narrow"/>
                <w:sz w:val="20"/>
                <w:szCs w:val="20"/>
              </w:rPr>
            </w:pPr>
            <w:r>
              <w:rPr>
                <w:rFonts w:ascii="Arial Narrow" w:hAnsi="Arial Narrow"/>
                <w:noProof/>
                <w:color w:val="000000"/>
                <w:sz w:val="20"/>
                <w:szCs w:val="20"/>
                <w:highlight w:val="black"/>
              </w:rPr>
              <w:t>''''</w:t>
            </w:r>
            <w:r w:rsidR="00A858A4" w:rsidRPr="00A858A4">
              <w:rPr>
                <w:rFonts w:ascii="Arial Narrow" w:hAnsi="Arial Narrow"/>
                <w:sz w:val="20"/>
                <w:szCs w:val="20"/>
              </w:rPr>
              <w:t xml:space="preserve"> per year.</w:t>
            </w:r>
          </w:p>
          <w:p w:rsidR="00A858A4" w:rsidRPr="00A858A4" w:rsidRDefault="00A858A4" w:rsidP="00A858A4">
            <w:pPr>
              <w:rPr>
                <w:rFonts w:ascii="Arial Narrow" w:hAnsi="Arial Narrow"/>
                <w:sz w:val="20"/>
                <w:szCs w:val="20"/>
              </w:rPr>
            </w:pPr>
          </w:p>
          <w:p w:rsidR="00A858A4" w:rsidRPr="00A858A4" w:rsidRDefault="00A858A4" w:rsidP="00A858A4">
            <w:pPr>
              <w:rPr>
                <w:rFonts w:ascii="Arial Narrow" w:hAnsi="Arial Narrow"/>
                <w:sz w:val="20"/>
                <w:szCs w:val="20"/>
              </w:rPr>
            </w:pPr>
            <w:r w:rsidRPr="00A858A4">
              <w:rPr>
                <w:rFonts w:ascii="Arial Narrow" w:hAnsi="Arial Narrow"/>
                <w:b/>
                <w:sz w:val="20"/>
                <w:szCs w:val="20"/>
              </w:rPr>
              <w:t>PBAC comment</w:t>
            </w:r>
            <w:r w:rsidRPr="00A858A4">
              <w:rPr>
                <w:rFonts w:ascii="Arial Narrow" w:hAnsi="Arial Narrow"/>
                <w:sz w:val="20"/>
                <w:szCs w:val="20"/>
              </w:rPr>
              <w:t>: (paragraph 7.6) The PBAC considered that, in light of the natural history and prognosis of atypical HUS, it would be reasonable to conclude that most or all HUS cases leading to ESRD would be the atypical form of the disease.</w:t>
            </w:r>
            <w:r w:rsidR="00787DF7">
              <w:rPr>
                <w:rFonts w:ascii="Arial Narrow" w:hAnsi="Arial Narrow"/>
                <w:sz w:val="20"/>
                <w:szCs w:val="20"/>
              </w:rPr>
              <w:t xml:space="preserve"> </w:t>
            </w:r>
            <w:r w:rsidRPr="00A858A4">
              <w:rPr>
                <w:rFonts w:ascii="Arial Narrow" w:hAnsi="Arial Narrow"/>
                <w:sz w:val="20"/>
                <w:szCs w:val="20"/>
              </w:rPr>
              <w:t xml:space="preserve">The PBAC therefore did not consider that the submission’s estimate of </w:t>
            </w:r>
            <w:r w:rsidR="000671F9">
              <w:rPr>
                <w:rFonts w:ascii="Arial Narrow" w:hAnsi="Arial Narrow"/>
                <w:noProof/>
                <w:color w:val="000000"/>
                <w:sz w:val="20"/>
                <w:szCs w:val="20"/>
                <w:highlight w:val="black"/>
              </w:rPr>
              <w:t>''''''''</w:t>
            </w:r>
            <w:r w:rsidRPr="00A858A4">
              <w:rPr>
                <w:rFonts w:ascii="Arial Narrow" w:hAnsi="Arial Narrow"/>
                <w:sz w:val="20"/>
                <w:szCs w:val="20"/>
              </w:rPr>
              <w:t xml:space="preserve"> additional patients per year was reasonable or adequately justified</w:t>
            </w:r>
          </w:p>
        </w:tc>
        <w:tc>
          <w:tcPr>
            <w:tcW w:w="2103" w:type="pct"/>
          </w:tcPr>
          <w:p w:rsidR="00A858A4" w:rsidRPr="00A858A4" w:rsidRDefault="000671F9" w:rsidP="00A858A4">
            <w:pPr>
              <w:rPr>
                <w:rFonts w:ascii="Arial Narrow" w:hAnsi="Arial Narrow"/>
                <w:sz w:val="20"/>
                <w:szCs w:val="20"/>
              </w:rPr>
            </w:pPr>
            <w:r>
              <w:rPr>
                <w:rFonts w:ascii="Arial Narrow" w:hAnsi="Arial Narrow"/>
                <w:noProof/>
                <w:color w:val="000000"/>
                <w:sz w:val="20"/>
                <w:szCs w:val="20"/>
                <w:highlight w:val="black"/>
              </w:rPr>
              <w:t>'''</w:t>
            </w:r>
            <w:r w:rsidR="00A858A4" w:rsidRPr="00A858A4">
              <w:rPr>
                <w:rFonts w:ascii="Arial Narrow" w:hAnsi="Arial Narrow"/>
                <w:sz w:val="20"/>
                <w:szCs w:val="20"/>
              </w:rPr>
              <w:t xml:space="preserve"> patient in the first year decreasing to </w:t>
            </w:r>
            <w:r>
              <w:rPr>
                <w:rFonts w:ascii="Arial Narrow" w:hAnsi="Arial Narrow"/>
                <w:noProof/>
                <w:color w:val="000000"/>
                <w:sz w:val="20"/>
                <w:szCs w:val="20"/>
                <w:highlight w:val="black"/>
              </w:rPr>
              <w:t>'''</w:t>
            </w:r>
            <w:r w:rsidR="00A858A4" w:rsidRPr="00A858A4">
              <w:rPr>
                <w:rFonts w:ascii="Arial Narrow" w:hAnsi="Arial Narrow"/>
                <w:sz w:val="20"/>
                <w:szCs w:val="20"/>
              </w:rPr>
              <w:t xml:space="preserve"> per year from year 3:</w:t>
            </w:r>
          </w:p>
          <w:p w:rsidR="00A858A4" w:rsidRPr="00A858A4" w:rsidRDefault="00A858A4" w:rsidP="00A858A4">
            <w:pPr>
              <w:rPr>
                <w:rFonts w:ascii="Arial Narrow" w:hAnsi="Arial Narrow"/>
                <w:sz w:val="20"/>
                <w:szCs w:val="20"/>
              </w:rPr>
            </w:pPr>
            <w:r w:rsidRPr="00A858A4">
              <w:rPr>
                <w:rFonts w:ascii="Arial Narrow" w:hAnsi="Arial Narrow"/>
                <w:sz w:val="20"/>
                <w:szCs w:val="20"/>
              </w:rPr>
              <w:t xml:space="preserve">Applying a transplantation rate of </w:t>
            </w:r>
            <w:r w:rsidRPr="00292BAA">
              <w:rPr>
                <w:rFonts w:ascii="Arial Narrow" w:hAnsi="Arial Narrow"/>
                <w:sz w:val="20"/>
                <w:szCs w:val="20"/>
              </w:rPr>
              <w:t>22.7</w:t>
            </w:r>
            <w:r w:rsidRPr="00A858A4">
              <w:rPr>
                <w:rFonts w:ascii="Arial Narrow" w:hAnsi="Arial Narrow"/>
                <w:sz w:val="20"/>
                <w:szCs w:val="20"/>
              </w:rPr>
              <w:t xml:space="preserve">% to the known </w:t>
            </w:r>
            <w:r w:rsidR="000671F9">
              <w:rPr>
                <w:rFonts w:ascii="Arial Narrow" w:hAnsi="Arial Narrow"/>
                <w:noProof/>
                <w:color w:val="000000"/>
                <w:sz w:val="20"/>
                <w:szCs w:val="20"/>
                <w:highlight w:val="black"/>
              </w:rPr>
              <w:t>''''''</w:t>
            </w:r>
            <w:r w:rsidRPr="00A858A4">
              <w:rPr>
                <w:rFonts w:ascii="Arial Narrow" w:hAnsi="Arial Narrow"/>
                <w:sz w:val="20"/>
                <w:szCs w:val="20"/>
              </w:rPr>
              <w:t xml:space="preserve"> patients awaiting transplantation, results in </w:t>
            </w:r>
            <w:r w:rsidR="000671F9">
              <w:rPr>
                <w:rFonts w:ascii="Arial Narrow" w:hAnsi="Arial Narrow"/>
                <w:noProof/>
                <w:color w:val="000000"/>
                <w:sz w:val="20"/>
                <w:szCs w:val="20"/>
                <w:highlight w:val="black"/>
              </w:rPr>
              <w:t>''''</w:t>
            </w:r>
            <w:r w:rsidRPr="00A858A4">
              <w:rPr>
                <w:rFonts w:ascii="Arial Narrow" w:hAnsi="Arial Narrow"/>
                <w:sz w:val="20"/>
                <w:szCs w:val="20"/>
              </w:rPr>
              <w:t xml:space="preserve"> patients potentially receiving a transplant with prophylactic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in year 1 of listing.</w:t>
            </w:r>
          </w:p>
        </w:tc>
      </w:tr>
      <w:tr w:rsidR="00A858A4" w:rsidRPr="00A858A4" w:rsidTr="00A858A4">
        <w:trPr>
          <w:cantSplit/>
          <w:trHeight w:val="416"/>
        </w:trPr>
        <w:tc>
          <w:tcPr>
            <w:tcW w:w="795" w:type="pct"/>
          </w:tcPr>
          <w:p w:rsidR="00A858A4" w:rsidRPr="00A858A4" w:rsidRDefault="00A858A4" w:rsidP="00A858A4">
            <w:pPr>
              <w:rPr>
                <w:rFonts w:ascii="Arial Narrow" w:hAnsi="Arial Narrow"/>
                <w:sz w:val="20"/>
                <w:szCs w:val="20"/>
                <w:highlight w:val="yellow"/>
              </w:rPr>
            </w:pPr>
            <w:r w:rsidRPr="00A858A4">
              <w:rPr>
                <w:rFonts w:ascii="Arial Narrow" w:hAnsi="Arial Narrow"/>
                <w:sz w:val="20"/>
                <w:szCs w:val="20"/>
              </w:rPr>
              <w:t>Estimated net cost to PBS</w:t>
            </w:r>
          </w:p>
        </w:tc>
        <w:tc>
          <w:tcPr>
            <w:tcW w:w="2102" w:type="pct"/>
          </w:tcPr>
          <w:p w:rsidR="00A858A4" w:rsidRPr="00A858A4" w:rsidRDefault="00C945C7" w:rsidP="00A858A4">
            <w:pPr>
              <w:rPr>
                <w:rFonts w:ascii="Arial Narrow" w:hAnsi="Arial Narrow"/>
                <w:sz w:val="20"/>
                <w:szCs w:val="20"/>
              </w:rPr>
            </w:pPr>
            <w:r>
              <w:rPr>
                <w:rFonts w:ascii="Arial Narrow" w:hAnsi="Arial Narrow"/>
                <w:sz w:val="20"/>
                <w:szCs w:val="20"/>
              </w:rPr>
              <w:t>Less than $10</w:t>
            </w:r>
            <w:r w:rsidR="00F40B8D">
              <w:rPr>
                <w:rFonts w:ascii="Arial Narrow" w:hAnsi="Arial Narrow"/>
                <w:sz w:val="20"/>
                <w:szCs w:val="20"/>
              </w:rPr>
              <w:t xml:space="preserve"> </w:t>
            </w:r>
            <w:r>
              <w:rPr>
                <w:rFonts w:ascii="Arial Narrow" w:hAnsi="Arial Narrow"/>
                <w:sz w:val="20"/>
                <w:szCs w:val="20"/>
              </w:rPr>
              <w:t>million</w:t>
            </w:r>
            <w:r w:rsidR="00A858A4" w:rsidRPr="00A858A4">
              <w:rPr>
                <w:rFonts w:ascii="Arial Narrow" w:hAnsi="Arial Narrow"/>
                <w:sz w:val="20"/>
                <w:szCs w:val="20"/>
              </w:rPr>
              <w:t xml:space="preserve"> in Year 1 increasing to </w:t>
            </w:r>
            <w:r>
              <w:rPr>
                <w:rFonts w:ascii="Arial Narrow" w:hAnsi="Arial Narrow"/>
                <w:sz w:val="20"/>
                <w:szCs w:val="20"/>
              </w:rPr>
              <w:t>less than $10</w:t>
            </w:r>
            <w:r w:rsidR="00A858A4" w:rsidRPr="00A858A4">
              <w:rPr>
                <w:rFonts w:ascii="Arial Narrow" w:hAnsi="Arial Narrow"/>
                <w:sz w:val="20"/>
                <w:szCs w:val="20"/>
              </w:rPr>
              <w:t xml:space="preserve"> million in Year 5 for a total of $2</w:t>
            </w:r>
            <w:r>
              <w:rPr>
                <w:rFonts w:ascii="Arial Narrow" w:hAnsi="Arial Narrow"/>
                <w:sz w:val="20"/>
                <w:szCs w:val="20"/>
              </w:rPr>
              <w:t>0 - 30</w:t>
            </w:r>
            <w:r w:rsidR="00A858A4" w:rsidRPr="00A858A4">
              <w:rPr>
                <w:rFonts w:ascii="Arial Narrow" w:hAnsi="Arial Narrow"/>
                <w:sz w:val="20"/>
                <w:szCs w:val="20"/>
              </w:rPr>
              <w:t xml:space="preserve"> million over the first 5 years of listing (Based off updated patient numbers and assuming continued treatment).</w:t>
            </w:r>
          </w:p>
          <w:p w:rsidR="00A858A4" w:rsidRPr="00A858A4" w:rsidRDefault="00A858A4" w:rsidP="00A858A4">
            <w:pPr>
              <w:rPr>
                <w:rFonts w:ascii="Arial Narrow" w:hAnsi="Arial Narrow"/>
                <w:sz w:val="20"/>
                <w:szCs w:val="20"/>
              </w:rPr>
            </w:pPr>
          </w:p>
          <w:p w:rsidR="00A858A4" w:rsidRPr="00A858A4" w:rsidRDefault="00A858A4" w:rsidP="00A858A4">
            <w:pPr>
              <w:rPr>
                <w:rFonts w:ascii="Arial Narrow" w:hAnsi="Arial Narrow"/>
                <w:sz w:val="20"/>
                <w:szCs w:val="20"/>
              </w:rPr>
            </w:pPr>
            <w:r w:rsidRPr="00A858A4">
              <w:rPr>
                <w:rFonts w:ascii="Arial Narrow" w:hAnsi="Arial Narrow"/>
                <w:b/>
                <w:sz w:val="20"/>
                <w:szCs w:val="20"/>
              </w:rPr>
              <w:t>PBAC comment</w:t>
            </w:r>
            <w:r w:rsidRPr="00A858A4">
              <w:rPr>
                <w:rFonts w:ascii="Arial Narrow" w:hAnsi="Arial Narrow"/>
                <w:sz w:val="20"/>
                <w:szCs w:val="20"/>
              </w:rPr>
              <w:t xml:space="preserve">: (paragraphs 7.9) The PBAC requested that the Department engage with clinical stakeholders to clarify the likely number of patients who would use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in a renal transplant setting, and to determine the most appropriate duration of treatment following transplant.</w:t>
            </w:r>
          </w:p>
        </w:tc>
        <w:tc>
          <w:tcPr>
            <w:tcW w:w="2103" w:type="pct"/>
          </w:tcPr>
          <w:p w:rsidR="00A858A4" w:rsidRPr="00A858A4" w:rsidRDefault="00C945C7" w:rsidP="00A858A4">
            <w:pPr>
              <w:rPr>
                <w:rFonts w:ascii="Arial Narrow" w:hAnsi="Arial Narrow"/>
                <w:sz w:val="20"/>
                <w:szCs w:val="20"/>
              </w:rPr>
            </w:pPr>
            <w:r>
              <w:rPr>
                <w:rFonts w:ascii="Arial Narrow" w:hAnsi="Arial Narrow"/>
                <w:sz w:val="20"/>
                <w:szCs w:val="20"/>
              </w:rPr>
              <w:t>Less than $10million</w:t>
            </w:r>
            <w:r w:rsidRPr="00A858A4">
              <w:rPr>
                <w:rFonts w:ascii="Arial Narrow" w:hAnsi="Arial Narrow"/>
                <w:sz w:val="20"/>
                <w:szCs w:val="20"/>
              </w:rPr>
              <w:t xml:space="preserve"> </w:t>
            </w:r>
            <w:r w:rsidR="00A858A4" w:rsidRPr="00A858A4">
              <w:rPr>
                <w:rFonts w:ascii="Arial Narrow" w:hAnsi="Arial Narrow"/>
                <w:sz w:val="20"/>
                <w:szCs w:val="20"/>
              </w:rPr>
              <w:t xml:space="preserve">million in Year 1 increasing to </w:t>
            </w:r>
            <w:r>
              <w:rPr>
                <w:rFonts w:ascii="Arial Narrow" w:hAnsi="Arial Narrow"/>
                <w:sz w:val="20"/>
                <w:szCs w:val="20"/>
              </w:rPr>
              <w:t>less than $10</w:t>
            </w:r>
            <w:r w:rsidR="00F40B8D">
              <w:rPr>
                <w:rFonts w:ascii="Arial Narrow" w:hAnsi="Arial Narrow"/>
                <w:sz w:val="20"/>
                <w:szCs w:val="20"/>
              </w:rPr>
              <w:t xml:space="preserve"> </w:t>
            </w:r>
            <w:r w:rsidR="00A858A4" w:rsidRPr="00A858A4">
              <w:rPr>
                <w:rFonts w:ascii="Arial Narrow" w:hAnsi="Arial Narrow"/>
                <w:sz w:val="20"/>
                <w:szCs w:val="20"/>
              </w:rPr>
              <w:t>million in Year</w:t>
            </w:r>
            <w:r w:rsidR="00F40B8D">
              <w:rPr>
                <w:rFonts w:ascii="Arial Narrow" w:hAnsi="Arial Narrow"/>
                <w:sz w:val="20"/>
                <w:szCs w:val="20"/>
              </w:rPr>
              <w:t> </w:t>
            </w:r>
            <w:r w:rsidR="00A858A4" w:rsidRPr="00A858A4">
              <w:rPr>
                <w:rFonts w:ascii="Arial Narrow" w:hAnsi="Arial Narrow"/>
                <w:sz w:val="20"/>
                <w:szCs w:val="20"/>
              </w:rPr>
              <w:t>5 for a total of $2</w:t>
            </w:r>
            <w:r>
              <w:rPr>
                <w:rFonts w:ascii="Arial Narrow" w:hAnsi="Arial Narrow"/>
                <w:sz w:val="20"/>
                <w:szCs w:val="20"/>
              </w:rPr>
              <w:t>0 - 30</w:t>
            </w:r>
            <w:r w:rsidR="00A858A4" w:rsidRPr="00A858A4">
              <w:rPr>
                <w:rFonts w:ascii="Arial Narrow" w:hAnsi="Arial Narrow"/>
                <w:sz w:val="20"/>
                <w:szCs w:val="20"/>
              </w:rPr>
              <w:t xml:space="preserve"> million over the first 5 years of listing (assuming continued treatment).</w:t>
            </w:r>
          </w:p>
          <w:p w:rsidR="00A858A4" w:rsidRPr="00A858A4" w:rsidRDefault="00A858A4" w:rsidP="00A858A4">
            <w:pPr>
              <w:rPr>
                <w:rFonts w:ascii="Arial Narrow" w:hAnsi="Arial Narrow"/>
                <w:sz w:val="20"/>
                <w:szCs w:val="20"/>
              </w:rPr>
            </w:pPr>
          </w:p>
        </w:tc>
      </w:tr>
      <w:tr w:rsidR="00A858A4" w:rsidRPr="00A858A4" w:rsidTr="00A858A4">
        <w:trPr>
          <w:cantSplit/>
          <w:trHeight w:val="416"/>
        </w:trPr>
        <w:tc>
          <w:tcPr>
            <w:tcW w:w="795"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Risk sharing arrangement</w:t>
            </w:r>
          </w:p>
        </w:tc>
        <w:tc>
          <w:tcPr>
            <w:tcW w:w="2102"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None proposed.</w:t>
            </w:r>
          </w:p>
          <w:p w:rsidR="00A858A4" w:rsidRPr="00A858A4" w:rsidRDefault="00A858A4" w:rsidP="00A858A4">
            <w:pPr>
              <w:rPr>
                <w:rFonts w:ascii="Arial Narrow" w:hAnsi="Arial Narrow"/>
                <w:sz w:val="20"/>
                <w:szCs w:val="20"/>
              </w:rPr>
            </w:pPr>
          </w:p>
          <w:p w:rsidR="00A858A4" w:rsidRPr="00A858A4" w:rsidRDefault="00A858A4" w:rsidP="00A858A4">
            <w:pPr>
              <w:rPr>
                <w:rFonts w:ascii="Arial Narrow" w:hAnsi="Arial Narrow"/>
                <w:sz w:val="20"/>
                <w:szCs w:val="20"/>
              </w:rPr>
            </w:pPr>
            <w:r w:rsidRPr="00A858A4">
              <w:rPr>
                <w:rFonts w:ascii="Arial Narrow" w:hAnsi="Arial Narrow"/>
                <w:sz w:val="20"/>
                <w:szCs w:val="20"/>
              </w:rPr>
              <w:t>PBAC comment: (paragraph 6.64) The PBAC advised that in light of the observed utilisation, a risk share agreement for the current listing, based on the patient numbers from the March 2014 submission, would appropriately contain the financial risk to the Commonwealth.</w:t>
            </w:r>
          </w:p>
        </w:tc>
        <w:tc>
          <w:tcPr>
            <w:tcW w:w="2103"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Same as previous.</w:t>
            </w:r>
          </w:p>
        </w:tc>
      </w:tr>
      <w:tr w:rsidR="00A858A4" w:rsidRPr="00A858A4" w:rsidTr="00A858A4">
        <w:trPr>
          <w:cantSplit/>
          <w:trHeight w:val="860"/>
        </w:trPr>
        <w:tc>
          <w:tcPr>
            <w:tcW w:w="795" w:type="pct"/>
          </w:tcPr>
          <w:p w:rsidR="00A858A4" w:rsidRPr="00A858A4" w:rsidRDefault="00A858A4" w:rsidP="00A858A4">
            <w:pPr>
              <w:rPr>
                <w:rFonts w:ascii="Arial Narrow" w:hAnsi="Arial Narrow"/>
                <w:sz w:val="20"/>
                <w:szCs w:val="20"/>
                <w:highlight w:val="yellow"/>
              </w:rPr>
            </w:pPr>
            <w:r w:rsidRPr="00A858A4">
              <w:rPr>
                <w:rFonts w:ascii="Arial Narrow" w:hAnsi="Arial Narrow"/>
                <w:sz w:val="20"/>
                <w:szCs w:val="20"/>
                <w:highlight w:val="yellow"/>
              </w:rPr>
              <w:br w:type="page"/>
            </w:r>
            <w:r w:rsidRPr="00A858A4">
              <w:rPr>
                <w:rFonts w:ascii="Arial Narrow" w:hAnsi="Arial Narrow"/>
                <w:sz w:val="20"/>
                <w:szCs w:val="20"/>
              </w:rPr>
              <w:t>PBAC decision</w:t>
            </w:r>
          </w:p>
        </w:tc>
        <w:tc>
          <w:tcPr>
            <w:tcW w:w="2102" w:type="pct"/>
          </w:tcPr>
          <w:p w:rsidR="00A858A4" w:rsidRPr="00A858A4" w:rsidRDefault="00A858A4" w:rsidP="00A858A4">
            <w:pPr>
              <w:rPr>
                <w:rFonts w:ascii="Arial Narrow" w:hAnsi="Arial Narrow"/>
                <w:sz w:val="20"/>
                <w:szCs w:val="20"/>
              </w:rPr>
            </w:pPr>
            <w:r w:rsidRPr="00A858A4">
              <w:rPr>
                <w:rFonts w:ascii="Arial Narrow" w:hAnsi="Arial Narrow"/>
                <w:sz w:val="20"/>
                <w:szCs w:val="20"/>
              </w:rPr>
              <w:br w:type="page"/>
              <w:t>Reject</w:t>
            </w:r>
          </w:p>
          <w:p w:rsidR="00A858A4" w:rsidRPr="00A858A4" w:rsidRDefault="00A858A4" w:rsidP="00A858A4">
            <w:pPr>
              <w:rPr>
                <w:rFonts w:ascii="Arial Narrow" w:hAnsi="Arial Narrow"/>
                <w:sz w:val="20"/>
                <w:szCs w:val="20"/>
              </w:rPr>
            </w:pPr>
            <w:r w:rsidRPr="00A858A4">
              <w:rPr>
                <w:rFonts w:ascii="Arial Narrow" w:hAnsi="Arial Narrow"/>
                <w:b/>
                <w:sz w:val="20"/>
                <w:szCs w:val="20"/>
              </w:rPr>
              <w:t>PBAC Comment:</w:t>
            </w:r>
            <w:r w:rsidRPr="00A858A4">
              <w:rPr>
                <w:rFonts w:ascii="Arial Narrow" w:hAnsi="Arial Narrow"/>
                <w:sz w:val="20"/>
                <w:szCs w:val="20"/>
              </w:rPr>
              <w:t xml:space="preserve"> (paragraph 7.1 and 7.2) The PBAC rejected the submission to extend the current listing for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for atypical haemolytic uraemic syndrome (</w:t>
            </w:r>
            <w:proofErr w:type="spellStart"/>
            <w:r w:rsidRPr="00A858A4">
              <w:rPr>
                <w:rFonts w:ascii="Arial Narrow" w:hAnsi="Arial Narrow"/>
                <w:sz w:val="20"/>
                <w:szCs w:val="20"/>
              </w:rPr>
              <w:t>aHUS</w:t>
            </w:r>
            <w:proofErr w:type="spellEnd"/>
            <w:r w:rsidRPr="00A858A4">
              <w:rPr>
                <w:rFonts w:ascii="Arial Narrow" w:hAnsi="Arial Narrow"/>
                <w:sz w:val="20"/>
                <w:szCs w:val="20"/>
              </w:rPr>
              <w:t>) to include use in a renal transplant setting.</w:t>
            </w:r>
          </w:p>
          <w:p w:rsidR="00A858A4" w:rsidRPr="00A858A4" w:rsidRDefault="00A858A4" w:rsidP="00A858A4">
            <w:pPr>
              <w:rPr>
                <w:rFonts w:ascii="Arial Narrow" w:hAnsi="Arial Narrow"/>
                <w:sz w:val="20"/>
                <w:szCs w:val="20"/>
              </w:rPr>
            </w:pPr>
          </w:p>
          <w:p w:rsidR="00A858A4" w:rsidRPr="00A858A4" w:rsidRDefault="00A858A4" w:rsidP="00A858A4">
            <w:pPr>
              <w:rPr>
                <w:rFonts w:ascii="Arial Narrow" w:hAnsi="Arial Narrow"/>
                <w:sz w:val="20"/>
                <w:szCs w:val="20"/>
              </w:rPr>
            </w:pPr>
            <w:r w:rsidRPr="00A858A4">
              <w:rPr>
                <w:rFonts w:ascii="Arial Narrow" w:hAnsi="Arial Narrow"/>
                <w:sz w:val="20"/>
                <w:szCs w:val="20"/>
              </w:rPr>
              <w:t xml:space="preserve">The PBAC noted that the submission provided sparse data in support of the use of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in a renal transplant setting.</w:t>
            </w:r>
            <w:r w:rsidR="00787DF7">
              <w:rPr>
                <w:rFonts w:ascii="Arial Narrow" w:hAnsi="Arial Narrow"/>
                <w:sz w:val="20"/>
                <w:szCs w:val="20"/>
              </w:rPr>
              <w:t xml:space="preserve"> </w:t>
            </w:r>
            <w:r w:rsidRPr="00A858A4">
              <w:rPr>
                <w:rFonts w:ascii="Arial Narrow" w:hAnsi="Arial Narrow"/>
                <w:sz w:val="20"/>
                <w:szCs w:val="20"/>
              </w:rPr>
              <w:t xml:space="preserve">No comparative data were available to determine the relative effectiveness of </w:t>
            </w:r>
            <w:proofErr w:type="spellStart"/>
            <w:r w:rsidRPr="00A858A4">
              <w:rPr>
                <w:rFonts w:ascii="Arial Narrow" w:hAnsi="Arial Narrow"/>
                <w:sz w:val="20"/>
                <w:szCs w:val="20"/>
              </w:rPr>
              <w:t>eculizumab</w:t>
            </w:r>
            <w:proofErr w:type="spellEnd"/>
            <w:r w:rsidRPr="00A858A4">
              <w:rPr>
                <w:rFonts w:ascii="Arial Narrow" w:hAnsi="Arial Narrow"/>
                <w:sz w:val="20"/>
                <w:szCs w:val="20"/>
              </w:rPr>
              <w:t xml:space="preserve"> compared with supportive care.</w:t>
            </w:r>
            <w:r w:rsidR="00787DF7">
              <w:rPr>
                <w:rFonts w:ascii="Arial Narrow" w:hAnsi="Arial Narrow"/>
                <w:sz w:val="20"/>
                <w:szCs w:val="20"/>
              </w:rPr>
              <w:t xml:space="preserve"> </w:t>
            </w:r>
          </w:p>
        </w:tc>
        <w:tc>
          <w:tcPr>
            <w:tcW w:w="2103" w:type="pct"/>
          </w:tcPr>
          <w:p w:rsidR="00A858A4" w:rsidRPr="00A858A4" w:rsidRDefault="00A858A4" w:rsidP="00A858A4">
            <w:pPr>
              <w:rPr>
                <w:rFonts w:ascii="Arial Narrow" w:hAnsi="Arial Narrow"/>
                <w:sz w:val="20"/>
                <w:szCs w:val="20"/>
              </w:rPr>
            </w:pPr>
            <w:r w:rsidRPr="00A858A4">
              <w:rPr>
                <w:rFonts w:ascii="Arial Narrow" w:hAnsi="Arial Narrow"/>
                <w:sz w:val="20"/>
                <w:szCs w:val="20"/>
              </w:rPr>
              <w:t>-</w:t>
            </w:r>
          </w:p>
        </w:tc>
      </w:tr>
    </w:tbl>
    <w:p w:rsidR="00A858A4" w:rsidRDefault="00A858A4" w:rsidP="006649BF"/>
    <w:p w:rsidR="00BF5429" w:rsidRPr="00906C5A" w:rsidRDefault="00BF5429" w:rsidP="00906C5A">
      <w:pPr>
        <w:pStyle w:val="NoSpacing"/>
        <w:ind w:left="720"/>
        <w:rPr>
          <w:rFonts w:asciiTheme="minorHAnsi" w:hAnsiTheme="minorHAnsi" w:cs="Arial"/>
          <w:i/>
          <w:sz w:val="24"/>
          <w:szCs w:val="24"/>
        </w:rPr>
      </w:pPr>
      <w:r w:rsidRPr="00906C5A">
        <w:rPr>
          <w:rFonts w:asciiTheme="minorHAnsi" w:hAnsiTheme="minorHAnsi" w:cs="Arial"/>
          <w:i/>
          <w:sz w:val="24"/>
          <w:szCs w:val="24"/>
        </w:rPr>
        <w:t>For more detail on PBAC’s view, see section 7 “PBAC outcome.”</w:t>
      </w:r>
    </w:p>
    <w:p w:rsidR="00A858A4" w:rsidRPr="00F77380" w:rsidRDefault="00A858A4" w:rsidP="006649BF"/>
    <w:p w:rsidR="00BB7EC3" w:rsidRPr="00F77380" w:rsidRDefault="00BB7EC3" w:rsidP="00882085">
      <w:pPr>
        <w:jc w:val="both"/>
        <w:rPr>
          <w:rFonts w:asciiTheme="minorHAnsi" w:hAnsiTheme="minorHAnsi" w:cs="Arial"/>
          <w:b/>
          <w:sz w:val="22"/>
          <w:szCs w:val="22"/>
        </w:rPr>
      </w:pPr>
    </w:p>
    <w:p w:rsidR="00A858A4" w:rsidRDefault="00A858A4" w:rsidP="00882085">
      <w:pPr>
        <w:jc w:val="both"/>
        <w:rPr>
          <w:rFonts w:asciiTheme="minorHAnsi" w:hAnsiTheme="minorHAnsi" w:cs="Arial"/>
          <w:b/>
          <w:sz w:val="22"/>
          <w:szCs w:val="22"/>
        </w:rPr>
        <w:sectPr w:rsidR="00A858A4" w:rsidSect="00CE3FE2">
          <w:pgSz w:w="16838" w:h="11906" w:orient="landscape" w:code="9"/>
          <w:pgMar w:top="1440" w:right="1440" w:bottom="1440" w:left="1440" w:header="1440" w:footer="1440" w:gutter="0"/>
          <w:cols w:space="708"/>
          <w:docGrid w:linePitch="360"/>
        </w:sectPr>
      </w:pPr>
    </w:p>
    <w:p w:rsidR="00CE10C4" w:rsidRPr="00617D5D" w:rsidRDefault="00CE10C4" w:rsidP="008A50F1">
      <w:pPr>
        <w:pStyle w:val="PBACHeading1"/>
        <w:rPr>
          <w:rFonts w:asciiTheme="minorHAnsi" w:hAnsiTheme="minorHAnsi"/>
          <w:sz w:val="32"/>
          <w:szCs w:val="32"/>
        </w:rPr>
      </w:pPr>
      <w:r w:rsidRPr="00617D5D">
        <w:rPr>
          <w:rFonts w:asciiTheme="minorHAnsi" w:hAnsiTheme="minorHAnsi"/>
          <w:sz w:val="32"/>
          <w:szCs w:val="32"/>
        </w:rPr>
        <w:t>Clinical place for the proposed ther</w:t>
      </w:r>
      <w:r w:rsidR="006A12A5" w:rsidRPr="00617D5D">
        <w:rPr>
          <w:rFonts w:asciiTheme="minorHAnsi" w:hAnsiTheme="minorHAnsi"/>
          <w:sz w:val="32"/>
          <w:szCs w:val="32"/>
        </w:rPr>
        <w:t>apy</w:t>
      </w:r>
    </w:p>
    <w:p w:rsidR="00CE10C4" w:rsidRPr="00F77380" w:rsidRDefault="00CE10C4" w:rsidP="00882085">
      <w:pPr>
        <w:jc w:val="both"/>
        <w:rPr>
          <w:rFonts w:asciiTheme="minorHAnsi" w:hAnsiTheme="minorHAnsi" w:cs="Arial"/>
          <w:sz w:val="22"/>
          <w:szCs w:val="22"/>
        </w:rPr>
      </w:pPr>
    </w:p>
    <w:p w:rsidR="00743F03" w:rsidRPr="00617D5D" w:rsidRDefault="00C5309E" w:rsidP="00FC668B">
      <w:pPr>
        <w:pStyle w:val="ListParagraph"/>
        <w:numPr>
          <w:ilvl w:val="1"/>
          <w:numId w:val="5"/>
        </w:numPr>
        <w:ind w:left="709"/>
        <w:rPr>
          <w:rFonts w:asciiTheme="minorHAnsi" w:hAnsiTheme="minorHAnsi"/>
          <w:sz w:val="24"/>
          <w:szCs w:val="24"/>
        </w:rPr>
      </w:pPr>
      <w:proofErr w:type="spellStart"/>
      <w:proofErr w:type="gramStart"/>
      <w:r w:rsidRPr="00617D5D">
        <w:rPr>
          <w:rFonts w:asciiTheme="minorHAnsi" w:hAnsiTheme="minorHAnsi"/>
          <w:sz w:val="24"/>
          <w:szCs w:val="24"/>
        </w:rPr>
        <w:t>aHUS</w:t>
      </w:r>
      <w:proofErr w:type="spellEnd"/>
      <w:proofErr w:type="gramEnd"/>
      <w:r w:rsidRPr="00617D5D">
        <w:rPr>
          <w:rFonts w:asciiTheme="minorHAnsi" w:hAnsiTheme="minorHAnsi"/>
          <w:sz w:val="24"/>
          <w:szCs w:val="24"/>
        </w:rPr>
        <w:t xml:space="preserve"> is a rare, life-threatening genetic disease characterised by </w:t>
      </w:r>
      <w:proofErr w:type="spellStart"/>
      <w:r w:rsidRPr="00617D5D">
        <w:rPr>
          <w:rFonts w:asciiTheme="minorHAnsi" w:hAnsiTheme="minorHAnsi"/>
          <w:sz w:val="24"/>
          <w:szCs w:val="24"/>
        </w:rPr>
        <w:t>microangiopathic</w:t>
      </w:r>
      <w:proofErr w:type="spellEnd"/>
      <w:r w:rsidRPr="00617D5D">
        <w:rPr>
          <w:rFonts w:asciiTheme="minorHAnsi" w:hAnsiTheme="minorHAnsi"/>
          <w:sz w:val="24"/>
          <w:szCs w:val="24"/>
        </w:rPr>
        <w:t xml:space="preserve"> haemolysis, thrombocytopenia, and organ damage. </w:t>
      </w:r>
      <w:proofErr w:type="spellStart"/>
      <w:proofErr w:type="gramStart"/>
      <w:r w:rsidRPr="00617D5D">
        <w:rPr>
          <w:rFonts w:asciiTheme="minorHAnsi" w:hAnsiTheme="minorHAnsi"/>
          <w:sz w:val="24"/>
          <w:szCs w:val="24"/>
        </w:rPr>
        <w:t>aHUS</w:t>
      </w:r>
      <w:proofErr w:type="spellEnd"/>
      <w:proofErr w:type="gramEnd"/>
      <w:r w:rsidRPr="00617D5D">
        <w:rPr>
          <w:rFonts w:asciiTheme="minorHAnsi" w:hAnsiTheme="minorHAnsi"/>
          <w:sz w:val="24"/>
          <w:szCs w:val="24"/>
        </w:rPr>
        <w:t xml:space="preserve"> is caused by a genetic inability to regulate complement; however, up to 50% of patients with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do not yet have an identified genetic mutation. </w:t>
      </w:r>
      <w:r w:rsidR="00A96394">
        <w:rPr>
          <w:rFonts w:asciiTheme="minorHAnsi" w:hAnsiTheme="minorHAnsi"/>
          <w:sz w:val="24"/>
          <w:szCs w:val="24"/>
        </w:rPr>
        <w:t xml:space="preserve"> </w:t>
      </w:r>
      <w:r w:rsidRPr="00617D5D">
        <w:rPr>
          <w:rFonts w:asciiTheme="minorHAnsi" w:hAnsiTheme="minorHAnsi"/>
          <w:sz w:val="24"/>
          <w:szCs w:val="24"/>
        </w:rPr>
        <w:t>Patients who survive the presenting manifestations are burdened with a chronic thrombotic and pro-inflammatory state which carries a life-long elevated risk of renal failure and other severe complications.</w:t>
      </w:r>
      <w:r w:rsidR="00A96394">
        <w:rPr>
          <w:rFonts w:asciiTheme="minorHAnsi" w:hAnsiTheme="minorHAnsi"/>
          <w:sz w:val="24"/>
          <w:szCs w:val="24"/>
        </w:rPr>
        <w:t xml:space="preserve"> </w:t>
      </w:r>
      <w:r w:rsidRPr="00617D5D">
        <w:rPr>
          <w:rFonts w:asciiTheme="minorHAnsi" w:hAnsiTheme="minorHAnsi"/>
          <w:sz w:val="24"/>
          <w:szCs w:val="24"/>
        </w:rPr>
        <w:t xml:space="preserve"> Renal transplantation is problematic for patients with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and ESRD due to the high proportion of transplanted patients who experience subsequent </w:t>
      </w:r>
      <w:r w:rsidR="00B3604D">
        <w:rPr>
          <w:rFonts w:asciiTheme="minorHAnsi" w:hAnsiTheme="minorHAnsi"/>
          <w:sz w:val="24"/>
          <w:szCs w:val="24"/>
        </w:rPr>
        <w:t xml:space="preserve">recurrent </w:t>
      </w:r>
      <w:proofErr w:type="spellStart"/>
      <w:r w:rsidR="00B3604D">
        <w:rPr>
          <w:rFonts w:asciiTheme="minorHAnsi" w:hAnsiTheme="minorHAnsi"/>
          <w:sz w:val="24"/>
          <w:szCs w:val="24"/>
        </w:rPr>
        <w:t>aHUS</w:t>
      </w:r>
      <w:proofErr w:type="spellEnd"/>
      <w:r w:rsidR="00B3604D">
        <w:rPr>
          <w:rFonts w:asciiTheme="minorHAnsi" w:hAnsiTheme="minorHAnsi"/>
          <w:sz w:val="24"/>
          <w:szCs w:val="24"/>
        </w:rPr>
        <w:t xml:space="preserve"> with </w:t>
      </w:r>
      <w:r w:rsidRPr="00617D5D">
        <w:rPr>
          <w:rFonts w:asciiTheme="minorHAnsi" w:hAnsiTheme="minorHAnsi"/>
          <w:sz w:val="24"/>
          <w:szCs w:val="24"/>
        </w:rPr>
        <w:t>TMA in the transplanted organ</w:t>
      </w:r>
      <w:r w:rsidR="00B3604D">
        <w:rPr>
          <w:rFonts w:asciiTheme="minorHAnsi" w:hAnsiTheme="minorHAnsi"/>
          <w:sz w:val="24"/>
          <w:szCs w:val="24"/>
        </w:rPr>
        <w:t xml:space="preserve"> and </w:t>
      </w:r>
      <w:r w:rsidRPr="00617D5D">
        <w:rPr>
          <w:rFonts w:asciiTheme="minorHAnsi" w:hAnsiTheme="minorHAnsi"/>
          <w:sz w:val="24"/>
          <w:szCs w:val="24"/>
        </w:rPr>
        <w:t>a high risk of graft failure.</w:t>
      </w:r>
    </w:p>
    <w:p w:rsidR="00743F03" w:rsidRPr="00617D5D" w:rsidRDefault="00743F03" w:rsidP="00FC668B">
      <w:pPr>
        <w:pStyle w:val="ListParagraph"/>
        <w:ind w:left="709"/>
        <w:rPr>
          <w:rFonts w:asciiTheme="minorHAnsi" w:hAnsiTheme="minorHAnsi"/>
          <w:sz w:val="24"/>
          <w:szCs w:val="24"/>
        </w:rPr>
      </w:pPr>
    </w:p>
    <w:p w:rsidR="00743F03" w:rsidRPr="00617D5D" w:rsidRDefault="00743F03" w:rsidP="00FC668B">
      <w:pPr>
        <w:pStyle w:val="ListParagraph"/>
        <w:numPr>
          <w:ilvl w:val="1"/>
          <w:numId w:val="5"/>
        </w:numPr>
        <w:ind w:left="709"/>
        <w:rPr>
          <w:rFonts w:asciiTheme="minorHAnsi" w:hAnsiTheme="minorHAnsi"/>
          <w:sz w:val="24"/>
          <w:szCs w:val="24"/>
        </w:rPr>
      </w:pPr>
      <w:r w:rsidRPr="00617D5D">
        <w:rPr>
          <w:rFonts w:asciiTheme="minorHAnsi" w:hAnsiTheme="minorHAnsi"/>
          <w:sz w:val="24"/>
          <w:szCs w:val="24"/>
        </w:rPr>
        <w:t xml:space="preserve">The PBAC previously considered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to be a severe disease, associated with high risk of end stage renal failure and mortality, particularly at its first presentation. </w:t>
      </w:r>
      <w:r w:rsidR="00A96394">
        <w:rPr>
          <w:rFonts w:asciiTheme="minorHAnsi" w:hAnsiTheme="minorHAnsi"/>
          <w:sz w:val="24"/>
          <w:szCs w:val="24"/>
        </w:rPr>
        <w:t xml:space="preserve"> </w:t>
      </w:r>
      <w:r w:rsidRPr="00617D5D">
        <w:rPr>
          <w:rFonts w:asciiTheme="minorHAnsi" w:hAnsiTheme="minorHAnsi"/>
          <w:sz w:val="24"/>
          <w:szCs w:val="24"/>
        </w:rPr>
        <w:t xml:space="preserve">The PBAC considered that there is a high clinical need for an effective treatment for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particularly acute events. </w:t>
      </w:r>
      <w:r w:rsidR="00A96394">
        <w:rPr>
          <w:rFonts w:asciiTheme="minorHAnsi" w:hAnsiTheme="minorHAnsi"/>
          <w:sz w:val="24"/>
          <w:szCs w:val="24"/>
        </w:rPr>
        <w:t xml:space="preserve"> </w:t>
      </w:r>
      <w:r w:rsidRPr="00617D5D">
        <w:rPr>
          <w:rFonts w:asciiTheme="minorHAnsi" w:hAnsiTheme="minorHAnsi"/>
          <w:sz w:val="24"/>
          <w:szCs w:val="24"/>
        </w:rPr>
        <w:t>The PBAC also noted the significant morbidity and mortality associated with long-tern dialysis for patients who progress to ESRD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PSD, March 2014 PBAC meeting). </w:t>
      </w:r>
    </w:p>
    <w:p w:rsidR="00743F03" w:rsidRPr="00617D5D" w:rsidRDefault="00743F03" w:rsidP="00FC668B">
      <w:pPr>
        <w:pStyle w:val="ListParagraph"/>
        <w:ind w:left="709"/>
        <w:rPr>
          <w:rFonts w:asciiTheme="minorHAnsi" w:hAnsiTheme="minorHAnsi"/>
          <w:sz w:val="24"/>
          <w:szCs w:val="24"/>
        </w:rPr>
      </w:pPr>
    </w:p>
    <w:p w:rsidR="00743F03" w:rsidRPr="00617D5D" w:rsidRDefault="00743F03" w:rsidP="00FC668B">
      <w:pPr>
        <w:pStyle w:val="ListParagraph"/>
        <w:numPr>
          <w:ilvl w:val="1"/>
          <w:numId w:val="5"/>
        </w:numPr>
        <w:ind w:left="709"/>
        <w:rPr>
          <w:rFonts w:asciiTheme="minorHAnsi" w:hAnsiTheme="minorHAnsi"/>
          <w:sz w:val="24"/>
          <w:szCs w:val="24"/>
        </w:rPr>
      </w:pPr>
      <w:r w:rsidRPr="00617D5D">
        <w:rPr>
          <w:rFonts w:asciiTheme="minorHAnsi" w:hAnsiTheme="minorHAnsi"/>
          <w:sz w:val="24"/>
          <w:szCs w:val="24"/>
        </w:rPr>
        <w:t xml:space="preserve">The PBAC </w:t>
      </w:r>
      <w:r w:rsidR="00A20DC4">
        <w:rPr>
          <w:rFonts w:asciiTheme="minorHAnsi" w:hAnsiTheme="minorHAnsi"/>
          <w:sz w:val="24"/>
          <w:szCs w:val="24"/>
        </w:rPr>
        <w:t>has</w:t>
      </w:r>
      <w:r w:rsidR="00A20DC4" w:rsidRPr="00617D5D">
        <w:rPr>
          <w:rFonts w:asciiTheme="minorHAnsi" w:hAnsiTheme="minorHAnsi"/>
          <w:sz w:val="24"/>
          <w:szCs w:val="24"/>
        </w:rPr>
        <w:t xml:space="preserve"> </w:t>
      </w:r>
      <w:r w:rsidRPr="00617D5D">
        <w:rPr>
          <w:rFonts w:asciiTheme="minorHAnsi" w:hAnsiTheme="minorHAnsi"/>
          <w:sz w:val="24"/>
          <w:szCs w:val="24"/>
        </w:rPr>
        <w:t xml:space="preserve">considered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to be a heterogeneous disease with a wide variation in its natural history and how it responds to treatment. </w:t>
      </w:r>
      <w:r w:rsidR="00A96394">
        <w:rPr>
          <w:rFonts w:asciiTheme="minorHAnsi" w:hAnsiTheme="minorHAnsi"/>
          <w:sz w:val="24"/>
          <w:szCs w:val="24"/>
        </w:rPr>
        <w:t xml:space="preserve"> </w:t>
      </w:r>
      <w:r w:rsidRPr="00617D5D">
        <w:rPr>
          <w:rFonts w:asciiTheme="minorHAnsi" w:hAnsiTheme="minorHAnsi"/>
          <w:sz w:val="24"/>
          <w:szCs w:val="24"/>
        </w:rPr>
        <w:t xml:space="preserve">The natural history of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is influenced by factors such as the patient’s genetic sub-type, environmental triggers and the stage of disease. </w:t>
      </w:r>
      <w:r w:rsidR="00A96394">
        <w:rPr>
          <w:rFonts w:asciiTheme="minorHAnsi" w:hAnsiTheme="minorHAnsi"/>
          <w:sz w:val="24"/>
          <w:szCs w:val="24"/>
        </w:rPr>
        <w:t xml:space="preserve"> </w:t>
      </w:r>
      <w:r w:rsidRPr="00617D5D">
        <w:rPr>
          <w:rFonts w:asciiTheme="minorHAnsi" w:hAnsiTheme="minorHAnsi"/>
          <w:sz w:val="24"/>
          <w:szCs w:val="24"/>
        </w:rPr>
        <w:t>The PBAC considered that understanding of the role of these factors, and their impact on disease severity, risk of recurrence, prognosis, or the best treatment option for a patient is currently evolving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PSD, March 2014 PBAC meeting). </w:t>
      </w:r>
    </w:p>
    <w:p w:rsidR="00743F03" w:rsidRPr="00617D5D" w:rsidRDefault="00743F03" w:rsidP="00FC668B">
      <w:pPr>
        <w:pStyle w:val="ListParagraph"/>
        <w:ind w:left="709"/>
        <w:rPr>
          <w:rFonts w:asciiTheme="minorHAnsi" w:hAnsiTheme="minorHAnsi"/>
          <w:sz w:val="24"/>
          <w:szCs w:val="24"/>
        </w:rPr>
      </w:pPr>
    </w:p>
    <w:p w:rsidR="00743F03" w:rsidRPr="00617D5D" w:rsidRDefault="00743F03" w:rsidP="00FC668B">
      <w:pPr>
        <w:pStyle w:val="ListParagraph"/>
        <w:numPr>
          <w:ilvl w:val="1"/>
          <w:numId w:val="5"/>
        </w:numPr>
        <w:ind w:left="709"/>
        <w:rPr>
          <w:rFonts w:asciiTheme="minorHAnsi" w:hAnsiTheme="minorHAnsi"/>
          <w:sz w:val="24"/>
          <w:szCs w:val="24"/>
        </w:rPr>
      </w:pPr>
      <w:r w:rsidRPr="00617D5D">
        <w:rPr>
          <w:rFonts w:asciiTheme="minorHAnsi" w:hAnsiTheme="minorHAnsi"/>
          <w:sz w:val="24"/>
          <w:szCs w:val="24"/>
        </w:rPr>
        <w:t xml:space="preserve">The current submission proposes that all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patients</w:t>
      </w:r>
      <w:r w:rsidR="002E6771" w:rsidRPr="00617D5D">
        <w:rPr>
          <w:rFonts w:asciiTheme="minorHAnsi" w:hAnsiTheme="minorHAnsi"/>
          <w:sz w:val="24"/>
          <w:szCs w:val="24"/>
        </w:rPr>
        <w:t xml:space="preserve"> undergoing renal transplantation with a medium to high risk of subsequent TMA in the allograft receive prophylactic </w:t>
      </w:r>
      <w:proofErr w:type="spellStart"/>
      <w:r w:rsidR="002E6771" w:rsidRPr="00617D5D">
        <w:rPr>
          <w:rFonts w:asciiTheme="minorHAnsi" w:hAnsiTheme="minorHAnsi"/>
          <w:sz w:val="24"/>
          <w:szCs w:val="24"/>
        </w:rPr>
        <w:t>eculizumab</w:t>
      </w:r>
      <w:proofErr w:type="spellEnd"/>
      <w:r w:rsidR="002E6771" w:rsidRPr="00617D5D">
        <w:rPr>
          <w:rFonts w:asciiTheme="minorHAnsi" w:hAnsiTheme="minorHAnsi"/>
          <w:sz w:val="24"/>
          <w:szCs w:val="24"/>
        </w:rPr>
        <w:t xml:space="preserve"> initiated at the time of transplantation and sustained after kidney transplantation.</w:t>
      </w:r>
    </w:p>
    <w:p w:rsidR="00BB7EC3" w:rsidRPr="00617D5D" w:rsidRDefault="00BB7EC3" w:rsidP="00FC668B">
      <w:pPr>
        <w:pStyle w:val="ListParagraph"/>
        <w:ind w:left="709"/>
        <w:rPr>
          <w:rFonts w:asciiTheme="minorHAnsi" w:hAnsiTheme="minorHAnsi"/>
          <w:sz w:val="24"/>
          <w:szCs w:val="24"/>
        </w:rPr>
      </w:pPr>
    </w:p>
    <w:p w:rsidR="00BF5429" w:rsidRPr="00906C5A" w:rsidRDefault="00BF5429" w:rsidP="00906C5A">
      <w:pPr>
        <w:pStyle w:val="NoSpacing"/>
        <w:ind w:left="709"/>
        <w:rPr>
          <w:rFonts w:asciiTheme="minorHAnsi" w:hAnsiTheme="minorHAnsi" w:cs="Arial"/>
          <w:i/>
          <w:sz w:val="24"/>
          <w:szCs w:val="24"/>
        </w:rPr>
      </w:pPr>
      <w:r w:rsidRPr="00906C5A">
        <w:rPr>
          <w:rFonts w:asciiTheme="minorHAnsi" w:hAnsiTheme="minorHAnsi" w:cs="Arial"/>
          <w:i/>
          <w:sz w:val="24"/>
          <w:szCs w:val="24"/>
        </w:rPr>
        <w:t>For more detail on PBAC’s view, see section 7 “PBAC outcome.”</w:t>
      </w:r>
    </w:p>
    <w:p w:rsidR="008A1956" w:rsidRPr="00617D5D" w:rsidRDefault="008A1956" w:rsidP="00882085">
      <w:pPr>
        <w:pStyle w:val="Header"/>
        <w:tabs>
          <w:tab w:val="clear" w:pos="4153"/>
          <w:tab w:val="clear" w:pos="8306"/>
        </w:tabs>
        <w:jc w:val="both"/>
        <w:rPr>
          <w:rFonts w:asciiTheme="minorHAnsi" w:hAnsiTheme="minorHAnsi" w:cs="Arial"/>
        </w:rPr>
      </w:pPr>
    </w:p>
    <w:p w:rsidR="00BF5429" w:rsidRDefault="00BF5429">
      <w:pPr>
        <w:rPr>
          <w:rFonts w:asciiTheme="minorHAnsi" w:hAnsiTheme="minorHAnsi" w:cs="Arial"/>
          <w:b/>
          <w:snapToGrid w:val="0"/>
          <w:sz w:val="32"/>
          <w:szCs w:val="32"/>
          <w:lang w:eastAsia="en-US"/>
        </w:rPr>
      </w:pPr>
    </w:p>
    <w:p w:rsidR="005A3173" w:rsidRPr="00617D5D" w:rsidRDefault="005A3173" w:rsidP="008A50F1">
      <w:pPr>
        <w:pStyle w:val="PBACHeading1"/>
        <w:rPr>
          <w:rFonts w:asciiTheme="minorHAnsi" w:hAnsiTheme="minorHAnsi"/>
          <w:sz w:val="32"/>
          <w:szCs w:val="32"/>
        </w:rPr>
      </w:pPr>
      <w:r w:rsidRPr="00617D5D">
        <w:rPr>
          <w:rFonts w:asciiTheme="minorHAnsi" w:hAnsiTheme="minorHAnsi"/>
          <w:sz w:val="32"/>
          <w:szCs w:val="32"/>
        </w:rPr>
        <w:t>Comparator</w:t>
      </w:r>
    </w:p>
    <w:p w:rsidR="005A3173" w:rsidRPr="00617D5D" w:rsidRDefault="005A3173" w:rsidP="00FC668B">
      <w:pPr>
        <w:pStyle w:val="Header"/>
        <w:tabs>
          <w:tab w:val="clear" w:pos="4153"/>
          <w:tab w:val="clear" w:pos="8306"/>
        </w:tabs>
        <w:ind w:left="709" w:hanging="709"/>
        <w:jc w:val="both"/>
        <w:rPr>
          <w:rFonts w:asciiTheme="minorHAnsi" w:hAnsiTheme="minorHAnsi" w:cs="Arial"/>
          <w:b/>
        </w:rPr>
      </w:pPr>
    </w:p>
    <w:p w:rsidR="002020FE" w:rsidRPr="00617D5D" w:rsidRDefault="00FF2801" w:rsidP="00FC668B">
      <w:pPr>
        <w:pStyle w:val="ListParagraph"/>
        <w:numPr>
          <w:ilvl w:val="1"/>
          <w:numId w:val="5"/>
        </w:numPr>
        <w:ind w:left="709" w:hanging="709"/>
        <w:rPr>
          <w:rFonts w:asciiTheme="minorHAnsi" w:hAnsiTheme="minorHAnsi"/>
          <w:sz w:val="24"/>
          <w:szCs w:val="24"/>
        </w:rPr>
      </w:pPr>
      <w:r w:rsidRPr="00617D5D">
        <w:rPr>
          <w:rFonts w:asciiTheme="minorHAnsi" w:hAnsiTheme="minorHAnsi"/>
          <w:sz w:val="24"/>
          <w:szCs w:val="24"/>
        </w:rPr>
        <w:t xml:space="preserve">The submission </w:t>
      </w:r>
      <w:r w:rsidR="002020FE" w:rsidRPr="00617D5D">
        <w:rPr>
          <w:rFonts w:asciiTheme="minorHAnsi" w:hAnsiTheme="minorHAnsi"/>
          <w:sz w:val="24"/>
          <w:szCs w:val="24"/>
        </w:rPr>
        <w:t>stated that there were currently no</w:t>
      </w:r>
      <w:r w:rsidR="00675462" w:rsidRPr="00617D5D">
        <w:rPr>
          <w:rFonts w:asciiTheme="minorHAnsi" w:hAnsiTheme="minorHAnsi"/>
          <w:sz w:val="24"/>
          <w:szCs w:val="24"/>
        </w:rPr>
        <w:t xml:space="preserve"> other</w:t>
      </w:r>
      <w:r w:rsidR="002020FE" w:rsidRPr="00617D5D">
        <w:rPr>
          <w:rFonts w:asciiTheme="minorHAnsi" w:hAnsiTheme="minorHAnsi"/>
          <w:sz w:val="24"/>
          <w:szCs w:val="24"/>
        </w:rPr>
        <w:t xml:space="preserve"> TGA approved, nor PBS funded treatments for </w:t>
      </w:r>
      <w:proofErr w:type="spellStart"/>
      <w:r w:rsidR="002020FE" w:rsidRPr="00617D5D">
        <w:rPr>
          <w:rFonts w:asciiTheme="minorHAnsi" w:hAnsiTheme="minorHAnsi"/>
          <w:sz w:val="24"/>
          <w:szCs w:val="24"/>
        </w:rPr>
        <w:t>aHUS</w:t>
      </w:r>
      <w:proofErr w:type="spellEnd"/>
      <w:r w:rsidR="002020FE" w:rsidRPr="00617D5D">
        <w:rPr>
          <w:rFonts w:asciiTheme="minorHAnsi" w:hAnsiTheme="minorHAnsi"/>
          <w:sz w:val="24"/>
          <w:szCs w:val="24"/>
        </w:rPr>
        <w:t>.</w:t>
      </w:r>
    </w:p>
    <w:p w:rsidR="002020FE" w:rsidRPr="00617D5D" w:rsidRDefault="002020FE" w:rsidP="00FC668B">
      <w:pPr>
        <w:pStyle w:val="ListParagraph"/>
        <w:ind w:left="709" w:hanging="709"/>
        <w:rPr>
          <w:rFonts w:asciiTheme="minorHAnsi" w:hAnsiTheme="minorHAnsi"/>
          <w:sz w:val="24"/>
          <w:szCs w:val="24"/>
        </w:rPr>
      </w:pPr>
    </w:p>
    <w:p w:rsidR="00C35996" w:rsidRPr="00617D5D" w:rsidRDefault="002020FE" w:rsidP="00FC668B">
      <w:pPr>
        <w:pStyle w:val="ListParagraph"/>
        <w:numPr>
          <w:ilvl w:val="1"/>
          <w:numId w:val="5"/>
        </w:numPr>
        <w:ind w:left="709" w:hanging="709"/>
        <w:rPr>
          <w:rFonts w:asciiTheme="minorHAnsi" w:hAnsiTheme="minorHAnsi"/>
          <w:sz w:val="24"/>
          <w:szCs w:val="24"/>
        </w:rPr>
      </w:pPr>
      <w:r w:rsidRPr="00617D5D">
        <w:rPr>
          <w:rFonts w:asciiTheme="minorHAnsi" w:hAnsiTheme="minorHAnsi"/>
          <w:sz w:val="24"/>
          <w:szCs w:val="24"/>
        </w:rPr>
        <w:t xml:space="preserve">However, </w:t>
      </w:r>
      <w:r w:rsidR="005E1BE4" w:rsidRPr="00617D5D">
        <w:rPr>
          <w:rFonts w:asciiTheme="minorHAnsi" w:hAnsiTheme="minorHAnsi"/>
          <w:sz w:val="24"/>
          <w:szCs w:val="24"/>
        </w:rPr>
        <w:t xml:space="preserve">consistent with </w:t>
      </w:r>
      <w:r w:rsidRPr="00617D5D">
        <w:rPr>
          <w:rFonts w:asciiTheme="minorHAnsi" w:hAnsiTheme="minorHAnsi"/>
          <w:sz w:val="24"/>
          <w:szCs w:val="24"/>
        </w:rPr>
        <w:t>the advice from the PBAC</w:t>
      </w:r>
      <w:r w:rsidR="005E1BE4" w:rsidRPr="00617D5D">
        <w:rPr>
          <w:rFonts w:asciiTheme="minorHAnsi" w:hAnsiTheme="minorHAnsi"/>
          <w:sz w:val="24"/>
          <w:szCs w:val="24"/>
        </w:rPr>
        <w:t>,</w:t>
      </w:r>
      <w:r w:rsidRPr="00617D5D">
        <w:rPr>
          <w:rFonts w:asciiTheme="minorHAnsi" w:hAnsiTheme="minorHAnsi"/>
          <w:sz w:val="24"/>
          <w:szCs w:val="24"/>
        </w:rPr>
        <w:t xml:space="preserve"> the submission provided literature based comparisons with long-term dialysis, renal transplantation with prophylactic plasma exchange/infusion and treatment initiation at recurrence of active TMA post-transplantatio</w:t>
      </w:r>
      <w:r w:rsidR="00E20531" w:rsidRPr="00617D5D">
        <w:rPr>
          <w:rFonts w:asciiTheme="minorHAnsi" w:hAnsiTheme="minorHAnsi"/>
          <w:sz w:val="24"/>
          <w:szCs w:val="24"/>
        </w:rPr>
        <w:t>n</w:t>
      </w:r>
      <w:r w:rsidR="00476245" w:rsidRPr="00617D5D">
        <w:rPr>
          <w:rFonts w:asciiTheme="minorHAnsi" w:hAnsiTheme="minorHAnsi"/>
          <w:sz w:val="24"/>
          <w:szCs w:val="24"/>
        </w:rPr>
        <w:t>.</w:t>
      </w:r>
    </w:p>
    <w:p w:rsidR="00DF26A7" w:rsidRPr="00617D5D" w:rsidRDefault="00DF26A7" w:rsidP="00FC668B">
      <w:pPr>
        <w:ind w:left="709" w:hanging="709"/>
        <w:jc w:val="both"/>
        <w:rPr>
          <w:rFonts w:asciiTheme="minorHAnsi" w:hAnsiTheme="minorHAnsi" w:cs="Arial"/>
        </w:rPr>
      </w:pPr>
    </w:p>
    <w:p w:rsidR="00BF5429" w:rsidRPr="00906C5A" w:rsidRDefault="00BF5429" w:rsidP="00906C5A">
      <w:pPr>
        <w:pStyle w:val="NoSpacing"/>
        <w:ind w:left="709"/>
        <w:rPr>
          <w:rFonts w:asciiTheme="minorHAnsi" w:hAnsiTheme="minorHAnsi" w:cs="Arial"/>
          <w:i/>
          <w:sz w:val="24"/>
          <w:szCs w:val="24"/>
        </w:rPr>
      </w:pPr>
      <w:r w:rsidRPr="00906C5A">
        <w:rPr>
          <w:rFonts w:asciiTheme="minorHAnsi" w:hAnsiTheme="minorHAnsi" w:cs="Arial"/>
          <w:i/>
          <w:sz w:val="24"/>
          <w:szCs w:val="24"/>
        </w:rPr>
        <w:t>For more detail on PBAC’s view, see section 7 “PBAC outcome.”</w:t>
      </w:r>
    </w:p>
    <w:p w:rsidR="008A1956" w:rsidRPr="00617D5D" w:rsidRDefault="008A1956" w:rsidP="00476245">
      <w:pPr>
        <w:jc w:val="both"/>
        <w:rPr>
          <w:rFonts w:asciiTheme="minorHAnsi" w:hAnsiTheme="minorHAnsi" w:cs="Arial"/>
        </w:rPr>
      </w:pPr>
    </w:p>
    <w:p w:rsidR="000B558D" w:rsidRPr="00617D5D" w:rsidRDefault="008D7A41" w:rsidP="008A50F1">
      <w:pPr>
        <w:pStyle w:val="PBACHeading1"/>
        <w:rPr>
          <w:rFonts w:asciiTheme="minorHAnsi" w:hAnsiTheme="minorHAnsi"/>
          <w:sz w:val="32"/>
          <w:szCs w:val="32"/>
        </w:rPr>
      </w:pPr>
      <w:r w:rsidRPr="00617D5D">
        <w:rPr>
          <w:rFonts w:asciiTheme="minorHAnsi" w:hAnsiTheme="minorHAnsi"/>
          <w:sz w:val="32"/>
          <w:szCs w:val="32"/>
        </w:rPr>
        <w:t>C</w:t>
      </w:r>
      <w:r w:rsidR="00D84934" w:rsidRPr="00617D5D">
        <w:rPr>
          <w:rFonts w:asciiTheme="minorHAnsi" w:hAnsiTheme="minorHAnsi"/>
          <w:sz w:val="32"/>
          <w:szCs w:val="32"/>
        </w:rPr>
        <w:t>onsideration of the evidence</w:t>
      </w:r>
    </w:p>
    <w:p w:rsidR="00BB7EC3" w:rsidRPr="00617D5D" w:rsidRDefault="00BB7EC3" w:rsidP="00F9629A">
      <w:pPr>
        <w:jc w:val="both"/>
        <w:rPr>
          <w:rFonts w:asciiTheme="minorHAnsi" w:hAnsiTheme="minorHAnsi" w:cs="Arial"/>
        </w:rPr>
      </w:pPr>
    </w:p>
    <w:p w:rsidR="005F3820" w:rsidRPr="009D0C44" w:rsidRDefault="005F3820" w:rsidP="00AE36F2">
      <w:pPr>
        <w:widowControl w:val="0"/>
        <w:spacing w:before="240" w:after="120" w:line="276" w:lineRule="auto"/>
        <w:ind w:left="709" w:hanging="709"/>
        <w:jc w:val="both"/>
        <w:outlineLvl w:val="1"/>
        <w:rPr>
          <w:rFonts w:asciiTheme="minorHAnsi" w:hAnsiTheme="minorHAnsi" w:cs="Arial"/>
          <w:b/>
          <w:bCs/>
          <w:i/>
          <w:snapToGrid w:val="0"/>
          <w:sz w:val="28"/>
          <w:szCs w:val="28"/>
        </w:rPr>
      </w:pPr>
      <w:r w:rsidRPr="009D0C44">
        <w:rPr>
          <w:rFonts w:asciiTheme="minorHAnsi" w:hAnsiTheme="minorHAnsi" w:cs="Arial"/>
          <w:b/>
          <w:bCs/>
          <w:i/>
          <w:snapToGrid w:val="0"/>
          <w:sz w:val="28"/>
          <w:szCs w:val="28"/>
        </w:rPr>
        <w:t>Sponsor hearing</w:t>
      </w:r>
    </w:p>
    <w:p w:rsidR="005F3820" w:rsidRPr="009D0C44" w:rsidRDefault="005F3820" w:rsidP="00FC668B">
      <w:pPr>
        <w:widowControl w:val="0"/>
        <w:numPr>
          <w:ilvl w:val="1"/>
          <w:numId w:val="5"/>
        </w:numPr>
        <w:spacing w:after="120"/>
        <w:ind w:left="709" w:hanging="709"/>
        <w:jc w:val="both"/>
        <w:rPr>
          <w:rFonts w:asciiTheme="minorHAnsi" w:hAnsiTheme="minorHAnsi" w:cs="Arial"/>
          <w:bCs/>
          <w:snapToGrid w:val="0"/>
        </w:rPr>
      </w:pPr>
      <w:r w:rsidRPr="009D0C44">
        <w:rPr>
          <w:rFonts w:asciiTheme="minorHAnsi" w:hAnsiTheme="minorHAnsi" w:cs="Arial"/>
          <w:bCs/>
          <w:snapToGrid w:val="0"/>
        </w:rPr>
        <w:t>There was no hearing for this ite</w:t>
      </w:r>
      <w:r w:rsidR="00EA406E" w:rsidRPr="009D0C44">
        <w:rPr>
          <w:rFonts w:asciiTheme="minorHAnsi" w:hAnsiTheme="minorHAnsi" w:cs="Arial"/>
          <w:bCs/>
          <w:snapToGrid w:val="0"/>
        </w:rPr>
        <w:t>m as it was a minor submission.</w:t>
      </w:r>
    </w:p>
    <w:p w:rsidR="005F3820" w:rsidRPr="009D0C44" w:rsidRDefault="005F3820" w:rsidP="00AE36F2">
      <w:pPr>
        <w:widowControl w:val="0"/>
        <w:spacing w:before="240" w:after="120" w:line="276" w:lineRule="auto"/>
        <w:ind w:left="709" w:hanging="709"/>
        <w:jc w:val="both"/>
        <w:outlineLvl w:val="1"/>
        <w:rPr>
          <w:rFonts w:asciiTheme="minorHAnsi" w:hAnsiTheme="minorHAnsi" w:cs="Arial"/>
          <w:b/>
          <w:bCs/>
          <w:i/>
          <w:snapToGrid w:val="0"/>
          <w:sz w:val="28"/>
          <w:szCs w:val="28"/>
        </w:rPr>
      </w:pPr>
      <w:r w:rsidRPr="009D0C44">
        <w:rPr>
          <w:rFonts w:asciiTheme="minorHAnsi" w:hAnsiTheme="minorHAnsi" w:cs="Arial"/>
          <w:b/>
          <w:bCs/>
          <w:i/>
          <w:snapToGrid w:val="0"/>
          <w:sz w:val="28"/>
          <w:szCs w:val="28"/>
        </w:rPr>
        <w:t>Consumer comments</w:t>
      </w:r>
    </w:p>
    <w:p w:rsidR="005F3820" w:rsidRPr="00D63C81" w:rsidRDefault="005F3820" w:rsidP="00FC668B">
      <w:pPr>
        <w:widowControl w:val="0"/>
        <w:numPr>
          <w:ilvl w:val="1"/>
          <w:numId w:val="5"/>
        </w:numPr>
        <w:spacing w:after="120"/>
        <w:ind w:left="709" w:hanging="709"/>
        <w:jc w:val="both"/>
        <w:rPr>
          <w:rFonts w:asciiTheme="minorHAnsi" w:hAnsiTheme="minorHAnsi" w:cs="Arial"/>
          <w:bCs/>
          <w:snapToGrid w:val="0"/>
        </w:rPr>
      </w:pPr>
      <w:r w:rsidRPr="00D63C81">
        <w:rPr>
          <w:rFonts w:asciiTheme="minorHAnsi" w:hAnsiTheme="minorHAnsi" w:cs="Arial"/>
          <w:bCs/>
          <w:snapToGrid w:val="0"/>
        </w:rPr>
        <w:t>The PBAC noted and welcomed the input from individuals (</w:t>
      </w:r>
      <w:r w:rsidR="009D0C44" w:rsidRPr="00D63C81">
        <w:rPr>
          <w:rFonts w:asciiTheme="minorHAnsi" w:hAnsiTheme="minorHAnsi" w:cs="Arial"/>
          <w:bCs/>
          <w:snapToGrid w:val="0"/>
        </w:rPr>
        <w:t>226</w:t>
      </w:r>
      <w:r w:rsidRPr="00D63C81">
        <w:rPr>
          <w:rFonts w:asciiTheme="minorHAnsi" w:hAnsiTheme="minorHAnsi" w:cs="Arial"/>
          <w:bCs/>
          <w:snapToGrid w:val="0"/>
        </w:rPr>
        <w:t>), health care professionals (</w:t>
      </w:r>
      <w:r w:rsidR="009D0C44" w:rsidRPr="00D63C81">
        <w:rPr>
          <w:rFonts w:asciiTheme="minorHAnsi" w:hAnsiTheme="minorHAnsi" w:cs="Arial"/>
          <w:bCs/>
          <w:snapToGrid w:val="0"/>
        </w:rPr>
        <w:t>3</w:t>
      </w:r>
      <w:r w:rsidRPr="00D63C81">
        <w:rPr>
          <w:rFonts w:asciiTheme="minorHAnsi" w:hAnsiTheme="minorHAnsi" w:cs="Arial"/>
          <w:bCs/>
          <w:snapToGrid w:val="0"/>
        </w:rPr>
        <w:t xml:space="preserve">) and organisations (1) via the Consumer Comments facility on the PBS website.  The comments described a range of benefits of treatment with </w:t>
      </w:r>
      <w:proofErr w:type="spellStart"/>
      <w:r w:rsidR="009D0C44" w:rsidRPr="00D63C81">
        <w:rPr>
          <w:rFonts w:asciiTheme="minorHAnsi" w:hAnsiTheme="minorHAnsi" w:cs="Arial"/>
          <w:bCs/>
          <w:snapToGrid w:val="0"/>
        </w:rPr>
        <w:t>eculizumab</w:t>
      </w:r>
      <w:proofErr w:type="spellEnd"/>
      <w:r w:rsidR="009D0C44" w:rsidRPr="00D63C81">
        <w:rPr>
          <w:rFonts w:asciiTheme="minorHAnsi" w:hAnsiTheme="minorHAnsi" w:cs="Arial"/>
          <w:bCs/>
          <w:snapToGrid w:val="0"/>
        </w:rPr>
        <w:t xml:space="preserve"> in the proposed setting</w:t>
      </w:r>
      <w:r w:rsidRPr="00D63C81">
        <w:rPr>
          <w:rFonts w:asciiTheme="minorHAnsi" w:hAnsiTheme="minorHAnsi" w:cs="Arial"/>
          <w:bCs/>
          <w:snapToGrid w:val="0"/>
        </w:rPr>
        <w:t xml:space="preserve"> including</w:t>
      </w:r>
      <w:r w:rsidR="009D0C44" w:rsidRPr="00D63C81">
        <w:rPr>
          <w:rFonts w:asciiTheme="minorHAnsi" w:hAnsiTheme="minorHAnsi" w:cs="Arial"/>
          <w:bCs/>
          <w:snapToGrid w:val="0"/>
        </w:rPr>
        <w:t xml:space="preserve"> allograft survival, better quality of life, </w:t>
      </w:r>
      <w:r w:rsidR="001827CF" w:rsidRPr="00D63C81">
        <w:rPr>
          <w:rFonts w:asciiTheme="minorHAnsi" w:hAnsiTheme="minorHAnsi" w:cs="Arial"/>
          <w:bCs/>
          <w:snapToGrid w:val="0"/>
        </w:rPr>
        <w:t>and the</w:t>
      </w:r>
      <w:r w:rsidR="009D0C44" w:rsidRPr="00D63C81">
        <w:rPr>
          <w:rFonts w:asciiTheme="minorHAnsi" w:hAnsiTheme="minorHAnsi" w:cs="Arial"/>
          <w:bCs/>
          <w:snapToGrid w:val="0"/>
        </w:rPr>
        <w:t xml:space="preserve"> chance to cease </w:t>
      </w:r>
      <w:r w:rsidR="00D63C81" w:rsidRPr="00D63C81">
        <w:rPr>
          <w:rFonts w:asciiTheme="minorHAnsi" w:hAnsiTheme="minorHAnsi" w:cs="Arial"/>
          <w:bCs/>
          <w:snapToGrid w:val="0"/>
        </w:rPr>
        <w:t>dialysis</w:t>
      </w:r>
      <w:r w:rsidR="009D0C44" w:rsidRPr="00D63C81">
        <w:rPr>
          <w:rFonts w:asciiTheme="minorHAnsi" w:hAnsiTheme="minorHAnsi" w:cs="Arial"/>
          <w:bCs/>
          <w:snapToGrid w:val="0"/>
        </w:rPr>
        <w:t xml:space="preserve"> along with the possibility</w:t>
      </w:r>
      <w:r w:rsidRPr="00D63C81">
        <w:rPr>
          <w:rFonts w:asciiTheme="minorHAnsi" w:hAnsiTheme="minorHAnsi" w:cs="Arial"/>
          <w:bCs/>
          <w:snapToGrid w:val="0"/>
        </w:rPr>
        <w:t xml:space="preserve"> </w:t>
      </w:r>
      <w:r w:rsidR="001827CF">
        <w:rPr>
          <w:rFonts w:asciiTheme="minorHAnsi" w:hAnsiTheme="minorHAnsi" w:cs="Arial"/>
          <w:bCs/>
          <w:snapToGrid w:val="0"/>
        </w:rPr>
        <w:t>of a</w:t>
      </w:r>
      <w:r w:rsidRPr="00D63C81">
        <w:rPr>
          <w:rFonts w:asciiTheme="minorHAnsi" w:hAnsiTheme="minorHAnsi" w:cs="Arial"/>
          <w:bCs/>
          <w:snapToGrid w:val="0"/>
        </w:rPr>
        <w:t xml:space="preserve"> return to work</w:t>
      </w:r>
      <w:r w:rsidR="009D0C44" w:rsidRPr="00D63C81">
        <w:rPr>
          <w:rFonts w:asciiTheme="minorHAnsi" w:hAnsiTheme="minorHAnsi" w:cs="Arial"/>
          <w:bCs/>
          <w:snapToGrid w:val="0"/>
        </w:rPr>
        <w:t>.</w:t>
      </w:r>
    </w:p>
    <w:p w:rsidR="005F3820" w:rsidRPr="00F31E08" w:rsidRDefault="005F3820" w:rsidP="00FC668B">
      <w:pPr>
        <w:widowControl w:val="0"/>
        <w:numPr>
          <w:ilvl w:val="1"/>
          <w:numId w:val="5"/>
        </w:numPr>
        <w:spacing w:after="120"/>
        <w:ind w:left="709" w:hanging="709"/>
        <w:jc w:val="both"/>
        <w:rPr>
          <w:rFonts w:asciiTheme="minorHAnsi" w:hAnsiTheme="minorHAnsi" w:cs="Arial"/>
          <w:bCs/>
          <w:snapToGrid w:val="0"/>
        </w:rPr>
      </w:pPr>
      <w:r w:rsidRPr="00F31E08">
        <w:rPr>
          <w:rFonts w:asciiTheme="minorHAnsi" w:hAnsiTheme="minorHAnsi" w:cs="Arial"/>
          <w:bCs/>
          <w:snapToGrid w:val="0"/>
        </w:rPr>
        <w:t xml:space="preserve">The PBAC noted the </w:t>
      </w:r>
      <w:r w:rsidR="001827CF" w:rsidRPr="00F31E08">
        <w:rPr>
          <w:rFonts w:asciiTheme="minorHAnsi" w:hAnsiTheme="minorHAnsi" w:cs="Arial"/>
          <w:bCs/>
          <w:snapToGrid w:val="0"/>
        </w:rPr>
        <w:t>support</w:t>
      </w:r>
      <w:r w:rsidRPr="00F31E08">
        <w:rPr>
          <w:rFonts w:asciiTheme="minorHAnsi" w:hAnsiTheme="minorHAnsi" w:cs="Arial"/>
          <w:bCs/>
          <w:snapToGrid w:val="0"/>
        </w:rPr>
        <w:t xml:space="preserve"> received from </w:t>
      </w:r>
      <w:r w:rsidR="001827CF" w:rsidRPr="00F31E08">
        <w:rPr>
          <w:rFonts w:asciiTheme="minorHAnsi" w:hAnsiTheme="minorHAnsi" w:cs="Arial"/>
          <w:bCs/>
          <w:snapToGrid w:val="0"/>
        </w:rPr>
        <w:t xml:space="preserve">Kidney Health Australia </w:t>
      </w:r>
      <w:r w:rsidR="00F31E08" w:rsidRPr="00F31E08">
        <w:rPr>
          <w:rFonts w:asciiTheme="minorHAnsi" w:hAnsiTheme="minorHAnsi" w:cs="Arial"/>
          <w:bCs/>
          <w:snapToGrid w:val="0"/>
        </w:rPr>
        <w:t xml:space="preserve">to allow for equitable access to kidney transplantation for patients with </w:t>
      </w:r>
      <w:proofErr w:type="spellStart"/>
      <w:r w:rsidR="00F31E08" w:rsidRPr="00F31E08">
        <w:rPr>
          <w:rFonts w:asciiTheme="minorHAnsi" w:hAnsiTheme="minorHAnsi" w:cs="Arial"/>
          <w:bCs/>
          <w:snapToGrid w:val="0"/>
        </w:rPr>
        <w:t>aHUS</w:t>
      </w:r>
      <w:proofErr w:type="spellEnd"/>
      <w:r w:rsidR="00F31E08" w:rsidRPr="00F31E08">
        <w:rPr>
          <w:rFonts w:asciiTheme="minorHAnsi" w:hAnsiTheme="minorHAnsi" w:cs="Arial"/>
          <w:bCs/>
          <w:snapToGrid w:val="0"/>
        </w:rPr>
        <w:t xml:space="preserve"> and to ensure post</w:t>
      </w:r>
      <w:r w:rsidR="00F31E08">
        <w:rPr>
          <w:rFonts w:asciiTheme="minorHAnsi" w:hAnsiTheme="minorHAnsi" w:cs="Arial"/>
          <w:bCs/>
          <w:snapToGrid w:val="0"/>
        </w:rPr>
        <w:t>-</w:t>
      </w:r>
      <w:r w:rsidR="00F31E08" w:rsidRPr="00F31E08">
        <w:rPr>
          <w:rFonts w:asciiTheme="minorHAnsi" w:hAnsiTheme="minorHAnsi" w:cs="Arial"/>
          <w:bCs/>
          <w:snapToGrid w:val="0"/>
        </w:rPr>
        <w:t>transplant outcomes are optimised.</w:t>
      </w:r>
    </w:p>
    <w:p w:rsidR="005F3820" w:rsidRPr="00617D5D" w:rsidRDefault="005F3820" w:rsidP="00FC668B">
      <w:pPr>
        <w:ind w:left="709" w:hanging="709"/>
        <w:jc w:val="both"/>
        <w:rPr>
          <w:rFonts w:asciiTheme="minorHAnsi" w:hAnsiTheme="minorHAnsi" w:cs="Arial"/>
        </w:rPr>
      </w:pPr>
    </w:p>
    <w:p w:rsidR="00D84934" w:rsidRPr="00617D5D" w:rsidRDefault="00D84934" w:rsidP="00FC668B">
      <w:pPr>
        <w:pStyle w:val="Heading2"/>
        <w:ind w:left="709" w:hanging="709"/>
        <w:rPr>
          <w:rFonts w:asciiTheme="minorHAnsi" w:hAnsiTheme="minorHAnsi" w:cs="Arial"/>
          <w:sz w:val="28"/>
          <w:szCs w:val="28"/>
        </w:rPr>
      </w:pPr>
      <w:r w:rsidRPr="00617D5D">
        <w:rPr>
          <w:rFonts w:asciiTheme="minorHAnsi" w:hAnsiTheme="minorHAnsi" w:cs="Arial"/>
          <w:sz w:val="28"/>
          <w:szCs w:val="28"/>
        </w:rPr>
        <w:t>Clinical trials</w:t>
      </w:r>
    </w:p>
    <w:p w:rsidR="00603098" w:rsidRPr="00617D5D" w:rsidRDefault="00603098" w:rsidP="00FC668B">
      <w:pPr>
        <w:pStyle w:val="ListParagraph"/>
        <w:ind w:left="709" w:hanging="709"/>
        <w:rPr>
          <w:rFonts w:asciiTheme="minorHAnsi" w:hAnsiTheme="minorHAnsi"/>
          <w:sz w:val="24"/>
          <w:szCs w:val="24"/>
        </w:rPr>
      </w:pPr>
    </w:p>
    <w:p w:rsidR="00950B6C" w:rsidRPr="00617D5D" w:rsidRDefault="00603098" w:rsidP="00FC668B">
      <w:pPr>
        <w:pStyle w:val="ListParagraph"/>
        <w:numPr>
          <w:ilvl w:val="1"/>
          <w:numId w:val="5"/>
        </w:numPr>
        <w:ind w:left="709" w:hanging="709"/>
        <w:rPr>
          <w:rFonts w:asciiTheme="minorHAnsi" w:hAnsiTheme="minorHAnsi"/>
          <w:sz w:val="24"/>
          <w:szCs w:val="24"/>
        </w:rPr>
      </w:pPr>
      <w:r w:rsidRPr="00617D5D">
        <w:rPr>
          <w:rFonts w:asciiTheme="minorHAnsi" w:hAnsiTheme="minorHAnsi"/>
          <w:sz w:val="24"/>
          <w:szCs w:val="24"/>
        </w:rPr>
        <w:t>The</w:t>
      </w:r>
      <w:r w:rsidR="00A96394">
        <w:rPr>
          <w:rFonts w:asciiTheme="minorHAnsi" w:hAnsiTheme="minorHAnsi"/>
          <w:sz w:val="24"/>
          <w:szCs w:val="24"/>
        </w:rPr>
        <w:t xml:space="preserve"> committee </w:t>
      </w:r>
      <w:r w:rsidR="004F00C2">
        <w:rPr>
          <w:rFonts w:asciiTheme="minorHAnsi" w:hAnsiTheme="minorHAnsi"/>
          <w:sz w:val="24"/>
          <w:szCs w:val="24"/>
        </w:rPr>
        <w:t>recalled</w:t>
      </w:r>
      <w:r w:rsidRPr="00617D5D">
        <w:rPr>
          <w:rFonts w:asciiTheme="minorHAnsi" w:hAnsiTheme="minorHAnsi"/>
          <w:sz w:val="24"/>
          <w:szCs w:val="24"/>
        </w:rPr>
        <w:t xml:space="preserve"> the agreed outcomes of the February 2016 clinical advice meeting on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in the context of renal transplant, as summarised </w:t>
      </w:r>
      <w:r w:rsidR="00950B6C" w:rsidRPr="00617D5D">
        <w:rPr>
          <w:rFonts w:asciiTheme="minorHAnsi" w:hAnsiTheme="minorHAnsi"/>
          <w:sz w:val="24"/>
          <w:szCs w:val="24"/>
        </w:rPr>
        <w:t>from</w:t>
      </w:r>
      <w:r w:rsidRPr="00617D5D">
        <w:rPr>
          <w:rFonts w:asciiTheme="minorHAnsi" w:hAnsiTheme="minorHAnsi"/>
          <w:sz w:val="24"/>
          <w:szCs w:val="24"/>
        </w:rPr>
        <w:t xml:space="preserve"> the </w:t>
      </w:r>
      <w:r w:rsidR="008B3078">
        <w:rPr>
          <w:rFonts w:asciiTheme="minorHAnsi" w:hAnsiTheme="minorHAnsi"/>
          <w:sz w:val="24"/>
          <w:szCs w:val="24"/>
        </w:rPr>
        <w:t>Clinical advice meeting statement (February 2016)</w:t>
      </w:r>
      <w:r w:rsidR="00950B6C" w:rsidRPr="00617D5D">
        <w:rPr>
          <w:rFonts w:asciiTheme="minorHAnsi" w:hAnsiTheme="minorHAnsi"/>
          <w:sz w:val="24"/>
          <w:szCs w:val="24"/>
        </w:rPr>
        <w:t>below</w:t>
      </w:r>
      <w:r w:rsidRPr="00617D5D">
        <w:rPr>
          <w:rFonts w:asciiTheme="minorHAnsi" w:hAnsiTheme="minorHAnsi"/>
          <w:sz w:val="24"/>
          <w:szCs w:val="24"/>
        </w:rPr>
        <w:t>.</w:t>
      </w:r>
      <w:r w:rsidR="00950B6C" w:rsidRPr="00617D5D">
        <w:rPr>
          <w:rFonts w:asciiTheme="minorHAnsi" w:hAnsiTheme="minorHAnsi"/>
          <w:sz w:val="24"/>
          <w:szCs w:val="24"/>
        </w:rPr>
        <w:t xml:space="preserve"> </w:t>
      </w:r>
    </w:p>
    <w:p w:rsidR="00950B6C" w:rsidRPr="00617D5D" w:rsidRDefault="00950B6C" w:rsidP="00950B6C">
      <w:pPr>
        <w:rPr>
          <w:rFonts w:ascii="Arial" w:hAnsi="Arial" w:cs="Arial"/>
          <w:b/>
          <w:snapToGrid w:val="0"/>
          <w:lang w:eastAsia="en-US"/>
        </w:rPr>
      </w:pPr>
    </w:p>
    <w:p w:rsidR="00950B6C" w:rsidRPr="00617D5D" w:rsidRDefault="00950B6C" w:rsidP="00950B6C">
      <w:pPr>
        <w:rPr>
          <w:rFonts w:asciiTheme="minorHAnsi" w:hAnsiTheme="minorHAnsi" w:cs="Arial"/>
          <w:b/>
          <w:snapToGrid w:val="0"/>
          <w:sz w:val="28"/>
          <w:szCs w:val="28"/>
          <w:lang w:eastAsia="en-US"/>
        </w:rPr>
      </w:pPr>
      <w:r w:rsidRPr="00617D5D">
        <w:rPr>
          <w:rFonts w:asciiTheme="minorHAnsi" w:hAnsiTheme="minorHAnsi" w:cs="Arial"/>
          <w:b/>
          <w:snapToGrid w:val="0"/>
          <w:sz w:val="28"/>
          <w:szCs w:val="28"/>
          <w:lang w:eastAsia="en-US"/>
        </w:rPr>
        <w:t xml:space="preserve">Clinical advice meeting </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A clinical advice meeting was held on 12 February 2016 to discuss the place of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for the treatment of atypical haemolytic uraemic syndrome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in the context of renal transplantation. All invited clinicians participated, including the Chair and members of the Pharmaceutical Benefits Advisory Committee (PBAC), and clinicians with expertise in the fields of nephrology, haematology and organ transplantation.</w:t>
      </w:r>
      <w:r w:rsidR="00787DF7" w:rsidRPr="00617D5D">
        <w:rPr>
          <w:rFonts w:asciiTheme="minorHAnsi" w:hAnsiTheme="minorHAnsi" w:cs="Arial"/>
          <w:snapToGrid w:val="0"/>
          <w:lang w:eastAsia="en-US"/>
        </w:rPr>
        <w:t xml:space="preserve"> </w:t>
      </w:r>
    </w:p>
    <w:p w:rsidR="00950B6C" w:rsidRDefault="00950B6C" w:rsidP="00950B6C">
      <w:pPr>
        <w:widowControl w:val="0"/>
        <w:jc w:val="both"/>
        <w:rPr>
          <w:rFonts w:asciiTheme="minorHAnsi" w:hAnsiTheme="minorHAnsi" w:cs="Arial"/>
          <w:snapToGrid w:val="0"/>
          <w:lang w:eastAsia="en-US"/>
        </w:rPr>
      </w:pPr>
    </w:p>
    <w:p w:rsidR="00D3708F" w:rsidRDefault="00D3708F" w:rsidP="00950B6C">
      <w:pPr>
        <w:widowControl w:val="0"/>
        <w:jc w:val="both"/>
        <w:rPr>
          <w:rFonts w:asciiTheme="minorHAnsi" w:hAnsiTheme="minorHAnsi" w:cs="Arial"/>
          <w:snapToGrid w:val="0"/>
          <w:lang w:eastAsia="en-US"/>
        </w:rPr>
      </w:pPr>
    </w:p>
    <w:p w:rsidR="00A7076C" w:rsidRDefault="00A7076C" w:rsidP="00950B6C">
      <w:pPr>
        <w:widowControl w:val="0"/>
        <w:jc w:val="both"/>
        <w:rPr>
          <w:rFonts w:asciiTheme="minorHAnsi" w:hAnsiTheme="minorHAnsi" w:cs="Arial"/>
          <w:snapToGrid w:val="0"/>
          <w:lang w:eastAsia="en-US"/>
        </w:rPr>
      </w:pPr>
    </w:p>
    <w:p w:rsidR="00A7076C" w:rsidRPr="00617D5D" w:rsidRDefault="00A7076C" w:rsidP="00950B6C">
      <w:pPr>
        <w:widowControl w:val="0"/>
        <w:jc w:val="both"/>
        <w:rPr>
          <w:rFonts w:asciiTheme="minorHAnsi" w:hAnsiTheme="minorHAnsi" w:cs="Arial"/>
          <w:snapToGrid w:val="0"/>
          <w:lang w:eastAsia="en-US"/>
        </w:rPr>
      </w:pPr>
    </w:p>
    <w:p w:rsidR="00950B6C" w:rsidRPr="00617D5D" w:rsidRDefault="00950B6C" w:rsidP="00675462">
      <w:pPr>
        <w:rPr>
          <w:rFonts w:asciiTheme="minorHAnsi" w:hAnsiTheme="minorHAnsi" w:cs="Arial"/>
          <w:snapToGrid w:val="0"/>
          <w:u w:val="single"/>
          <w:lang w:eastAsia="en-US"/>
        </w:rPr>
      </w:pPr>
      <w:r w:rsidRPr="00617D5D">
        <w:rPr>
          <w:rFonts w:asciiTheme="minorHAnsi" w:hAnsiTheme="minorHAnsi" w:cs="Arial"/>
          <w:snapToGrid w:val="0"/>
          <w:u w:val="single"/>
          <w:lang w:eastAsia="en-US"/>
        </w:rPr>
        <w:t xml:space="preserve">Risk of onset of </w:t>
      </w:r>
      <w:proofErr w:type="spellStart"/>
      <w:r w:rsidRPr="00617D5D">
        <w:rPr>
          <w:rFonts w:asciiTheme="minorHAnsi" w:hAnsiTheme="minorHAnsi" w:cs="Arial"/>
          <w:snapToGrid w:val="0"/>
          <w:u w:val="single"/>
          <w:lang w:eastAsia="en-US"/>
        </w:rPr>
        <w:t>aHUS</w:t>
      </w:r>
      <w:proofErr w:type="spellEnd"/>
      <w:r w:rsidRPr="00617D5D">
        <w:rPr>
          <w:rFonts w:asciiTheme="minorHAnsi" w:hAnsiTheme="minorHAnsi" w:cs="Arial"/>
          <w:snapToGrid w:val="0"/>
          <w:u w:val="single"/>
          <w:lang w:eastAsia="en-US"/>
        </w:rPr>
        <w:t xml:space="preserve"> post transplantation</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Some assessment of risk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post transplantation is possible, although definitive characterisation of an individual</w:t>
      </w:r>
      <w:r w:rsidR="002626CB" w:rsidRPr="00617D5D">
        <w:rPr>
          <w:rFonts w:asciiTheme="minorHAnsi" w:hAnsiTheme="minorHAnsi" w:cs="Arial"/>
          <w:snapToGrid w:val="0"/>
          <w:lang w:eastAsia="en-US"/>
        </w:rPr>
        <w:t xml:space="preserve">’s level of risk is difficult. </w:t>
      </w:r>
      <w:r w:rsidRPr="00617D5D">
        <w:rPr>
          <w:rFonts w:asciiTheme="minorHAnsi" w:hAnsiTheme="minorHAnsi" w:cs="Arial"/>
          <w:snapToGrid w:val="0"/>
          <w:lang w:eastAsia="en-US"/>
        </w:rPr>
        <w:t xml:space="preserve">Clinical assessments in Australian practice are based on identifiable genetic mutations and the patient’s prior history of graft loss due to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950B6C">
      <w:pPr>
        <w:widowControl w:val="0"/>
        <w:jc w:val="both"/>
        <w:rPr>
          <w:rFonts w:asciiTheme="minorHAnsi" w:hAnsiTheme="minorHAnsi" w:cs="Arial"/>
          <w:i/>
          <w:snapToGrid w:val="0"/>
          <w:lang w:eastAsia="en-US"/>
        </w:rPr>
      </w:pPr>
      <w:r w:rsidRPr="00617D5D">
        <w:rPr>
          <w:rFonts w:asciiTheme="minorHAnsi" w:hAnsiTheme="minorHAnsi" w:cs="Arial"/>
          <w:i/>
          <w:snapToGrid w:val="0"/>
          <w:lang w:eastAsia="en-US"/>
        </w:rPr>
        <w:t xml:space="preserve">Genetic basis </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The genetic basis for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is not yet fully understood and given the rarity of the disea</w:t>
      </w:r>
      <w:r w:rsidR="002626CB" w:rsidRPr="00617D5D">
        <w:rPr>
          <w:rFonts w:asciiTheme="minorHAnsi" w:hAnsiTheme="minorHAnsi" w:cs="Arial"/>
          <w:snapToGrid w:val="0"/>
          <w:lang w:eastAsia="en-US"/>
        </w:rPr>
        <w:t xml:space="preserve">se data are relatively sparse. </w:t>
      </w:r>
      <w:r w:rsidRPr="00617D5D">
        <w:rPr>
          <w:rFonts w:asciiTheme="minorHAnsi" w:hAnsiTheme="minorHAnsi" w:cs="Arial"/>
          <w:snapToGrid w:val="0"/>
          <w:lang w:eastAsia="en-US"/>
        </w:rPr>
        <w:t xml:space="preserve">Identified mutations can be assigned high, medium or low risk, and these categorisations are likely to evolve as more data are accumulated. With current genotype-phenotype data, approximately half of Australian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patients</w:t>
      </w:r>
      <w:r w:rsidR="005E1BE4" w:rsidRPr="00617D5D">
        <w:rPr>
          <w:rFonts w:asciiTheme="minorHAnsi" w:hAnsiTheme="minorHAnsi" w:cs="Arial"/>
          <w:snapToGrid w:val="0"/>
          <w:lang w:eastAsia="en-US"/>
        </w:rPr>
        <w:t xml:space="preserve"> have</w:t>
      </w:r>
      <w:r w:rsidRPr="00617D5D">
        <w:rPr>
          <w:rFonts w:asciiTheme="minorHAnsi" w:hAnsiTheme="minorHAnsi" w:cs="Arial"/>
          <w:snapToGrid w:val="0"/>
          <w:lang w:eastAsia="en-US"/>
        </w:rPr>
        <w:t xml:space="preserve"> an identified </w:t>
      </w:r>
      <w:proofErr w:type="gramStart"/>
      <w:r w:rsidRPr="00617D5D">
        <w:rPr>
          <w:rFonts w:asciiTheme="minorHAnsi" w:hAnsiTheme="minorHAnsi" w:cs="Arial"/>
          <w:snapToGrid w:val="0"/>
          <w:lang w:eastAsia="en-US"/>
        </w:rPr>
        <w:t>mutation,</w:t>
      </w:r>
      <w:proofErr w:type="gramEnd"/>
      <w:r w:rsidRPr="00617D5D">
        <w:rPr>
          <w:rFonts w:asciiTheme="minorHAnsi" w:hAnsiTheme="minorHAnsi" w:cs="Arial"/>
          <w:snapToGrid w:val="0"/>
          <w:lang w:eastAsia="en-US"/>
        </w:rPr>
        <w:t xml:space="preserve"> although this is proportion is likely to increase as new mutations are identified. Almost all known genotypes have a medi</w:t>
      </w:r>
      <w:r w:rsidR="002626CB" w:rsidRPr="00617D5D">
        <w:rPr>
          <w:rFonts w:asciiTheme="minorHAnsi" w:hAnsiTheme="minorHAnsi" w:cs="Arial"/>
          <w:snapToGrid w:val="0"/>
          <w:lang w:eastAsia="en-US"/>
        </w:rPr>
        <w:t>um-high risk of recurrence</w:t>
      </w:r>
      <w:r w:rsidR="005E1BE4" w:rsidRPr="00617D5D">
        <w:rPr>
          <w:rFonts w:asciiTheme="minorHAnsi" w:hAnsiTheme="minorHAnsi" w:cs="Arial"/>
          <w:snapToGrid w:val="0"/>
          <w:lang w:eastAsia="en-US"/>
        </w:rPr>
        <w:t xml:space="preserve"> of </w:t>
      </w:r>
      <w:proofErr w:type="spellStart"/>
      <w:r w:rsidR="005E1BE4" w:rsidRPr="00617D5D">
        <w:rPr>
          <w:rFonts w:asciiTheme="minorHAnsi" w:hAnsiTheme="minorHAnsi" w:cs="Arial"/>
          <w:snapToGrid w:val="0"/>
          <w:lang w:eastAsia="en-US"/>
        </w:rPr>
        <w:t>aHUS</w:t>
      </w:r>
      <w:proofErr w:type="spellEnd"/>
      <w:r w:rsidR="002626CB" w:rsidRPr="00617D5D">
        <w:rPr>
          <w:rFonts w:asciiTheme="minorHAnsi" w:hAnsiTheme="minorHAnsi" w:cs="Arial"/>
          <w:snapToGrid w:val="0"/>
          <w:lang w:eastAsia="en-US"/>
        </w:rPr>
        <w:t>.</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950B6C">
      <w:pPr>
        <w:widowControl w:val="0"/>
        <w:jc w:val="both"/>
        <w:rPr>
          <w:rFonts w:asciiTheme="minorHAnsi" w:hAnsiTheme="minorHAnsi" w:cs="Arial"/>
          <w:i/>
          <w:snapToGrid w:val="0"/>
          <w:lang w:eastAsia="en-US"/>
        </w:rPr>
      </w:pPr>
      <w:r w:rsidRPr="00617D5D">
        <w:rPr>
          <w:rFonts w:asciiTheme="minorHAnsi" w:hAnsiTheme="minorHAnsi" w:cs="Arial"/>
          <w:i/>
          <w:snapToGrid w:val="0"/>
          <w:lang w:eastAsia="en-US"/>
        </w:rPr>
        <w:t xml:space="preserve">Previous episode of </w:t>
      </w:r>
      <w:proofErr w:type="spellStart"/>
      <w:r w:rsidRPr="00617D5D">
        <w:rPr>
          <w:rFonts w:asciiTheme="minorHAnsi" w:hAnsiTheme="minorHAnsi" w:cs="Arial"/>
          <w:i/>
          <w:snapToGrid w:val="0"/>
          <w:lang w:eastAsia="en-US"/>
        </w:rPr>
        <w:t>aHUS</w:t>
      </w:r>
      <w:proofErr w:type="spellEnd"/>
      <w:r w:rsidRPr="00617D5D">
        <w:rPr>
          <w:rFonts w:asciiTheme="minorHAnsi" w:hAnsiTheme="minorHAnsi" w:cs="Arial"/>
          <w:i/>
          <w:snapToGrid w:val="0"/>
          <w:lang w:eastAsia="en-US"/>
        </w:rPr>
        <w:t xml:space="preserve"> leading to loss of graft</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Patients who have lost a graft due a recurrence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would be considered to be at high risk of further recurrence following a subsequent renal transplant.</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950B6C">
      <w:pPr>
        <w:widowControl w:val="0"/>
        <w:jc w:val="both"/>
        <w:rPr>
          <w:rFonts w:asciiTheme="minorHAnsi" w:hAnsiTheme="minorHAnsi" w:cs="Arial"/>
          <w:snapToGrid w:val="0"/>
          <w:u w:val="single"/>
          <w:lang w:eastAsia="en-US"/>
        </w:rPr>
      </w:pPr>
      <w:r w:rsidRPr="00617D5D">
        <w:rPr>
          <w:rFonts w:asciiTheme="minorHAnsi" w:hAnsiTheme="minorHAnsi" w:cs="Arial"/>
          <w:snapToGrid w:val="0"/>
          <w:u w:val="single"/>
          <w:lang w:eastAsia="en-US"/>
        </w:rPr>
        <w:t xml:space="preserve">Management of </w:t>
      </w:r>
      <w:proofErr w:type="spellStart"/>
      <w:r w:rsidRPr="00617D5D">
        <w:rPr>
          <w:rFonts w:asciiTheme="minorHAnsi" w:hAnsiTheme="minorHAnsi" w:cs="Arial"/>
          <w:snapToGrid w:val="0"/>
          <w:u w:val="single"/>
          <w:lang w:eastAsia="en-US"/>
        </w:rPr>
        <w:t>aHUS</w:t>
      </w:r>
      <w:proofErr w:type="spellEnd"/>
      <w:r w:rsidRPr="00617D5D">
        <w:rPr>
          <w:rFonts w:asciiTheme="minorHAnsi" w:hAnsiTheme="minorHAnsi" w:cs="Arial"/>
          <w:snapToGrid w:val="0"/>
          <w:u w:val="single"/>
          <w:lang w:eastAsia="en-US"/>
        </w:rPr>
        <w:t xml:space="preserve"> in the context of renal transplant</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950B6C">
      <w:pPr>
        <w:widowControl w:val="0"/>
        <w:jc w:val="both"/>
        <w:rPr>
          <w:rFonts w:asciiTheme="minorHAnsi" w:hAnsiTheme="minorHAnsi" w:cs="Arial"/>
          <w:i/>
          <w:snapToGrid w:val="0"/>
          <w:lang w:eastAsia="en-US"/>
        </w:rPr>
      </w:pPr>
      <w:r w:rsidRPr="00617D5D">
        <w:rPr>
          <w:rFonts w:asciiTheme="minorHAnsi" w:hAnsiTheme="minorHAnsi" w:cs="Arial"/>
          <w:i/>
          <w:snapToGrid w:val="0"/>
          <w:lang w:eastAsia="en-US"/>
        </w:rPr>
        <w:t xml:space="preserve">Peri-transplant dosing of </w:t>
      </w:r>
      <w:proofErr w:type="spellStart"/>
      <w:r w:rsidRPr="00617D5D">
        <w:rPr>
          <w:rFonts w:asciiTheme="minorHAnsi" w:hAnsiTheme="minorHAnsi" w:cs="Arial"/>
          <w:i/>
          <w:snapToGrid w:val="0"/>
          <w:lang w:eastAsia="en-US"/>
        </w:rPr>
        <w:t>eculizumab</w:t>
      </w:r>
      <w:proofErr w:type="spellEnd"/>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It was considered by the clinicians that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would be appropriately required to prevent TMA in a peri-transplant setting in recipien</w:t>
      </w:r>
      <w:r w:rsidR="002626CB" w:rsidRPr="00617D5D">
        <w:rPr>
          <w:rFonts w:asciiTheme="minorHAnsi" w:hAnsiTheme="minorHAnsi" w:cs="Arial"/>
          <w:snapToGrid w:val="0"/>
          <w:lang w:eastAsia="en-US"/>
        </w:rPr>
        <w:t>ts at high risk of recurrence</w:t>
      </w:r>
      <w:r w:rsidR="00A20DC4">
        <w:rPr>
          <w:rFonts w:asciiTheme="minorHAnsi" w:hAnsiTheme="minorHAnsi" w:cs="Arial"/>
          <w:snapToGrid w:val="0"/>
          <w:lang w:eastAsia="en-US"/>
        </w:rPr>
        <w:t xml:space="preserve"> of </w:t>
      </w:r>
      <w:proofErr w:type="spellStart"/>
      <w:r w:rsidR="00A20DC4">
        <w:rPr>
          <w:rFonts w:asciiTheme="minorHAnsi" w:hAnsiTheme="minorHAnsi" w:cs="Arial"/>
          <w:snapToGrid w:val="0"/>
          <w:lang w:eastAsia="en-US"/>
        </w:rPr>
        <w:t>aHUS</w:t>
      </w:r>
      <w:proofErr w:type="spellEnd"/>
      <w:r w:rsidR="002626CB" w:rsidRPr="00617D5D">
        <w:rPr>
          <w:rFonts w:asciiTheme="minorHAnsi" w:hAnsiTheme="minorHAnsi" w:cs="Arial"/>
          <w:snapToGrid w:val="0"/>
          <w:lang w:eastAsia="en-US"/>
        </w:rPr>
        <w:t xml:space="preserve">. </w:t>
      </w:r>
      <w:r w:rsidRPr="00617D5D">
        <w:rPr>
          <w:rFonts w:asciiTheme="minorHAnsi" w:hAnsiTheme="minorHAnsi" w:cs="Arial"/>
          <w:snapToGrid w:val="0"/>
          <w:lang w:eastAsia="en-US"/>
        </w:rPr>
        <w:t xml:space="preserve">As some assessment of risk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onset is possible based on identified genetic mutations, clinicians would likely opt to give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to patients with high- or medium-risk mutations.</w:t>
      </w:r>
      <w:r w:rsidR="00787DF7" w:rsidRPr="00617D5D">
        <w:rPr>
          <w:rFonts w:asciiTheme="minorHAnsi" w:hAnsiTheme="minorHAnsi" w:cs="Arial"/>
          <w:snapToGrid w:val="0"/>
          <w:lang w:eastAsia="en-US"/>
        </w:rPr>
        <w:t xml:space="preserve"> </w:t>
      </w:r>
      <w:r w:rsidRPr="00617D5D">
        <w:rPr>
          <w:rFonts w:asciiTheme="minorHAnsi" w:hAnsiTheme="minorHAnsi" w:cs="Arial"/>
          <w:snapToGrid w:val="0"/>
          <w:lang w:eastAsia="en-US"/>
        </w:rPr>
        <w:t xml:space="preserve">Patients with no identified mutation would likely be treated as medium risk, and would be offered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As patients with low-risk mutations would likely represent no more than 5% to 10% of the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population, it was considered likely that most patients at risk of recurrence would receive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in a peri-transplant setting.</w:t>
      </w:r>
    </w:p>
    <w:p w:rsidR="00950B6C" w:rsidRPr="00617D5D" w:rsidRDefault="00950B6C" w:rsidP="00FC668B">
      <w:pPr>
        <w:ind w:left="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would be administered prophylactically in a single dose of 900mg pr</w:t>
      </w:r>
      <w:r w:rsidR="002626CB" w:rsidRPr="00617D5D">
        <w:rPr>
          <w:rFonts w:asciiTheme="minorHAnsi" w:hAnsiTheme="minorHAnsi" w:cs="Arial"/>
          <w:snapToGrid w:val="0"/>
          <w:lang w:eastAsia="en-US"/>
        </w:rPr>
        <w:t xml:space="preserve">ior to the start of surgery. </w:t>
      </w:r>
      <w:r w:rsidRPr="00617D5D">
        <w:rPr>
          <w:rFonts w:asciiTheme="minorHAnsi" w:hAnsiTheme="minorHAnsi" w:cs="Arial"/>
          <w:snapToGrid w:val="0"/>
          <w:lang w:eastAsia="en-US"/>
        </w:rPr>
        <w:t>Although for live donor transplants the timing of the surgery is more predictable than for deceased donor transplants, it was noted that in either case the dose would likely be administered within 24 hours of the procedure.</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950B6C">
      <w:pPr>
        <w:widowControl w:val="0"/>
        <w:jc w:val="both"/>
        <w:rPr>
          <w:rFonts w:asciiTheme="minorHAnsi" w:hAnsiTheme="minorHAnsi" w:cs="Arial"/>
          <w:i/>
          <w:snapToGrid w:val="0"/>
          <w:lang w:eastAsia="en-US"/>
        </w:rPr>
      </w:pPr>
      <w:r w:rsidRPr="00617D5D">
        <w:rPr>
          <w:rFonts w:asciiTheme="minorHAnsi" w:hAnsiTheme="minorHAnsi" w:cs="Arial"/>
          <w:i/>
          <w:snapToGrid w:val="0"/>
          <w:lang w:eastAsia="en-US"/>
        </w:rPr>
        <w:t xml:space="preserve">Ongoing </w:t>
      </w:r>
      <w:proofErr w:type="spellStart"/>
      <w:r w:rsidRPr="00617D5D">
        <w:rPr>
          <w:rFonts w:asciiTheme="minorHAnsi" w:hAnsiTheme="minorHAnsi" w:cs="Arial"/>
          <w:i/>
          <w:snapToGrid w:val="0"/>
          <w:lang w:eastAsia="en-US"/>
        </w:rPr>
        <w:t>eculizumab</w:t>
      </w:r>
      <w:proofErr w:type="spellEnd"/>
      <w:r w:rsidRPr="00617D5D">
        <w:rPr>
          <w:rFonts w:asciiTheme="minorHAnsi" w:hAnsiTheme="minorHAnsi" w:cs="Arial"/>
          <w:i/>
          <w:snapToGrid w:val="0"/>
          <w:lang w:eastAsia="en-US"/>
        </w:rPr>
        <w:t xml:space="preserve"> following renal transplantation</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There was no clear consensus among the clinicians regarding the use of ongoing </w:t>
      </w:r>
      <w:proofErr w:type="spellStart"/>
      <w:r w:rsidRPr="00617D5D">
        <w:rPr>
          <w:rFonts w:asciiTheme="minorHAnsi" w:hAnsiTheme="minorHAnsi" w:cs="Arial"/>
          <w:snapToGrid w:val="0"/>
          <w:lang w:eastAsia="en-US"/>
        </w:rPr>
        <w:t>eculizu</w:t>
      </w:r>
      <w:r w:rsidR="002626CB" w:rsidRPr="00617D5D">
        <w:rPr>
          <w:rFonts w:asciiTheme="minorHAnsi" w:hAnsiTheme="minorHAnsi" w:cs="Arial"/>
          <w:snapToGrid w:val="0"/>
          <w:lang w:eastAsia="en-US"/>
        </w:rPr>
        <w:t>mab</w:t>
      </w:r>
      <w:proofErr w:type="spellEnd"/>
      <w:r w:rsidR="002626CB" w:rsidRPr="00617D5D">
        <w:rPr>
          <w:rFonts w:asciiTheme="minorHAnsi" w:hAnsiTheme="minorHAnsi" w:cs="Arial"/>
          <w:snapToGrid w:val="0"/>
          <w:lang w:eastAsia="en-US"/>
        </w:rPr>
        <w:t xml:space="preserve"> as a prophylactic measure. </w:t>
      </w:r>
      <w:r w:rsidRPr="00617D5D">
        <w:rPr>
          <w:rFonts w:asciiTheme="minorHAnsi" w:hAnsiTheme="minorHAnsi" w:cs="Arial"/>
          <w:snapToGrid w:val="0"/>
          <w:lang w:eastAsia="en-US"/>
        </w:rPr>
        <w:t xml:space="preserve">Some clinicians would prefer to continue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indefinitely until the triggers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are better understood through further research. Others have developed experience with managing patients who have discontinued the drug and opted to monitor closely for any re-emergence of the condition (by platelet count, haemoglobin, dipstick, </w:t>
      </w:r>
      <w:proofErr w:type="spellStart"/>
      <w:r w:rsidRPr="00617D5D">
        <w:rPr>
          <w:rFonts w:asciiTheme="minorHAnsi" w:hAnsiTheme="minorHAnsi" w:cs="Arial"/>
          <w:snapToGrid w:val="0"/>
          <w:lang w:eastAsia="en-US"/>
        </w:rPr>
        <w:t>etc</w:t>
      </w:r>
      <w:proofErr w:type="spellEnd"/>
      <w:r w:rsidRPr="00617D5D">
        <w:rPr>
          <w:rFonts w:asciiTheme="minorHAnsi" w:hAnsiTheme="minorHAnsi" w:cs="Arial"/>
          <w:snapToGrid w:val="0"/>
          <w:lang w:eastAsia="en-US"/>
        </w:rPr>
        <w:t>).</w:t>
      </w:r>
    </w:p>
    <w:p w:rsidR="00950B6C" w:rsidRPr="00617D5D" w:rsidRDefault="00950B6C" w:rsidP="00FC668B">
      <w:pPr>
        <w:ind w:left="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It was considered that clinical decisions about withdrawal of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may, in the future, be guided by high quality testing of complement function and increased understanding of the genetic basis for the disease. It was noted that complement function tests are not widely available at present, but genotyping was increasingly available.</w:t>
      </w:r>
    </w:p>
    <w:p w:rsidR="00950B6C" w:rsidRPr="00617D5D" w:rsidRDefault="00950B6C" w:rsidP="00FC668B">
      <w:pPr>
        <w:widowControl w:val="0"/>
        <w:ind w:left="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It was noted that during the first three months following renal transplantation, patients are exposed to numerous potential triggers for complement activation and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recurrence in the post-surgery phase, including </w:t>
      </w:r>
      <w:proofErr w:type="spellStart"/>
      <w:r w:rsidRPr="00617D5D">
        <w:rPr>
          <w:rFonts w:asciiTheme="minorHAnsi" w:hAnsiTheme="minorHAnsi" w:cs="Arial"/>
          <w:snapToGrid w:val="0"/>
          <w:lang w:eastAsia="en-US"/>
        </w:rPr>
        <w:t>ischaemia</w:t>
      </w:r>
      <w:proofErr w:type="spellEnd"/>
      <w:r w:rsidRPr="00617D5D">
        <w:rPr>
          <w:rFonts w:asciiTheme="minorHAnsi" w:hAnsiTheme="minorHAnsi" w:cs="Arial"/>
          <w:snapToGrid w:val="0"/>
          <w:lang w:eastAsia="en-US"/>
        </w:rPr>
        <w:t xml:space="preserve">-reperfusion injury and the use of </w:t>
      </w:r>
      <w:proofErr w:type="spellStart"/>
      <w:r w:rsidRPr="00617D5D">
        <w:rPr>
          <w:rFonts w:asciiTheme="minorHAnsi" w:hAnsiTheme="minorHAnsi" w:cs="Arial"/>
          <w:snapToGrid w:val="0"/>
          <w:lang w:eastAsia="en-US"/>
        </w:rPr>
        <w:t>calcineurin</w:t>
      </w:r>
      <w:proofErr w:type="spellEnd"/>
      <w:r w:rsidRPr="00617D5D">
        <w:rPr>
          <w:rFonts w:asciiTheme="minorHAnsi" w:hAnsiTheme="minorHAnsi" w:cs="Arial"/>
          <w:snapToGrid w:val="0"/>
          <w:lang w:eastAsia="en-US"/>
        </w:rPr>
        <w:t xml:space="preserve"> inhibitors. Patient management then changes from three months post-transplant, with a reduction in potential triggers encountered.</w:t>
      </w:r>
    </w:p>
    <w:p w:rsidR="00950B6C" w:rsidRPr="00617D5D" w:rsidRDefault="00950B6C" w:rsidP="00FC668B">
      <w:pPr>
        <w:widowControl w:val="0"/>
        <w:ind w:left="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The issue of alternative diagnosis for TMA in the post-transplant setting was discussed.</w:t>
      </w:r>
      <w:r w:rsidR="00787DF7" w:rsidRPr="00617D5D">
        <w:rPr>
          <w:rFonts w:asciiTheme="minorHAnsi" w:hAnsiTheme="minorHAnsi" w:cs="Arial"/>
          <w:snapToGrid w:val="0"/>
          <w:lang w:eastAsia="en-US"/>
        </w:rPr>
        <w:t xml:space="preserve"> </w:t>
      </w:r>
      <w:r w:rsidRPr="00617D5D">
        <w:rPr>
          <w:rFonts w:asciiTheme="minorHAnsi" w:hAnsiTheme="minorHAnsi" w:cs="Arial"/>
          <w:snapToGrid w:val="0"/>
          <w:lang w:eastAsia="en-US"/>
        </w:rPr>
        <w:t xml:space="preserve">It was noted that it can be challenging to distinguish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from other differential diagnoses.</w:t>
      </w:r>
      <w:r w:rsidR="00787DF7" w:rsidRPr="00617D5D">
        <w:rPr>
          <w:rFonts w:asciiTheme="minorHAnsi" w:hAnsiTheme="minorHAnsi" w:cs="Arial"/>
          <w:snapToGrid w:val="0"/>
          <w:lang w:eastAsia="en-US"/>
        </w:rPr>
        <w:t xml:space="preserve"> </w:t>
      </w:r>
      <w:r w:rsidRPr="00617D5D">
        <w:rPr>
          <w:rFonts w:asciiTheme="minorHAnsi" w:hAnsiTheme="minorHAnsi" w:cs="Arial"/>
          <w:snapToGrid w:val="0"/>
          <w:lang w:eastAsia="en-US"/>
        </w:rPr>
        <w:t>For example antibody-mediated rejection may be present in a patient with thrombocytopenia an</w:t>
      </w:r>
      <w:r w:rsidR="002626CB" w:rsidRPr="00617D5D">
        <w:rPr>
          <w:rFonts w:asciiTheme="minorHAnsi" w:hAnsiTheme="minorHAnsi" w:cs="Arial"/>
          <w:snapToGrid w:val="0"/>
          <w:lang w:eastAsia="en-US"/>
        </w:rPr>
        <w:t xml:space="preserve">d a kidney biopsy showing TMA. </w:t>
      </w:r>
      <w:r w:rsidRPr="00617D5D">
        <w:rPr>
          <w:rFonts w:asciiTheme="minorHAnsi" w:hAnsiTheme="minorHAnsi" w:cs="Arial"/>
          <w:snapToGrid w:val="0"/>
          <w:lang w:eastAsia="en-US"/>
        </w:rPr>
        <w:t xml:space="preserve">Complications of </w:t>
      </w:r>
      <w:proofErr w:type="spellStart"/>
      <w:r w:rsidRPr="00617D5D">
        <w:rPr>
          <w:rFonts w:asciiTheme="minorHAnsi" w:hAnsiTheme="minorHAnsi" w:cs="Arial"/>
          <w:snapToGrid w:val="0"/>
          <w:lang w:eastAsia="en-US"/>
        </w:rPr>
        <w:t>calcineurin</w:t>
      </w:r>
      <w:proofErr w:type="spellEnd"/>
      <w:r w:rsidRPr="00617D5D">
        <w:rPr>
          <w:rFonts w:asciiTheme="minorHAnsi" w:hAnsiTheme="minorHAnsi" w:cs="Arial"/>
          <w:snapToGrid w:val="0"/>
          <w:lang w:eastAsia="en-US"/>
        </w:rPr>
        <w:t xml:space="preserve"> inhibitor (CNI) treatment may also present a challenge to establishing an accurate diagnosis. It was conjectured that some transplant teams may choose to commence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treatment under such circumstances. </w:t>
      </w:r>
    </w:p>
    <w:p w:rsidR="00950B6C" w:rsidRPr="00617D5D" w:rsidRDefault="00950B6C" w:rsidP="00FC668B">
      <w:pPr>
        <w:widowControl w:val="0"/>
        <w:ind w:left="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would be administered as three further weekly doses of 900mg, with an increase to 1,200mg in the fifth week following transplant and ongoing dosing of 1,200mg every 14 days thereafter.</w:t>
      </w:r>
      <w:r w:rsidR="00787DF7" w:rsidRPr="00617D5D">
        <w:rPr>
          <w:rFonts w:asciiTheme="minorHAnsi" w:hAnsiTheme="minorHAnsi" w:cs="Arial"/>
          <w:snapToGrid w:val="0"/>
          <w:lang w:eastAsia="en-US"/>
        </w:rPr>
        <w:t xml:space="preserve"> </w:t>
      </w:r>
    </w:p>
    <w:p w:rsidR="00950B6C" w:rsidRPr="00617D5D" w:rsidRDefault="00950B6C" w:rsidP="00FC668B">
      <w:pPr>
        <w:widowControl w:val="0"/>
        <w:ind w:left="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It was noted that the dosing strategy for prophylaxis is the same as for acute management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based on the expectation that the potential TMA triggers encountered post-transplant represent a comparable leve</w:t>
      </w:r>
      <w:r w:rsidR="002626CB" w:rsidRPr="00617D5D">
        <w:rPr>
          <w:rFonts w:asciiTheme="minorHAnsi" w:hAnsiTheme="minorHAnsi" w:cs="Arial"/>
          <w:snapToGrid w:val="0"/>
          <w:lang w:eastAsia="en-US"/>
        </w:rPr>
        <w:t xml:space="preserve">l of risk to an acute episode. </w:t>
      </w:r>
      <w:r w:rsidRPr="00617D5D">
        <w:rPr>
          <w:rFonts w:asciiTheme="minorHAnsi" w:hAnsiTheme="minorHAnsi" w:cs="Arial"/>
          <w:snapToGrid w:val="0"/>
          <w:lang w:eastAsia="en-US"/>
        </w:rPr>
        <w:t>The approved Product Information (PI) provides no specific direction on dosing in peri</w:t>
      </w:r>
      <w:r w:rsidR="002626CB" w:rsidRPr="00617D5D">
        <w:rPr>
          <w:rFonts w:asciiTheme="minorHAnsi" w:hAnsiTheme="minorHAnsi" w:cs="Arial"/>
          <w:snapToGrid w:val="0"/>
          <w:lang w:eastAsia="en-US"/>
        </w:rPr>
        <w:t xml:space="preserve">- or post-transplant settings. </w:t>
      </w:r>
      <w:r w:rsidRPr="00617D5D">
        <w:rPr>
          <w:rFonts w:asciiTheme="minorHAnsi" w:hAnsiTheme="minorHAnsi" w:cs="Arial"/>
          <w:snapToGrid w:val="0"/>
          <w:lang w:eastAsia="en-US"/>
        </w:rPr>
        <w:t xml:space="preserve">Since the TGA registration of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for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in October 2012, there have been no published updates on the drug’s pharmacokinetic or </w:t>
      </w:r>
      <w:proofErr w:type="spellStart"/>
      <w:r w:rsidRPr="00617D5D">
        <w:rPr>
          <w:rFonts w:asciiTheme="minorHAnsi" w:hAnsiTheme="minorHAnsi" w:cs="Arial"/>
          <w:snapToGrid w:val="0"/>
          <w:lang w:eastAsia="en-US"/>
        </w:rPr>
        <w:t>pharmacodynamic</w:t>
      </w:r>
      <w:proofErr w:type="spellEnd"/>
      <w:r w:rsidRPr="00617D5D">
        <w:rPr>
          <w:rFonts w:asciiTheme="minorHAnsi" w:hAnsiTheme="minorHAnsi" w:cs="Arial"/>
          <w:snapToGrid w:val="0"/>
          <w:lang w:eastAsia="en-US"/>
        </w:rPr>
        <w:t xml:space="preserve"> parameters. The absence of recent data to support dose, treatment frequency and treatment duration means that clinicians are forced to develop dosing strategies in the absence of robust evidence. </w:t>
      </w:r>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950B6C">
      <w:pPr>
        <w:widowControl w:val="0"/>
        <w:jc w:val="both"/>
        <w:rPr>
          <w:rFonts w:asciiTheme="minorHAnsi" w:hAnsiTheme="minorHAnsi" w:cs="Arial"/>
          <w:snapToGrid w:val="0"/>
          <w:u w:val="single"/>
          <w:lang w:eastAsia="en-US"/>
        </w:rPr>
      </w:pPr>
      <w:r w:rsidRPr="00617D5D">
        <w:rPr>
          <w:rFonts w:asciiTheme="minorHAnsi" w:hAnsiTheme="minorHAnsi" w:cs="Arial"/>
          <w:snapToGrid w:val="0"/>
          <w:u w:val="single"/>
          <w:lang w:eastAsia="en-US"/>
        </w:rPr>
        <w:t xml:space="preserve">Access to </w:t>
      </w:r>
      <w:proofErr w:type="spellStart"/>
      <w:r w:rsidRPr="00617D5D">
        <w:rPr>
          <w:rFonts w:asciiTheme="minorHAnsi" w:hAnsiTheme="minorHAnsi" w:cs="Arial"/>
          <w:snapToGrid w:val="0"/>
          <w:u w:val="single"/>
          <w:lang w:eastAsia="en-US"/>
        </w:rPr>
        <w:t>eculizumab</w:t>
      </w:r>
      <w:proofErr w:type="spellEnd"/>
      <w:r w:rsidRPr="00617D5D">
        <w:rPr>
          <w:rFonts w:asciiTheme="minorHAnsi" w:hAnsiTheme="minorHAnsi" w:cs="Arial"/>
          <w:snapToGrid w:val="0"/>
          <w:u w:val="single"/>
          <w:lang w:eastAsia="en-US"/>
        </w:rPr>
        <w:t xml:space="preserve"> for patients previously deemed to have failed to respond to </w:t>
      </w:r>
      <w:proofErr w:type="spellStart"/>
      <w:r w:rsidRPr="00617D5D">
        <w:rPr>
          <w:rFonts w:asciiTheme="minorHAnsi" w:hAnsiTheme="minorHAnsi" w:cs="Arial"/>
          <w:snapToGrid w:val="0"/>
          <w:u w:val="single"/>
          <w:lang w:eastAsia="en-US"/>
        </w:rPr>
        <w:t>eculizumab</w:t>
      </w:r>
      <w:proofErr w:type="spellEnd"/>
    </w:p>
    <w:p w:rsidR="00950B6C" w:rsidRPr="00617D5D" w:rsidRDefault="00950B6C" w:rsidP="00950B6C">
      <w:pPr>
        <w:widowControl w:val="0"/>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It was noted that some patients may receive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under the current listing, fail to respond to treatment and progress to ESRD and then become a ca</w:t>
      </w:r>
      <w:r w:rsidR="002626CB" w:rsidRPr="00617D5D">
        <w:rPr>
          <w:rFonts w:asciiTheme="minorHAnsi" w:hAnsiTheme="minorHAnsi" w:cs="Arial"/>
          <w:snapToGrid w:val="0"/>
          <w:lang w:eastAsia="en-US"/>
        </w:rPr>
        <w:t xml:space="preserve">ndidate for renal transplant. </w:t>
      </w:r>
      <w:r w:rsidRPr="00617D5D">
        <w:rPr>
          <w:rFonts w:asciiTheme="minorHAnsi" w:hAnsiTheme="minorHAnsi" w:cs="Arial"/>
          <w:snapToGrid w:val="0"/>
          <w:lang w:eastAsia="en-US"/>
        </w:rPr>
        <w:t xml:space="preserve">The current listing for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defines a treatment failure as a case in which the patient is:</w:t>
      </w:r>
    </w:p>
    <w:p w:rsidR="00950B6C" w:rsidRPr="00617D5D" w:rsidRDefault="00950B6C" w:rsidP="00950B6C">
      <w:pPr>
        <w:widowControl w:val="0"/>
        <w:numPr>
          <w:ilvl w:val="2"/>
          <w:numId w:val="18"/>
        </w:numPr>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dialysis-dependent at the time of application and has failed to demonstrate significant resolution of extra-renal complications if originally presented; or </w:t>
      </w:r>
    </w:p>
    <w:p w:rsidR="00950B6C" w:rsidRPr="00617D5D" w:rsidRDefault="00950B6C" w:rsidP="00950B6C">
      <w:pPr>
        <w:widowControl w:val="0"/>
        <w:numPr>
          <w:ilvl w:val="2"/>
          <w:numId w:val="18"/>
        </w:numPr>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on dialysis and has been on dialysis for 4 months of the previous 6 months while receiving PBS-subsidised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and has failed to demonstrate significant resolution of extra-renal complications if originally presented. </w:t>
      </w:r>
    </w:p>
    <w:p w:rsidR="00950B6C" w:rsidRPr="00617D5D" w:rsidRDefault="00950B6C" w:rsidP="00FC668B">
      <w:pPr>
        <w:widowControl w:val="0"/>
        <w:ind w:left="709" w:hanging="709"/>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hanging="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These criteria, among others, are applied once a patient has received 24 weeks of tr</w:t>
      </w:r>
      <w:r w:rsidR="002626CB" w:rsidRPr="00617D5D">
        <w:rPr>
          <w:rFonts w:asciiTheme="minorHAnsi" w:hAnsiTheme="minorHAnsi" w:cs="Arial"/>
          <w:snapToGrid w:val="0"/>
          <w:lang w:eastAsia="en-US"/>
        </w:rPr>
        <w:t xml:space="preserve">eatment with </w:t>
      </w:r>
      <w:proofErr w:type="spellStart"/>
      <w:r w:rsidR="002626CB" w:rsidRPr="00617D5D">
        <w:rPr>
          <w:rFonts w:asciiTheme="minorHAnsi" w:hAnsiTheme="minorHAnsi" w:cs="Arial"/>
          <w:snapToGrid w:val="0"/>
          <w:lang w:eastAsia="en-US"/>
        </w:rPr>
        <w:t>eculizumab</w:t>
      </w:r>
      <w:proofErr w:type="spellEnd"/>
      <w:r w:rsidR="002626CB" w:rsidRPr="00617D5D">
        <w:rPr>
          <w:rFonts w:asciiTheme="minorHAnsi" w:hAnsiTheme="minorHAnsi" w:cs="Arial"/>
          <w:snapToGrid w:val="0"/>
          <w:lang w:eastAsia="en-US"/>
        </w:rPr>
        <w:t xml:space="preserve">. </w:t>
      </w:r>
      <w:r w:rsidRPr="00617D5D">
        <w:rPr>
          <w:rFonts w:asciiTheme="minorHAnsi" w:hAnsiTheme="minorHAnsi" w:cs="Arial"/>
          <w:snapToGrid w:val="0"/>
          <w:lang w:eastAsia="en-US"/>
        </w:rPr>
        <w:t xml:space="preserve">It was asked whether a patient’s condition would respond to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following renal transplant when 24 weeks of treatment had not adequately controlled the condition previously.</w:t>
      </w:r>
    </w:p>
    <w:p w:rsidR="00950B6C" w:rsidRPr="00617D5D" w:rsidRDefault="00950B6C" w:rsidP="00FC668B">
      <w:pPr>
        <w:ind w:left="709" w:hanging="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hanging="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It was noted that there is a lack of high quality data to predict a patient’s response to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under these circumstances. It was speculated that, as dialysis can stimulate complement activity, this may complicate a prediction of such a patient’s res</w:t>
      </w:r>
      <w:r w:rsidR="002626CB" w:rsidRPr="00617D5D">
        <w:rPr>
          <w:rFonts w:asciiTheme="minorHAnsi" w:hAnsiTheme="minorHAnsi" w:cs="Arial"/>
          <w:snapToGrid w:val="0"/>
          <w:lang w:eastAsia="en-US"/>
        </w:rPr>
        <w:t xml:space="preserve">ponse to subsequent treatment. </w:t>
      </w:r>
      <w:r w:rsidRPr="00617D5D">
        <w:rPr>
          <w:rFonts w:asciiTheme="minorHAnsi" w:hAnsiTheme="minorHAnsi" w:cs="Arial"/>
          <w:snapToGrid w:val="0"/>
          <w:lang w:eastAsia="en-US"/>
        </w:rPr>
        <w:t xml:space="preserve">It was noted that an assessment of any extra-renal manifestations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would provide context to determine the previous response to treatment and</w:t>
      </w:r>
      <w:r w:rsidR="002626CB" w:rsidRPr="00617D5D">
        <w:rPr>
          <w:rFonts w:asciiTheme="minorHAnsi" w:hAnsiTheme="minorHAnsi" w:cs="Arial"/>
          <w:snapToGrid w:val="0"/>
          <w:lang w:eastAsia="en-US"/>
        </w:rPr>
        <w:t xml:space="preserve"> possible future response.</w:t>
      </w:r>
    </w:p>
    <w:p w:rsidR="00950B6C" w:rsidRPr="00617D5D" w:rsidRDefault="00950B6C" w:rsidP="00FC668B">
      <w:pPr>
        <w:widowControl w:val="0"/>
        <w:ind w:left="709" w:hanging="709"/>
        <w:jc w:val="both"/>
        <w:rPr>
          <w:rFonts w:asciiTheme="minorHAnsi" w:hAnsiTheme="minorHAnsi" w:cs="Arial"/>
          <w:snapToGrid w:val="0"/>
          <w:lang w:eastAsia="en-US"/>
        </w:rPr>
      </w:pPr>
    </w:p>
    <w:p w:rsidR="00950B6C" w:rsidRPr="00617D5D" w:rsidRDefault="00950B6C" w:rsidP="00FC668B">
      <w:pPr>
        <w:widowControl w:val="0"/>
        <w:ind w:left="709" w:hanging="709"/>
        <w:jc w:val="both"/>
        <w:rPr>
          <w:rFonts w:asciiTheme="minorHAnsi" w:hAnsiTheme="minorHAnsi" w:cs="Arial"/>
          <w:snapToGrid w:val="0"/>
          <w:u w:val="single"/>
          <w:lang w:eastAsia="en-US"/>
        </w:rPr>
      </w:pPr>
      <w:r w:rsidRPr="00617D5D">
        <w:rPr>
          <w:rFonts w:asciiTheme="minorHAnsi" w:hAnsiTheme="minorHAnsi" w:cs="Arial"/>
          <w:snapToGrid w:val="0"/>
          <w:u w:val="single"/>
          <w:lang w:eastAsia="en-US"/>
        </w:rPr>
        <w:t>Treatment setting</w:t>
      </w:r>
    </w:p>
    <w:p w:rsidR="00950B6C" w:rsidRPr="00617D5D" w:rsidRDefault="00950B6C" w:rsidP="00FC668B">
      <w:pPr>
        <w:widowControl w:val="0"/>
        <w:ind w:left="709" w:hanging="709"/>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hanging="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With regard to current Australian practice, it was noted that the majority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patients are treated in public hospital settings, predominantly by specialists in nephrology and haematology.</w:t>
      </w:r>
    </w:p>
    <w:p w:rsidR="00950B6C" w:rsidRPr="00617D5D" w:rsidRDefault="00950B6C" w:rsidP="00FC668B">
      <w:pPr>
        <w:ind w:left="709" w:hanging="709"/>
        <w:contextualSpacing/>
        <w:jc w:val="both"/>
        <w:rPr>
          <w:rFonts w:asciiTheme="minorHAnsi" w:hAnsiTheme="minorHAnsi" w:cs="Arial"/>
          <w:snapToGrid w:val="0"/>
          <w:lang w:eastAsia="en-US"/>
        </w:rPr>
      </w:pPr>
    </w:p>
    <w:p w:rsidR="00FB2347" w:rsidRPr="004A6028" w:rsidRDefault="00950B6C" w:rsidP="004A6028">
      <w:pPr>
        <w:widowControl w:val="0"/>
        <w:numPr>
          <w:ilvl w:val="1"/>
          <w:numId w:val="5"/>
        </w:numPr>
        <w:ind w:left="709" w:hanging="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It was noted that the United Kingdom initially established a specialised centre to co-ordinate management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treatment with </w:t>
      </w:r>
      <w:proofErr w:type="spellStart"/>
      <w:r w:rsidRPr="00617D5D">
        <w:rPr>
          <w:rFonts w:asciiTheme="minorHAnsi" w:hAnsiTheme="minorHAnsi" w:cs="Arial"/>
          <w:snapToGrid w:val="0"/>
          <w:lang w:eastAsia="en-US"/>
        </w:rPr>
        <w:t>eculi</w:t>
      </w:r>
      <w:r w:rsidR="002626CB" w:rsidRPr="00617D5D">
        <w:rPr>
          <w:rFonts w:asciiTheme="minorHAnsi" w:hAnsiTheme="minorHAnsi" w:cs="Arial"/>
          <w:snapToGrid w:val="0"/>
          <w:lang w:eastAsia="en-US"/>
        </w:rPr>
        <w:t>zumab</w:t>
      </w:r>
      <w:proofErr w:type="spellEnd"/>
      <w:r w:rsidR="002626CB" w:rsidRPr="00617D5D">
        <w:rPr>
          <w:rFonts w:asciiTheme="minorHAnsi" w:hAnsiTheme="minorHAnsi" w:cs="Arial"/>
          <w:snapToGrid w:val="0"/>
          <w:lang w:eastAsia="en-US"/>
        </w:rPr>
        <w:t xml:space="preserve">. </w:t>
      </w:r>
      <w:r w:rsidRPr="00617D5D">
        <w:rPr>
          <w:rFonts w:asciiTheme="minorHAnsi" w:hAnsiTheme="minorHAnsi" w:cs="Arial"/>
          <w:snapToGrid w:val="0"/>
          <w:lang w:eastAsia="en-US"/>
        </w:rPr>
        <w:t>Under such a model, while not all patients would travel to the centre for management of their condition, the centre would take on an ove</w:t>
      </w:r>
      <w:r w:rsidR="002626CB" w:rsidRPr="00617D5D">
        <w:rPr>
          <w:rFonts w:asciiTheme="minorHAnsi" w:hAnsiTheme="minorHAnsi" w:cs="Arial"/>
          <w:snapToGrid w:val="0"/>
          <w:lang w:eastAsia="en-US"/>
        </w:rPr>
        <w:t xml:space="preserve">rsight and co-ordination role. </w:t>
      </w:r>
      <w:r w:rsidRPr="00617D5D">
        <w:rPr>
          <w:rFonts w:asciiTheme="minorHAnsi" w:hAnsiTheme="minorHAnsi" w:cs="Arial"/>
          <w:snapToGrid w:val="0"/>
          <w:lang w:eastAsia="en-US"/>
        </w:rPr>
        <w:t xml:space="preserve">The merits of this approach were noted, in that it would promote consistent care of all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patients across the country and would provide additional opportunities to enhance data capture.</w:t>
      </w:r>
      <w:r w:rsidR="00787DF7" w:rsidRPr="00617D5D">
        <w:rPr>
          <w:rFonts w:asciiTheme="minorHAnsi" w:hAnsiTheme="minorHAnsi" w:cs="Arial"/>
          <w:snapToGrid w:val="0"/>
          <w:lang w:eastAsia="en-US"/>
        </w:rPr>
        <w:t xml:space="preserve"> </w:t>
      </w:r>
    </w:p>
    <w:p w:rsidR="00FB2347" w:rsidRDefault="00FB2347" w:rsidP="00FC668B">
      <w:pPr>
        <w:widowControl w:val="0"/>
        <w:ind w:left="709" w:hanging="709"/>
        <w:jc w:val="both"/>
        <w:rPr>
          <w:rFonts w:asciiTheme="minorHAnsi" w:hAnsiTheme="minorHAnsi" w:cs="Arial"/>
          <w:snapToGrid w:val="0"/>
          <w:lang w:eastAsia="en-US"/>
        </w:rPr>
      </w:pPr>
    </w:p>
    <w:p w:rsidR="004A6028" w:rsidRDefault="004A6028" w:rsidP="00FC668B">
      <w:pPr>
        <w:widowControl w:val="0"/>
        <w:ind w:left="709" w:hanging="709"/>
        <w:jc w:val="both"/>
        <w:rPr>
          <w:rFonts w:asciiTheme="minorHAnsi" w:hAnsiTheme="minorHAnsi" w:cs="Arial"/>
          <w:snapToGrid w:val="0"/>
          <w:lang w:eastAsia="en-US"/>
        </w:rPr>
      </w:pPr>
    </w:p>
    <w:p w:rsidR="004A6028" w:rsidRDefault="004A6028" w:rsidP="00FC668B">
      <w:pPr>
        <w:widowControl w:val="0"/>
        <w:ind w:left="709" w:hanging="709"/>
        <w:jc w:val="both"/>
        <w:rPr>
          <w:rFonts w:asciiTheme="minorHAnsi" w:hAnsiTheme="minorHAnsi" w:cs="Arial"/>
          <w:snapToGrid w:val="0"/>
          <w:lang w:eastAsia="en-US"/>
        </w:rPr>
      </w:pPr>
    </w:p>
    <w:p w:rsidR="004A6028" w:rsidRPr="00617D5D" w:rsidRDefault="004A6028" w:rsidP="00FC668B">
      <w:pPr>
        <w:widowControl w:val="0"/>
        <w:ind w:left="709" w:hanging="709"/>
        <w:jc w:val="both"/>
        <w:rPr>
          <w:rFonts w:asciiTheme="minorHAnsi" w:hAnsiTheme="minorHAnsi" w:cs="Arial"/>
          <w:snapToGrid w:val="0"/>
          <w:lang w:eastAsia="en-US"/>
        </w:rPr>
      </w:pPr>
    </w:p>
    <w:p w:rsidR="00950B6C" w:rsidRPr="00617D5D" w:rsidRDefault="00950B6C" w:rsidP="00FC668B">
      <w:pPr>
        <w:widowControl w:val="0"/>
        <w:ind w:left="709" w:hanging="709"/>
        <w:jc w:val="both"/>
        <w:rPr>
          <w:rFonts w:asciiTheme="minorHAnsi" w:hAnsiTheme="minorHAnsi" w:cs="Arial"/>
          <w:snapToGrid w:val="0"/>
          <w:u w:val="single"/>
          <w:lang w:eastAsia="en-US"/>
        </w:rPr>
      </w:pPr>
      <w:r w:rsidRPr="00617D5D">
        <w:rPr>
          <w:rFonts w:asciiTheme="minorHAnsi" w:hAnsiTheme="minorHAnsi" w:cs="Arial"/>
          <w:snapToGrid w:val="0"/>
          <w:u w:val="single"/>
          <w:lang w:eastAsia="en-US"/>
        </w:rPr>
        <w:t>Data capture</w:t>
      </w:r>
    </w:p>
    <w:p w:rsidR="00950B6C" w:rsidRPr="00617D5D" w:rsidRDefault="00950B6C" w:rsidP="00FC668B">
      <w:pPr>
        <w:widowControl w:val="0"/>
        <w:ind w:left="709" w:hanging="709"/>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hanging="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It was also noted that the quality of data submitted by prescribers in support of applications for continuing treatment was variab</w:t>
      </w:r>
      <w:r w:rsidR="0098270C" w:rsidRPr="00617D5D">
        <w:rPr>
          <w:rFonts w:asciiTheme="minorHAnsi" w:hAnsiTheme="minorHAnsi" w:cs="Arial"/>
          <w:snapToGrid w:val="0"/>
          <w:lang w:eastAsia="en-US"/>
        </w:rPr>
        <w:t xml:space="preserve">le. </w:t>
      </w:r>
      <w:r w:rsidRPr="00617D5D">
        <w:rPr>
          <w:rFonts w:asciiTheme="minorHAnsi" w:hAnsiTheme="minorHAnsi" w:cs="Arial"/>
          <w:snapToGrid w:val="0"/>
          <w:lang w:eastAsia="en-US"/>
        </w:rPr>
        <w:t xml:space="preserve">Of particular note was that genetic testing of </w:t>
      </w:r>
      <w:proofErr w:type="spellStart"/>
      <w:r w:rsidRPr="00617D5D">
        <w:rPr>
          <w:rFonts w:asciiTheme="minorHAnsi" w:hAnsiTheme="minorHAnsi" w:cs="Arial"/>
          <w:snapToGrid w:val="0"/>
          <w:lang w:eastAsia="en-US"/>
        </w:rPr>
        <w:t>aHUS</w:t>
      </w:r>
      <w:proofErr w:type="spellEnd"/>
      <w:r w:rsidRPr="00617D5D">
        <w:rPr>
          <w:rFonts w:asciiTheme="minorHAnsi" w:hAnsiTheme="minorHAnsi" w:cs="Arial"/>
          <w:snapToGrid w:val="0"/>
          <w:lang w:eastAsia="en-US"/>
        </w:rPr>
        <w:t xml:space="preserve"> patients did not appear to be a univer</w:t>
      </w:r>
      <w:r w:rsidR="0098270C" w:rsidRPr="00617D5D">
        <w:rPr>
          <w:rFonts w:asciiTheme="minorHAnsi" w:hAnsiTheme="minorHAnsi" w:cs="Arial"/>
          <w:snapToGrid w:val="0"/>
          <w:lang w:eastAsia="en-US"/>
        </w:rPr>
        <w:t xml:space="preserve">sal approach among clinicians. </w:t>
      </w:r>
      <w:r w:rsidRPr="00617D5D">
        <w:rPr>
          <w:rFonts w:asciiTheme="minorHAnsi" w:hAnsiTheme="minorHAnsi" w:cs="Arial"/>
          <w:snapToGrid w:val="0"/>
          <w:lang w:eastAsia="en-US"/>
        </w:rPr>
        <w:t xml:space="preserve">While the time impost of reporting for clinicians was noted, this needs to be considered in the context of the very substantial societal cost incurred subsidising the drug. </w:t>
      </w:r>
    </w:p>
    <w:p w:rsidR="00950B6C" w:rsidRPr="00617D5D" w:rsidRDefault="00950B6C" w:rsidP="00FC668B">
      <w:pPr>
        <w:ind w:left="709" w:hanging="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hanging="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While it is likely that genotyping is increasingly performed it is not a consistent practice. It was noted that the proportion of patients without genotyping will continue to diminish. The role of PBS restrictions in driving testing practices, as it has with ADAMTS-13 for the current listing, was noted.</w:t>
      </w:r>
      <w:r w:rsidR="00787DF7" w:rsidRPr="00617D5D">
        <w:rPr>
          <w:rFonts w:asciiTheme="minorHAnsi" w:hAnsiTheme="minorHAnsi" w:cs="Arial"/>
          <w:snapToGrid w:val="0"/>
          <w:lang w:eastAsia="en-US"/>
        </w:rPr>
        <w:t xml:space="preserve"> </w:t>
      </w:r>
    </w:p>
    <w:p w:rsidR="00950B6C" w:rsidRPr="00617D5D" w:rsidRDefault="00950B6C" w:rsidP="00FC668B">
      <w:pPr>
        <w:widowControl w:val="0"/>
        <w:ind w:left="709" w:hanging="709"/>
        <w:contextualSpacing/>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hanging="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The possibility of improving data capture through a trial was discussed. Although PBS subsidy cannot be limited only to trial settings, improved data quality was not</w:t>
      </w:r>
      <w:r w:rsidR="0098270C" w:rsidRPr="00617D5D">
        <w:rPr>
          <w:rFonts w:asciiTheme="minorHAnsi" w:hAnsiTheme="minorHAnsi" w:cs="Arial"/>
          <w:snapToGrid w:val="0"/>
          <w:lang w:eastAsia="en-US"/>
        </w:rPr>
        <w:t>ed as a potential benefit.</w:t>
      </w:r>
    </w:p>
    <w:p w:rsidR="00950B6C" w:rsidRPr="00617D5D" w:rsidRDefault="00950B6C" w:rsidP="00FC668B">
      <w:pPr>
        <w:widowControl w:val="0"/>
        <w:ind w:left="709" w:hanging="709"/>
        <w:jc w:val="both"/>
        <w:rPr>
          <w:rFonts w:asciiTheme="minorHAnsi" w:hAnsiTheme="minorHAnsi" w:cs="Arial"/>
          <w:snapToGrid w:val="0"/>
          <w:lang w:eastAsia="en-US"/>
        </w:rPr>
      </w:pPr>
    </w:p>
    <w:p w:rsidR="00950B6C" w:rsidRPr="00617D5D" w:rsidRDefault="00950B6C" w:rsidP="00FC668B">
      <w:pPr>
        <w:widowControl w:val="0"/>
        <w:ind w:left="709" w:hanging="709"/>
        <w:jc w:val="both"/>
        <w:rPr>
          <w:rFonts w:asciiTheme="minorHAnsi" w:hAnsiTheme="minorHAnsi" w:cs="Arial"/>
          <w:snapToGrid w:val="0"/>
          <w:u w:val="single"/>
          <w:lang w:eastAsia="en-US"/>
        </w:rPr>
      </w:pPr>
      <w:r w:rsidRPr="00617D5D">
        <w:rPr>
          <w:rFonts w:asciiTheme="minorHAnsi" w:hAnsiTheme="minorHAnsi" w:cs="Arial"/>
          <w:snapToGrid w:val="0"/>
          <w:u w:val="single"/>
          <w:lang w:eastAsia="en-US"/>
        </w:rPr>
        <w:t>Other matters</w:t>
      </w:r>
    </w:p>
    <w:p w:rsidR="00950B6C" w:rsidRPr="00617D5D" w:rsidRDefault="00950B6C" w:rsidP="00FC668B">
      <w:pPr>
        <w:widowControl w:val="0"/>
        <w:ind w:left="709" w:hanging="709"/>
        <w:jc w:val="both"/>
        <w:rPr>
          <w:rFonts w:asciiTheme="minorHAnsi" w:hAnsiTheme="minorHAnsi" w:cs="Arial"/>
          <w:snapToGrid w:val="0"/>
          <w:lang w:eastAsia="en-US"/>
        </w:rPr>
      </w:pPr>
    </w:p>
    <w:p w:rsidR="00950B6C" w:rsidRPr="00617D5D" w:rsidRDefault="00950B6C" w:rsidP="00FC668B">
      <w:pPr>
        <w:widowControl w:val="0"/>
        <w:numPr>
          <w:ilvl w:val="1"/>
          <w:numId w:val="5"/>
        </w:numPr>
        <w:ind w:left="709" w:hanging="709"/>
        <w:contextualSpacing/>
        <w:jc w:val="both"/>
        <w:rPr>
          <w:rFonts w:asciiTheme="minorHAnsi" w:hAnsiTheme="minorHAnsi" w:cs="Arial"/>
          <w:snapToGrid w:val="0"/>
          <w:lang w:eastAsia="en-US"/>
        </w:rPr>
      </w:pPr>
      <w:r w:rsidRPr="00617D5D">
        <w:rPr>
          <w:rFonts w:asciiTheme="minorHAnsi" w:hAnsiTheme="minorHAnsi" w:cs="Arial"/>
          <w:snapToGrid w:val="0"/>
          <w:lang w:eastAsia="en-US"/>
        </w:rPr>
        <w:t xml:space="preserve">The PBAC Chair reminded meeting attendees that the Committee has an obligation under the </w:t>
      </w:r>
      <w:r w:rsidRPr="00617D5D">
        <w:rPr>
          <w:rFonts w:asciiTheme="minorHAnsi" w:hAnsiTheme="minorHAnsi" w:cs="Arial"/>
          <w:i/>
          <w:snapToGrid w:val="0"/>
          <w:lang w:eastAsia="en-US"/>
        </w:rPr>
        <w:t>National Health Act 1953</w:t>
      </w:r>
      <w:r w:rsidRPr="00617D5D">
        <w:rPr>
          <w:rFonts w:asciiTheme="minorHAnsi" w:hAnsiTheme="minorHAnsi" w:cs="Arial"/>
          <w:snapToGrid w:val="0"/>
          <w:lang w:eastAsia="en-US"/>
        </w:rPr>
        <w:t xml:space="preserve"> to advise the Minister for Health about the</w:t>
      </w:r>
      <w:r w:rsidR="0098270C" w:rsidRPr="00617D5D">
        <w:rPr>
          <w:rFonts w:asciiTheme="minorHAnsi" w:hAnsiTheme="minorHAnsi" w:cs="Arial"/>
          <w:snapToGrid w:val="0"/>
          <w:lang w:eastAsia="en-US"/>
        </w:rPr>
        <w:t xml:space="preserve"> cost effectiveness of a drug. </w:t>
      </w:r>
      <w:r w:rsidRPr="00617D5D">
        <w:rPr>
          <w:rFonts w:asciiTheme="minorHAnsi" w:hAnsiTheme="minorHAnsi" w:cs="Arial"/>
          <w:snapToGrid w:val="0"/>
          <w:lang w:eastAsia="en-US"/>
        </w:rPr>
        <w:t xml:space="preserve">The administrative process for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was noted to be highly complicated for prescribers, </w:t>
      </w:r>
      <w:r w:rsidR="0098270C" w:rsidRPr="00617D5D">
        <w:rPr>
          <w:rFonts w:asciiTheme="minorHAnsi" w:hAnsiTheme="minorHAnsi" w:cs="Arial"/>
          <w:snapToGrid w:val="0"/>
          <w:lang w:eastAsia="en-US"/>
        </w:rPr>
        <w:t xml:space="preserve">patients and the Commonwealth. </w:t>
      </w:r>
      <w:r w:rsidRPr="00617D5D">
        <w:rPr>
          <w:rFonts w:asciiTheme="minorHAnsi" w:hAnsiTheme="minorHAnsi" w:cs="Arial"/>
          <w:snapToGrid w:val="0"/>
          <w:lang w:eastAsia="en-US"/>
        </w:rPr>
        <w:t xml:space="preserve">Although a simpler approval mechanism would be preferable, the current process attempted to balance facilitated access for patients in genuine clinical need with the extremely high price of the drug. In the absence of robust eligibility criteria and a stopping rule, </w:t>
      </w:r>
      <w:proofErr w:type="spellStart"/>
      <w:r w:rsidRPr="00617D5D">
        <w:rPr>
          <w:rFonts w:asciiTheme="minorHAnsi" w:hAnsiTheme="minorHAnsi" w:cs="Arial"/>
          <w:snapToGrid w:val="0"/>
          <w:lang w:eastAsia="en-US"/>
        </w:rPr>
        <w:t>eculizumab</w:t>
      </w:r>
      <w:proofErr w:type="spellEnd"/>
      <w:r w:rsidRPr="00617D5D">
        <w:rPr>
          <w:rFonts w:asciiTheme="minorHAnsi" w:hAnsiTheme="minorHAnsi" w:cs="Arial"/>
          <w:snapToGrid w:val="0"/>
          <w:lang w:eastAsia="en-US"/>
        </w:rPr>
        <w:t xml:space="preserve"> is not likely to be cost effective.</w:t>
      </w:r>
    </w:p>
    <w:p w:rsidR="005E0209" w:rsidRPr="00617D5D" w:rsidRDefault="005E0209" w:rsidP="00454419">
      <w:pPr>
        <w:rPr>
          <w:rFonts w:asciiTheme="minorHAnsi" w:hAnsiTheme="minorHAnsi"/>
        </w:rPr>
      </w:pPr>
    </w:p>
    <w:p w:rsidR="00E20531" w:rsidRPr="00617D5D" w:rsidRDefault="005E0209" w:rsidP="00454419">
      <w:pPr>
        <w:rPr>
          <w:rFonts w:asciiTheme="minorHAnsi" w:hAnsiTheme="minorHAnsi"/>
          <w:b/>
          <w:i/>
          <w:sz w:val="28"/>
          <w:szCs w:val="28"/>
        </w:rPr>
      </w:pPr>
      <w:r w:rsidRPr="00617D5D">
        <w:rPr>
          <w:rFonts w:asciiTheme="minorHAnsi" w:hAnsiTheme="minorHAnsi"/>
          <w:b/>
          <w:i/>
          <w:sz w:val="28"/>
          <w:szCs w:val="28"/>
        </w:rPr>
        <w:t>Current submission</w:t>
      </w:r>
    </w:p>
    <w:p w:rsidR="005E0209" w:rsidRDefault="005E0209" w:rsidP="00FC668B">
      <w:pPr>
        <w:pStyle w:val="ListParagraph"/>
        <w:ind w:hanging="720"/>
        <w:rPr>
          <w:rFonts w:asciiTheme="minorHAnsi" w:hAnsiTheme="minorHAnsi"/>
          <w:szCs w:val="22"/>
        </w:rPr>
      </w:pPr>
    </w:p>
    <w:p w:rsidR="00B92AA8" w:rsidRPr="00617D5D" w:rsidRDefault="00B92AA8"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The submission relied in part on previously submitted studies (previously presented in the March 2014 re-submission and March 2016 submission) which included, four open-label, single arm studies, five retrospective case series, and 40 case reports (3 of which</w:t>
      </w:r>
      <w:r w:rsidRPr="00617D5D">
        <w:rPr>
          <w:sz w:val="24"/>
          <w:szCs w:val="24"/>
        </w:rPr>
        <w:t xml:space="preserve"> </w:t>
      </w:r>
      <w:r w:rsidRPr="00617D5D">
        <w:rPr>
          <w:rFonts w:asciiTheme="minorHAnsi" w:hAnsiTheme="minorHAnsi"/>
          <w:sz w:val="24"/>
          <w:szCs w:val="24"/>
        </w:rPr>
        <w:t xml:space="preserve">detailed interrupted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dosing in patients with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and a transplanted kidney).</w:t>
      </w:r>
    </w:p>
    <w:p w:rsidR="00B92AA8" w:rsidRPr="00617D5D" w:rsidRDefault="00B92AA8" w:rsidP="00FC668B">
      <w:pPr>
        <w:pStyle w:val="ListParagraph"/>
        <w:ind w:hanging="720"/>
        <w:rPr>
          <w:rFonts w:asciiTheme="minorHAnsi" w:hAnsiTheme="minorHAnsi"/>
          <w:sz w:val="24"/>
          <w:szCs w:val="24"/>
        </w:rPr>
      </w:pPr>
    </w:p>
    <w:p w:rsidR="00E20531" w:rsidRPr="00617D5D" w:rsidRDefault="003A068D" w:rsidP="00FC668B">
      <w:pPr>
        <w:pStyle w:val="ListParagraph"/>
        <w:numPr>
          <w:ilvl w:val="1"/>
          <w:numId w:val="5"/>
        </w:numPr>
        <w:ind w:left="720"/>
        <w:rPr>
          <w:rFonts w:asciiTheme="minorHAnsi" w:hAnsiTheme="minorHAnsi"/>
          <w:sz w:val="24"/>
          <w:szCs w:val="24"/>
        </w:rPr>
      </w:pPr>
      <w:r>
        <w:rPr>
          <w:rFonts w:asciiTheme="minorHAnsi" w:hAnsiTheme="minorHAnsi"/>
          <w:sz w:val="24"/>
          <w:szCs w:val="24"/>
        </w:rPr>
        <w:t>Evidence that had</w:t>
      </w:r>
      <w:r w:rsidR="00E20531" w:rsidRPr="00617D5D">
        <w:rPr>
          <w:rFonts w:asciiTheme="minorHAnsi" w:hAnsiTheme="minorHAnsi"/>
          <w:sz w:val="24"/>
          <w:szCs w:val="24"/>
        </w:rPr>
        <w:t xml:space="preserve"> not been previously </w:t>
      </w:r>
      <w:r w:rsidR="00B92AA8" w:rsidRPr="00617D5D">
        <w:rPr>
          <w:rFonts w:asciiTheme="minorHAnsi" w:hAnsiTheme="minorHAnsi"/>
          <w:sz w:val="24"/>
          <w:szCs w:val="24"/>
        </w:rPr>
        <w:t>assessed by</w:t>
      </w:r>
      <w:r w:rsidR="00E20531" w:rsidRPr="00617D5D">
        <w:rPr>
          <w:rFonts w:asciiTheme="minorHAnsi" w:hAnsiTheme="minorHAnsi"/>
          <w:sz w:val="24"/>
          <w:szCs w:val="24"/>
        </w:rPr>
        <w:t xml:space="preserve"> the PBAC but was presented in the current submission included:</w:t>
      </w:r>
    </w:p>
    <w:p w:rsidR="00E20531" w:rsidRPr="00617D5D" w:rsidRDefault="0029190D" w:rsidP="00FC668B">
      <w:pPr>
        <w:pStyle w:val="ListParagraph"/>
        <w:numPr>
          <w:ilvl w:val="0"/>
          <w:numId w:val="17"/>
        </w:numPr>
        <w:ind w:left="1418" w:hanging="709"/>
        <w:rPr>
          <w:rFonts w:asciiTheme="minorHAnsi" w:hAnsiTheme="minorHAnsi"/>
          <w:sz w:val="24"/>
          <w:szCs w:val="24"/>
        </w:rPr>
      </w:pPr>
      <w:r w:rsidRPr="00617D5D">
        <w:rPr>
          <w:rFonts w:asciiTheme="minorHAnsi" w:hAnsiTheme="minorHAnsi"/>
          <w:sz w:val="24"/>
          <w:szCs w:val="24"/>
        </w:rPr>
        <w:t xml:space="preserve">A </w:t>
      </w:r>
      <w:r w:rsidR="00E20531" w:rsidRPr="00617D5D">
        <w:rPr>
          <w:rFonts w:asciiTheme="minorHAnsi" w:hAnsiTheme="minorHAnsi"/>
          <w:sz w:val="24"/>
          <w:szCs w:val="24"/>
        </w:rPr>
        <w:t xml:space="preserve">Global </w:t>
      </w:r>
      <w:proofErr w:type="spellStart"/>
      <w:r w:rsidR="00E20531" w:rsidRPr="00617D5D">
        <w:rPr>
          <w:rFonts w:asciiTheme="minorHAnsi" w:hAnsiTheme="minorHAnsi"/>
          <w:sz w:val="24"/>
          <w:szCs w:val="24"/>
        </w:rPr>
        <w:t>aHUS</w:t>
      </w:r>
      <w:proofErr w:type="spellEnd"/>
      <w:r w:rsidR="00E20531" w:rsidRPr="00617D5D">
        <w:rPr>
          <w:rFonts w:asciiTheme="minorHAnsi" w:hAnsiTheme="minorHAnsi"/>
          <w:sz w:val="24"/>
          <w:szCs w:val="24"/>
        </w:rPr>
        <w:t xml:space="preserve"> Registry data</w:t>
      </w:r>
      <w:r w:rsidRPr="00617D5D">
        <w:rPr>
          <w:rFonts w:asciiTheme="minorHAnsi" w:hAnsiTheme="minorHAnsi"/>
          <w:sz w:val="24"/>
          <w:szCs w:val="24"/>
        </w:rPr>
        <w:t xml:space="preserve"> (</w:t>
      </w:r>
      <w:proofErr w:type="spellStart"/>
      <w:r w:rsidRPr="00617D5D">
        <w:rPr>
          <w:rFonts w:asciiTheme="minorHAnsi" w:hAnsiTheme="minorHAnsi"/>
          <w:sz w:val="24"/>
          <w:szCs w:val="24"/>
        </w:rPr>
        <w:t>Siedlecki</w:t>
      </w:r>
      <w:proofErr w:type="spellEnd"/>
      <w:r w:rsidRPr="00617D5D">
        <w:rPr>
          <w:rFonts w:asciiTheme="minorHAnsi" w:hAnsiTheme="minorHAnsi"/>
          <w:sz w:val="24"/>
          <w:szCs w:val="24"/>
        </w:rPr>
        <w:t xml:space="preserve"> et al. 2016)</w:t>
      </w:r>
      <w:r w:rsidR="00E20531" w:rsidRPr="00617D5D">
        <w:rPr>
          <w:rFonts w:asciiTheme="minorHAnsi" w:hAnsiTheme="minorHAnsi"/>
          <w:sz w:val="24"/>
          <w:szCs w:val="24"/>
        </w:rPr>
        <w:t>;</w:t>
      </w:r>
    </w:p>
    <w:p w:rsidR="00E20531" w:rsidRPr="00617D5D" w:rsidRDefault="00E20531" w:rsidP="00FC668B">
      <w:pPr>
        <w:pStyle w:val="ListParagraph"/>
        <w:numPr>
          <w:ilvl w:val="0"/>
          <w:numId w:val="17"/>
        </w:numPr>
        <w:ind w:left="1418" w:hanging="709"/>
        <w:rPr>
          <w:rFonts w:asciiTheme="minorHAnsi" w:hAnsiTheme="minorHAnsi"/>
          <w:sz w:val="24"/>
          <w:szCs w:val="24"/>
        </w:rPr>
      </w:pPr>
      <w:r w:rsidRPr="00617D5D">
        <w:rPr>
          <w:rFonts w:asciiTheme="minorHAnsi" w:hAnsiTheme="minorHAnsi"/>
          <w:sz w:val="24"/>
          <w:szCs w:val="24"/>
        </w:rPr>
        <w:t xml:space="preserve">Four retrospective case series evaluating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for prevention or treatment of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recurrence after renal transplantation (</w:t>
      </w:r>
      <w:proofErr w:type="spellStart"/>
      <w:r w:rsidR="0029190D" w:rsidRPr="00617D5D">
        <w:rPr>
          <w:rFonts w:asciiTheme="minorHAnsi" w:hAnsiTheme="minorHAnsi"/>
          <w:sz w:val="24"/>
          <w:szCs w:val="24"/>
        </w:rPr>
        <w:t>Ardissino</w:t>
      </w:r>
      <w:proofErr w:type="spellEnd"/>
      <w:r w:rsidR="0029190D" w:rsidRPr="00617D5D">
        <w:rPr>
          <w:rFonts w:asciiTheme="minorHAnsi" w:hAnsiTheme="minorHAnsi"/>
          <w:sz w:val="24"/>
          <w:szCs w:val="24"/>
        </w:rPr>
        <w:t xml:space="preserve"> et al. 2016, Kumar et al. 2016, Levi et al. 2016</w:t>
      </w:r>
      <w:r w:rsidRPr="00617D5D">
        <w:rPr>
          <w:rFonts w:asciiTheme="minorHAnsi" w:hAnsiTheme="minorHAnsi"/>
          <w:sz w:val="24"/>
          <w:szCs w:val="24"/>
        </w:rPr>
        <w:t xml:space="preserve"> and </w:t>
      </w:r>
      <w:r w:rsidR="0029190D" w:rsidRPr="00617D5D">
        <w:rPr>
          <w:rFonts w:asciiTheme="minorHAnsi" w:hAnsiTheme="minorHAnsi"/>
          <w:sz w:val="24"/>
          <w:szCs w:val="24"/>
        </w:rPr>
        <w:t>Andrade et al 2016</w:t>
      </w:r>
      <w:r w:rsidRPr="00617D5D">
        <w:rPr>
          <w:rFonts w:asciiTheme="minorHAnsi" w:hAnsiTheme="minorHAnsi"/>
          <w:sz w:val="24"/>
          <w:szCs w:val="24"/>
        </w:rPr>
        <w:t>);</w:t>
      </w:r>
    </w:p>
    <w:p w:rsidR="00E20531" w:rsidRPr="00617D5D" w:rsidRDefault="00B92AA8" w:rsidP="00FC668B">
      <w:pPr>
        <w:pStyle w:val="ListParagraph"/>
        <w:numPr>
          <w:ilvl w:val="0"/>
          <w:numId w:val="17"/>
        </w:numPr>
        <w:ind w:left="1418" w:hanging="709"/>
        <w:rPr>
          <w:rFonts w:asciiTheme="minorHAnsi" w:hAnsiTheme="minorHAnsi"/>
          <w:sz w:val="24"/>
          <w:szCs w:val="24"/>
        </w:rPr>
      </w:pPr>
      <w:r w:rsidRPr="00617D5D">
        <w:rPr>
          <w:rFonts w:asciiTheme="minorHAnsi" w:hAnsiTheme="minorHAnsi"/>
          <w:sz w:val="24"/>
          <w:szCs w:val="24"/>
        </w:rPr>
        <w:t>4</w:t>
      </w:r>
      <w:r w:rsidR="00284112" w:rsidRPr="00617D5D">
        <w:rPr>
          <w:rFonts w:asciiTheme="minorHAnsi" w:hAnsiTheme="minorHAnsi"/>
          <w:sz w:val="24"/>
          <w:szCs w:val="24"/>
        </w:rPr>
        <w:t xml:space="preserve"> unseen</w:t>
      </w:r>
      <w:r w:rsidR="00B32D3E" w:rsidRPr="00617D5D">
        <w:rPr>
          <w:rFonts w:asciiTheme="minorHAnsi" w:hAnsiTheme="minorHAnsi"/>
          <w:sz w:val="24"/>
          <w:szCs w:val="24"/>
        </w:rPr>
        <w:t xml:space="preserve"> </w:t>
      </w:r>
      <w:r w:rsidR="00E20531" w:rsidRPr="00617D5D">
        <w:rPr>
          <w:rFonts w:asciiTheme="minorHAnsi" w:hAnsiTheme="minorHAnsi"/>
          <w:sz w:val="24"/>
          <w:szCs w:val="24"/>
        </w:rPr>
        <w:t xml:space="preserve">case reports describing the use of </w:t>
      </w:r>
      <w:proofErr w:type="spellStart"/>
      <w:r w:rsidR="00E20531" w:rsidRPr="00617D5D">
        <w:rPr>
          <w:rFonts w:asciiTheme="minorHAnsi" w:hAnsiTheme="minorHAnsi"/>
          <w:sz w:val="24"/>
          <w:szCs w:val="24"/>
        </w:rPr>
        <w:t>eculizumab</w:t>
      </w:r>
      <w:proofErr w:type="spellEnd"/>
      <w:r w:rsidR="00E20531" w:rsidRPr="00617D5D">
        <w:rPr>
          <w:rFonts w:asciiTheme="minorHAnsi" w:hAnsiTheme="minorHAnsi"/>
          <w:sz w:val="24"/>
          <w:szCs w:val="24"/>
        </w:rPr>
        <w:t xml:space="preserve"> to prevent TMA recurrence in </w:t>
      </w:r>
      <w:proofErr w:type="spellStart"/>
      <w:r w:rsidR="00E20531" w:rsidRPr="00617D5D">
        <w:rPr>
          <w:rFonts w:asciiTheme="minorHAnsi" w:hAnsiTheme="minorHAnsi"/>
          <w:sz w:val="24"/>
          <w:szCs w:val="24"/>
        </w:rPr>
        <w:t>aHUS</w:t>
      </w:r>
      <w:proofErr w:type="spellEnd"/>
      <w:r w:rsidR="00E20531" w:rsidRPr="00617D5D">
        <w:rPr>
          <w:rFonts w:asciiTheme="minorHAnsi" w:hAnsiTheme="minorHAnsi"/>
          <w:sz w:val="24"/>
          <w:szCs w:val="24"/>
        </w:rPr>
        <w:t xml:space="preserve"> patients undergoing renal transplantation</w:t>
      </w:r>
      <w:r w:rsidRPr="00617D5D">
        <w:rPr>
          <w:rFonts w:asciiTheme="minorHAnsi" w:hAnsiTheme="minorHAnsi"/>
          <w:sz w:val="24"/>
          <w:szCs w:val="24"/>
        </w:rPr>
        <w:t xml:space="preserve"> including 2 cases where </w:t>
      </w:r>
      <w:proofErr w:type="spellStart"/>
      <w:r w:rsidRPr="00617D5D">
        <w:rPr>
          <w:rFonts w:asciiTheme="minorHAnsi" w:hAnsiTheme="minorHAnsi"/>
          <w:sz w:val="24"/>
          <w:szCs w:val="24"/>
        </w:rPr>
        <w:t>eculizumab</w:t>
      </w:r>
      <w:proofErr w:type="spellEnd"/>
      <w:r w:rsidR="00D67CE8" w:rsidRPr="00617D5D">
        <w:rPr>
          <w:rFonts w:asciiTheme="minorHAnsi" w:hAnsiTheme="minorHAnsi"/>
          <w:sz w:val="24"/>
          <w:szCs w:val="24"/>
        </w:rPr>
        <w:t xml:space="preserve"> treatment</w:t>
      </w:r>
      <w:r w:rsidRPr="00617D5D">
        <w:rPr>
          <w:rFonts w:asciiTheme="minorHAnsi" w:hAnsiTheme="minorHAnsi"/>
          <w:sz w:val="24"/>
          <w:szCs w:val="24"/>
        </w:rPr>
        <w:t xml:space="preserve"> had been withdrawn</w:t>
      </w:r>
      <w:r w:rsidR="00D67CE8" w:rsidRPr="00617D5D">
        <w:rPr>
          <w:rFonts w:asciiTheme="minorHAnsi" w:hAnsiTheme="minorHAnsi"/>
          <w:sz w:val="24"/>
          <w:szCs w:val="24"/>
        </w:rPr>
        <w:t xml:space="preserve"> </w:t>
      </w:r>
      <w:proofErr w:type="spellStart"/>
      <w:r w:rsidR="00D67CE8" w:rsidRPr="00617D5D">
        <w:rPr>
          <w:rFonts w:asciiTheme="minorHAnsi" w:hAnsiTheme="minorHAnsi"/>
          <w:sz w:val="24"/>
          <w:szCs w:val="24"/>
        </w:rPr>
        <w:t>post transplant</w:t>
      </w:r>
      <w:proofErr w:type="spellEnd"/>
      <w:r w:rsidR="00E20531" w:rsidRPr="00617D5D">
        <w:rPr>
          <w:rFonts w:asciiTheme="minorHAnsi" w:hAnsiTheme="minorHAnsi"/>
          <w:sz w:val="24"/>
          <w:szCs w:val="24"/>
        </w:rPr>
        <w:t xml:space="preserve">. </w:t>
      </w:r>
    </w:p>
    <w:p w:rsidR="00B32D3E" w:rsidRPr="00617D5D" w:rsidRDefault="00B32D3E" w:rsidP="00FC668B">
      <w:pPr>
        <w:pStyle w:val="ListParagraph"/>
        <w:ind w:hanging="720"/>
        <w:rPr>
          <w:rFonts w:asciiTheme="minorHAnsi" w:hAnsiTheme="minorHAnsi"/>
          <w:sz w:val="24"/>
          <w:szCs w:val="24"/>
        </w:rPr>
      </w:pPr>
    </w:p>
    <w:p w:rsidR="00B32D3E" w:rsidRPr="00A86710" w:rsidRDefault="00A86710" w:rsidP="00FC668B">
      <w:pPr>
        <w:pStyle w:val="ListParagraph"/>
        <w:numPr>
          <w:ilvl w:val="1"/>
          <w:numId w:val="5"/>
        </w:numPr>
        <w:ind w:left="720"/>
        <w:rPr>
          <w:rFonts w:asciiTheme="minorHAnsi" w:hAnsiTheme="minorHAnsi"/>
          <w:sz w:val="24"/>
          <w:szCs w:val="24"/>
        </w:rPr>
      </w:pPr>
      <w:r w:rsidRPr="00A86710">
        <w:rPr>
          <w:rFonts w:asciiTheme="minorHAnsi" w:hAnsiTheme="minorHAnsi"/>
          <w:sz w:val="24"/>
          <w:szCs w:val="24"/>
        </w:rPr>
        <w:t>The PBAC noted that while, l</w:t>
      </w:r>
      <w:r w:rsidR="00B32D3E" w:rsidRPr="00A86710">
        <w:rPr>
          <w:rFonts w:asciiTheme="minorHAnsi" w:hAnsiTheme="minorHAnsi"/>
          <w:sz w:val="24"/>
          <w:szCs w:val="24"/>
        </w:rPr>
        <w:t xml:space="preserve">imited details were available in the global </w:t>
      </w:r>
      <w:proofErr w:type="spellStart"/>
      <w:r w:rsidR="00B32D3E" w:rsidRPr="00A86710">
        <w:rPr>
          <w:rFonts w:asciiTheme="minorHAnsi" w:hAnsiTheme="minorHAnsi"/>
          <w:sz w:val="24"/>
          <w:szCs w:val="24"/>
        </w:rPr>
        <w:t>aHUS</w:t>
      </w:r>
      <w:proofErr w:type="spellEnd"/>
      <w:r w:rsidR="00B32D3E" w:rsidRPr="00A86710">
        <w:rPr>
          <w:rFonts w:asciiTheme="minorHAnsi" w:hAnsiTheme="minorHAnsi"/>
          <w:sz w:val="24"/>
          <w:szCs w:val="24"/>
        </w:rPr>
        <w:t xml:space="preserve"> registry data and case series as they were abstracts of papers submitted for conferences or a brief supplemental publication (Kumar et al. 2016)</w:t>
      </w:r>
      <w:r w:rsidRPr="00A86710">
        <w:rPr>
          <w:rFonts w:asciiTheme="minorHAnsi" w:hAnsiTheme="minorHAnsi"/>
          <w:sz w:val="24"/>
          <w:szCs w:val="24"/>
        </w:rPr>
        <w:t xml:space="preserve"> it was an improvement on the</w:t>
      </w:r>
      <w:r w:rsidR="003A068D">
        <w:rPr>
          <w:rFonts w:asciiTheme="minorHAnsi" w:hAnsiTheme="minorHAnsi"/>
          <w:sz w:val="24"/>
          <w:szCs w:val="24"/>
        </w:rPr>
        <w:t xml:space="preserve"> data submitted in support of the</w:t>
      </w:r>
      <w:r w:rsidRPr="00A86710">
        <w:rPr>
          <w:rFonts w:asciiTheme="minorHAnsi" w:hAnsiTheme="minorHAnsi"/>
          <w:sz w:val="24"/>
          <w:szCs w:val="24"/>
        </w:rPr>
        <w:t xml:space="preserve"> previous March 2016 submission</w:t>
      </w:r>
      <w:r w:rsidR="00B32D3E" w:rsidRPr="00A86710">
        <w:rPr>
          <w:rFonts w:asciiTheme="minorHAnsi" w:hAnsiTheme="minorHAnsi"/>
          <w:sz w:val="24"/>
          <w:szCs w:val="24"/>
        </w:rPr>
        <w:t xml:space="preserve">. </w:t>
      </w:r>
      <w:r w:rsidR="00A96394">
        <w:rPr>
          <w:rFonts w:asciiTheme="minorHAnsi" w:hAnsiTheme="minorHAnsi"/>
          <w:sz w:val="24"/>
          <w:szCs w:val="24"/>
        </w:rPr>
        <w:t xml:space="preserve"> </w:t>
      </w:r>
      <w:r w:rsidR="00B32D3E" w:rsidRPr="00A86710">
        <w:rPr>
          <w:rFonts w:asciiTheme="minorHAnsi" w:hAnsiTheme="minorHAnsi"/>
          <w:sz w:val="24"/>
          <w:szCs w:val="24"/>
        </w:rPr>
        <w:t xml:space="preserve">Data presented were restricted </w:t>
      </w:r>
      <w:r w:rsidR="00402D0E" w:rsidRPr="00A86710">
        <w:rPr>
          <w:rFonts w:asciiTheme="minorHAnsi" w:hAnsiTheme="minorHAnsi"/>
          <w:sz w:val="24"/>
          <w:szCs w:val="24"/>
        </w:rPr>
        <w:t xml:space="preserve">to the </w:t>
      </w:r>
      <w:r w:rsidR="00B32D3E" w:rsidRPr="00A86710">
        <w:rPr>
          <w:rFonts w:asciiTheme="minorHAnsi" w:hAnsiTheme="minorHAnsi"/>
          <w:sz w:val="24"/>
          <w:szCs w:val="24"/>
        </w:rPr>
        <w:t>numbers of patients</w:t>
      </w:r>
      <w:r w:rsidR="00402D0E" w:rsidRPr="00A86710">
        <w:rPr>
          <w:rFonts w:asciiTheme="minorHAnsi" w:hAnsiTheme="minorHAnsi"/>
          <w:sz w:val="24"/>
          <w:szCs w:val="24"/>
        </w:rPr>
        <w:t xml:space="preserve"> treated</w:t>
      </w:r>
      <w:r w:rsidR="00B32D3E" w:rsidRPr="00A86710">
        <w:rPr>
          <w:rFonts w:asciiTheme="minorHAnsi" w:hAnsiTheme="minorHAnsi"/>
          <w:sz w:val="24"/>
          <w:szCs w:val="24"/>
        </w:rPr>
        <w:t xml:space="preserve"> and outcomes</w:t>
      </w:r>
      <w:r w:rsidR="00EE7D4C" w:rsidRPr="00A86710">
        <w:rPr>
          <w:rFonts w:asciiTheme="minorHAnsi" w:hAnsiTheme="minorHAnsi"/>
          <w:sz w:val="24"/>
          <w:szCs w:val="24"/>
        </w:rPr>
        <w:t xml:space="preserve"> with no individual patient data.</w:t>
      </w:r>
    </w:p>
    <w:p w:rsidR="00B32D3E" w:rsidRPr="00617D5D" w:rsidRDefault="00B32D3E" w:rsidP="00FC668B">
      <w:pPr>
        <w:ind w:left="720" w:hanging="720"/>
      </w:pPr>
    </w:p>
    <w:p w:rsidR="00B32D3E" w:rsidRPr="00617D5D" w:rsidRDefault="00B32D3E" w:rsidP="00FC668B">
      <w:pPr>
        <w:pStyle w:val="ListParagraph"/>
        <w:numPr>
          <w:ilvl w:val="1"/>
          <w:numId w:val="5"/>
        </w:numPr>
        <w:ind w:left="720"/>
        <w:rPr>
          <w:rFonts w:asciiTheme="minorHAnsi" w:hAnsiTheme="minorHAnsi"/>
          <w:sz w:val="24"/>
          <w:szCs w:val="24"/>
        </w:rPr>
      </w:pPr>
      <w:r w:rsidRPr="00617D5D">
        <w:rPr>
          <w:rFonts w:asciiTheme="minorHAnsi" w:hAnsiTheme="minorHAnsi"/>
          <w:sz w:val="24"/>
          <w:szCs w:val="24"/>
        </w:rPr>
        <w:t>Details of the reports presented in the submission are provided in the table below.</w:t>
      </w:r>
      <w:r w:rsidR="00787DF7" w:rsidRPr="00617D5D">
        <w:rPr>
          <w:rFonts w:asciiTheme="minorHAnsi" w:hAnsiTheme="minorHAnsi"/>
          <w:sz w:val="24"/>
          <w:szCs w:val="24"/>
        </w:rPr>
        <w:t xml:space="preserve"> </w:t>
      </w:r>
    </w:p>
    <w:p w:rsidR="0076420C" w:rsidRPr="00617D5D" w:rsidRDefault="0076420C" w:rsidP="00FC668B">
      <w:pPr>
        <w:ind w:left="720" w:hanging="720"/>
        <w:jc w:val="both"/>
        <w:rPr>
          <w:rFonts w:asciiTheme="minorHAnsi" w:hAnsiTheme="minorHAnsi" w:cs="Arial"/>
        </w:rPr>
      </w:pPr>
    </w:p>
    <w:p w:rsidR="004A6028" w:rsidRDefault="004A6028" w:rsidP="004A6028">
      <w:pPr>
        <w:pStyle w:val="Caption"/>
        <w:ind w:left="709"/>
      </w:pPr>
      <w:r>
        <w:t xml:space="preserve">Table </w:t>
      </w:r>
      <w:fldSimple w:instr=" SEQ Table \* ARABIC ">
        <w:r>
          <w:rPr>
            <w:noProof/>
          </w:rPr>
          <w:t>2</w:t>
        </w:r>
      </w:fldSimple>
      <w:r>
        <w:t xml:space="preserve">: </w:t>
      </w:r>
      <w:r w:rsidRPr="00A43967">
        <w:t>Studies, case series and case reports presented in the 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76420C" w:rsidRPr="00B92AA8" w:rsidTr="00C27B58">
        <w:trPr>
          <w:cantSplit/>
          <w:tblHeader/>
        </w:trPr>
        <w:tc>
          <w:tcPr>
            <w:tcW w:w="1701" w:type="dxa"/>
          </w:tcPr>
          <w:p w:rsidR="0076420C" w:rsidRPr="00B92AA8" w:rsidRDefault="0076420C" w:rsidP="00D84934">
            <w:pPr>
              <w:pStyle w:val="NoSpacing"/>
              <w:rPr>
                <w:rFonts w:ascii="Arial Narrow" w:hAnsi="Arial Narrow" w:cs="Arial"/>
                <w:b/>
                <w:sz w:val="18"/>
                <w:szCs w:val="18"/>
              </w:rPr>
            </w:pPr>
            <w:r w:rsidRPr="00B92AA8">
              <w:rPr>
                <w:rFonts w:ascii="Arial Narrow" w:hAnsi="Arial Narrow" w:cs="Arial"/>
                <w:b/>
                <w:sz w:val="18"/>
                <w:szCs w:val="18"/>
              </w:rPr>
              <w:t>Trial ID</w:t>
            </w:r>
          </w:p>
        </w:tc>
        <w:tc>
          <w:tcPr>
            <w:tcW w:w="4820" w:type="dxa"/>
          </w:tcPr>
          <w:p w:rsidR="0076420C" w:rsidRPr="00B92AA8" w:rsidRDefault="0076420C" w:rsidP="0062748A">
            <w:pPr>
              <w:keepNext/>
              <w:jc w:val="center"/>
              <w:rPr>
                <w:rFonts w:ascii="Arial Narrow" w:hAnsi="Arial Narrow" w:cs="Arial"/>
                <w:b/>
                <w:sz w:val="18"/>
                <w:szCs w:val="18"/>
              </w:rPr>
            </w:pPr>
            <w:r w:rsidRPr="00B92AA8">
              <w:rPr>
                <w:rFonts w:ascii="Arial Narrow" w:hAnsi="Arial Narrow" w:cs="Arial"/>
                <w:b/>
                <w:sz w:val="18"/>
                <w:szCs w:val="18"/>
              </w:rPr>
              <w:t>Protocol title/ Publication title</w:t>
            </w:r>
          </w:p>
        </w:tc>
        <w:tc>
          <w:tcPr>
            <w:tcW w:w="1843" w:type="dxa"/>
          </w:tcPr>
          <w:p w:rsidR="0076420C" w:rsidRPr="00B92AA8" w:rsidRDefault="0076420C" w:rsidP="0062748A">
            <w:pPr>
              <w:keepNext/>
              <w:rPr>
                <w:rFonts w:ascii="Arial Narrow" w:hAnsi="Arial Narrow" w:cs="Arial"/>
                <w:b/>
                <w:sz w:val="18"/>
                <w:szCs w:val="18"/>
              </w:rPr>
            </w:pPr>
            <w:r w:rsidRPr="00B92AA8">
              <w:rPr>
                <w:rFonts w:ascii="Arial Narrow" w:hAnsi="Arial Narrow" w:cs="Arial"/>
                <w:b/>
                <w:sz w:val="18"/>
                <w:szCs w:val="18"/>
              </w:rPr>
              <w:t>Publication citation</w:t>
            </w:r>
          </w:p>
        </w:tc>
      </w:tr>
      <w:tr w:rsidR="0076420C" w:rsidRPr="00B92AA8" w:rsidTr="00C27B58">
        <w:trPr>
          <w:cantSplit/>
        </w:trPr>
        <w:tc>
          <w:tcPr>
            <w:tcW w:w="8364" w:type="dxa"/>
            <w:gridSpan w:val="3"/>
          </w:tcPr>
          <w:p w:rsidR="0076420C" w:rsidRPr="00B92AA8" w:rsidRDefault="00EE7D4C" w:rsidP="00D84934">
            <w:pPr>
              <w:pStyle w:val="NoSpacing"/>
              <w:rPr>
                <w:rFonts w:ascii="Arial Narrow" w:hAnsi="Arial Narrow" w:cs="Arial"/>
                <w:b/>
                <w:sz w:val="18"/>
                <w:szCs w:val="18"/>
              </w:rPr>
            </w:pPr>
            <w:r w:rsidRPr="00B92AA8">
              <w:rPr>
                <w:rFonts w:ascii="Arial Narrow" w:hAnsi="Arial Narrow" w:cs="Arial"/>
                <w:b/>
                <w:sz w:val="18"/>
                <w:szCs w:val="18"/>
              </w:rPr>
              <w:t xml:space="preserve">Global </w:t>
            </w:r>
            <w:proofErr w:type="spellStart"/>
            <w:r w:rsidRPr="00B92AA8">
              <w:rPr>
                <w:rFonts w:ascii="Arial Narrow" w:hAnsi="Arial Narrow" w:cs="Arial"/>
                <w:b/>
                <w:sz w:val="18"/>
                <w:szCs w:val="18"/>
              </w:rPr>
              <w:t>aHUS</w:t>
            </w:r>
            <w:proofErr w:type="spellEnd"/>
            <w:r w:rsidRPr="00B92AA8">
              <w:rPr>
                <w:rFonts w:ascii="Arial Narrow" w:hAnsi="Arial Narrow" w:cs="Arial"/>
                <w:b/>
                <w:sz w:val="18"/>
                <w:szCs w:val="18"/>
              </w:rPr>
              <w:t xml:space="preserve"> Registry Data</w:t>
            </w:r>
          </w:p>
        </w:tc>
      </w:tr>
      <w:tr w:rsidR="0076420C" w:rsidRPr="00B92AA8" w:rsidTr="00C27B58">
        <w:trPr>
          <w:cantSplit/>
        </w:trPr>
        <w:tc>
          <w:tcPr>
            <w:tcW w:w="1701" w:type="dxa"/>
          </w:tcPr>
          <w:p w:rsidR="0076420C" w:rsidRPr="00B92AA8" w:rsidRDefault="00EE7D4C" w:rsidP="00D84934">
            <w:pPr>
              <w:pStyle w:val="NoSpacing"/>
              <w:rPr>
                <w:rFonts w:ascii="Arial Narrow" w:hAnsi="Arial Narrow" w:cs="Arial"/>
                <w:sz w:val="18"/>
                <w:szCs w:val="18"/>
              </w:rPr>
            </w:pPr>
            <w:proofErr w:type="spellStart"/>
            <w:r w:rsidRPr="00B92AA8">
              <w:rPr>
                <w:rFonts w:ascii="Arial Narrow" w:hAnsi="Arial Narrow" w:cs="Arial"/>
                <w:sz w:val="18"/>
                <w:szCs w:val="18"/>
              </w:rPr>
              <w:t>Siedlecki</w:t>
            </w:r>
            <w:proofErr w:type="spellEnd"/>
            <w:r w:rsidRPr="00B92AA8">
              <w:rPr>
                <w:rFonts w:ascii="Arial Narrow" w:hAnsi="Arial Narrow" w:cs="Arial"/>
                <w:sz w:val="18"/>
                <w:szCs w:val="18"/>
              </w:rPr>
              <w:t xml:space="preserve"> 2016 </w:t>
            </w:r>
          </w:p>
        </w:tc>
        <w:tc>
          <w:tcPr>
            <w:tcW w:w="4820" w:type="dxa"/>
          </w:tcPr>
          <w:p w:rsidR="0076420C" w:rsidRPr="00B92AA8" w:rsidRDefault="00EE7D4C" w:rsidP="0062748A">
            <w:pPr>
              <w:keepNext/>
              <w:rPr>
                <w:rFonts w:ascii="Arial Narrow" w:hAnsi="Arial Narrow" w:cs="Arial"/>
                <w:sz w:val="18"/>
                <w:szCs w:val="18"/>
              </w:rPr>
            </w:pPr>
            <w:proofErr w:type="spellStart"/>
            <w:r w:rsidRPr="00B92AA8">
              <w:rPr>
                <w:rFonts w:ascii="Arial Narrow" w:hAnsi="Arial Narrow" w:cs="Arial"/>
                <w:sz w:val="18"/>
                <w:szCs w:val="18"/>
              </w:rPr>
              <w:t>Siedlecki</w:t>
            </w:r>
            <w:proofErr w:type="spellEnd"/>
            <w:r w:rsidRPr="00B92AA8">
              <w:rPr>
                <w:rFonts w:ascii="Arial Narrow" w:hAnsi="Arial Narrow" w:cs="Arial"/>
                <w:sz w:val="18"/>
                <w:szCs w:val="18"/>
              </w:rPr>
              <w:t xml:space="preserve">, A., </w:t>
            </w:r>
            <w:proofErr w:type="spellStart"/>
            <w:r w:rsidRPr="00B92AA8">
              <w:rPr>
                <w:rFonts w:ascii="Arial Narrow" w:hAnsi="Arial Narrow" w:cs="Arial"/>
                <w:sz w:val="18"/>
                <w:szCs w:val="18"/>
              </w:rPr>
              <w:t>Isbel</w:t>
            </w:r>
            <w:proofErr w:type="spellEnd"/>
            <w:r w:rsidRPr="00B92AA8">
              <w:rPr>
                <w:rFonts w:ascii="Arial Narrow" w:hAnsi="Arial Narrow" w:cs="Arial"/>
                <w:sz w:val="18"/>
                <w:szCs w:val="18"/>
              </w:rPr>
              <w:t xml:space="preserve">, N., Van de </w:t>
            </w:r>
            <w:proofErr w:type="spellStart"/>
            <w:r w:rsidRPr="00B92AA8">
              <w:rPr>
                <w:rFonts w:ascii="Arial Narrow" w:hAnsi="Arial Narrow" w:cs="Arial"/>
                <w:sz w:val="18"/>
                <w:szCs w:val="18"/>
              </w:rPr>
              <w:t>Walle</w:t>
            </w:r>
            <w:proofErr w:type="spellEnd"/>
            <w:r w:rsidRPr="00B92AA8">
              <w:rPr>
                <w:rFonts w:ascii="Arial Narrow" w:hAnsi="Arial Narrow" w:cs="Arial"/>
                <w:sz w:val="18"/>
                <w:szCs w:val="18"/>
              </w:rPr>
              <w:t xml:space="preserve">, J., </w:t>
            </w:r>
            <w:proofErr w:type="spellStart"/>
            <w:r w:rsidRPr="00B92AA8">
              <w:rPr>
                <w:rFonts w:ascii="Arial Narrow" w:hAnsi="Arial Narrow" w:cs="Arial"/>
                <w:sz w:val="18"/>
                <w:szCs w:val="18"/>
              </w:rPr>
              <w:t>Kupelian</w:t>
            </w:r>
            <w:proofErr w:type="spellEnd"/>
            <w:r w:rsidRPr="00B92AA8">
              <w:rPr>
                <w:rFonts w:ascii="Arial Narrow" w:hAnsi="Arial Narrow" w:cs="Arial"/>
                <w:sz w:val="18"/>
                <w:szCs w:val="18"/>
              </w:rPr>
              <w:t xml:space="preserve">, V. &amp; Cohen, D. J. Timing of </w:t>
            </w:r>
            <w:proofErr w:type="spellStart"/>
            <w:r w:rsidRPr="00B92AA8">
              <w:rPr>
                <w:rFonts w:ascii="Arial Narrow" w:hAnsi="Arial Narrow" w:cs="Arial"/>
                <w:sz w:val="18"/>
                <w:szCs w:val="18"/>
              </w:rPr>
              <w:t>eculizumab</w:t>
            </w:r>
            <w:proofErr w:type="spellEnd"/>
            <w:r w:rsidRPr="00B92AA8">
              <w:rPr>
                <w:rFonts w:ascii="Arial Narrow" w:hAnsi="Arial Narrow" w:cs="Arial"/>
                <w:sz w:val="18"/>
                <w:szCs w:val="18"/>
              </w:rPr>
              <w:t xml:space="preserve"> treatment and the need for dialysis in patients with </w:t>
            </w:r>
            <w:proofErr w:type="spellStart"/>
            <w:r w:rsidRPr="00B92AA8">
              <w:rPr>
                <w:rFonts w:ascii="Arial Narrow" w:hAnsi="Arial Narrow" w:cs="Arial"/>
                <w:sz w:val="18"/>
                <w:szCs w:val="18"/>
              </w:rPr>
              <w:t>aHUS</w:t>
            </w:r>
            <w:proofErr w:type="spellEnd"/>
            <w:r w:rsidRPr="00B92AA8">
              <w:rPr>
                <w:rFonts w:ascii="Arial Narrow" w:hAnsi="Arial Narrow" w:cs="Arial"/>
                <w:sz w:val="18"/>
                <w:szCs w:val="18"/>
              </w:rPr>
              <w:t xml:space="preserve"> who receive a kidney transplant.</w:t>
            </w:r>
          </w:p>
        </w:tc>
        <w:tc>
          <w:tcPr>
            <w:tcW w:w="1843" w:type="dxa"/>
          </w:tcPr>
          <w:p w:rsidR="0076420C" w:rsidRPr="00B92AA8" w:rsidRDefault="00EE7D4C" w:rsidP="0062748A">
            <w:pPr>
              <w:keepNext/>
              <w:rPr>
                <w:rFonts w:ascii="Arial Narrow" w:hAnsi="Arial Narrow" w:cs="Arial"/>
                <w:sz w:val="18"/>
                <w:szCs w:val="18"/>
              </w:rPr>
            </w:pPr>
            <w:r w:rsidRPr="00B92AA8">
              <w:rPr>
                <w:rFonts w:ascii="Arial Narrow" w:hAnsi="Arial Narrow" w:cs="Arial"/>
                <w:sz w:val="18"/>
                <w:szCs w:val="18"/>
              </w:rPr>
              <w:t>American Society of</w:t>
            </w:r>
            <w:r w:rsidR="00787DF7">
              <w:rPr>
                <w:rFonts w:ascii="Arial Narrow" w:hAnsi="Arial Narrow" w:cs="Arial"/>
                <w:sz w:val="18"/>
                <w:szCs w:val="18"/>
              </w:rPr>
              <w:t xml:space="preserve"> </w:t>
            </w:r>
            <w:r w:rsidRPr="00B92AA8">
              <w:rPr>
                <w:rFonts w:ascii="Arial Narrow" w:hAnsi="Arial Narrow" w:cs="Arial"/>
                <w:sz w:val="18"/>
                <w:szCs w:val="18"/>
              </w:rPr>
              <w:t>Nephrology Kidney Week 2016 [Abstract TH-OR095]</w:t>
            </w:r>
          </w:p>
        </w:tc>
      </w:tr>
      <w:tr w:rsidR="0076420C" w:rsidRPr="00B92AA8" w:rsidTr="00C27B58">
        <w:trPr>
          <w:cantSplit/>
        </w:trPr>
        <w:tc>
          <w:tcPr>
            <w:tcW w:w="8364" w:type="dxa"/>
            <w:gridSpan w:val="3"/>
          </w:tcPr>
          <w:p w:rsidR="0076420C" w:rsidRPr="00B92AA8" w:rsidRDefault="00EE7D4C" w:rsidP="00D84934">
            <w:pPr>
              <w:pStyle w:val="NoSpacing"/>
              <w:rPr>
                <w:rFonts w:ascii="Arial Narrow" w:hAnsi="Arial Narrow" w:cs="Arial"/>
                <w:b/>
                <w:sz w:val="18"/>
                <w:szCs w:val="18"/>
              </w:rPr>
            </w:pPr>
            <w:r w:rsidRPr="00B92AA8">
              <w:rPr>
                <w:rFonts w:ascii="Arial Narrow" w:hAnsi="Arial Narrow" w:cs="Arial"/>
                <w:b/>
                <w:sz w:val="18"/>
                <w:szCs w:val="18"/>
              </w:rPr>
              <w:t>Case series</w:t>
            </w:r>
          </w:p>
        </w:tc>
      </w:tr>
      <w:tr w:rsidR="0076420C" w:rsidRPr="00B92AA8" w:rsidTr="00C27B58">
        <w:trPr>
          <w:cantSplit/>
        </w:trPr>
        <w:tc>
          <w:tcPr>
            <w:tcW w:w="1701" w:type="dxa"/>
          </w:tcPr>
          <w:p w:rsidR="0076420C" w:rsidRPr="00B92AA8" w:rsidRDefault="00EE7D4C" w:rsidP="00D84934">
            <w:pPr>
              <w:pStyle w:val="NoSpacing"/>
              <w:rPr>
                <w:rFonts w:ascii="Arial Narrow" w:hAnsi="Arial Narrow" w:cs="Arial"/>
                <w:sz w:val="18"/>
                <w:szCs w:val="18"/>
              </w:rPr>
            </w:pPr>
            <w:proofErr w:type="spellStart"/>
            <w:r w:rsidRPr="00B92AA8">
              <w:rPr>
                <w:rFonts w:ascii="Arial Narrow" w:hAnsi="Arial Narrow" w:cs="Arial"/>
                <w:sz w:val="18"/>
                <w:szCs w:val="18"/>
              </w:rPr>
              <w:t>Ardissino</w:t>
            </w:r>
            <w:proofErr w:type="spellEnd"/>
            <w:r w:rsidRPr="00B92AA8">
              <w:rPr>
                <w:rFonts w:ascii="Arial Narrow" w:hAnsi="Arial Narrow" w:cs="Arial"/>
                <w:sz w:val="18"/>
                <w:szCs w:val="18"/>
              </w:rPr>
              <w:t xml:space="preserve"> 2016</w:t>
            </w:r>
          </w:p>
        </w:tc>
        <w:tc>
          <w:tcPr>
            <w:tcW w:w="4820" w:type="dxa"/>
          </w:tcPr>
          <w:p w:rsidR="0076420C" w:rsidRPr="00B92AA8" w:rsidRDefault="00EE7D4C" w:rsidP="000618B3">
            <w:pPr>
              <w:keepNext/>
              <w:rPr>
                <w:rFonts w:ascii="Arial Narrow" w:hAnsi="Arial Narrow" w:cs="Arial"/>
                <w:sz w:val="18"/>
                <w:szCs w:val="18"/>
              </w:rPr>
            </w:pPr>
            <w:r w:rsidRPr="00B92AA8">
              <w:rPr>
                <w:rFonts w:ascii="Arial Narrow" w:hAnsi="Arial Narrow" w:cs="Arial"/>
                <w:sz w:val="18"/>
                <w:szCs w:val="18"/>
              </w:rPr>
              <w:t xml:space="preserve">Gianluigi </w:t>
            </w:r>
            <w:proofErr w:type="spellStart"/>
            <w:r w:rsidRPr="00B92AA8">
              <w:rPr>
                <w:rFonts w:ascii="Arial Narrow" w:hAnsi="Arial Narrow" w:cs="Arial"/>
                <w:sz w:val="18"/>
                <w:szCs w:val="18"/>
              </w:rPr>
              <w:t>Ardissino</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Donata</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Cresseri</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Antenore</w:t>
            </w:r>
            <w:proofErr w:type="spellEnd"/>
            <w:r w:rsidRPr="00B92AA8">
              <w:rPr>
                <w:rFonts w:ascii="Arial Narrow" w:hAnsi="Arial Narrow" w:cs="Arial"/>
                <w:sz w:val="18"/>
                <w:szCs w:val="18"/>
              </w:rPr>
              <w:t xml:space="preserve"> Giussani, Stefania </w:t>
            </w:r>
            <w:proofErr w:type="spellStart"/>
            <w:r w:rsidRPr="00B92AA8">
              <w:rPr>
                <w:rFonts w:ascii="Arial Narrow" w:hAnsi="Arial Narrow" w:cs="Arial"/>
                <w:sz w:val="18"/>
                <w:szCs w:val="18"/>
              </w:rPr>
              <w:t>Salardi</w:t>
            </w:r>
            <w:proofErr w:type="spellEnd"/>
            <w:r w:rsidRPr="00B92AA8">
              <w:rPr>
                <w:rFonts w:ascii="Arial Narrow" w:hAnsi="Arial Narrow" w:cs="Arial"/>
                <w:sz w:val="18"/>
                <w:szCs w:val="18"/>
              </w:rPr>
              <w:t xml:space="preserve">, Francesca Tel, Sara </w:t>
            </w:r>
            <w:proofErr w:type="spellStart"/>
            <w:r w:rsidRPr="00B92AA8">
              <w:rPr>
                <w:rFonts w:ascii="Arial Narrow" w:hAnsi="Arial Narrow" w:cs="Arial"/>
                <w:sz w:val="18"/>
                <w:szCs w:val="18"/>
              </w:rPr>
              <w:t>Testa</w:t>
            </w:r>
            <w:proofErr w:type="spellEnd"/>
            <w:r w:rsidRPr="00B92AA8">
              <w:rPr>
                <w:rFonts w:ascii="Arial Narrow" w:hAnsi="Arial Narrow" w:cs="Arial"/>
                <w:sz w:val="18"/>
                <w:szCs w:val="18"/>
              </w:rPr>
              <w:t xml:space="preserve">, Michela </w:t>
            </w:r>
            <w:proofErr w:type="spellStart"/>
            <w:r w:rsidRPr="00B92AA8">
              <w:rPr>
                <w:rFonts w:ascii="Arial Narrow" w:hAnsi="Arial Narrow" w:cs="Arial"/>
                <w:sz w:val="18"/>
                <w:szCs w:val="18"/>
              </w:rPr>
              <w:t>Perrone</w:t>
            </w:r>
            <w:proofErr w:type="spellEnd"/>
            <w:r w:rsidRPr="00B92AA8">
              <w:rPr>
                <w:rFonts w:ascii="Arial Narrow" w:hAnsi="Arial Narrow" w:cs="Arial"/>
                <w:sz w:val="18"/>
                <w:szCs w:val="18"/>
              </w:rPr>
              <w:t xml:space="preserve">, Fabio </w:t>
            </w:r>
            <w:proofErr w:type="spellStart"/>
            <w:r w:rsidRPr="00B92AA8">
              <w:rPr>
                <w:rFonts w:ascii="Arial Narrow" w:hAnsi="Arial Narrow" w:cs="Arial"/>
                <w:sz w:val="18"/>
                <w:szCs w:val="18"/>
              </w:rPr>
              <w:t>Paglialonga</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Mirco</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Belingheri</w:t>
            </w:r>
            <w:proofErr w:type="spellEnd"/>
            <w:r w:rsidRPr="00B92AA8">
              <w:rPr>
                <w:rFonts w:ascii="Arial Narrow" w:hAnsi="Arial Narrow" w:cs="Arial"/>
                <w:sz w:val="18"/>
                <w:szCs w:val="18"/>
              </w:rPr>
              <w:t xml:space="preserve">, Martina </w:t>
            </w:r>
            <w:proofErr w:type="spellStart"/>
            <w:r w:rsidRPr="00B92AA8">
              <w:rPr>
                <w:rFonts w:ascii="Arial Narrow" w:hAnsi="Arial Narrow" w:cs="Arial"/>
                <w:sz w:val="18"/>
                <w:szCs w:val="18"/>
              </w:rPr>
              <w:t>Sgarbanti</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Lucrezia</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Furian</w:t>
            </w:r>
            <w:proofErr w:type="spellEnd"/>
            <w:r w:rsidRPr="00B92AA8">
              <w:rPr>
                <w:rFonts w:ascii="Arial Narrow" w:hAnsi="Arial Narrow" w:cs="Arial"/>
                <w:sz w:val="18"/>
                <w:szCs w:val="18"/>
              </w:rPr>
              <w:t xml:space="preserve">, Angela </w:t>
            </w:r>
            <w:proofErr w:type="spellStart"/>
            <w:r w:rsidRPr="00B92AA8">
              <w:rPr>
                <w:rFonts w:ascii="Arial Narrow" w:hAnsi="Arial Narrow" w:cs="Arial"/>
                <w:sz w:val="18"/>
                <w:szCs w:val="18"/>
              </w:rPr>
              <w:t>Nocco</w:t>
            </w:r>
            <w:proofErr w:type="spellEnd"/>
            <w:r w:rsidRPr="00B92AA8">
              <w:rPr>
                <w:rFonts w:ascii="Arial Narrow" w:hAnsi="Arial Narrow" w:cs="Arial"/>
                <w:sz w:val="18"/>
                <w:szCs w:val="18"/>
              </w:rPr>
              <w:t xml:space="preserve">, Silvana </w:t>
            </w:r>
            <w:proofErr w:type="spellStart"/>
            <w:r w:rsidRPr="00B92AA8">
              <w:rPr>
                <w:rFonts w:ascii="Arial Narrow" w:hAnsi="Arial Narrow" w:cs="Arial"/>
                <w:sz w:val="18"/>
                <w:szCs w:val="18"/>
              </w:rPr>
              <w:t>Tedeschi</w:t>
            </w:r>
            <w:proofErr w:type="spellEnd"/>
            <w:r w:rsidRPr="00B92AA8">
              <w:rPr>
                <w:rFonts w:ascii="Arial Narrow" w:hAnsi="Arial Narrow" w:cs="Arial"/>
                <w:sz w:val="18"/>
                <w:szCs w:val="18"/>
              </w:rPr>
              <w:t>,</w:t>
            </w:r>
            <w:r w:rsidR="000618B3" w:rsidRPr="00B92AA8">
              <w:rPr>
                <w:rFonts w:ascii="Arial Narrow" w:hAnsi="Arial Narrow" w:cs="Arial"/>
                <w:sz w:val="18"/>
                <w:szCs w:val="18"/>
              </w:rPr>
              <w:t xml:space="preserve"> </w:t>
            </w:r>
            <w:proofErr w:type="spellStart"/>
            <w:r w:rsidR="000618B3" w:rsidRPr="00B92AA8">
              <w:rPr>
                <w:rFonts w:ascii="Arial Narrow" w:hAnsi="Arial Narrow" w:cs="Arial"/>
                <w:sz w:val="18"/>
                <w:szCs w:val="18"/>
              </w:rPr>
              <w:t>Piergiorgio</w:t>
            </w:r>
            <w:proofErr w:type="spellEnd"/>
            <w:r w:rsidR="000618B3" w:rsidRPr="00B92AA8">
              <w:rPr>
                <w:rFonts w:ascii="Arial Narrow" w:hAnsi="Arial Narrow" w:cs="Arial"/>
                <w:sz w:val="18"/>
                <w:szCs w:val="18"/>
              </w:rPr>
              <w:t xml:space="preserve"> </w:t>
            </w:r>
            <w:proofErr w:type="spellStart"/>
            <w:r w:rsidR="000618B3" w:rsidRPr="00B92AA8">
              <w:rPr>
                <w:rFonts w:ascii="Arial Narrow" w:hAnsi="Arial Narrow" w:cs="Arial"/>
                <w:sz w:val="18"/>
                <w:szCs w:val="18"/>
              </w:rPr>
              <w:t>Messa</w:t>
            </w:r>
            <w:proofErr w:type="spellEnd"/>
            <w:r w:rsidRPr="00B92AA8">
              <w:rPr>
                <w:rFonts w:ascii="Arial Narrow" w:hAnsi="Arial Narrow" w:cs="Arial"/>
                <w:sz w:val="18"/>
                <w:szCs w:val="18"/>
              </w:rPr>
              <w:t xml:space="preserve">. Kidney </w:t>
            </w:r>
            <w:r w:rsidR="00C80CE3" w:rsidRPr="00B92AA8">
              <w:rPr>
                <w:rFonts w:ascii="Arial Narrow" w:hAnsi="Arial Narrow" w:cs="Arial"/>
                <w:sz w:val="18"/>
                <w:szCs w:val="18"/>
              </w:rPr>
              <w:t>Transplant</w:t>
            </w:r>
            <w:r w:rsidRPr="00B92AA8">
              <w:rPr>
                <w:rFonts w:ascii="Arial Narrow" w:hAnsi="Arial Narrow" w:cs="Arial"/>
                <w:sz w:val="18"/>
                <w:szCs w:val="18"/>
              </w:rPr>
              <w:t xml:space="preserve"> in Atypical HUS: A Single </w:t>
            </w:r>
            <w:proofErr w:type="spellStart"/>
            <w:r w:rsidRPr="00B92AA8">
              <w:rPr>
                <w:rFonts w:ascii="Arial Narrow" w:hAnsi="Arial Narrow" w:cs="Arial"/>
                <w:sz w:val="18"/>
                <w:szCs w:val="18"/>
              </w:rPr>
              <w:t>Center</w:t>
            </w:r>
            <w:proofErr w:type="spellEnd"/>
            <w:r w:rsidRPr="00B92AA8">
              <w:rPr>
                <w:rFonts w:ascii="Arial Narrow" w:hAnsi="Arial Narrow" w:cs="Arial"/>
                <w:sz w:val="18"/>
                <w:szCs w:val="18"/>
              </w:rPr>
              <w:t xml:space="preserve"> Experience</w:t>
            </w:r>
          </w:p>
        </w:tc>
        <w:tc>
          <w:tcPr>
            <w:tcW w:w="1843" w:type="dxa"/>
          </w:tcPr>
          <w:p w:rsidR="0076420C" w:rsidRPr="00B92AA8" w:rsidRDefault="00EE7D4C" w:rsidP="00EE7D4C">
            <w:pPr>
              <w:keepNext/>
              <w:rPr>
                <w:rFonts w:ascii="Arial Narrow" w:hAnsi="Arial Narrow" w:cs="Arial"/>
                <w:sz w:val="18"/>
                <w:szCs w:val="18"/>
              </w:rPr>
            </w:pPr>
            <w:r w:rsidRPr="00B92AA8">
              <w:rPr>
                <w:rFonts w:ascii="Arial Narrow" w:hAnsi="Arial Narrow" w:cs="Arial"/>
                <w:sz w:val="18"/>
                <w:szCs w:val="18"/>
              </w:rPr>
              <w:t xml:space="preserve">American Society of Nephrology (ASN) Kidney Week SA-PO365 </w:t>
            </w:r>
          </w:p>
        </w:tc>
      </w:tr>
      <w:tr w:rsidR="000618B3" w:rsidRPr="00B92AA8" w:rsidTr="00C27B58">
        <w:trPr>
          <w:cantSplit/>
        </w:trPr>
        <w:tc>
          <w:tcPr>
            <w:tcW w:w="1701" w:type="dxa"/>
          </w:tcPr>
          <w:p w:rsidR="000618B3" w:rsidRPr="00B92AA8" w:rsidRDefault="000618B3" w:rsidP="00D84934">
            <w:pPr>
              <w:pStyle w:val="NoSpacing"/>
              <w:rPr>
                <w:rFonts w:ascii="Arial Narrow" w:hAnsi="Arial Narrow" w:cs="Arial"/>
                <w:sz w:val="18"/>
                <w:szCs w:val="18"/>
              </w:rPr>
            </w:pPr>
            <w:r w:rsidRPr="00B92AA8">
              <w:rPr>
                <w:rFonts w:ascii="Arial Narrow" w:hAnsi="Arial Narrow" w:cs="Arial"/>
                <w:sz w:val="18"/>
                <w:szCs w:val="18"/>
              </w:rPr>
              <w:t>Kumar 2016</w:t>
            </w:r>
          </w:p>
        </w:tc>
        <w:tc>
          <w:tcPr>
            <w:tcW w:w="4820" w:type="dxa"/>
          </w:tcPr>
          <w:p w:rsidR="000618B3" w:rsidRPr="00B92AA8" w:rsidRDefault="000618B3" w:rsidP="0062748A">
            <w:pPr>
              <w:keepNext/>
              <w:rPr>
                <w:rFonts w:ascii="Arial Narrow" w:hAnsi="Arial Narrow" w:cs="Arial"/>
                <w:sz w:val="18"/>
                <w:szCs w:val="18"/>
              </w:rPr>
            </w:pPr>
            <w:r w:rsidRPr="00B92AA8">
              <w:rPr>
                <w:rFonts w:ascii="Arial Narrow" w:hAnsi="Arial Narrow" w:cs="Arial"/>
                <w:sz w:val="18"/>
                <w:szCs w:val="18"/>
              </w:rPr>
              <w:t xml:space="preserve">A. Kumar, Z. Stewart, A. Reed, D. Orozco, R. Smith, C. Nester, C. Thomas. Successful </w:t>
            </w:r>
            <w:r w:rsidR="00C80CE3" w:rsidRPr="00B92AA8">
              <w:rPr>
                <w:rFonts w:ascii="Arial Narrow" w:hAnsi="Arial Narrow" w:cs="Arial"/>
                <w:sz w:val="18"/>
                <w:szCs w:val="18"/>
              </w:rPr>
              <w:t>prophylactic</w:t>
            </w:r>
            <w:r w:rsidRPr="00B92AA8">
              <w:rPr>
                <w:rFonts w:ascii="Arial Narrow" w:hAnsi="Arial Narrow" w:cs="Arial"/>
                <w:sz w:val="18"/>
                <w:szCs w:val="18"/>
              </w:rPr>
              <w:t xml:space="preserve"> use of </w:t>
            </w:r>
            <w:proofErr w:type="spellStart"/>
            <w:r w:rsidRPr="00B92AA8">
              <w:rPr>
                <w:rFonts w:ascii="Arial Narrow" w:hAnsi="Arial Narrow" w:cs="Arial"/>
                <w:sz w:val="18"/>
                <w:szCs w:val="18"/>
              </w:rPr>
              <w:t>eculizumab</w:t>
            </w:r>
            <w:proofErr w:type="spellEnd"/>
            <w:r w:rsidRPr="00B92AA8">
              <w:rPr>
                <w:rFonts w:ascii="Arial Narrow" w:hAnsi="Arial Narrow" w:cs="Arial"/>
                <w:sz w:val="18"/>
                <w:szCs w:val="18"/>
              </w:rPr>
              <w:t xml:space="preserve"> in </w:t>
            </w:r>
            <w:proofErr w:type="spellStart"/>
            <w:r w:rsidRPr="00B92AA8">
              <w:rPr>
                <w:rFonts w:ascii="Arial Narrow" w:hAnsi="Arial Narrow" w:cs="Arial"/>
                <w:sz w:val="18"/>
                <w:szCs w:val="18"/>
              </w:rPr>
              <w:t>aHUS</w:t>
            </w:r>
            <w:proofErr w:type="spellEnd"/>
            <w:r w:rsidRPr="00B92AA8">
              <w:rPr>
                <w:rFonts w:ascii="Arial Narrow" w:hAnsi="Arial Narrow" w:cs="Arial"/>
                <w:sz w:val="18"/>
                <w:szCs w:val="18"/>
              </w:rPr>
              <w:t xml:space="preserve"> kidney transplant patients: a report of 9 cases.</w:t>
            </w:r>
          </w:p>
        </w:tc>
        <w:tc>
          <w:tcPr>
            <w:tcW w:w="1843" w:type="dxa"/>
          </w:tcPr>
          <w:p w:rsidR="000618B3" w:rsidRPr="00B92AA8" w:rsidRDefault="000618B3" w:rsidP="00A65E68">
            <w:pPr>
              <w:keepNext/>
              <w:rPr>
                <w:rFonts w:ascii="Arial Narrow" w:hAnsi="Arial Narrow" w:cs="Arial"/>
                <w:sz w:val="18"/>
                <w:szCs w:val="18"/>
              </w:rPr>
            </w:pPr>
            <w:r w:rsidRPr="00B92AA8">
              <w:rPr>
                <w:rFonts w:ascii="Arial Narrow" w:hAnsi="Arial Narrow" w:cs="Arial"/>
                <w:sz w:val="18"/>
                <w:szCs w:val="18"/>
              </w:rPr>
              <w:t xml:space="preserve">American </w:t>
            </w:r>
            <w:r w:rsidR="00A65E68" w:rsidRPr="00B92AA8">
              <w:rPr>
                <w:rFonts w:ascii="Arial Narrow" w:hAnsi="Arial Narrow" w:cs="Arial"/>
                <w:sz w:val="18"/>
                <w:szCs w:val="18"/>
              </w:rPr>
              <w:t>Journal of Transplant, 16 (</w:t>
            </w:r>
            <w:proofErr w:type="spellStart"/>
            <w:r w:rsidR="00A65E68" w:rsidRPr="00B92AA8">
              <w:rPr>
                <w:rFonts w:ascii="Arial Narrow" w:hAnsi="Arial Narrow" w:cs="Arial"/>
                <w:sz w:val="18"/>
                <w:szCs w:val="18"/>
              </w:rPr>
              <w:t>Suppl</w:t>
            </w:r>
            <w:proofErr w:type="spellEnd"/>
            <w:r w:rsidR="00A65E68" w:rsidRPr="00B92AA8">
              <w:rPr>
                <w:rFonts w:ascii="Arial Narrow" w:hAnsi="Arial Narrow" w:cs="Arial"/>
                <w:sz w:val="18"/>
                <w:szCs w:val="18"/>
              </w:rPr>
              <w:t xml:space="preserve"> 3).</w:t>
            </w:r>
          </w:p>
        </w:tc>
      </w:tr>
      <w:tr w:rsidR="000618B3" w:rsidRPr="00B92AA8" w:rsidTr="00C27B58">
        <w:trPr>
          <w:cantSplit/>
        </w:trPr>
        <w:tc>
          <w:tcPr>
            <w:tcW w:w="1701" w:type="dxa"/>
          </w:tcPr>
          <w:p w:rsidR="000618B3" w:rsidRPr="00B92AA8" w:rsidRDefault="000618B3" w:rsidP="00D84934">
            <w:pPr>
              <w:pStyle w:val="NoSpacing"/>
              <w:rPr>
                <w:rFonts w:ascii="Arial Narrow" w:hAnsi="Arial Narrow" w:cs="Arial"/>
                <w:sz w:val="18"/>
                <w:szCs w:val="18"/>
              </w:rPr>
            </w:pPr>
            <w:r w:rsidRPr="00B92AA8">
              <w:rPr>
                <w:rFonts w:ascii="Arial Narrow" w:hAnsi="Arial Narrow" w:cs="Arial"/>
                <w:sz w:val="18"/>
                <w:szCs w:val="18"/>
              </w:rPr>
              <w:t>Levi 2015</w:t>
            </w:r>
          </w:p>
        </w:tc>
        <w:tc>
          <w:tcPr>
            <w:tcW w:w="4820" w:type="dxa"/>
          </w:tcPr>
          <w:p w:rsidR="000618B3" w:rsidRPr="00B92AA8" w:rsidRDefault="000618B3" w:rsidP="000618B3">
            <w:pPr>
              <w:keepNext/>
              <w:rPr>
                <w:rFonts w:ascii="Arial Narrow" w:hAnsi="Arial Narrow" w:cs="Arial"/>
                <w:sz w:val="18"/>
                <w:szCs w:val="18"/>
              </w:rPr>
            </w:pPr>
            <w:r w:rsidRPr="00B92AA8">
              <w:rPr>
                <w:rFonts w:ascii="Arial Narrow" w:hAnsi="Arial Narrow" w:cs="Arial"/>
                <w:sz w:val="18"/>
                <w:szCs w:val="18"/>
              </w:rPr>
              <w:t xml:space="preserve">Charlene Levi, Veronique </w:t>
            </w:r>
            <w:proofErr w:type="spellStart"/>
            <w:r w:rsidRPr="00B92AA8">
              <w:rPr>
                <w:rFonts w:ascii="Arial Narrow" w:hAnsi="Arial Narrow" w:cs="Arial"/>
                <w:sz w:val="18"/>
                <w:szCs w:val="18"/>
              </w:rPr>
              <w:t>Fremeaux-bacchi</w:t>
            </w:r>
            <w:proofErr w:type="spellEnd"/>
            <w:r w:rsidRPr="00B92AA8">
              <w:rPr>
                <w:rFonts w:ascii="Arial Narrow" w:hAnsi="Arial Narrow" w:cs="Arial"/>
                <w:sz w:val="18"/>
                <w:szCs w:val="18"/>
              </w:rPr>
              <w:t xml:space="preserve">, Anne </w:t>
            </w:r>
            <w:proofErr w:type="spellStart"/>
            <w:r w:rsidRPr="00B92AA8">
              <w:rPr>
                <w:rFonts w:ascii="Arial Narrow" w:hAnsi="Arial Narrow" w:cs="Arial"/>
                <w:sz w:val="18"/>
                <w:szCs w:val="18"/>
              </w:rPr>
              <w:t>Scemla</w:t>
            </w:r>
            <w:proofErr w:type="spellEnd"/>
            <w:r w:rsidRPr="00B92AA8">
              <w:rPr>
                <w:rFonts w:ascii="Arial Narrow" w:hAnsi="Arial Narrow" w:cs="Arial"/>
                <w:sz w:val="18"/>
                <w:szCs w:val="18"/>
              </w:rPr>
              <w:t xml:space="preserve">, Julien Zuber, Christophe M. Legendre, Rebecca </w:t>
            </w:r>
            <w:proofErr w:type="spellStart"/>
            <w:r w:rsidRPr="00B92AA8">
              <w:rPr>
                <w:rFonts w:ascii="Arial Narrow" w:hAnsi="Arial Narrow" w:cs="Arial"/>
                <w:sz w:val="18"/>
                <w:szCs w:val="18"/>
              </w:rPr>
              <w:t>Sberro-Soussan</w:t>
            </w:r>
            <w:proofErr w:type="spellEnd"/>
            <w:r w:rsidRPr="00B92AA8">
              <w:rPr>
                <w:rFonts w:ascii="Arial Narrow" w:hAnsi="Arial Narrow" w:cs="Arial"/>
                <w:sz w:val="18"/>
                <w:szCs w:val="18"/>
              </w:rPr>
              <w:t xml:space="preserve">. Outcome after </w:t>
            </w:r>
            <w:proofErr w:type="spellStart"/>
            <w:r w:rsidRPr="00B92AA8">
              <w:rPr>
                <w:rFonts w:ascii="Arial Narrow" w:hAnsi="Arial Narrow" w:cs="Arial"/>
                <w:sz w:val="18"/>
                <w:szCs w:val="18"/>
              </w:rPr>
              <w:t>eculizumab</w:t>
            </w:r>
            <w:proofErr w:type="spellEnd"/>
            <w:r w:rsidRPr="00B92AA8">
              <w:rPr>
                <w:rFonts w:ascii="Arial Narrow" w:hAnsi="Arial Narrow" w:cs="Arial"/>
                <w:sz w:val="18"/>
                <w:szCs w:val="18"/>
              </w:rPr>
              <w:t xml:space="preserve"> therapy to prevent recurrence of atypical </w:t>
            </w:r>
            <w:r w:rsidR="00C80CE3" w:rsidRPr="00B92AA8">
              <w:rPr>
                <w:rFonts w:ascii="Arial Narrow" w:hAnsi="Arial Narrow" w:cs="Arial"/>
                <w:sz w:val="18"/>
                <w:szCs w:val="18"/>
              </w:rPr>
              <w:t>haemolytic</w:t>
            </w:r>
            <w:r w:rsidRPr="00B92AA8">
              <w:rPr>
                <w:rFonts w:ascii="Arial Narrow" w:hAnsi="Arial Narrow" w:cs="Arial"/>
                <w:sz w:val="18"/>
                <w:szCs w:val="18"/>
              </w:rPr>
              <w:t xml:space="preserve"> uremic syndrome: experience in eleven renal transplant recipients.</w:t>
            </w:r>
          </w:p>
        </w:tc>
        <w:tc>
          <w:tcPr>
            <w:tcW w:w="1843" w:type="dxa"/>
          </w:tcPr>
          <w:p w:rsidR="000618B3" w:rsidRPr="00B92AA8" w:rsidRDefault="000618B3" w:rsidP="0062748A">
            <w:pPr>
              <w:keepNext/>
              <w:rPr>
                <w:rFonts w:ascii="Arial Narrow" w:hAnsi="Arial Narrow" w:cs="Arial"/>
                <w:sz w:val="18"/>
                <w:szCs w:val="18"/>
              </w:rPr>
            </w:pPr>
            <w:r w:rsidRPr="00B92AA8">
              <w:rPr>
                <w:rFonts w:ascii="Arial Narrow" w:hAnsi="Arial Narrow" w:cs="Arial"/>
                <w:sz w:val="18"/>
                <w:szCs w:val="18"/>
              </w:rPr>
              <w:t>American Society of Nephrology (ASN) Kidney Week SA-PO1082</w:t>
            </w:r>
          </w:p>
        </w:tc>
      </w:tr>
      <w:tr w:rsidR="0076420C" w:rsidRPr="00B92AA8" w:rsidTr="00C27B58">
        <w:trPr>
          <w:cantSplit/>
        </w:trPr>
        <w:tc>
          <w:tcPr>
            <w:tcW w:w="1701" w:type="dxa"/>
          </w:tcPr>
          <w:p w:rsidR="0076420C" w:rsidRPr="00B92AA8" w:rsidRDefault="000618B3" w:rsidP="00D84934">
            <w:pPr>
              <w:pStyle w:val="NoSpacing"/>
              <w:rPr>
                <w:rFonts w:ascii="Arial Narrow" w:hAnsi="Arial Narrow" w:cs="Arial"/>
                <w:sz w:val="18"/>
                <w:szCs w:val="18"/>
              </w:rPr>
            </w:pPr>
            <w:r w:rsidRPr="00B92AA8">
              <w:rPr>
                <w:rFonts w:ascii="Arial Narrow" w:hAnsi="Arial Narrow" w:cs="Arial"/>
                <w:sz w:val="18"/>
                <w:szCs w:val="18"/>
              </w:rPr>
              <w:t>Andrade 2016</w:t>
            </w:r>
          </w:p>
        </w:tc>
        <w:tc>
          <w:tcPr>
            <w:tcW w:w="4820" w:type="dxa"/>
          </w:tcPr>
          <w:p w:rsidR="0076420C" w:rsidRPr="00B92AA8" w:rsidRDefault="000618B3" w:rsidP="000618B3">
            <w:pPr>
              <w:keepNext/>
              <w:rPr>
                <w:rFonts w:ascii="Arial Narrow" w:hAnsi="Arial Narrow" w:cs="Arial"/>
                <w:sz w:val="18"/>
                <w:szCs w:val="18"/>
              </w:rPr>
            </w:pPr>
            <w:r w:rsidRPr="00B92AA8">
              <w:rPr>
                <w:rFonts w:ascii="Arial Narrow" w:hAnsi="Arial Narrow" w:cs="Arial"/>
                <w:sz w:val="18"/>
                <w:szCs w:val="18"/>
              </w:rPr>
              <w:t>Andrade, A. V., Machado, D., Souza, P. S., Paula, F. De &amp; David-</w:t>
            </w:r>
            <w:proofErr w:type="spellStart"/>
            <w:r w:rsidRPr="00B92AA8">
              <w:rPr>
                <w:rFonts w:ascii="Arial Narrow" w:hAnsi="Arial Narrow" w:cs="Arial"/>
                <w:sz w:val="18"/>
                <w:szCs w:val="18"/>
              </w:rPr>
              <w:t>Neto</w:t>
            </w:r>
            <w:proofErr w:type="spellEnd"/>
            <w:r w:rsidRPr="00B92AA8">
              <w:rPr>
                <w:rFonts w:ascii="Arial Narrow" w:hAnsi="Arial Narrow" w:cs="Arial"/>
                <w:sz w:val="18"/>
                <w:szCs w:val="18"/>
              </w:rPr>
              <w:t xml:space="preserve">, E. Use of </w:t>
            </w:r>
            <w:proofErr w:type="spellStart"/>
            <w:r w:rsidRPr="00B92AA8">
              <w:rPr>
                <w:rFonts w:ascii="Arial Narrow" w:hAnsi="Arial Narrow" w:cs="Arial"/>
                <w:sz w:val="18"/>
                <w:szCs w:val="18"/>
              </w:rPr>
              <w:t>eculizumab</w:t>
            </w:r>
            <w:proofErr w:type="spellEnd"/>
            <w:r w:rsidRPr="00B92AA8">
              <w:rPr>
                <w:rFonts w:ascii="Arial Narrow" w:hAnsi="Arial Narrow" w:cs="Arial"/>
                <w:sz w:val="18"/>
                <w:szCs w:val="18"/>
              </w:rPr>
              <w:t xml:space="preserve"> for atypical </w:t>
            </w:r>
            <w:r w:rsidR="00C80CE3" w:rsidRPr="00B92AA8">
              <w:rPr>
                <w:rFonts w:ascii="Arial Narrow" w:hAnsi="Arial Narrow" w:cs="Arial"/>
                <w:sz w:val="18"/>
                <w:szCs w:val="18"/>
              </w:rPr>
              <w:t>haemolytic</w:t>
            </w:r>
            <w:r w:rsidRPr="00B92AA8">
              <w:rPr>
                <w:rFonts w:ascii="Arial Narrow" w:hAnsi="Arial Narrow" w:cs="Arial"/>
                <w:sz w:val="18"/>
                <w:szCs w:val="18"/>
              </w:rPr>
              <w:t xml:space="preserve"> uremic syndrome in kidney transplantation - single centre experience in Brazil. </w:t>
            </w:r>
          </w:p>
        </w:tc>
        <w:tc>
          <w:tcPr>
            <w:tcW w:w="1843" w:type="dxa"/>
          </w:tcPr>
          <w:p w:rsidR="0076420C" w:rsidRPr="00B92AA8" w:rsidRDefault="000618B3" w:rsidP="0062748A">
            <w:pPr>
              <w:keepNext/>
              <w:rPr>
                <w:rFonts w:ascii="Arial Narrow" w:hAnsi="Arial Narrow" w:cs="Arial"/>
                <w:sz w:val="18"/>
                <w:szCs w:val="18"/>
              </w:rPr>
            </w:pPr>
            <w:r w:rsidRPr="00B92AA8">
              <w:rPr>
                <w:rFonts w:ascii="Arial Narrow" w:hAnsi="Arial Narrow" w:cs="Arial"/>
                <w:sz w:val="18"/>
                <w:szCs w:val="18"/>
              </w:rPr>
              <w:t>American Society of Nephrology (ASN) Kidney Week (PUB749)</w:t>
            </w:r>
          </w:p>
        </w:tc>
      </w:tr>
      <w:tr w:rsidR="0076420C" w:rsidRPr="00B92AA8" w:rsidTr="00C27B58">
        <w:trPr>
          <w:cantSplit/>
        </w:trPr>
        <w:tc>
          <w:tcPr>
            <w:tcW w:w="8364" w:type="dxa"/>
            <w:gridSpan w:val="3"/>
          </w:tcPr>
          <w:p w:rsidR="0076420C" w:rsidRPr="00B92AA8" w:rsidRDefault="00EE7D4C" w:rsidP="00D84934">
            <w:pPr>
              <w:pStyle w:val="NoSpacing"/>
              <w:rPr>
                <w:rFonts w:ascii="Arial Narrow" w:hAnsi="Arial Narrow" w:cs="Arial"/>
                <w:b/>
                <w:sz w:val="18"/>
                <w:szCs w:val="18"/>
              </w:rPr>
            </w:pPr>
            <w:r w:rsidRPr="00B92AA8">
              <w:rPr>
                <w:rFonts w:ascii="Arial Narrow" w:hAnsi="Arial Narrow" w:cs="Arial"/>
                <w:b/>
                <w:sz w:val="18"/>
                <w:szCs w:val="18"/>
              </w:rPr>
              <w:t>Case reports</w:t>
            </w:r>
          </w:p>
        </w:tc>
      </w:tr>
      <w:tr w:rsidR="00901D7C" w:rsidRPr="00B92AA8" w:rsidTr="00C27B58">
        <w:trPr>
          <w:cantSplit/>
        </w:trPr>
        <w:tc>
          <w:tcPr>
            <w:tcW w:w="1701" w:type="dxa"/>
          </w:tcPr>
          <w:p w:rsidR="00901D7C" w:rsidRPr="00B92AA8" w:rsidRDefault="0070054A" w:rsidP="00D84934">
            <w:pPr>
              <w:pStyle w:val="NoSpacing"/>
              <w:rPr>
                <w:rFonts w:ascii="Arial Narrow" w:hAnsi="Arial Narrow" w:cs="Arial"/>
                <w:sz w:val="18"/>
                <w:szCs w:val="18"/>
              </w:rPr>
            </w:pPr>
            <w:proofErr w:type="spellStart"/>
            <w:r w:rsidRPr="00B92AA8">
              <w:rPr>
                <w:rFonts w:ascii="Arial Narrow" w:hAnsi="Arial Narrow" w:cs="Arial"/>
                <w:sz w:val="18"/>
                <w:szCs w:val="18"/>
              </w:rPr>
              <w:t>Masengu</w:t>
            </w:r>
            <w:proofErr w:type="spellEnd"/>
            <w:r w:rsidRPr="00B92AA8">
              <w:rPr>
                <w:rFonts w:ascii="Arial Narrow" w:hAnsi="Arial Narrow" w:cs="Arial"/>
                <w:sz w:val="18"/>
                <w:szCs w:val="18"/>
              </w:rPr>
              <w:t xml:space="preserve"> 2015</w:t>
            </w:r>
          </w:p>
        </w:tc>
        <w:tc>
          <w:tcPr>
            <w:tcW w:w="4820" w:type="dxa"/>
          </w:tcPr>
          <w:p w:rsidR="00901D7C" w:rsidRPr="00B92AA8" w:rsidRDefault="0070054A" w:rsidP="0070054A">
            <w:pPr>
              <w:keepNext/>
              <w:rPr>
                <w:rFonts w:ascii="Arial Narrow" w:hAnsi="Arial Narrow" w:cs="Arial"/>
                <w:sz w:val="18"/>
                <w:szCs w:val="18"/>
              </w:rPr>
            </w:pPr>
            <w:proofErr w:type="spellStart"/>
            <w:r w:rsidRPr="00B92AA8">
              <w:rPr>
                <w:rFonts w:ascii="Arial Narrow" w:hAnsi="Arial Narrow" w:cs="Arial"/>
                <w:sz w:val="18"/>
                <w:szCs w:val="18"/>
              </w:rPr>
              <w:t>Masengu</w:t>
            </w:r>
            <w:proofErr w:type="spellEnd"/>
            <w:r w:rsidRPr="00B92AA8">
              <w:rPr>
                <w:rFonts w:ascii="Arial Narrow" w:hAnsi="Arial Narrow" w:cs="Arial"/>
                <w:sz w:val="18"/>
                <w:szCs w:val="18"/>
              </w:rPr>
              <w:t xml:space="preserve">, A. &amp; </w:t>
            </w:r>
            <w:r w:rsidR="00C80CE3">
              <w:rPr>
                <w:rFonts w:ascii="Arial Narrow" w:hAnsi="Arial Narrow" w:cs="Arial"/>
                <w:sz w:val="18"/>
                <w:szCs w:val="18"/>
              </w:rPr>
              <w:t xml:space="preserve">Courtney, A. </w:t>
            </w:r>
            <w:proofErr w:type="spellStart"/>
            <w:r w:rsidR="00C80CE3">
              <w:rPr>
                <w:rFonts w:ascii="Arial Narrow" w:hAnsi="Arial Narrow" w:cs="Arial"/>
                <w:sz w:val="18"/>
                <w:szCs w:val="18"/>
              </w:rPr>
              <w:t>Eculizumab</w:t>
            </w:r>
            <w:proofErr w:type="spellEnd"/>
            <w:r w:rsidR="00C80CE3">
              <w:rPr>
                <w:rFonts w:ascii="Arial Narrow" w:hAnsi="Arial Narrow" w:cs="Arial"/>
                <w:sz w:val="18"/>
                <w:szCs w:val="18"/>
              </w:rPr>
              <w:t xml:space="preserve"> for </w:t>
            </w:r>
            <w:proofErr w:type="spellStart"/>
            <w:r w:rsidR="00C80CE3">
              <w:rPr>
                <w:rFonts w:ascii="Arial Narrow" w:hAnsi="Arial Narrow" w:cs="Arial"/>
                <w:sz w:val="18"/>
                <w:szCs w:val="18"/>
              </w:rPr>
              <w:t>aHUS</w:t>
            </w:r>
            <w:proofErr w:type="spellEnd"/>
            <w:r w:rsidRPr="00B92AA8">
              <w:rPr>
                <w:rFonts w:ascii="Arial Narrow" w:hAnsi="Arial Narrow" w:cs="Arial"/>
                <w:sz w:val="18"/>
                <w:szCs w:val="18"/>
              </w:rPr>
              <w:t xml:space="preserve"> post transplantation: when and how to stop a good thing? </w:t>
            </w:r>
          </w:p>
        </w:tc>
        <w:tc>
          <w:tcPr>
            <w:tcW w:w="1843" w:type="dxa"/>
          </w:tcPr>
          <w:p w:rsidR="00901D7C" w:rsidRPr="00B92AA8" w:rsidRDefault="0070054A" w:rsidP="0062748A">
            <w:pPr>
              <w:keepNext/>
              <w:rPr>
                <w:rFonts w:ascii="Arial Narrow" w:hAnsi="Arial Narrow" w:cs="Arial"/>
                <w:sz w:val="18"/>
                <w:szCs w:val="18"/>
              </w:rPr>
            </w:pPr>
            <w:proofErr w:type="spellStart"/>
            <w:r w:rsidRPr="00B92AA8">
              <w:rPr>
                <w:rFonts w:ascii="Arial Narrow" w:hAnsi="Arial Narrow" w:cs="Arial"/>
                <w:sz w:val="18"/>
                <w:szCs w:val="18"/>
              </w:rPr>
              <w:t>Transpl</w:t>
            </w:r>
            <w:proofErr w:type="spellEnd"/>
            <w:r w:rsidRPr="00B92AA8">
              <w:rPr>
                <w:rFonts w:ascii="Arial Narrow" w:hAnsi="Arial Narrow" w:cs="Arial"/>
                <w:sz w:val="18"/>
                <w:szCs w:val="18"/>
              </w:rPr>
              <w:t>. Int. (2015). doi:10.1111/tri.12566</w:t>
            </w:r>
          </w:p>
        </w:tc>
      </w:tr>
      <w:tr w:rsidR="0070054A" w:rsidRPr="00B92AA8" w:rsidTr="00C27B58">
        <w:trPr>
          <w:cantSplit/>
        </w:trPr>
        <w:tc>
          <w:tcPr>
            <w:tcW w:w="1701" w:type="dxa"/>
          </w:tcPr>
          <w:p w:rsidR="0070054A" w:rsidRPr="00B92AA8" w:rsidRDefault="0070054A" w:rsidP="00D84934">
            <w:pPr>
              <w:pStyle w:val="NoSpacing"/>
              <w:rPr>
                <w:rFonts w:ascii="Arial Narrow" w:hAnsi="Arial Narrow" w:cs="Arial"/>
                <w:sz w:val="18"/>
                <w:szCs w:val="18"/>
              </w:rPr>
            </w:pPr>
            <w:proofErr w:type="spellStart"/>
            <w:r w:rsidRPr="00B92AA8">
              <w:rPr>
                <w:rFonts w:ascii="Arial Narrow" w:hAnsi="Arial Narrow" w:cs="Arial"/>
                <w:sz w:val="18"/>
                <w:szCs w:val="18"/>
              </w:rPr>
              <w:t>Kasapoglu</w:t>
            </w:r>
            <w:proofErr w:type="spellEnd"/>
            <w:r w:rsidRPr="00B92AA8">
              <w:rPr>
                <w:rFonts w:ascii="Arial Narrow" w:hAnsi="Arial Narrow" w:cs="Arial"/>
                <w:sz w:val="18"/>
                <w:szCs w:val="18"/>
              </w:rPr>
              <w:t xml:space="preserve"> 2015</w:t>
            </w:r>
          </w:p>
        </w:tc>
        <w:tc>
          <w:tcPr>
            <w:tcW w:w="4820" w:type="dxa"/>
          </w:tcPr>
          <w:p w:rsidR="0070054A" w:rsidRPr="00B92AA8" w:rsidRDefault="0070054A" w:rsidP="0070054A">
            <w:pPr>
              <w:keepNext/>
              <w:rPr>
                <w:rFonts w:ascii="Arial Narrow" w:hAnsi="Arial Narrow" w:cs="Arial"/>
                <w:sz w:val="18"/>
                <w:szCs w:val="18"/>
              </w:rPr>
            </w:pPr>
            <w:proofErr w:type="spellStart"/>
            <w:r w:rsidRPr="00B92AA8">
              <w:rPr>
                <w:rFonts w:ascii="Arial Narrow" w:hAnsi="Arial Narrow" w:cs="Arial"/>
                <w:sz w:val="18"/>
                <w:szCs w:val="18"/>
              </w:rPr>
              <w:t>Kasapoğlu</w:t>
            </w:r>
            <w:proofErr w:type="spellEnd"/>
            <w:r w:rsidRPr="00B92AA8">
              <w:rPr>
                <w:rFonts w:ascii="Arial Narrow" w:hAnsi="Arial Narrow" w:cs="Arial"/>
                <w:sz w:val="18"/>
                <w:szCs w:val="18"/>
              </w:rPr>
              <w:t xml:space="preserve">, U. et al. Prophylactic </w:t>
            </w:r>
            <w:proofErr w:type="spellStart"/>
            <w:r w:rsidRPr="00B92AA8">
              <w:rPr>
                <w:rFonts w:ascii="Arial Narrow" w:hAnsi="Arial Narrow" w:cs="Arial"/>
                <w:sz w:val="18"/>
                <w:szCs w:val="18"/>
              </w:rPr>
              <w:t>Eculizumab</w:t>
            </w:r>
            <w:proofErr w:type="spellEnd"/>
            <w:r w:rsidRPr="00B92AA8">
              <w:rPr>
                <w:rFonts w:ascii="Arial Narrow" w:hAnsi="Arial Narrow" w:cs="Arial"/>
                <w:sz w:val="18"/>
                <w:szCs w:val="18"/>
              </w:rPr>
              <w:t xml:space="preserve"> Use in Kidney Transplantation: A Review of the Literature and Report of a Case with Atypical H</w:t>
            </w:r>
            <w:r w:rsidR="00C80CE3">
              <w:rPr>
                <w:rFonts w:ascii="Arial Narrow" w:hAnsi="Arial Narrow" w:cs="Arial"/>
                <w:sz w:val="18"/>
                <w:szCs w:val="18"/>
              </w:rPr>
              <w:t>a</w:t>
            </w:r>
            <w:r w:rsidRPr="00B92AA8">
              <w:rPr>
                <w:rFonts w:ascii="Arial Narrow" w:hAnsi="Arial Narrow" w:cs="Arial"/>
                <w:sz w:val="18"/>
                <w:szCs w:val="18"/>
              </w:rPr>
              <w:t>emolytic Uremic Syndrome.</w:t>
            </w:r>
          </w:p>
        </w:tc>
        <w:tc>
          <w:tcPr>
            <w:tcW w:w="1843" w:type="dxa"/>
          </w:tcPr>
          <w:p w:rsidR="0070054A" w:rsidRPr="00B92AA8" w:rsidRDefault="0070054A" w:rsidP="0062748A">
            <w:pPr>
              <w:keepNext/>
              <w:rPr>
                <w:rFonts w:ascii="Arial Narrow" w:hAnsi="Arial Narrow" w:cs="Arial"/>
                <w:sz w:val="18"/>
                <w:szCs w:val="18"/>
              </w:rPr>
            </w:pPr>
            <w:r w:rsidRPr="00B92AA8">
              <w:rPr>
                <w:rFonts w:ascii="Arial Narrow" w:hAnsi="Arial Narrow" w:cs="Arial"/>
                <w:sz w:val="18"/>
                <w:szCs w:val="18"/>
              </w:rPr>
              <w:t>Ann. Transplant. 20, 714–9</w:t>
            </w:r>
          </w:p>
        </w:tc>
      </w:tr>
      <w:tr w:rsidR="0070054A" w:rsidRPr="00B92AA8" w:rsidTr="00C27B58">
        <w:trPr>
          <w:cantSplit/>
        </w:trPr>
        <w:tc>
          <w:tcPr>
            <w:tcW w:w="1701" w:type="dxa"/>
          </w:tcPr>
          <w:p w:rsidR="0070054A" w:rsidRPr="00B92AA8" w:rsidRDefault="00284112" w:rsidP="00D84934">
            <w:pPr>
              <w:pStyle w:val="NoSpacing"/>
              <w:rPr>
                <w:rFonts w:ascii="Arial Narrow" w:hAnsi="Arial Narrow" w:cs="Arial"/>
                <w:sz w:val="18"/>
                <w:szCs w:val="18"/>
              </w:rPr>
            </w:pPr>
            <w:proofErr w:type="spellStart"/>
            <w:r w:rsidRPr="00B92AA8">
              <w:rPr>
                <w:rFonts w:ascii="Arial Narrow" w:hAnsi="Arial Narrow" w:cs="Arial"/>
                <w:sz w:val="18"/>
                <w:szCs w:val="18"/>
              </w:rPr>
              <w:t>Coppo</w:t>
            </w:r>
            <w:proofErr w:type="spellEnd"/>
            <w:r w:rsidRPr="00B92AA8">
              <w:rPr>
                <w:rFonts w:ascii="Arial Narrow" w:hAnsi="Arial Narrow" w:cs="Arial"/>
                <w:sz w:val="18"/>
                <w:szCs w:val="18"/>
              </w:rPr>
              <w:t xml:space="preserve"> 2016</w:t>
            </w:r>
          </w:p>
        </w:tc>
        <w:tc>
          <w:tcPr>
            <w:tcW w:w="4820" w:type="dxa"/>
          </w:tcPr>
          <w:p w:rsidR="0070054A" w:rsidRPr="00B92AA8" w:rsidRDefault="00284112" w:rsidP="00284112">
            <w:pPr>
              <w:keepNext/>
              <w:rPr>
                <w:rFonts w:ascii="Arial Narrow" w:hAnsi="Arial Narrow" w:cs="Arial"/>
                <w:sz w:val="18"/>
                <w:szCs w:val="18"/>
              </w:rPr>
            </w:pPr>
            <w:proofErr w:type="spellStart"/>
            <w:r w:rsidRPr="00B92AA8">
              <w:rPr>
                <w:rFonts w:ascii="Arial Narrow" w:hAnsi="Arial Narrow" w:cs="Arial"/>
                <w:sz w:val="18"/>
                <w:szCs w:val="18"/>
              </w:rPr>
              <w:t>Coppo</w:t>
            </w:r>
            <w:proofErr w:type="spellEnd"/>
            <w:r w:rsidRPr="00B92AA8">
              <w:rPr>
                <w:rFonts w:ascii="Arial Narrow" w:hAnsi="Arial Narrow" w:cs="Arial"/>
                <w:sz w:val="18"/>
                <w:szCs w:val="18"/>
              </w:rPr>
              <w:t xml:space="preserve">, R. et al. Liver transplantation for </w:t>
            </w:r>
            <w:proofErr w:type="spellStart"/>
            <w:r w:rsidRPr="00B92AA8">
              <w:rPr>
                <w:rFonts w:ascii="Arial Narrow" w:hAnsi="Arial Narrow" w:cs="Arial"/>
                <w:sz w:val="18"/>
                <w:szCs w:val="18"/>
              </w:rPr>
              <w:t>aHUS</w:t>
            </w:r>
            <w:proofErr w:type="spellEnd"/>
            <w:r w:rsidRPr="00B92AA8">
              <w:rPr>
                <w:rFonts w:ascii="Arial Narrow" w:hAnsi="Arial Narrow" w:cs="Arial"/>
                <w:sz w:val="18"/>
                <w:szCs w:val="18"/>
              </w:rPr>
              <w:t xml:space="preserve">: still needed in the </w:t>
            </w:r>
            <w:proofErr w:type="spellStart"/>
            <w:r w:rsidRPr="00B92AA8">
              <w:rPr>
                <w:rFonts w:ascii="Arial Narrow" w:hAnsi="Arial Narrow" w:cs="Arial"/>
                <w:sz w:val="18"/>
                <w:szCs w:val="18"/>
              </w:rPr>
              <w:t>eculizumab</w:t>
            </w:r>
            <w:proofErr w:type="spellEnd"/>
            <w:r w:rsidRPr="00B92AA8">
              <w:rPr>
                <w:rFonts w:ascii="Arial Narrow" w:hAnsi="Arial Narrow" w:cs="Arial"/>
                <w:sz w:val="18"/>
                <w:szCs w:val="18"/>
              </w:rPr>
              <w:t xml:space="preserve"> era? </w:t>
            </w:r>
          </w:p>
        </w:tc>
        <w:tc>
          <w:tcPr>
            <w:tcW w:w="1843" w:type="dxa"/>
          </w:tcPr>
          <w:p w:rsidR="0070054A" w:rsidRPr="00B92AA8" w:rsidRDefault="00284112" w:rsidP="0062748A">
            <w:pPr>
              <w:keepNext/>
              <w:rPr>
                <w:rFonts w:ascii="Arial Narrow" w:hAnsi="Arial Narrow" w:cs="Arial"/>
                <w:sz w:val="18"/>
                <w:szCs w:val="18"/>
              </w:rPr>
            </w:pPr>
            <w:proofErr w:type="spellStart"/>
            <w:r w:rsidRPr="00B92AA8">
              <w:rPr>
                <w:rFonts w:ascii="Arial Narrow" w:hAnsi="Arial Narrow" w:cs="Arial"/>
                <w:sz w:val="18"/>
                <w:szCs w:val="18"/>
              </w:rPr>
              <w:t>Pediatr</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Nephrol</w:t>
            </w:r>
            <w:proofErr w:type="spellEnd"/>
            <w:r w:rsidRPr="00B92AA8">
              <w:rPr>
                <w:rFonts w:ascii="Arial Narrow" w:hAnsi="Arial Narrow" w:cs="Arial"/>
                <w:sz w:val="18"/>
                <w:szCs w:val="18"/>
              </w:rPr>
              <w:t>. 31, 759–768</w:t>
            </w:r>
          </w:p>
        </w:tc>
      </w:tr>
      <w:tr w:rsidR="00284112" w:rsidRPr="00B92AA8" w:rsidTr="00C27B58">
        <w:trPr>
          <w:cantSplit/>
        </w:trPr>
        <w:tc>
          <w:tcPr>
            <w:tcW w:w="1701" w:type="dxa"/>
          </w:tcPr>
          <w:p w:rsidR="00284112" w:rsidRPr="00B92AA8" w:rsidRDefault="00284112" w:rsidP="00D84934">
            <w:pPr>
              <w:pStyle w:val="NoSpacing"/>
              <w:rPr>
                <w:rFonts w:ascii="Arial Narrow" w:hAnsi="Arial Narrow" w:cs="Arial"/>
                <w:sz w:val="18"/>
                <w:szCs w:val="18"/>
              </w:rPr>
            </w:pPr>
            <w:r w:rsidRPr="00B92AA8">
              <w:rPr>
                <w:rFonts w:ascii="Arial Narrow" w:hAnsi="Arial Narrow" w:cs="Arial"/>
                <w:sz w:val="18"/>
                <w:szCs w:val="18"/>
              </w:rPr>
              <w:t>Riddell 2016</w:t>
            </w:r>
          </w:p>
        </w:tc>
        <w:tc>
          <w:tcPr>
            <w:tcW w:w="4820" w:type="dxa"/>
          </w:tcPr>
          <w:p w:rsidR="00284112" w:rsidRPr="00B92AA8" w:rsidRDefault="00284112" w:rsidP="00284112">
            <w:pPr>
              <w:keepNext/>
              <w:rPr>
                <w:rFonts w:ascii="Arial Narrow" w:hAnsi="Arial Narrow" w:cs="Arial"/>
                <w:sz w:val="18"/>
                <w:szCs w:val="18"/>
              </w:rPr>
            </w:pPr>
            <w:r w:rsidRPr="00B92AA8">
              <w:rPr>
                <w:rFonts w:ascii="Arial Narrow" w:hAnsi="Arial Narrow" w:cs="Arial"/>
                <w:sz w:val="18"/>
                <w:szCs w:val="18"/>
              </w:rPr>
              <w:t xml:space="preserve">Riddell, A., </w:t>
            </w:r>
            <w:proofErr w:type="spellStart"/>
            <w:r w:rsidRPr="00B92AA8">
              <w:rPr>
                <w:rFonts w:ascii="Arial Narrow" w:hAnsi="Arial Narrow" w:cs="Arial"/>
                <w:sz w:val="18"/>
                <w:szCs w:val="18"/>
              </w:rPr>
              <w:t>Goodship</w:t>
            </w:r>
            <w:proofErr w:type="spellEnd"/>
            <w:r w:rsidRPr="00B92AA8">
              <w:rPr>
                <w:rFonts w:ascii="Arial Narrow" w:hAnsi="Arial Narrow" w:cs="Arial"/>
                <w:sz w:val="18"/>
                <w:szCs w:val="18"/>
              </w:rPr>
              <w:t xml:space="preserve">, T. H. J. &amp; Bingham, C. Prevention of recurrence of </w:t>
            </w:r>
            <w:proofErr w:type="spellStart"/>
            <w:r w:rsidRPr="00B92AA8">
              <w:rPr>
                <w:rFonts w:ascii="Arial Narrow" w:hAnsi="Arial Narrow" w:cs="Arial"/>
                <w:sz w:val="18"/>
                <w:szCs w:val="18"/>
              </w:rPr>
              <w:t>aHUS</w:t>
            </w:r>
            <w:proofErr w:type="spellEnd"/>
            <w:r w:rsidRPr="00B92AA8">
              <w:rPr>
                <w:rFonts w:ascii="Arial Narrow" w:hAnsi="Arial Narrow" w:cs="Arial"/>
                <w:sz w:val="18"/>
                <w:szCs w:val="18"/>
              </w:rPr>
              <w:t xml:space="preserve"> post renal </w:t>
            </w:r>
            <w:proofErr w:type="spellStart"/>
            <w:r w:rsidRPr="00B92AA8">
              <w:rPr>
                <w:rFonts w:ascii="Arial Narrow" w:hAnsi="Arial Narrow" w:cs="Arial"/>
                <w:sz w:val="18"/>
                <w:szCs w:val="18"/>
              </w:rPr>
              <w:t>trasplant</w:t>
            </w:r>
            <w:proofErr w:type="spellEnd"/>
            <w:r w:rsidRPr="00B92AA8">
              <w:rPr>
                <w:rFonts w:ascii="Arial Narrow" w:hAnsi="Arial Narrow" w:cs="Arial"/>
                <w:sz w:val="18"/>
                <w:szCs w:val="18"/>
              </w:rPr>
              <w:t xml:space="preserve"> with the use of higher-dose </w:t>
            </w:r>
            <w:proofErr w:type="spellStart"/>
            <w:r w:rsidRPr="00B92AA8">
              <w:rPr>
                <w:rFonts w:ascii="Arial Narrow" w:hAnsi="Arial Narrow" w:cs="Arial"/>
                <w:sz w:val="18"/>
                <w:szCs w:val="18"/>
              </w:rPr>
              <w:t>eculizumab</w:t>
            </w:r>
            <w:proofErr w:type="spellEnd"/>
            <w:r w:rsidRPr="00B92AA8">
              <w:rPr>
                <w:rFonts w:ascii="Arial Narrow" w:hAnsi="Arial Narrow" w:cs="Arial"/>
                <w:sz w:val="18"/>
                <w:szCs w:val="18"/>
              </w:rPr>
              <w:t xml:space="preserve">. </w:t>
            </w:r>
          </w:p>
        </w:tc>
        <w:tc>
          <w:tcPr>
            <w:tcW w:w="1843" w:type="dxa"/>
          </w:tcPr>
          <w:p w:rsidR="00284112" w:rsidRPr="00B92AA8" w:rsidRDefault="00284112" w:rsidP="0062748A">
            <w:pPr>
              <w:keepNext/>
              <w:rPr>
                <w:rFonts w:ascii="Arial Narrow" w:hAnsi="Arial Narrow" w:cs="Arial"/>
                <w:sz w:val="18"/>
                <w:szCs w:val="18"/>
              </w:rPr>
            </w:pPr>
            <w:proofErr w:type="spellStart"/>
            <w:r w:rsidRPr="00B92AA8">
              <w:rPr>
                <w:rFonts w:ascii="Arial Narrow" w:hAnsi="Arial Narrow" w:cs="Arial"/>
                <w:sz w:val="18"/>
                <w:szCs w:val="18"/>
              </w:rPr>
              <w:t>Clin</w:t>
            </w:r>
            <w:proofErr w:type="spellEnd"/>
            <w:r w:rsidRPr="00B92AA8">
              <w:rPr>
                <w:rFonts w:ascii="Arial Narrow" w:hAnsi="Arial Narrow" w:cs="Arial"/>
                <w:sz w:val="18"/>
                <w:szCs w:val="18"/>
              </w:rPr>
              <w:t xml:space="preserve">. </w:t>
            </w:r>
            <w:proofErr w:type="spellStart"/>
            <w:r w:rsidRPr="00B92AA8">
              <w:rPr>
                <w:rFonts w:ascii="Arial Narrow" w:hAnsi="Arial Narrow" w:cs="Arial"/>
                <w:sz w:val="18"/>
                <w:szCs w:val="18"/>
              </w:rPr>
              <w:t>Nephrol</w:t>
            </w:r>
            <w:proofErr w:type="spellEnd"/>
            <w:r w:rsidRPr="00B92AA8">
              <w:rPr>
                <w:rFonts w:ascii="Arial Narrow" w:hAnsi="Arial Narrow" w:cs="Arial"/>
                <w:sz w:val="18"/>
                <w:szCs w:val="18"/>
              </w:rPr>
              <w:t>. 86, 200–202</w:t>
            </w:r>
          </w:p>
        </w:tc>
      </w:tr>
    </w:tbl>
    <w:p w:rsidR="00284112" w:rsidRPr="00F47603" w:rsidRDefault="00284112" w:rsidP="0076420C">
      <w:pPr>
        <w:pStyle w:val="tablenotes"/>
        <w:ind w:firstLine="709"/>
        <w:rPr>
          <w:rFonts w:ascii="Arial Narrow" w:hAnsi="Arial Narrow" w:cs="Arial"/>
          <w:sz w:val="18"/>
          <w:szCs w:val="18"/>
        </w:rPr>
      </w:pPr>
      <w:proofErr w:type="spellStart"/>
      <w:proofErr w:type="gramStart"/>
      <w:r w:rsidRPr="00F47603">
        <w:rPr>
          <w:rFonts w:ascii="Arial Narrow" w:hAnsi="Arial Narrow" w:cs="Arial"/>
          <w:sz w:val="18"/>
          <w:szCs w:val="18"/>
        </w:rPr>
        <w:t>aHUS</w:t>
      </w:r>
      <w:proofErr w:type="spellEnd"/>
      <w:proofErr w:type="gramEnd"/>
      <w:r w:rsidRPr="00F47603">
        <w:rPr>
          <w:rFonts w:ascii="Arial Narrow" w:hAnsi="Arial Narrow" w:cs="Arial"/>
          <w:sz w:val="18"/>
          <w:szCs w:val="18"/>
        </w:rPr>
        <w:t xml:space="preserve"> = atypical haemolytic uraemic syndrome</w:t>
      </w:r>
    </w:p>
    <w:p w:rsidR="0076420C" w:rsidRPr="00F47603" w:rsidRDefault="0076420C" w:rsidP="0076420C">
      <w:pPr>
        <w:pStyle w:val="tablenotes"/>
        <w:ind w:firstLine="709"/>
        <w:rPr>
          <w:rFonts w:ascii="Arial Narrow" w:hAnsi="Arial Narrow" w:cs="Arial"/>
          <w:sz w:val="18"/>
          <w:szCs w:val="18"/>
        </w:rPr>
      </w:pPr>
      <w:r w:rsidRPr="00F47603">
        <w:rPr>
          <w:rFonts w:ascii="Arial Narrow" w:hAnsi="Arial Narrow" w:cs="Arial"/>
          <w:sz w:val="18"/>
          <w:szCs w:val="18"/>
        </w:rPr>
        <w:t xml:space="preserve">Source: </w:t>
      </w:r>
      <w:r w:rsidR="00284112" w:rsidRPr="00F47603">
        <w:rPr>
          <w:rFonts w:ascii="Arial Narrow" w:hAnsi="Arial Narrow" w:cs="Arial"/>
          <w:sz w:val="18"/>
          <w:szCs w:val="18"/>
        </w:rPr>
        <w:t>Compiled from information provided on pp13, 51-69 and 90-94 of the submission</w:t>
      </w:r>
    </w:p>
    <w:p w:rsidR="0076420C" w:rsidRPr="00F77380" w:rsidRDefault="0076420C" w:rsidP="0076420C">
      <w:pPr>
        <w:pStyle w:val="ListParagraph"/>
        <w:ind w:left="709"/>
        <w:rPr>
          <w:rFonts w:asciiTheme="minorHAnsi" w:hAnsiTheme="minorHAnsi"/>
          <w:szCs w:val="22"/>
        </w:rPr>
      </w:pPr>
    </w:p>
    <w:p w:rsidR="00284112" w:rsidRPr="00617D5D" w:rsidRDefault="00284112" w:rsidP="00FC668B">
      <w:pPr>
        <w:pStyle w:val="ListParagraph"/>
        <w:widowControl/>
        <w:numPr>
          <w:ilvl w:val="1"/>
          <w:numId w:val="5"/>
        </w:numPr>
        <w:ind w:left="709"/>
        <w:rPr>
          <w:rFonts w:asciiTheme="minorHAnsi" w:hAnsiTheme="minorHAnsi"/>
          <w:sz w:val="24"/>
          <w:szCs w:val="24"/>
        </w:rPr>
      </w:pPr>
      <w:r w:rsidRPr="00617D5D">
        <w:rPr>
          <w:rFonts w:asciiTheme="minorHAnsi" w:hAnsiTheme="minorHAnsi"/>
          <w:sz w:val="24"/>
          <w:szCs w:val="24"/>
        </w:rPr>
        <w:t>The key features of the Global registry data, case series and case reports are summarised in the table below.</w:t>
      </w:r>
      <w:r w:rsidR="00787DF7" w:rsidRPr="00617D5D">
        <w:rPr>
          <w:rFonts w:asciiTheme="minorHAnsi" w:hAnsiTheme="minorHAnsi"/>
          <w:sz w:val="24"/>
          <w:szCs w:val="24"/>
        </w:rPr>
        <w:t xml:space="preserve"> </w:t>
      </w:r>
    </w:p>
    <w:p w:rsidR="00F47603" w:rsidRDefault="00F47603">
      <w:pPr>
        <w:rPr>
          <w:rFonts w:ascii="Arial Narrow" w:hAnsi="Arial Narrow"/>
          <w:b/>
          <w:bCs/>
        </w:rPr>
      </w:pPr>
    </w:p>
    <w:p w:rsidR="00A7076C" w:rsidRDefault="00A7076C">
      <w:pPr>
        <w:rPr>
          <w:rFonts w:ascii="Arial Narrow" w:hAnsi="Arial Narrow"/>
          <w:b/>
          <w:bCs/>
        </w:rPr>
      </w:pPr>
    </w:p>
    <w:p w:rsidR="00A7076C" w:rsidRPr="00617D5D" w:rsidRDefault="00A7076C">
      <w:pPr>
        <w:rPr>
          <w:rFonts w:ascii="Arial Narrow" w:hAnsi="Arial Narrow"/>
          <w:b/>
          <w:bCs/>
        </w:rPr>
      </w:pPr>
    </w:p>
    <w:p w:rsidR="004A6028" w:rsidRDefault="004A6028" w:rsidP="004A6028">
      <w:pPr>
        <w:pStyle w:val="Caption"/>
        <w:ind w:left="709"/>
      </w:pPr>
      <w:r>
        <w:t xml:space="preserve">Table </w:t>
      </w:r>
      <w:fldSimple w:instr=" SEQ Table \* ARABIC ">
        <w:r>
          <w:rPr>
            <w:noProof/>
          </w:rPr>
          <w:t>3</w:t>
        </w:r>
      </w:fldSimple>
      <w:r>
        <w:t xml:space="preserve">: </w:t>
      </w:r>
      <w:r w:rsidRPr="00125907">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9"/>
        <w:gridCol w:w="932"/>
        <w:gridCol w:w="2318"/>
        <w:gridCol w:w="2037"/>
        <w:gridCol w:w="2037"/>
      </w:tblGrid>
      <w:tr w:rsidR="00C576B3" w:rsidRPr="00B92AA8" w:rsidTr="00C91173">
        <w:tc>
          <w:tcPr>
            <w:tcW w:w="621" w:type="pct"/>
            <w:shd w:val="clear" w:color="auto" w:fill="auto"/>
            <w:vAlign w:val="center"/>
          </w:tcPr>
          <w:p w:rsidR="00C576B3" w:rsidRPr="00B92AA8" w:rsidRDefault="00C576B3" w:rsidP="008B70DA">
            <w:pPr>
              <w:rPr>
                <w:rFonts w:ascii="Arial Narrow" w:hAnsi="Arial Narrow"/>
                <w:b/>
                <w:sz w:val="18"/>
                <w:szCs w:val="18"/>
              </w:rPr>
            </w:pPr>
          </w:p>
        </w:tc>
        <w:tc>
          <w:tcPr>
            <w:tcW w:w="557" w:type="pct"/>
            <w:shd w:val="clear" w:color="auto" w:fill="auto"/>
            <w:vAlign w:val="center"/>
          </w:tcPr>
          <w:p w:rsidR="00C576B3" w:rsidRPr="00B92AA8" w:rsidRDefault="00C576B3" w:rsidP="008B70DA">
            <w:pPr>
              <w:jc w:val="center"/>
              <w:rPr>
                <w:rFonts w:ascii="Arial Narrow" w:hAnsi="Arial Narrow"/>
                <w:b/>
                <w:sz w:val="18"/>
                <w:szCs w:val="18"/>
              </w:rPr>
            </w:pPr>
            <w:r w:rsidRPr="00B92AA8">
              <w:rPr>
                <w:rFonts w:ascii="Arial Narrow" w:hAnsi="Arial Narrow"/>
                <w:b/>
                <w:sz w:val="18"/>
                <w:szCs w:val="18"/>
              </w:rPr>
              <w:t>N</w:t>
            </w:r>
          </w:p>
        </w:tc>
        <w:tc>
          <w:tcPr>
            <w:tcW w:w="1386" w:type="pct"/>
            <w:shd w:val="clear" w:color="auto" w:fill="auto"/>
            <w:vAlign w:val="center"/>
          </w:tcPr>
          <w:p w:rsidR="00C576B3" w:rsidRPr="00B92AA8" w:rsidRDefault="00C576B3" w:rsidP="00D651A5">
            <w:pPr>
              <w:jc w:val="center"/>
              <w:rPr>
                <w:rFonts w:ascii="Arial Narrow" w:hAnsi="Arial Narrow"/>
                <w:b/>
                <w:sz w:val="18"/>
                <w:szCs w:val="18"/>
              </w:rPr>
            </w:pPr>
            <w:r w:rsidRPr="00B92AA8">
              <w:rPr>
                <w:rFonts w:ascii="Arial Narrow" w:hAnsi="Arial Narrow"/>
                <w:b/>
                <w:sz w:val="18"/>
                <w:szCs w:val="18"/>
              </w:rPr>
              <w:t>Design</w:t>
            </w:r>
          </w:p>
          <w:p w:rsidR="00C576B3" w:rsidRPr="00B92AA8" w:rsidRDefault="00C576B3" w:rsidP="008B70DA">
            <w:pPr>
              <w:jc w:val="center"/>
              <w:rPr>
                <w:rFonts w:ascii="Arial Narrow" w:hAnsi="Arial Narrow"/>
                <w:b/>
                <w:sz w:val="18"/>
                <w:szCs w:val="18"/>
              </w:rPr>
            </w:pPr>
          </w:p>
        </w:tc>
        <w:tc>
          <w:tcPr>
            <w:tcW w:w="1218" w:type="pct"/>
            <w:shd w:val="clear" w:color="auto" w:fill="auto"/>
            <w:vAlign w:val="center"/>
          </w:tcPr>
          <w:p w:rsidR="00C576B3" w:rsidRPr="00B92AA8" w:rsidRDefault="00C576B3" w:rsidP="008B70DA">
            <w:pPr>
              <w:jc w:val="center"/>
              <w:rPr>
                <w:rFonts w:ascii="Arial Narrow" w:hAnsi="Arial Narrow"/>
                <w:b/>
                <w:sz w:val="18"/>
                <w:szCs w:val="18"/>
              </w:rPr>
            </w:pPr>
            <w:r w:rsidRPr="00B92AA8">
              <w:rPr>
                <w:rFonts w:ascii="Arial Narrow" w:hAnsi="Arial Narrow"/>
                <w:b/>
                <w:sz w:val="18"/>
                <w:szCs w:val="18"/>
              </w:rPr>
              <w:t>Patient population</w:t>
            </w:r>
          </w:p>
        </w:tc>
        <w:tc>
          <w:tcPr>
            <w:tcW w:w="1218" w:type="pct"/>
            <w:shd w:val="clear" w:color="auto" w:fill="auto"/>
            <w:vAlign w:val="center"/>
          </w:tcPr>
          <w:p w:rsidR="00C576B3" w:rsidRPr="00B92AA8" w:rsidRDefault="00C576B3" w:rsidP="008B70DA">
            <w:pPr>
              <w:jc w:val="center"/>
              <w:rPr>
                <w:rFonts w:ascii="Arial Narrow" w:hAnsi="Arial Narrow"/>
                <w:b/>
                <w:sz w:val="18"/>
                <w:szCs w:val="18"/>
              </w:rPr>
            </w:pPr>
            <w:r w:rsidRPr="00B92AA8">
              <w:rPr>
                <w:rFonts w:ascii="Arial Narrow" w:hAnsi="Arial Narrow"/>
                <w:b/>
                <w:sz w:val="18"/>
                <w:szCs w:val="18"/>
              </w:rPr>
              <w:t>Outcomes</w:t>
            </w:r>
          </w:p>
        </w:tc>
      </w:tr>
      <w:tr w:rsidR="00C576B3" w:rsidRPr="00B92AA8" w:rsidTr="00C91173">
        <w:tc>
          <w:tcPr>
            <w:tcW w:w="621" w:type="pct"/>
            <w:shd w:val="clear" w:color="auto" w:fill="auto"/>
            <w:vAlign w:val="center"/>
          </w:tcPr>
          <w:p w:rsidR="00C576B3" w:rsidRPr="00B92AA8" w:rsidRDefault="00C576B3" w:rsidP="008B70DA">
            <w:pPr>
              <w:rPr>
                <w:rFonts w:ascii="Arial Narrow" w:hAnsi="Arial Narrow"/>
                <w:sz w:val="18"/>
                <w:szCs w:val="18"/>
              </w:rPr>
            </w:pPr>
            <w:proofErr w:type="spellStart"/>
            <w:r w:rsidRPr="00B92AA8">
              <w:rPr>
                <w:rFonts w:ascii="Arial Narrow" w:hAnsi="Arial Narrow" w:cs="Arial"/>
                <w:sz w:val="18"/>
                <w:szCs w:val="18"/>
              </w:rPr>
              <w:t>Siedlecki</w:t>
            </w:r>
            <w:proofErr w:type="spellEnd"/>
            <w:r w:rsidRPr="00B92AA8">
              <w:rPr>
                <w:rFonts w:ascii="Arial Narrow" w:hAnsi="Arial Narrow" w:cs="Arial"/>
                <w:sz w:val="18"/>
                <w:szCs w:val="18"/>
              </w:rPr>
              <w:t xml:space="preserve"> 2016</w:t>
            </w:r>
          </w:p>
        </w:tc>
        <w:tc>
          <w:tcPr>
            <w:tcW w:w="557" w:type="pct"/>
            <w:shd w:val="clear" w:color="auto" w:fill="auto"/>
            <w:vAlign w:val="center"/>
          </w:tcPr>
          <w:p w:rsidR="00C576B3" w:rsidRPr="00B92AA8" w:rsidRDefault="00C576B3" w:rsidP="008B70DA">
            <w:pPr>
              <w:jc w:val="center"/>
              <w:rPr>
                <w:rFonts w:ascii="Arial Narrow" w:hAnsi="Arial Narrow"/>
                <w:sz w:val="18"/>
                <w:szCs w:val="18"/>
              </w:rPr>
            </w:pPr>
            <w:r w:rsidRPr="00B92AA8">
              <w:rPr>
                <w:rFonts w:ascii="Arial Narrow" w:hAnsi="Arial Narrow"/>
                <w:sz w:val="18"/>
                <w:szCs w:val="18"/>
              </w:rPr>
              <w:t>93</w:t>
            </w:r>
          </w:p>
          <w:p w:rsidR="00C576B3" w:rsidRPr="00B92AA8" w:rsidRDefault="00C576B3" w:rsidP="008B70DA">
            <w:pPr>
              <w:jc w:val="center"/>
              <w:rPr>
                <w:rFonts w:ascii="Arial Narrow" w:hAnsi="Arial Narrow"/>
                <w:sz w:val="18"/>
                <w:szCs w:val="18"/>
              </w:rPr>
            </w:pPr>
            <w:r w:rsidRPr="00B92AA8">
              <w:rPr>
                <w:rFonts w:ascii="Arial Narrow" w:hAnsi="Arial Narrow"/>
                <w:sz w:val="18"/>
                <w:szCs w:val="18"/>
              </w:rPr>
              <w:t>(147 claimed in submission)</w:t>
            </w:r>
          </w:p>
        </w:tc>
        <w:tc>
          <w:tcPr>
            <w:tcW w:w="1386" w:type="pct"/>
            <w:shd w:val="clear" w:color="auto" w:fill="auto"/>
            <w:vAlign w:val="center"/>
          </w:tcPr>
          <w:p w:rsidR="00C576B3" w:rsidRPr="00B92AA8" w:rsidRDefault="00C576B3" w:rsidP="008B70DA">
            <w:pPr>
              <w:jc w:val="center"/>
              <w:rPr>
                <w:rFonts w:ascii="Arial Narrow" w:hAnsi="Arial Narrow"/>
                <w:sz w:val="18"/>
                <w:szCs w:val="18"/>
              </w:rPr>
            </w:pPr>
            <w:r w:rsidRPr="00B92AA8">
              <w:rPr>
                <w:rFonts w:ascii="Arial Narrow" w:hAnsi="Arial Narrow"/>
                <w:sz w:val="18"/>
                <w:szCs w:val="18"/>
              </w:rPr>
              <w:t>Registry data</w:t>
            </w:r>
          </w:p>
          <w:p w:rsidR="00C576B3" w:rsidRPr="00B92AA8" w:rsidRDefault="00C576B3" w:rsidP="008B70DA">
            <w:pPr>
              <w:jc w:val="center"/>
              <w:rPr>
                <w:rFonts w:ascii="Arial Narrow" w:hAnsi="Arial Narrow"/>
                <w:sz w:val="18"/>
                <w:szCs w:val="18"/>
              </w:rPr>
            </w:pPr>
            <w:r w:rsidRPr="00B92AA8">
              <w:rPr>
                <w:rFonts w:ascii="Arial Narrow" w:hAnsi="Arial Narrow"/>
                <w:sz w:val="18"/>
                <w:szCs w:val="18"/>
              </w:rPr>
              <w:t>Pe</w:t>
            </w:r>
            <w:r w:rsidR="0012486C" w:rsidRPr="00B92AA8">
              <w:rPr>
                <w:rFonts w:ascii="Arial Narrow" w:hAnsi="Arial Narrow"/>
                <w:sz w:val="18"/>
                <w:szCs w:val="18"/>
              </w:rPr>
              <w:t>r</w:t>
            </w:r>
            <w:r w:rsidRPr="00B92AA8">
              <w:rPr>
                <w:rFonts w:ascii="Arial Narrow" w:hAnsi="Arial Narrow"/>
                <w:sz w:val="18"/>
                <w:szCs w:val="18"/>
              </w:rPr>
              <w:t>i-transplant (n=57)</w:t>
            </w:r>
          </w:p>
          <w:p w:rsidR="00C576B3" w:rsidRPr="00B92AA8" w:rsidRDefault="00C576B3" w:rsidP="008B70DA">
            <w:pPr>
              <w:jc w:val="center"/>
              <w:rPr>
                <w:rFonts w:ascii="Arial Narrow" w:hAnsi="Arial Narrow"/>
                <w:sz w:val="18"/>
                <w:szCs w:val="18"/>
              </w:rPr>
            </w:pPr>
            <w:r w:rsidRPr="00B92AA8">
              <w:rPr>
                <w:rFonts w:ascii="Arial Narrow" w:hAnsi="Arial Narrow"/>
                <w:sz w:val="18"/>
                <w:szCs w:val="18"/>
              </w:rPr>
              <w:t>Post-transplant (n=36)</w:t>
            </w:r>
          </w:p>
          <w:p w:rsidR="00C576B3" w:rsidRPr="00B92AA8" w:rsidRDefault="00C576B3" w:rsidP="008B70DA">
            <w:pPr>
              <w:jc w:val="center"/>
              <w:rPr>
                <w:rFonts w:ascii="Arial Narrow" w:hAnsi="Arial Narrow"/>
                <w:sz w:val="18"/>
                <w:szCs w:val="18"/>
              </w:rPr>
            </w:pPr>
          </w:p>
        </w:tc>
        <w:tc>
          <w:tcPr>
            <w:tcW w:w="1218" w:type="pct"/>
            <w:shd w:val="clear" w:color="auto" w:fill="auto"/>
            <w:vAlign w:val="center"/>
          </w:tcPr>
          <w:p w:rsidR="00C576B3" w:rsidRPr="00B92AA8" w:rsidRDefault="0012486C" w:rsidP="008B70DA">
            <w:pPr>
              <w:rPr>
                <w:rFonts w:ascii="Arial Narrow" w:hAnsi="Arial Narrow"/>
                <w:sz w:val="18"/>
                <w:szCs w:val="18"/>
              </w:rPr>
            </w:pPr>
            <w:r w:rsidRPr="00B92AA8">
              <w:rPr>
                <w:rFonts w:ascii="Arial Narrow" w:hAnsi="Arial Narrow"/>
                <w:sz w:val="18"/>
                <w:szCs w:val="18"/>
              </w:rPr>
              <w:t xml:space="preserve">All </w:t>
            </w:r>
            <w:proofErr w:type="spellStart"/>
            <w:r w:rsidR="00C576B3" w:rsidRPr="00B92AA8">
              <w:rPr>
                <w:rFonts w:ascii="Arial Narrow" w:hAnsi="Arial Narrow"/>
                <w:sz w:val="18"/>
                <w:szCs w:val="18"/>
              </w:rPr>
              <w:t>aHUS</w:t>
            </w:r>
            <w:proofErr w:type="spellEnd"/>
            <w:r w:rsidR="00C576B3" w:rsidRPr="00B92AA8">
              <w:rPr>
                <w:rFonts w:ascii="Arial Narrow" w:hAnsi="Arial Narrow"/>
                <w:sz w:val="18"/>
                <w:szCs w:val="18"/>
              </w:rPr>
              <w:t xml:space="preserve"> patients</w:t>
            </w:r>
          </w:p>
          <w:p w:rsidR="00C576B3" w:rsidRPr="00B92AA8" w:rsidRDefault="00C576B3" w:rsidP="008B70DA">
            <w:pPr>
              <w:rPr>
                <w:rFonts w:ascii="Arial Narrow" w:hAnsi="Arial Narrow"/>
                <w:sz w:val="18"/>
                <w:szCs w:val="18"/>
              </w:rPr>
            </w:pPr>
            <w:r w:rsidRPr="00B92AA8">
              <w:rPr>
                <w:rFonts w:ascii="Arial Narrow" w:hAnsi="Arial Narrow"/>
                <w:sz w:val="18"/>
                <w:szCs w:val="18"/>
              </w:rPr>
              <w:t>All at least 1 renal transplant</w:t>
            </w:r>
          </w:p>
        </w:tc>
        <w:tc>
          <w:tcPr>
            <w:tcW w:w="1218" w:type="pct"/>
            <w:shd w:val="clear" w:color="auto" w:fill="auto"/>
            <w:vAlign w:val="center"/>
          </w:tcPr>
          <w:p w:rsidR="00C576B3" w:rsidRPr="00B92AA8" w:rsidRDefault="00C576B3" w:rsidP="008B70DA">
            <w:pPr>
              <w:rPr>
                <w:rFonts w:ascii="Arial Narrow" w:hAnsi="Arial Narrow"/>
                <w:sz w:val="18"/>
                <w:szCs w:val="18"/>
              </w:rPr>
            </w:pPr>
            <w:r w:rsidRPr="00B92AA8">
              <w:rPr>
                <w:rFonts w:ascii="Arial Narrow" w:hAnsi="Arial Narrow"/>
                <w:sz w:val="18"/>
                <w:szCs w:val="18"/>
              </w:rPr>
              <w:t>Recurrence of TMA</w:t>
            </w:r>
          </w:p>
          <w:p w:rsidR="00C576B3" w:rsidRPr="00B92AA8" w:rsidRDefault="00C576B3" w:rsidP="008B70DA">
            <w:pPr>
              <w:rPr>
                <w:rFonts w:ascii="Arial Narrow" w:hAnsi="Arial Narrow"/>
                <w:sz w:val="18"/>
                <w:szCs w:val="18"/>
              </w:rPr>
            </w:pPr>
            <w:r w:rsidRPr="00B92AA8">
              <w:rPr>
                <w:rFonts w:ascii="Arial Narrow" w:hAnsi="Arial Narrow"/>
                <w:sz w:val="18"/>
                <w:szCs w:val="18"/>
              </w:rPr>
              <w:t>Dialysis required</w:t>
            </w:r>
          </w:p>
          <w:p w:rsidR="00C576B3" w:rsidRPr="00B92AA8" w:rsidRDefault="00C576B3" w:rsidP="008B70DA">
            <w:pPr>
              <w:rPr>
                <w:rFonts w:ascii="Arial Narrow" w:hAnsi="Arial Narrow"/>
                <w:sz w:val="18"/>
                <w:szCs w:val="18"/>
              </w:rPr>
            </w:pPr>
            <w:r w:rsidRPr="00B92AA8">
              <w:rPr>
                <w:rFonts w:ascii="Arial Narrow" w:hAnsi="Arial Narrow"/>
                <w:sz w:val="18"/>
                <w:szCs w:val="18"/>
              </w:rPr>
              <w:t>Time to dialysis</w:t>
            </w:r>
          </w:p>
        </w:tc>
      </w:tr>
      <w:tr w:rsidR="00C576B3" w:rsidRPr="00B92AA8" w:rsidTr="00C91173">
        <w:tc>
          <w:tcPr>
            <w:tcW w:w="621" w:type="pct"/>
            <w:shd w:val="clear" w:color="auto" w:fill="auto"/>
            <w:vAlign w:val="center"/>
          </w:tcPr>
          <w:p w:rsidR="00C576B3" w:rsidRPr="00B92AA8" w:rsidRDefault="00C576B3" w:rsidP="008B70DA">
            <w:pPr>
              <w:rPr>
                <w:rFonts w:ascii="Arial Narrow" w:hAnsi="Arial Narrow"/>
                <w:sz w:val="18"/>
                <w:szCs w:val="18"/>
              </w:rPr>
            </w:pPr>
            <w:proofErr w:type="spellStart"/>
            <w:r w:rsidRPr="00B92AA8">
              <w:rPr>
                <w:rFonts w:ascii="Arial Narrow" w:hAnsi="Arial Narrow"/>
                <w:sz w:val="18"/>
                <w:szCs w:val="18"/>
              </w:rPr>
              <w:t>Ardissino</w:t>
            </w:r>
            <w:proofErr w:type="spellEnd"/>
            <w:r w:rsidRPr="00B92AA8">
              <w:rPr>
                <w:rFonts w:ascii="Arial Narrow" w:hAnsi="Arial Narrow"/>
                <w:sz w:val="18"/>
                <w:szCs w:val="18"/>
              </w:rPr>
              <w:t xml:space="preserve"> 2016</w:t>
            </w:r>
          </w:p>
        </w:tc>
        <w:tc>
          <w:tcPr>
            <w:tcW w:w="557" w:type="pct"/>
            <w:shd w:val="clear" w:color="auto" w:fill="auto"/>
            <w:vAlign w:val="center"/>
          </w:tcPr>
          <w:p w:rsidR="00C576B3" w:rsidRPr="00B92AA8" w:rsidRDefault="00D805D4" w:rsidP="008B70DA">
            <w:pPr>
              <w:jc w:val="center"/>
              <w:rPr>
                <w:rFonts w:ascii="Arial Narrow" w:hAnsi="Arial Narrow"/>
                <w:sz w:val="18"/>
                <w:szCs w:val="18"/>
              </w:rPr>
            </w:pPr>
            <w:r w:rsidRPr="00B92AA8">
              <w:rPr>
                <w:rFonts w:ascii="Arial Narrow" w:hAnsi="Arial Narrow"/>
                <w:sz w:val="18"/>
                <w:szCs w:val="18"/>
              </w:rPr>
              <w:t>20</w:t>
            </w:r>
          </w:p>
        </w:tc>
        <w:tc>
          <w:tcPr>
            <w:tcW w:w="1386" w:type="pct"/>
            <w:shd w:val="clear" w:color="auto" w:fill="auto"/>
            <w:vAlign w:val="center"/>
          </w:tcPr>
          <w:p w:rsidR="00C576B3" w:rsidRPr="00B92AA8" w:rsidRDefault="00C576B3" w:rsidP="008B70DA">
            <w:pPr>
              <w:jc w:val="center"/>
              <w:rPr>
                <w:rFonts w:ascii="Arial Narrow" w:hAnsi="Arial Narrow"/>
                <w:sz w:val="18"/>
                <w:szCs w:val="18"/>
              </w:rPr>
            </w:pPr>
            <w:r w:rsidRPr="00B92AA8">
              <w:rPr>
                <w:rFonts w:ascii="Arial Narrow" w:hAnsi="Arial Narrow"/>
                <w:sz w:val="18"/>
                <w:szCs w:val="18"/>
              </w:rPr>
              <w:t>Case series</w:t>
            </w:r>
          </w:p>
          <w:p w:rsidR="00C576B3" w:rsidRPr="00B92AA8" w:rsidRDefault="00C576B3" w:rsidP="00C576B3">
            <w:pPr>
              <w:jc w:val="center"/>
              <w:rPr>
                <w:rFonts w:ascii="Arial Narrow" w:hAnsi="Arial Narrow"/>
                <w:sz w:val="18"/>
                <w:szCs w:val="18"/>
              </w:rPr>
            </w:pPr>
            <w:r w:rsidRPr="00B92AA8">
              <w:rPr>
                <w:rFonts w:ascii="Arial Narrow" w:hAnsi="Arial Narrow"/>
                <w:sz w:val="18"/>
                <w:szCs w:val="18"/>
              </w:rPr>
              <w:t>Group A: No prophylaxis- 7/20 (35%)</w:t>
            </w:r>
          </w:p>
          <w:p w:rsidR="00C576B3" w:rsidRPr="00B92AA8" w:rsidRDefault="00C576B3" w:rsidP="00C576B3">
            <w:pPr>
              <w:jc w:val="center"/>
              <w:rPr>
                <w:rFonts w:ascii="Arial Narrow" w:hAnsi="Arial Narrow"/>
                <w:sz w:val="18"/>
                <w:szCs w:val="18"/>
              </w:rPr>
            </w:pPr>
            <w:r w:rsidRPr="00B92AA8">
              <w:rPr>
                <w:rFonts w:ascii="Arial Narrow" w:hAnsi="Arial Narrow"/>
                <w:sz w:val="18"/>
                <w:szCs w:val="18"/>
              </w:rPr>
              <w:t xml:space="preserve">Group B: Plasma exchange/plasma infusion - 5/20 (25%) </w:t>
            </w:r>
          </w:p>
          <w:p w:rsidR="00C576B3" w:rsidRPr="00B92AA8" w:rsidRDefault="00C576B3" w:rsidP="00C576B3">
            <w:pPr>
              <w:jc w:val="center"/>
              <w:rPr>
                <w:rFonts w:ascii="Arial Narrow" w:hAnsi="Arial Narrow"/>
                <w:sz w:val="18"/>
                <w:szCs w:val="18"/>
              </w:rPr>
            </w:pPr>
            <w:r w:rsidRPr="00B92AA8">
              <w:rPr>
                <w:rFonts w:ascii="Arial Narrow" w:hAnsi="Arial Narrow"/>
                <w:sz w:val="18"/>
                <w:szCs w:val="18"/>
              </w:rPr>
              <w:t xml:space="preserve">Group C: </w:t>
            </w:r>
            <w:proofErr w:type="spellStart"/>
            <w:r w:rsidRPr="00B92AA8">
              <w:rPr>
                <w:rFonts w:ascii="Arial Narrow" w:hAnsi="Arial Narrow"/>
                <w:sz w:val="18"/>
                <w:szCs w:val="18"/>
              </w:rPr>
              <w:t>Eculizumab</w:t>
            </w:r>
            <w:proofErr w:type="spellEnd"/>
            <w:r w:rsidRPr="00B92AA8">
              <w:rPr>
                <w:rFonts w:ascii="Arial Narrow" w:hAnsi="Arial Narrow"/>
                <w:sz w:val="18"/>
                <w:szCs w:val="18"/>
              </w:rPr>
              <w:t xml:space="preserve"> peri-transplant </w:t>
            </w:r>
            <w:r w:rsidR="0012486C" w:rsidRPr="00B92AA8">
              <w:rPr>
                <w:rFonts w:ascii="Arial Narrow" w:hAnsi="Arial Narrow"/>
                <w:sz w:val="18"/>
                <w:szCs w:val="18"/>
              </w:rPr>
              <w:t>14/20 (70%)</w:t>
            </w:r>
          </w:p>
        </w:tc>
        <w:tc>
          <w:tcPr>
            <w:tcW w:w="1218" w:type="pct"/>
            <w:shd w:val="clear" w:color="auto" w:fill="auto"/>
            <w:vAlign w:val="center"/>
          </w:tcPr>
          <w:p w:rsidR="00C576B3" w:rsidRPr="00B92AA8" w:rsidRDefault="0012486C" w:rsidP="008B70DA">
            <w:pPr>
              <w:rPr>
                <w:rFonts w:ascii="Arial Narrow" w:hAnsi="Arial Narrow"/>
                <w:sz w:val="18"/>
                <w:szCs w:val="18"/>
              </w:rPr>
            </w:pPr>
            <w:r w:rsidRPr="00B92AA8">
              <w:rPr>
                <w:rFonts w:ascii="Arial Narrow" w:hAnsi="Arial Narrow"/>
                <w:sz w:val="18"/>
                <w:szCs w:val="18"/>
              </w:rPr>
              <w:t xml:space="preserve">All </w:t>
            </w:r>
            <w:proofErr w:type="spellStart"/>
            <w:r w:rsidR="00C576B3" w:rsidRPr="00B92AA8">
              <w:rPr>
                <w:rFonts w:ascii="Arial Narrow" w:hAnsi="Arial Narrow"/>
                <w:sz w:val="18"/>
                <w:szCs w:val="18"/>
              </w:rPr>
              <w:t>aHUS</w:t>
            </w:r>
            <w:proofErr w:type="spellEnd"/>
            <w:r w:rsidR="00C576B3" w:rsidRPr="00B92AA8">
              <w:rPr>
                <w:rFonts w:ascii="Arial Narrow" w:hAnsi="Arial Narrow"/>
                <w:sz w:val="18"/>
                <w:szCs w:val="18"/>
              </w:rPr>
              <w:t xml:space="preserve"> patients</w:t>
            </w:r>
          </w:p>
          <w:p w:rsidR="0012486C" w:rsidRPr="00B92AA8" w:rsidRDefault="0012486C" w:rsidP="008B70DA">
            <w:pPr>
              <w:rPr>
                <w:rFonts w:ascii="Arial Narrow" w:hAnsi="Arial Narrow"/>
                <w:sz w:val="18"/>
                <w:szCs w:val="18"/>
              </w:rPr>
            </w:pPr>
            <w:r w:rsidRPr="00B92AA8">
              <w:rPr>
                <w:rFonts w:ascii="Arial Narrow" w:hAnsi="Arial Narrow"/>
                <w:sz w:val="18"/>
                <w:szCs w:val="18"/>
              </w:rPr>
              <w:t xml:space="preserve">Group B were treated with </w:t>
            </w:r>
            <w:proofErr w:type="spellStart"/>
            <w:r w:rsidRPr="00B92AA8">
              <w:rPr>
                <w:rFonts w:ascii="Arial Narrow" w:hAnsi="Arial Narrow"/>
                <w:sz w:val="18"/>
                <w:szCs w:val="18"/>
              </w:rPr>
              <w:t>eculizumab</w:t>
            </w:r>
            <w:proofErr w:type="spellEnd"/>
            <w:r w:rsidRPr="00B92AA8">
              <w:rPr>
                <w:rFonts w:ascii="Arial Narrow" w:hAnsi="Arial Narrow"/>
                <w:sz w:val="18"/>
                <w:szCs w:val="18"/>
              </w:rPr>
              <w:t xml:space="preserve"> once available</w:t>
            </w:r>
          </w:p>
          <w:p w:rsidR="00C576B3" w:rsidRPr="00B92AA8" w:rsidRDefault="00C576B3" w:rsidP="008B70DA">
            <w:pPr>
              <w:rPr>
                <w:rFonts w:ascii="Arial Narrow" w:hAnsi="Arial Narrow"/>
                <w:sz w:val="18"/>
                <w:szCs w:val="18"/>
              </w:rPr>
            </w:pPr>
          </w:p>
        </w:tc>
        <w:tc>
          <w:tcPr>
            <w:tcW w:w="1218" w:type="pct"/>
            <w:shd w:val="clear" w:color="auto" w:fill="auto"/>
            <w:vAlign w:val="center"/>
          </w:tcPr>
          <w:p w:rsidR="00C576B3" w:rsidRPr="00B92AA8" w:rsidRDefault="00C576B3" w:rsidP="008B70DA">
            <w:pPr>
              <w:rPr>
                <w:rFonts w:ascii="Arial Narrow" w:hAnsi="Arial Narrow"/>
                <w:sz w:val="18"/>
                <w:szCs w:val="18"/>
              </w:rPr>
            </w:pPr>
            <w:r w:rsidRPr="00B92AA8">
              <w:rPr>
                <w:rFonts w:ascii="Arial Narrow" w:hAnsi="Arial Narrow"/>
                <w:sz w:val="18"/>
                <w:szCs w:val="18"/>
              </w:rPr>
              <w:t>Recurrence of TMA</w:t>
            </w:r>
            <w:r w:rsidR="0012486C" w:rsidRPr="00B92AA8">
              <w:rPr>
                <w:rFonts w:ascii="Arial Narrow" w:hAnsi="Arial Narrow"/>
                <w:sz w:val="18"/>
                <w:szCs w:val="18"/>
              </w:rPr>
              <w:t xml:space="preserve"> (relapse rate)</w:t>
            </w:r>
          </w:p>
          <w:p w:rsidR="0012486C" w:rsidRPr="00B92AA8" w:rsidRDefault="0012486C" w:rsidP="008B70DA">
            <w:pPr>
              <w:rPr>
                <w:rFonts w:ascii="Arial Narrow" w:hAnsi="Arial Narrow"/>
                <w:sz w:val="18"/>
                <w:szCs w:val="18"/>
              </w:rPr>
            </w:pPr>
            <w:r w:rsidRPr="00B92AA8">
              <w:rPr>
                <w:rFonts w:ascii="Arial Narrow" w:hAnsi="Arial Narrow"/>
                <w:sz w:val="18"/>
                <w:szCs w:val="18"/>
              </w:rPr>
              <w:t>Graft loss</w:t>
            </w:r>
          </w:p>
          <w:p w:rsidR="00C576B3" w:rsidRPr="00B92AA8" w:rsidRDefault="00C576B3" w:rsidP="008B70DA">
            <w:pPr>
              <w:rPr>
                <w:rFonts w:ascii="Arial Narrow" w:hAnsi="Arial Narrow"/>
                <w:sz w:val="18"/>
                <w:szCs w:val="18"/>
              </w:rPr>
            </w:pPr>
          </w:p>
        </w:tc>
      </w:tr>
      <w:tr w:rsidR="00C576B3" w:rsidRPr="00B92AA8" w:rsidTr="00C91173">
        <w:tc>
          <w:tcPr>
            <w:tcW w:w="621" w:type="pct"/>
            <w:shd w:val="clear" w:color="auto" w:fill="auto"/>
            <w:vAlign w:val="center"/>
          </w:tcPr>
          <w:p w:rsidR="00C576B3" w:rsidRPr="00B92AA8" w:rsidRDefault="0012486C" w:rsidP="008B70DA">
            <w:pPr>
              <w:rPr>
                <w:rFonts w:ascii="Arial Narrow" w:hAnsi="Arial Narrow"/>
                <w:sz w:val="18"/>
                <w:szCs w:val="18"/>
              </w:rPr>
            </w:pPr>
            <w:r w:rsidRPr="00B92AA8">
              <w:rPr>
                <w:rFonts w:ascii="Arial Narrow" w:hAnsi="Arial Narrow"/>
                <w:sz w:val="18"/>
                <w:szCs w:val="18"/>
              </w:rPr>
              <w:t>Kumar 2016</w:t>
            </w:r>
          </w:p>
        </w:tc>
        <w:tc>
          <w:tcPr>
            <w:tcW w:w="557" w:type="pct"/>
            <w:shd w:val="clear" w:color="auto" w:fill="auto"/>
            <w:vAlign w:val="center"/>
          </w:tcPr>
          <w:p w:rsidR="00C576B3" w:rsidRPr="00B92AA8" w:rsidRDefault="0012486C" w:rsidP="008B70DA">
            <w:pPr>
              <w:jc w:val="center"/>
              <w:rPr>
                <w:rFonts w:ascii="Arial Narrow" w:hAnsi="Arial Narrow"/>
                <w:sz w:val="18"/>
                <w:szCs w:val="18"/>
              </w:rPr>
            </w:pPr>
            <w:r w:rsidRPr="00B92AA8">
              <w:rPr>
                <w:rFonts w:ascii="Arial Narrow" w:hAnsi="Arial Narrow"/>
                <w:sz w:val="18"/>
                <w:szCs w:val="18"/>
              </w:rPr>
              <w:t>9</w:t>
            </w:r>
          </w:p>
        </w:tc>
        <w:tc>
          <w:tcPr>
            <w:tcW w:w="1386" w:type="pct"/>
            <w:shd w:val="clear" w:color="auto" w:fill="auto"/>
            <w:vAlign w:val="center"/>
          </w:tcPr>
          <w:p w:rsidR="00C576B3" w:rsidRPr="00B92AA8" w:rsidRDefault="0012486C" w:rsidP="008B70DA">
            <w:pPr>
              <w:jc w:val="center"/>
              <w:rPr>
                <w:rFonts w:ascii="Arial Narrow" w:hAnsi="Arial Narrow"/>
                <w:sz w:val="18"/>
                <w:szCs w:val="18"/>
              </w:rPr>
            </w:pPr>
            <w:r w:rsidRPr="00B92AA8">
              <w:rPr>
                <w:rFonts w:ascii="Arial Narrow" w:hAnsi="Arial Narrow"/>
                <w:sz w:val="18"/>
                <w:szCs w:val="18"/>
              </w:rPr>
              <w:t>Case series</w:t>
            </w:r>
          </w:p>
        </w:tc>
        <w:tc>
          <w:tcPr>
            <w:tcW w:w="1218" w:type="pct"/>
            <w:shd w:val="clear" w:color="auto" w:fill="auto"/>
            <w:vAlign w:val="center"/>
          </w:tcPr>
          <w:p w:rsidR="00C576B3" w:rsidRPr="00B92AA8" w:rsidRDefault="0012486C" w:rsidP="008B70DA">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12486C" w:rsidRPr="00B92AA8" w:rsidRDefault="0012486C" w:rsidP="008B70DA">
            <w:pPr>
              <w:rPr>
                <w:rFonts w:ascii="Arial Narrow" w:hAnsi="Arial Narrow"/>
                <w:sz w:val="18"/>
                <w:szCs w:val="18"/>
              </w:rPr>
            </w:pPr>
            <w:r w:rsidRPr="00B92AA8">
              <w:rPr>
                <w:rFonts w:ascii="Arial Narrow" w:hAnsi="Arial Narrow"/>
                <w:sz w:val="18"/>
                <w:szCs w:val="18"/>
              </w:rPr>
              <w:t>All received peri-treatment</w:t>
            </w:r>
          </w:p>
        </w:tc>
        <w:tc>
          <w:tcPr>
            <w:tcW w:w="1218" w:type="pct"/>
            <w:shd w:val="clear" w:color="auto" w:fill="auto"/>
            <w:vAlign w:val="center"/>
          </w:tcPr>
          <w:p w:rsidR="00C576B3" w:rsidRPr="00B92AA8" w:rsidRDefault="0012486C" w:rsidP="008B70DA">
            <w:pPr>
              <w:rPr>
                <w:rFonts w:ascii="Arial Narrow" w:hAnsi="Arial Narrow"/>
                <w:sz w:val="18"/>
                <w:szCs w:val="18"/>
              </w:rPr>
            </w:pPr>
            <w:r w:rsidRPr="00B92AA8">
              <w:rPr>
                <w:rFonts w:ascii="Arial Narrow" w:hAnsi="Arial Narrow"/>
                <w:sz w:val="18"/>
                <w:szCs w:val="18"/>
              </w:rPr>
              <w:t>Recurrence of TMA</w:t>
            </w:r>
          </w:p>
          <w:p w:rsidR="0012486C" w:rsidRPr="00B92AA8" w:rsidRDefault="0012486C" w:rsidP="008B70DA">
            <w:pPr>
              <w:rPr>
                <w:rFonts w:ascii="Arial Narrow" w:hAnsi="Arial Narrow"/>
                <w:sz w:val="18"/>
                <w:szCs w:val="18"/>
              </w:rPr>
            </w:pPr>
            <w:r w:rsidRPr="00B92AA8">
              <w:rPr>
                <w:rFonts w:ascii="Arial Narrow" w:hAnsi="Arial Narrow"/>
                <w:sz w:val="18"/>
                <w:szCs w:val="18"/>
              </w:rPr>
              <w:t>Graft loss</w:t>
            </w:r>
          </w:p>
          <w:p w:rsidR="0012486C" w:rsidRPr="00B92AA8" w:rsidRDefault="0012486C" w:rsidP="008B70DA">
            <w:pPr>
              <w:rPr>
                <w:rFonts w:ascii="Arial Narrow" w:hAnsi="Arial Narrow"/>
                <w:sz w:val="18"/>
                <w:szCs w:val="18"/>
              </w:rPr>
            </w:pPr>
          </w:p>
        </w:tc>
      </w:tr>
      <w:tr w:rsidR="00C91173" w:rsidRPr="00B92AA8" w:rsidTr="00C91173">
        <w:tc>
          <w:tcPr>
            <w:tcW w:w="621" w:type="pct"/>
            <w:shd w:val="clear" w:color="auto" w:fill="auto"/>
            <w:vAlign w:val="center"/>
          </w:tcPr>
          <w:p w:rsidR="00C91173" w:rsidRPr="00B92AA8" w:rsidRDefault="00C91173" w:rsidP="008B70DA">
            <w:pPr>
              <w:rPr>
                <w:rFonts w:ascii="Arial Narrow" w:hAnsi="Arial Narrow"/>
                <w:sz w:val="18"/>
                <w:szCs w:val="18"/>
              </w:rPr>
            </w:pPr>
            <w:r w:rsidRPr="00B92AA8">
              <w:rPr>
                <w:rFonts w:ascii="Arial Narrow" w:hAnsi="Arial Narrow"/>
                <w:sz w:val="18"/>
                <w:szCs w:val="18"/>
              </w:rPr>
              <w:t>Levi 2015</w:t>
            </w:r>
          </w:p>
        </w:tc>
        <w:tc>
          <w:tcPr>
            <w:tcW w:w="557" w:type="pct"/>
            <w:shd w:val="clear" w:color="auto" w:fill="auto"/>
            <w:vAlign w:val="center"/>
          </w:tcPr>
          <w:p w:rsidR="00C91173" w:rsidRPr="00B92AA8" w:rsidRDefault="00C91173" w:rsidP="008B70DA">
            <w:pPr>
              <w:jc w:val="center"/>
              <w:rPr>
                <w:rFonts w:ascii="Arial Narrow" w:hAnsi="Arial Narrow"/>
                <w:sz w:val="18"/>
                <w:szCs w:val="18"/>
              </w:rPr>
            </w:pPr>
            <w:r w:rsidRPr="00B92AA8">
              <w:rPr>
                <w:rFonts w:ascii="Arial Narrow" w:hAnsi="Arial Narrow"/>
                <w:sz w:val="18"/>
                <w:szCs w:val="18"/>
              </w:rPr>
              <w:t>11</w:t>
            </w:r>
          </w:p>
        </w:tc>
        <w:tc>
          <w:tcPr>
            <w:tcW w:w="1386" w:type="pct"/>
            <w:shd w:val="clear" w:color="auto" w:fill="auto"/>
            <w:vAlign w:val="center"/>
          </w:tcPr>
          <w:p w:rsidR="00C91173" w:rsidRPr="00B92AA8" w:rsidRDefault="00C91173" w:rsidP="008B70DA">
            <w:pPr>
              <w:jc w:val="center"/>
              <w:rPr>
                <w:rFonts w:ascii="Arial Narrow" w:hAnsi="Arial Narrow"/>
                <w:sz w:val="18"/>
                <w:szCs w:val="18"/>
              </w:rPr>
            </w:pPr>
            <w:r w:rsidRPr="00B92AA8">
              <w:rPr>
                <w:rFonts w:ascii="Arial Narrow" w:hAnsi="Arial Narrow"/>
                <w:sz w:val="18"/>
                <w:szCs w:val="18"/>
              </w:rPr>
              <w:t>Case series</w:t>
            </w:r>
          </w:p>
        </w:tc>
        <w:tc>
          <w:tcPr>
            <w:tcW w:w="1218" w:type="pct"/>
            <w:shd w:val="clear" w:color="auto" w:fill="auto"/>
            <w:vAlign w:val="center"/>
          </w:tcPr>
          <w:p w:rsidR="00C91173" w:rsidRPr="00B92AA8" w:rsidRDefault="00C91173" w:rsidP="008B70DA">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C91173" w:rsidRPr="00B92AA8" w:rsidRDefault="00C91173" w:rsidP="008B70DA">
            <w:pPr>
              <w:rPr>
                <w:rFonts w:ascii="Arial Narrow" w:hAnsi="Arial Narrow"/>
                <w:sz w:val="18"/>
                <w:szCs w:val="18"/>
              </w:rPr>
            </w:pPr>
            <w:r w:rsidRPr="00B92AA8">
              <w:rPr>
                <w:rFonts w:ascii="Arial Narrow" w:hAnsi="Arial Narrow"/>
                <w:sz w:val="18"/>
                <w:szCs w:val="18"/>
              </w:rPr>
              <w:t>9/11 peri-transplant</w:t>
            </w:r>
          </w:p>
          <w:p w:rsidR="00C91173" w:rsidRPr="00B92AA8" w:rsidRDefault="00C91173" w:rsidP="008B70DA">
            <w:pPr>
              <w:rPr>
                <w:rFonts w:ascii="Arial Narrow" w:hAnsi="Arial Narrow"/>
                <w:sz w:val="18"/>
                <w:szCs w:val="18"/>
              </w:rPr>
            </w:pPr>
            <w:r w:rsidRPr="00B92AA8">
              <w:rPr>
                <w:rFonts w:ascii="Arial Narrow" w:hAnsi="Arial Narrow"/>
                <w:sz w:val="18"/>
                <w:szCs w:val="18"/>
              </w:rPr>
              <w:t>2/11 at recurrence of TMA</w:t>
            </w:r>
          </w:p>
        </w:tc>
        <w:tc>
          <w:tcPr>
            <w:tcW w:w="1218" w:type="pct"/>
            <w:shd w:val="clear" w:color="auto" w:fill="auto"/>
            <w:vAlign w:val="center"/>
          </w:tcPr>
          <w:p w:rsidR="00C91173" w:rsidRPr="00B92AA8" w:rsidRDefault="00C91173" w:rsidP="008B70DA">
            <w:pPr>
              <w:rPr>
                <w:rFonts w:ascii="Arial Narrow" w:hAnsi="Arial Narrow"/>
                <w:sz w:val="18"/>
                <w:szCs w:val="18"/>
              </w:rPr>
            </w:pPr>
            <w:r w:rsidRPr="00B92AA8">
              <w:rPr>
                <w:rFonts w:ascii="Arial Narrow" w:hAnsi="Arial Narrow"/>
                <w:sz w:val="18"/>
                <w:szCs w:val="18"/>
              </w:rPr>
              <w:t>Recurrence of TMA</w:t>
            </w:r>
          </w:p>
          <w:p w:rsidR="00C91173" w:rsidRPr="00B92AA8" w:rsidRDefault="00C91173" w:rsidP="008B70DA">
            <w:pPr>
              <w:rPr>
                <w:rFonts w:ascii="Arial Narrow" w:hAnsi="Arial Narrow"/>
                <w:sz w:val="18"/>
                <w:szCs w:val="18"/>
              </w:rPr>
            </w:pPr>
            <w:r w:rsidRPr="00B92AA8">
              <w:rPr>
                <w:rFonts w:ascii="Arial Narrow" w:hAnsi="Arial Narrow"/>
                <w:sz w:val="18"/>
                <w:szCs w:val="18"/>
              </w:rPr>
              <w:t>Graft loss</w:t>
            </w:r>
          </w:p>
        </w:tc>
      </w:tr>
      <w:tr w:rsidR="00C576B3" w:rsidRPr="00B92AA8" w:rsidTr="00C91173">
        <w:tc>
          <w:tcPr>
            <w:tcW w:w="621" w:type="pct"/>
            <w:shd w:val="clear" w:color="auto" w:fill="auto"/>
            <w:vAlign w:val="center"/>
          </w:tcPr>
          <w:p w:rsidR="00C576B3" w:rsidRPr="00B92AA8" w:rsidRDefault="00C91173" w:rsidP="008B70DA">
            <w:pPr>
              <w:rPr>
                <w:rFonts w:ascii="Arial Narrow" w:hAnsi="Arial Narrow"/>
                <w:sz w:val="18"/>
                <w:szCs w:val="18"/>
              </w:rPr>
            </w:pPr>
            <w:r w:rsidRPr="00B92AA8">
              <w:rPr>
                <w:rFonts w:ascii="Arial Narrow" w:hAnsi="Arial Narrow"/>
                <w:sz w:val="18"/>
                <w:szCs w:val="18"/>
              </w:rPr>
              <w:t>Andrade 2016</w:t>
            </w:r>
          </w:p>
        </w:tc>
        <w:tc>
          <w:tcPr>
            <w:tcW w:w="557" w:type="pct"/>
            <w:shd w:val="clear" w:color="auto" w:fill="auto"/>
            <w:vAlign w:val="center"/>
          </w:tcPr>
          <w:p w:rsidR="00C576B3" w:rsidRPr="00B92AA8" w:rsidRDefault="00C91173" w:rsidP="008B70DA">
            <w:pPr>
              <w:jc w:val="center"/>
              <w:rPr>
                <w:rFonts w:ascii="Arial Narrow" w:hAnsi="Arial Narrow"/>
                <w:sz w:val="18"/>
                <w:szCs w:val="18"/>
              </w:rPr>
            </w:pPr>
            <w:r w:rsidRPr="00B92AA8">
              <w:rPr>
                <w:rFonts w:ascii="Arial Narrow" w:hAnsi="Arial Narrow"/>
                <w:sz w:val="18"/>
                <w:szCs w:val="18"/>
              </w:rPr>
              <w:t>8</w:t>
            </w:r>
          </w:p>
        </w:tc>
        <w:tc>
          <w:tcPr>
            <w:tcW w:w="1386" w:type="pct"/>
            <w:shd w:val="clear" w:color="auto" w:fill="auto"/>
            <w:vAlign w:val="center"/>
          </w:tcPr>
          <w:p w:rsidR="00C576B3" w:rsidRPr="00B92AA8" w:rsidRDefault="00C91173" w:rsidP="008B70DA">
            <w:pPr>
              <w:jc w:val="center"/>
              <w:rPr>
                <w:rFonts w:ascii="Arial Narrow" w:hAnsi="Arial Narrow"/>
                <w:sz w:val="18"/>
                <w:szCs w:val="18"/>
              </w:rPr>
            </w:pPr>
            <w:r w:rsidRPr="00B92AA8">
              <w:rPr>
                <w:rFonts w:ascii="Arial Narrow" w:hAnsi="Arial Narrow"/>
                <w:sz w:val="18"/>
                <w:szCs w:val="18"/>
              </w:rPr>
              <w:t>Case series</w:t>
            </w:r>
          </w:p>
        </w:tc>
        <w:tc>
          <w:tcPr>
            <w:tcW w:w="1218" w:type="pct"/>
            <w:shd w:val="clear" w:color="auto" w:fill="auto"/>
            <w:vAlign w:val="center"/>
          </w:tcPr>
          <w:p w:rsidR="00C576B3" w:rsidRPr="00B92AA8" w:rsidRDefault="00C91173" w:rsidP="008B70DA">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C91173" w:rsidRPr="00B92AA8" w:rsidRDefault="00C91173" w:rsidP="008B70DA">
            <w:pPr>
              <w:rPr>
                <w:rFonts w:ascii="Arial Narrow" w:hAnsi="Arial Narrow"/>
                <w:sz w:val="18"/>
                <w:szCs w:val="18"/>
              </w:rPr>
            </w:pPr>
            <w:r w:rsidRPr="00B92AA8">
              <w:rPr>
                <w:rFonts w:ascii="Arial Narrow" w:hAnsi="Arial Narrow"/>
                <w:sz w:val="18"/>
                <w:szCs w:val="18"/>
              </w:rPr>
              <w:t>3/8 peri-transplant</w:t>
            </w:r>
          </w:p>
          <w:p w:rsidR="00C91173" w:rsidRPr="00B92AA8" w:rsidRDefault="00C91173" w:rsidP="00C91173">
            <w:pPr>
              <w:rPr>
                <w:rFonts w:ascii="Arial Narrow" w:hAnsi="Arial Narrow"/>
                <w:sz w:val="18"/>
                <w:szCs w:val="18"/>
              </w:rPr>
            </w:pPr>
            <w:r w:rsidRPr="00B92AA8">
              <w:rPr>
                <w:rFonts w:ascii="Arial Narrow" w:hAnsi="Arial Narrow"/>
                <w:sz w:val="18"/>
                <w:szCs w:val="18"/>
              </w:rPr>
              <w:t>3/8 at recurrence of TMA</w:t>
            </w:r>
          </w:p>
          <w:p w:rsidR="00C91173" w:rsidRPr="00B92AA8" w:rsidRDefault="00C91173" w:rsidP="00C91173">
            <w:pPr>
              <w:rPr>
                <w:rFonts w:ascii="Arial Narrow" w:hAnsi="Arial Narrow"/>
                <w:sz w:val="18"/>
                <w:szCs w:val="18"/>
              </w:rPr>
            </w:pPr>
            <w:r w:rsidRPr="00B92AA8">
              <w:rPr>
                <w:rFonts w:ascii="Arial Narrow" w:hAnsi="Arial Narrow"/>
                <w:sz w:val="18"/>
                <w:szCs w:val="18"/>
              </w:rPr>
              <w:t>2/8 post graft loss</w:t>
            </w:r>
          </w:p>
        </w:tc>
        <w:tc>
          <w:tcPr>
            <w:tcW w:w="1218" w:type="pct"/>
            <w:shd w:val="clear" w:color="auto" w:fill="auto"/>
            <w:vAlign w:val="center"/>
          </w:tcPr>
          <w:p w:rsidR="00C91173" w:rsidRPr="00B92AA8" w:rsidRDefault="00C91173" w:rsidP="008B70DA">
            <w:pPr>
              <w:rPr>
                <w:rFonts w:ascii="Arial Narrow" w:hAnsi="Arial Narrow"/>
                <w:sz w:val="18"/>
                <w:szCs w:val="18"/>
              </w:rPr>
            </w:pPr>
            <w:r w:rsidRPr="00B92AA8">
              <w:rPr>
                <w:rFonts w:ascii="Arial Narrow" w:hAnsi="Arial Narrow"/>
                <w:sz w:val="18"/>
                <w:szCs w:val="18"/>
              </w:rPr>
              <w:t>Graft loss</w:t>
            </w:r>
          </w:p>
          <w:p w:rsidR="00D14D94" w:rsidRPr="00B92AA8" w:rsidRDefault="00D14D94" w:rsidP="008B70DA">
            <w:pPr>
              <w:rPr>
                <w:rFonts w:ascii="Arial Narrow" w:hAnsi="Arial Narrow"/>
                <w:sz w:val="18"/>
                <w:szCs w:val="18"/>
              </w:rPr>
            </w:pPr>
            <w:r w:rsidRPr="00B92AA8">
              <w:rPr>
                <w:rFonts w:ascii="Arial Narrow" w:hAnsi="Arial Narrow"/>
                <w:sz w:val="18"/>
                <w:szCs w:val="18"/>
              </w:rPr>
              <w:t>Serum creatinine</w:t>
            </w:r>
          </w:p>
          <w:p w:rsidR="00D14D94" w:rsidRPr="00B92AA8" w:rsidRDefault="00D14D94" w:rsidP="008B70DA">
            <w:pPr>
              <w:rPr>
                <w:rFonts w:ascii="Arial Narrow" w:hAnsi="Arial Narrow"/>
                <w:sz w:val="18"/>
                <w:szCs w:val="18"/>
              </w:rPr>
            </w:pPr>
            <w:proofErr w:type="spellStart"/>
            <w:r w:rsidRPr="00B92AA8">
              <w:rPr>
                <w:rFonts w:ascii="Arial Narrow" w:hAnsi="Arial Narrow"/>
                <w:sz w:val="18"/>
                <w:szCs w:val="18"/>
              </w:rPr>
              <w:t>eGFR</w:t>
            </w:r>
            <w:proofErr w:type="spellEnd"/>
          </w:p>
        </w:tc>
      </w:tr>
      <w:tr w:rsidR="00C576B3" w:rsidRPr="00B92AA8" w:rsidTr="00C91173">
        <w:tc>
          <w:tcPr>
            <w:tcW w:w="621" w:type="pct"/>
            <w:shd w:val="clear" w:color="auto" w:fill="auto"/>
            <w:vAlign w:val="center"/>
          </w:tcPr>
          <w:p w:rsidR="00C576B3" w:rsidRPr="00B92AA8" w:rsidRDefault="00C576B3" w:rsidP="008B70DA">
            <w:pPr>
              <w:rPr>
                <w:rFonts w:ascii="Arial Narrow" w:hAnsi="Arial Narrow"/>
                <w:sz w:val="18"/>
                <w:szCs w:val="18"/>
                <w:vertAlign w:val="superscript"/>
              </w:rPr>
            </w:pPr>
            <w:r w:rsidRPr="00B92AA8">
              <w:rPr>
                <w:rFonts w:ascii="Arial Narrow" w:hAnsi="Arial Narrow"/>
                <w:sz w:val="18"/>
                <w:szCs w:val="18"/>
              </w:rPr>
              <w:t>Case reports</w:t>
            </w:r>
          </w:p>
        </w:tc>
        <w:tc>
          <w:tcPr>
            <w:tcW w:w="557" w:type="pct"/>
            <w:shd w:val="clear" w:color="auto" w:fill="auto"/>
            <w:vAlign w:val="center"/>
          </w:tcPr>
          <w:p w:rsidR="00C576B3" w:rsidRPr="00B92AA8" w:rsidRDefault="00B92AA8" w:rsidP="00284112">
            <w:pPr>
              <w:jc w:val="center"/>
              <w:rPr>
                <w:rFonts w:ascii="Arial Narrow" w:hAnsi="Arial Narrow"/>
                <w:sz w:val="18"/>
                <w:szCs w:val="18"/>
              </w:rPr>
            </w:pPr>
            <w:r w:rsidRPr="00B92AA8">
              <w:rPr>
                <w:rFonts w:ascii="Arial Narrow" w:hAnsi="Arial Narrow"/>
                <w:sz w:val="18"/>
                <w:szCs w:val="18"/>
              </w:rPr>
              <w:t>4</w:t>
            </w:r>
          </w:p>
        </w:tc>
        <w:tc>
          <w:tcPr>
            <w:tcW w:w="1386" w:type="pct"/>
            <w:shd w:val="clear" w:color="auto" w:fill="auto"/>
            <w:vAlign w:val="center"/>
          </w:tcPr>
          <w:p w:rsidR="00C576B3" w:rsidRPr="00B92AA8" w:rsidRDefault="00C576B3" w:rsidP="008B70DA">
            <w:pPr>
              <w:jc w:val="center"/>
              <w:rPr>
                <w:rFonts w:ascii="Arial Narrow" w:hAnsi="Arial Narrow"/>
                <w:sz w:val="18"/>
                <w:szCs w:val="18"/>
              </w:rPr>
            </w:pPr>
            <w:r w:rsidRPr="00B92AA8">
              <w:rPr>
                <w:rFonts w:ascii="Arial Narrow" w:hAnsi="Arial Narrow"/>
                <w:sz w:val="18"/>
                <w:szCs w:val="18"/>
              </w:rPr>
              <w:t>Case reports</w:t>
            </w:r>
          </w:p>
          <w:p w:rsidR="00AE1F17" w:rsidRPr="00B92AA8" w:rsidRDefault="00AE1F17" w:rsidP="008B70DA">
            <w:pPr>
              <w:jc w:val="center"/>
              <w:rPr>
                <w:rFonts w:ascii="Arial Narrow" w:hAnsi="Arial Narrow"/>
                <w:sz w:val="18"/>
                <w:szCs w:val="18"/>
                <w:highlight w:val="yellow"/>
              </w:rPr>
            </w:pPr>
            <w:r w:rsidRPr="00B92AA8">
              <w:rPr>
                <w:rFonts w:ascii="Arial Narrow" w:hAnsi="Arial Narrow"/>
                <w:sz w:val="18"/>
                <w:szCs w:val="18"/>
              </w:rPr>
              <w:t>3 day – 47 months follow-up</w:t>
            </w:r>
          </w:p>
        </w:tc>
        <w:tc>
          <w:tcPr>
            <w:tcW w:w="1218" w:type="pct"/>
            <w:shd w:val="clear" w:color="auto" w:fill="auto"/>
            <w:vAlign w:val="center"/>
          </w:tcPr>
          <w:p w:rsidR="00C576B3" w:rsidRPr="00B92AA8" w:rsidRDefault="00AE1F17" w:rsidP="008B70DA">
            <w:pPr>
              <w:rPr>
                <w:rFonts w:ascii="Arial Narrow" w:hAnsi="Arial Narrow"/>
                <w:sz w:val="18"/>
                <w:szCs w:val="18"/>
              </w:rPr>
            </w:pPr>
            <w:r w:rsidRPr="00B92AA8">
              <w:rPr>
                <w:rFonts w:ascii="Arial Narrow" w:hAnsi="Arial Narrow"/>
                <w:sz w:val="18"/>
                <w:szCs w:val="18"/>
              </w:rPr>
              <w:t xml:space="preserve">All </w:t>
            </w:r>
            <w:proofErr w:type="spellStart"/>
            <w:r w:rsidR="00C576B3" w:rsidRPr="00B92AA8">
              <w:rPr>
                <w:rFonts w:ascii="Arial Narrow" w:hAnsi="Arial Narrow"/>
                <w:sz w:val="18"/>
                <w:szCs w:val="18"/>
              </w:rPr>
              <w:t>aHUS</w:t>
            </w:r>
            <w:proofErr w:type="spellEnd"/>
            <w:r w:rsidR="00C576B3" w:rsidRPr="00B92AA8">
              <w:rPr>
                <w:rFonts w:ascii="Arial Narrow" w:hAnsi="Arial Narrow"/>
                <w:sz w:val="18"/>
                <w:szCs w:val="18"/>
              </w:rPr>
              <w:t xml:space="preserve"> patients</w:t>
            </w:r>
          </w:p>
          <w:p w:rsidR="00C576B3" w:rsidRPr="00B92AA8" w:rsidRDefault="00C576B3" w:rsidP="008B70DA">
            <w:pPr>
              <w:rPr>
                <w:rFonts w:ascii="Arial Narrow" w:hAnsi="Arial Narrow"/>
                <w:sz w:val="18"/>
                <w:szCs w:val="18"/>
              </w:rPr>
            </w:pPr>
          </w:p>
        </w:tc>
        <w:tc>
          <w:tcPr>
            <w:tcW w:w="1218" w:type="pct"/>
            <w:shd w:val="clear" w:color="auto" w:fill="auto"/>
            <w:vAlign w:val="center"/>
          </w:tcPr>
          <w:p w:rsidR="00C576B3" w:rsidRPr="00B92AA8" w:rsidRDefault="00C576B3" w:rsidP="008B70DA">
            <w:pPr>
              <w:rPr>
                <w:rFonts w:ascii="Arial Narrow" w:hAnsi="Arial Narrow"/>
                <w:sz w:val="18"/>
                <w:szCs w:val="18"/>
              </w:rPr>
            </w:pPr>
            <w:r w:rsidRPr="00B92AA8">
              <w:rPr>
                <w:rFonts w:ascii="Arial Narrow" w:hAnsi="Arial Narrow"/>
                <w:sz w:val="18"/>
                <w:szCs w:val="18"/>
              </w:rPr>
              <w:t>Recurrence of TMA</w:t>
            </w:r>
          </w:p>
          <w:p w:rsidR="00C576B3" w:rsidRPr="00B92AA8" w:rsidRDefault="00C576B3" w:rsidP="00AE1F17">
            <w:pPr>
              <w:rPr>
                <w:rFonts w:ascii="Arial Narrow" w:hAnsi="Arial Narrow"/>
                <w:sz w:val="18"/>
                <w:szCs w:val="18"/>
              </w:rPr>
            </w:pPr>
            <w:r w:rsidRPr="00B92AA8">
              <w:rPr>
                <w:rFonts w:ascii="Arial Narrow" w:hAnsi="Arial Narrow"/>
                <w:sz w:val="18"/>
                <w:szCs w:val="18"/>
              </w:rPr>
              <w:t>Graft function</w:t>
            </w:r>
          </w:p>
        </w:tc>
      </w:tr>
    </w:tbl>
    <w:p w:rsidR="00603098" w:rsidRPr="00F77380" w:rsidRDefault="00603098" w:rsidP="00603098">
      <w:pPr>
        <w:pStyle w:val="TableFooter"/>
        <w:ind w:left="709"/>
      </w:pPr>
      <w:proofErr w:type="spellStart"/>
      <w:proofErr w:type="gramStart"/>
      <w:r w:rsidRPr="00F77380">
        <w:t>aHUS</w:t>
      </w:r>
      <w:proofErr w:type="spellEnd"/>
      <w:proofErr w:type="gramEnd"/>
      <w:r w:rsidRPr="00F77380">
        <w:t xml:space="preserve"> = atypical haemolytic uraemic syndrome; </w:t>
      </w:r>
      <w:proofErr w:type="spellStart"/>
      <w:r w:rsidRPr="00F77380">
        <w:t>eGFR</w:t>
      </w:r>
      <w:proofErr w:type="spellEnd"/>
      <w:r w:rsidRPr="00F77380">
        <w:t xml:space="preserve"> = estimated glomerular filtration rate; TMA = thrombotic </w:t>
      </w:r>
      <w:proofErr w:type="spellStart"/>
      <w:r w:rsidRPr="00F77380">
        <w:t>microangiopathy</w:t>
      </w:r>
      <w:proofErr w:type="spellEnd"/>
    </w:p>
    <w:p w:rsidR="00603098" w:rsidRPr="00F77380" w:rsidRDefault="00603098" w:rsidP="00603098">
      <w:pPr>
        <w:pStyle w:val="TableFooter"/>
        <w:ind w:left="709"/>
      </w:pPr>
      <w:r w:rsidRPr="00F77380">
        <w:t>Source: Compiled from information provided on pp42-69 of the submission</w:t>
      </w:r>
    </w:p>
    <w:p w:rsidR="00BB7EC3" w:rsidRPr="00617D5D" w:rsidRDefault="00BB7EC3" w:rsidP="00FC668B">
      <w:pPr>
        <w:ind w:left="709" w:hanging="709"/>
        <w:jc w:val="both"/>
        <w:rPr>
          <w:rFonts w:asciiTheme="minorHAnsi" w:hAnsiTheme="minorHAnsi" w:cs="Arial"/>
        </w:rPr>
      </w:pPr>
    </w:p>
    <w:p w:rsidR="007249CF" w:rsidRPr="00617D5D" w:rsidRDefault="007249CF" w:rsidP="00FC668B">
      <w:pPr>
        <w:pStyle w:val="ListParagraph"/>
        <w:widowControl/>
        <w:numPr>
          <w:ilvl w:val="1"/>
          <w:numId w:val="5"/>
        </w:numPr>
        <w:ind w:left="709" w:hanging="709"/>
        <w:rPr>
          <w:rFonts w:asciiTheme="minorHAnsi" w:hAnsiTheme="minorHAnsi"/>
          <w:sz w:val="24"/>
          <w:szCs w:val="24"/>
        </w:rPr>
      </w:pPr>
      <w:r w:rsidRPr="00617D5D">
        <w:rPr>
          <w:rFonts w:asciiTheme="minorHAnsi" w:hAnsiTheme="minorHAnsi"/>
          <w:sz w:val="24"/>
          <w:szCs w:val="24"/>
        </w:rPr>
        <w:t>In place of direct head to head tr</w:t>
      </w:r>
      <w:r w:rsidR="00A20DC4">
        <w:rPr>
          <w:rFonts w:asciiTheme="minorHAnsi" w:hAnsiTheme="minorHAnsi"/>
          <w:sz w:val="24"/>
          <w:szCs w:val="24"/>
        </w:rPr>
        <w:t>ia</w:t>
      </w:r>
      <w:r w:rsidRPr="00617D5D">
        <w:rPr>
          <w:rFonts w:asciiTheme="minorHAnsi" w:hAnsiTheme="minorHAnsi"/>
          <w:sz w:val="24"/>
          <w:szCs w:val="24"/>
        </w:rPr>
        <w:t xml:space="preserve">ls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with the PBAC proposed comparators</w:t>
      </w:r>
      <w:r w:rsidR="005E0209" w:rsidRPr="00617D5D">
        <w:rPr>
          <w:rFonts w:asciiTheme="minorHAnsi" w:hAnsiTheme="minorHAnsi"/>
          <w:sz w:val="24"/>
          <w:szCs w:val="24"/>
        </w:rPr>
        <w:t>,</w:t>
      </w:r>
      <w:r w:rsidRPr="00617D5D">
        <w:rPr>
          <w:rFonts w:asciiTheme="minorHAnsi" w:hAnsiTheme="minorHAnsi"/>
          <w:sz w:val="24"/>
          <w:szCs w:val="24"/>
        </w:rPr>
        <w:t xml:space="preserve"> the submission relied on case series, cohort and case studies with ongoing dialysis, plasma exchange/plasma infusion and treatment at recurrence of TMA </w:t>
      </w:r>
      <w:r w:rsidR="004A6028" w:rsidRPr="00617D5D">
        <w:rPr>
          <w:rFonts w:asciiTheme="minorHAnsi" w:hAnsiTheme="minorHAnsi"/>
          <w:sz w:val="24"/>
          <w:szCs w:val="24"/>
        </w:rPr>
        <w:t>post-transplant</w:t>
      </w:r>
      <w:r w:rsidRPr="00617D5D">
        <w:rPr>
          <w:rFonts w:asciiTheme="minorHAnsi" w:hAnsiTheme="minorHAnsi"/>
          <w:sz w:val="24"/>
          <w:szCs w:val="24"/>
        </w:rPr>
        <w:t>.</w:t>
      </w:r>
    </w:p>
    <w:p w:rsidR="007249CF" w:rsidRPr="00617D5D" w:rsidRDefault="007249CF" w:rsidP="00FC668B">
      <w:pPr>
        <w:pStyle w:val="ListParagraph"/>
        <w:widowControl/>
        <w:ind w:left="709" w:hanging="709"/>
        <w:rPr>
          <w:rFonts w:asciiTheme="minorHAnsi" w:hAnsiTheme="minorHAnsi"/>
          <w:sz w:val="24"/>
          <w:szCs w:val="24"/>
        </w:rPr>
      </w:pPr>
    </w:p>
    <w:p w:rsidR="007249CF" w:rsidRPr="00617D5D" w:rsidRDefault="007249CF" w:rsidP="00FC668B">
      <w:pPr>
        <w:pStyle w:val="ListParagraph"/>
        <w:numPr>
          <w:ilvl w:val="1"/>
          <w:numId w:val="5"/>
        </w:numPr>
        <w:ind w:left="709" w:hanging="709"/>
        <w:rPr>
          <w:rFonts w:asciiTheme="minorHAnsi" w:hAnsiTheme="minorHAnsi"/>
          <w:sz w:val="24"/>
          <w:szCs w:val="24"/>
        </w:rPr>
      </w:pPr>
      <w:r w:rsidRPr="00617D5D">
        <w:rPr>
          <w:rFonts w:asciiTheme="minorHAnsi" w:hAnsiTheme="minorHAnsi"/>
          <w:sz w:val="24"/>
          <w:szCs w:val="24"/>
        </w:rPr>
        <w:t>Details of the reports presented in the submission are provided in the table below.</w:t>
      </w:r>
      <w:r w:rsidR="00787DF7" w:rsidRPr="00617D5D">
        <w:rPr>
          <w:rFonts w:asciiTheme="minorHAnsi" w:hAnsiTheme="minorHAnsi"/>
          <w:sz w:val="24"/>
          <w:szCs w:val="24"/>
        </w:rPr>
        <w:t xml:space="preserve"> </w:t>
      </w:r>
    </w:p>
    <w:p w:rsidR="007249CF" w:rsidRPr="00617D5D" w:rsidRDefault="007249CF" w:rsidP="00FC668B">
      <w:pPr>
        <w:ind w:left="709" w:hanging="709"/>
      </w:pPr>
    </w:p>
    <w:p w:rsidR="007249CF" w:rsidRPr="004A6028" w:rsidRDefault="00F47603" w:rsidP="004A6028">
      <w:pPr>
        <w:rPr>
          <w:rFonts w:ascii="Arial Narrow" w:hAnsi="Arial Narrow"/>
          <w:b/>
          <w:bCs/>
        </w:rPr>
      </w:pPr>
      <w:r w:rsidRPr="00617D5D">
        <w:rPr>
          <w:rFonts w:ascii="Arial Narrow" w:hAnsi="Arial Narrow"/>
        </w:rPr>
        <w:br w:type="page"/>
      </w:r>
    </w:p>
    <w:p w:rsidR="004A6028" w:rsidRDefault="004A6028" w:rsidP="004A6028">
      <w:pPr>
        <w:pStyle w:val="Caption"/>
        <w:ind w:left="709"/>
      </w:pPr>
      <w:r>
        <w:t xml:space="preserve">Table </w:t>
      </w:r>
      <w:fldSimple w:instr=" SEQ Table \* ARABIC ">
        <w:r>
          <w:rPr>
            <w:noProof/>
          </w:rPr>
          <w:t>4</w:t>
        </w:r>
      </w:fldSimple>
      <w:r>
        <w:t xml:space="preserve">: </w:t>
      </w:r>
      <w:r w:rsidRPr="00E162CF">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2"/>
        <w:gridCol w:w="1107"/>
        <w:gridCol w:w="1962"/>
        <w:gridCol w:w="1975"/>
        <w:gridCol w:w="1977"/>
      </w:tblGrid>
      <w:tr w:rsidR="007249CF" w:rsidRPr="00B92AA8" w:rsidTr="00850B72">
        <w:tc>
          <w:tcPr>
            <w:tcW w:w="802" w:type="pct"/>
            <w:shd w:val="clear" w:color="auto" w:fill="auto"/>
            <w:vAlign w:val="center"/>
          </w:tcPr>
          <w:p w:rsidR="007249CF" w:rsidRPr="00B92AA8" w:rsidRDefault="007249CF" w:rsidP="0057501F">
            <w:pPr>
              <w:rPr>
                <w:rFonts w:ascii="Arial Narrow" w:hAnsi="Arial Narrow"/>
                <w:b/>
                <w:sz w:val="18"/>
                <w:szCs w:val="18"/>
              </w:rPr>
            </w:pPr>
          </w:p>
        </w:tc>
        <w:tc>
          <w:tcPr>
            <w:tcW w:w="662" w:type="pct"/>
            <w:shd w:val="clear" w:color="auto" w:fill="auto"/>
            <w:vAlign w:val="center"/>
          </w:tcPr>
          <w:p w:rsidR="007249CF" w:rsidRPr="00B92AA8" w:rsidRDefault="007249CF" w:rsidP="0057501F">
            <w:pPr>
              <w:jc w:val="center"/>
              <w:rPr>
                <w:rFonts w:ascii="Arial Narrow" w:hAnsi="Arial Narrow"/>
                <w:b/>
                <w:sz w:val="18"/>
                <w:szCs w:val="18"/>
              </w:rPr>
            </w:pPr>
            <w:r w:rsidRPr="00B92AA8">
              <w:rPr>
                <w:rFonts w:ascii="Arial Narrow" w:hAnsi="Arial Narrow"/>
                <w:b/>
                <w:sz w:val="18"/>
                <w:szCs w:val="18"/>
              </w:rPr>
              <w:t>N</w:t>
            </w:r>
          </w:p>
        </w:tc>
        <w:tc>
          <w:tcPr>
            <w:tcW w:w="1173" w:type="pct"/>
            <w:shd w:val="clear" w:color="auto" w:fill="auto"/>
            <w:vAlign w:val="center"/>
          </w:tcPr>
          <w:p w:rsidR="007249CF" w:rsidRPr="00B92AA8" w:rsidRDefault="007249CF" w:rsidP="0057501F">
            <w:pPr>
              <w:jc w:val="center"/>
              <w:rPr>
                <w:rFonts w:ascii="Arial Narrow" w:hAnsi="Arial Narrow"/>
                <w:b/>
                <w:sz w:val="18"/>
                <w:szCs w:val="18"/>
              </w:rPr>
            </w:pPr>
            <w:r w:rsidRPr="00B92AA8">
              <w:rPr>
                <w:rFonts w:ascii="Arial Narrow" w:hAnsi="Arial Narrow"/>
                <w:b/>
                <w:sz w:val="18"/>
                <w:szCs w:val="18"/>
              </w:rPr>
              <w:t>Design</w:t>
            </w:r>
          </w:p>
          <w:p w:rsidR="007249CF" w:rsidRPr="00B92AA8" w:rsidRDefault="007249CF" w:rsidP="0057501F">
            <w:pPr>
              <w:jc w:val="center"/>
              <w:rPr>
                <w:rFonts w:ascii="Arial Narrow" w:hAnsi="Arial Narrow"/>
                <w:b/>
                <w:sz w:val="18"/>
                <w:szCs w:val="18"/>
              </w:rPr>
            </w:pPr>
          </w:p>
        </w:tc>
        <w:tc>
          <w:tcPr>
            <w:tcW w:w="1181" w:type="pct"/>
            <w:shd w:val="clear" w:color="auto" w:fill="auto"/>
            <w:vAlign w:val="center"/>
          </w:tcPr>
          <w:p w:rsidR="007249CF" w:rsidRPr="00B92AA8" w:rsidRDefault="007249CF" w:rsidP="0057501F">
            <w:pPr>
              <w:jc w:val="center"/>
              <w:rPr>
                <w:rFonts w:ascii="Arial Narrow" w:hAnsi="Arial Narrow"/>
                <w:b/>
                <w:sz w:val="18"/>
                <w:szCs w:val="18"/>
              </w:rPr>
            </w:pPr>
            <w:r w:rsidRPr="00B92AA8">
              <w:rPr>
                <w:rFonts w:ascii="Arial Narrow" w:hAnsi="Arial Narrow"/>
                <w:b/>
                <w:sz w:val="18"/>
                <w:szCs w:val="18"/>
              </w:rPr>
              <w:t>Patient population</w:t>
            </w:r>
          </w:p>
        </w:tc>
        <w:tc>
          <w:tcPr>
            <w:tcW w:w="1182" w:type="pct"/>
            <w:shd w:val="clear" w:color="auto" w:fill="auto"/>
            <w:vAlign w:val="center"/>
          </w:tcPr>
          <w:p w:rsidR="007249CF" w:rsidRPr="00B92AA8" w:rsidRDefault="007249CF" w:rsidP="0057501F">
            <w:pPr>
              <w:jc w:val="center"/>
              <w:rPr>
                <w:rFonts w:ascii="Arial Narrow" w:hAnsi="Arial Narrow"/>
                <w:b/>
                <w:sz w:val="18"/>
                <w:szCs w:val="18"/>
              </w:rPr>
            </w:pPr>
            <w:r w:rsidRPr="00B92AA8">
              <w:rPr>
                <w:rFonts w:ascii="Arial Narrow" w:hAnsi="Arial Narrow"/>
                <w:b/>
                <w:sz w:val="18"/>
                <w:szCs w:val="18"/>
              </w:rPr>
              <w:t>Outcomes</w:t>
            </w:r>
          </w:p>
        </w:tc>
      </w:tr>
      <w:tr w:rsidR="007249CF" w:rsidRPr="00B92AA8" w:rsidTr="0057501F">
        <w:tc>
          <w:tcPr>
            <w:tcW w:w="5000" w:type="pct"/>
            <w:gridSpan w:val="5"/>
            <w:shd w:val="clear" w:color="auto" w:fill="auto"/>
            <w:vAlign w:val="center"/>
          </w:tcPr>
          <w:p w:rsidR="007249CF" w:rsidRPr="00B92AA8" w:rsidRDefault="007249CF" w:rsidP="008E0BEE">
            <w:pPr>
              <w:rPr>
                <w:rFonts w:ascii="Arial Narrow" w:hAnsi="Arial Narrow"/>
                <w:sz w:val="18"/>
                <w:szCs w:val="18"/>
              </w:rPr>
            </w:pPr>
            <w:proofErr w:type="spellStart"/>
            <w:r w:rsidRPr="00B92AA8">
              <w:rPr>
                <w:rFonts w:ascii="Arial Narrow" w:hAnsi="Arial Narrow"/>
                <w:b/>
                <w:sz w:val="18"/>
                <w:szCs w:val="18"/>
              </w:rPr>
              <w:t>i</w:t>
            </w:r>
            <w:proofErr w:type="spellEnd"/>
            <w:r w:rsidRPr="00B92AA8">
              <w:rPr>
                <w:rFonts w:ascii="Arial Narrow" w:hAnsi="Arial Narrow"/>
                <w:b/>
                <w:sz w:val="18"/>
                <w:szCs w:val="18"/>
              </w:rPr>
              <w:t xml:space="preserve">) Evidence for </w:t>
            </w:r>
            <w:r w:rsidR="008E0BEE" w:rsidRPr="00B92AA8">
              <w:rPr>
                <w:rFonts w:ascii="Arial Narrow" w:hAnsi="Arial Narrow"/>
                <w:b/>
                <w:sz w:val="18"/>
                <w:szCs w:val="18"/>
              </w:rPr>
              <w:t>ongoing dialysis</w:t>
            </w:r>
          </w:p>
        </w:tc>
      </w:tr>
      <w:tr w:rsidR="007249CF" w:rsidRPr="00B92AA8" w:rsidTr="00831CBA">
        <w:tc>
          <w:tcPr>
            <w:tcW w:w="802" w:type="pct"/>
            <w:shd w:val="clear" w:color="auto" w:fill="auto"/>
            <w:vAlign w:val="center"/>
          </w:tcPr>
          <w:p w:rsidR="007249CF" w:rsidRPr="00B92AA8" w:rsidRDefault="00934C74" w:rsidP="00934C74">
            <w:pPr>
              <w:rPr>
                <w:rFonts w:ascii="Arial Narrow" w:hAnsi="Arial Narrow"/>
                <w:sz w:val="18"/>
                <w:szCs w:val="18"/>
              </w:rPr>
            </w:pPr>
            <w:proofErr w:type="spellStart"/>
            <w:r w:rsidRPr="00B92AA8">
              <w:rPr>
                <w:rFonts w:ascii="Arial Narrow" w:hAnsi="Arial Narrow" w:cs="Arial"/>
                <w:sz w:val="18"/>
                <w:szCs w:val="18"/>
              </w:rPr>
              <w:t>Durkan</w:t>
            </w:r>
            <w:proofErr w:type="spellEnd"/>
            <w:r w:rsidR="007249CF" w:rsidRPr="00B92AA8">
              <w:rPr>
                <w:rFonts w:ascii="Arial Narrow" w:hAnsi="Arial Narrow" w:cs="Arial"/>
                <w:sz w:val="18"/>
                <w:szCs w:val="18"/>
              </w:rPr>
              <w:t xml:space="preserve"> 2016</w:t>
            </w:r>
          </w:p>
        </w:tc>
        <w:tc>
          <w:tcPr>
            <w:tcW w:w="662" w:type="pct"/>
            <w:shd w:val="clear" w:color="auto" w:fill="auto"/>
            <w:vAlign w:val="center"/>
          </w:tcPr>
          <w:p w:rsidR="007249CF" w:rsidRPr="00B92AA8" w:rsidRDefault="00934C74" w:rsidP="0057501F">
            <w:pPr>
              <w:jc w:val="center"/>
              <w:rPr>
                <w:rFonts w:ascii="Arial Narrow" w:hAnsi="Arial Narrow"/>
                <w:sz w:val="18"/>
                <w:szCs w:val="18"/>
              </w:rPr>
            </w:pPr>
            <w:r w:rsidRPr="00B92AA8">
              <w:rPr>
                <w:rFonts w:ascii="Arial Narrow" w:hAnsi="Arial Narrow"/>
                <w:sz w:val="18"/>
                <w:szCs w:val="18"/>
              </w:rPr>
              <w:t>9</w:t>
            </w:r>
          </w:p>
          <w:p w:rsidR="006A560B" w:rsidRPr="00B92AA8" w:rsidRDefault="006A560B" w:rsidP="0057501F">
            <w:pPr>
              <w:jc w:val="center"/>
              <w:rPr>
                <w:rFonts w:ascii="Arial Narrow" w:hAnsi="Arial Narrow"/>
                <w:sz w:val="18"/>
                <w:szCs w:val="18"/>
              </w:rPr>
            </w:pPr>
            <w:r w:rsidRPr="00B92AA8">
              <w:rPr>
                <w:rFonts w:ascii="Arial Narrow" w:hAnsi="Arial Narrow"/>
                <w:sz w:val="18"/>
                <w:szCs w:val="18"/>
              </w:rPr>
              <w:t>(14 in total)</w:t>
            </w:r>
          </w:p>
        </w:tc>
        <w:tc>
          <w:tcPr>
            <w:tcW w:w="1173" w:type="pct"/>
            <w:shd w:val="clear" w:color="auto" w:fill="auto"/>
            <w:vAlign w:val="center"/>
          </w:tcPr>
          <w:p w:rsidR="007249CF" w:rsidRPr="00B92AA8" w:rsidRDefault="00934C74" w:rsidP="00934C74">
            <w:pPr>
              <w:jc w:val="center"/>
              <w:rPr>
                <w:rFonts w:ascii="Arial Narrow" w:hAnsi="Arial Narrow"/>
                <w:sz w:val="18"/>
                <w:szCs w:val="18"/>
              </w:rPr>
            </w:pPr>
            <w:r w:rsidRPr="00B92AA8">
              <w:rPr>
                <w:rFonts w:ascii="Arial Narrow" w:hAnsi="Arial Narrow"/>
                <w:sz w:val="18"/>
                <w:szCs w:val="18"/>
              </w:rPr>
              <w:t>Cohort</w:t>
            </w:r>
          </w:p>
        </w:tc>
        <w:tc>
          <w:tcPr>
            <w:tcW w:w="1181" w:type="pct"/>
            <w:shd w:val="clear" w:color="auto" w:fill="auto"/>
            <w:vAlign w:val="center"/>
          </w:tcPr>
          <w:p w:rsidR="007249CF" w:rsidRPr="00B92AA8" w:rsidRDefault="007249CF"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934C74" w:rsidRPr="00B92AA8" w:rsidRDefault="00934C74" w:rsidP="0057501F">
            <w:pPr>
              <w:rPr>
                <w:rFonts w:ascii="Arial Narrow" w:hAnsi="Arial Narrow"/>
                <w:sz w:val="18"/>
                <w:szCs w:val="18"/>
              </w:rPr>
            </w:pPr>
            <w:r w:rsidRPr="00B92AA8">
              <w:rPr>
                <w:rFonts w:ascii="Arial Narrow" w:hAnsi="Arial Narrow"/>
                <w:sz w:val="18"/>
                <w:szCs w:val="18"/>
              </w:rPr>
              <w:t xml:space="preserve">All </w:t>
            </w:r>
            <w:r w:rsidR="006A560B" w:rsidRPr="00B92AA8">
              <w:rPr>
                <w:rFonts w:ascii="Arial Narrow" w:hAnsi="Arial Narrow"/>
                <w:sz w:val="18"/>
                <w:szCs w:val="18"/>
              </w:rPr>
              <w:t>required dialysis</w:t>
            </w:r>
          </w:p>
          <w:p w:rsidR="007249CF" w:rsidRPr="00B92AA8" w:rsidRDefault="007249CF" w:rsidP="0057501F">
            <w:pPr>
              <w:rPr>
                <w:rFonts w:ascii="Arial Narrow" w:hAnsi="Arial Narrow"/>
                <w:sz w:val="18"/>
                <w:szCs w:val="18"/>
              </w:rPr>
            </w:pPr>
            <w:r w:rsidRPr="00B92AA8">
              <w:rPr>
                <w:rFonts w:ascii="Arial Narrow" w:hAnsi="Arial Narrow"/>
                <w:sz w:val="18"/>
                <w:szCs w:val="18"/>
              </w:rPr>
              <w:t>All at least 1 renal transplant</w:t>
            </w:r>
          </w:p>
        </w:tc>
        <w:tc>
          <w:tcPr>
            <w:tcW w:w="1182" w:type="pct"/>
            <w:shd w:val="clear" w:color="auto" w:fill="auto"/>
            <w:vAlign w:val="center"/>
          </w:tcPr>
          <w:p w:rsidR="007249CF" w:rsidRPr="00B92AA8" w:rsidRDefault="007249CF" w:rsidP="0057501F">
            <w:pPr>
              <w:rPr>
                <w:rFonts w:ascii="Arial Narrow" w:hAnsi="Arial Narrow"/>
                <w:sz w:val="18"/>
                <w:szCs w:val="18"/>
              </w:rPr>
            </w:pPr>
            <w:r w:rsidRPr="00B92AA8">
              <w:rPr>
                <w:rFonts w:ascii="Arial Narrow" w:hAnsi="Arial Narrow"/>
                <w:sz w:val="18"/>
                <w:szCs w:val="18"/>
              </w:rPr>
              <w:t>Recurrence of TMA</w:t>
            </w:r>
          </w:p>
          <w:p w:rsidR="007249CF" w:rsidRPr="00B92AA8" w:rsidRDefault="007249CF" w:rsidP="0057501F">
            <w:pPr>
              <w:rPr>
                <w:rFonts w:ascii="Arial Narrow" w:hAnsi="Arial Narrow"/>
                <w:sz w:val="18"/>
                <w:szCs w:val="18"/>
              </w:rPr>
            </w:pPr>
            <w:r w:rsidRPr="00B92AA8">
              <w:rPr>
                <w:rFonts w:ascii="Arial Narrow" w:hAnsi="Arial Narrow"/>
                <w:sz w:val="18"/>
                <w:szCs w:val="18"/>
              </w:rPr>
              <w:t>Dialysis required</w:t>
            </w:r>
          </w:p>
          <w:p w:rsidR="007249CF" w:rsidRPr="00B92AA8" w:rsidRDefault="007249CF" w:rsidP="0057501F">
            <w:pPr>
              <w:rPr>
                <w:rFonts w:ascii="Arial Narrow" w:hAnsi="Arial Narrow"/>
                <w:sz w:val="18"/>
                <w:szCs w:val="18"/>
              </w:rPr>
            </w:pPr>
            <w:r w:rsidRPr="00B92AA8">
              <w:rPr>
                <w:rFonts w:ascii="Arial Narrow" w:hAnsi="Arial Narrow"/>
                <w:sz w:val="18"/>
                <w:szCs w:val="18"/>
              </w:rPr>
              <w:t>Time to dialysis</w:t>
            </w:r>
          </w:p>
          <w:p w:rsidR="006A560B" w:rsidRPr="00B92AA8" w:rsidRDefault="006A560B" w:rsidP="0057501F">
            <w:pPr>
              <w:rPr>
                <w:rFonts w:ascii="Arial Narrow" w:hAnsi="Arial Narrow"/>
                <w:sz w:val="18"/>
                <w:szCs w:val="18"/>
              </w:rPr>
            </w:pPr>
            <w:r w:rsidRPr="00B92AA8">
              <w:rPr>
                <w:rFonts w:ascii="Arial Narrow" w:hAnsi="Arial Narrow"/>
                <w:sz w:val="18"/>
                <w:szCs w:val="18"/>
              </w:rPr>
              <w:t>Graft loss</w:t>
            </w:r>
          </w:p>
          <w:p w:rsidR="006A560B" w:rsidRPr="00B92AA8" w:rsidRDefault="006A560B" w:rsidP="0057501F">
            <w:pPr>
              <w:rPr>
                <w:rFonts w:ascii="Arial Narrow" w:hAnsi="Arial Narrow"/>
                <w:sz w:val="18"/>
                <w:szCs w:val="18"/>
              </w:rPr>
            </w:pPr>
            <w:r w:rsidRPr="00B92AA8">
              <w:rPr>
                <w:rFonts w:ascii="Arial Narrow" w:hAnsi="Arial Narrow"/>
                <w:sz w:val="18"/>
                <w:szCs w:val="18"/>
              </w:rPr>
              <w:t>Death</w:t>
            </w:r>
          </w:p>
        </w:tc>
      </w:tr>
      <w:tr w:rsidR="007249CF" w:rsidRPr="00B92AA8" w:rsidTr="00831CBA">
        <w:tc>
          <w:tcPr>
            <w:tcW w:w="802" w:type="pct"/>
            <w:shd w:val="clear" w:color="auto" w:fill="auto"/>
            <w:vAlign w:val="center"/>
          </w:tcPr>
          <w:p w:rsidR="007249CF" w:rsidRPr="00B92AA8" w:rsidRDefault="006A560B" w:rsidP="0057501F">
            <w:pPr>
              <w:rPr>
                <w:rFonts w:ascii="Arial Narrow" w:hAnsi="Arial Narrow"/>
                <w:sz w:val="18"/>
                <w:szCs w:val="18"/>
              </w:rPr>
            </w:pPr>
            <w:proofErr w:type="spellStart"/>
            <w:r w:rsidRPr="00B92AA8">
              <w:rPr>
                <w:rFonts w:ascii="Arial Narrow" w:hAnsi="Arial Narrow"/>
                <w:sz w:val="18"/>
                <w:szCs w:val="18"/>
              </w:rPr>
              <w:t>Neuhaus</w:t>
            </w:r>
            <w:proofErr w:type="spellEnd"/>
            <w:r w:rsidRPr="00B92AA8">
              <w:rPr>
                <w:rFonts w:ascii="Arial Narrow" w:hAnsi="Arial Narrow"/>
                <w:sz w:val="18"/>
                <w:szCs w:val="18"/>
              </w:rPr>
              <w:t xml:space="preserve"> 1997</w:t>
            </w:r>
          </w:p>
        </w:tc>
        <w:tc>
          <w:tcPr>
            <w:tcW w:w="662" w:type="pct"/>
            <w:shd w:val="clear" w:color="auto" w:fill="auto"/>
            <w:vAlign w:val="center"/>
          </w:tcPr>
          <w:p w:rsidR="007249CF" w:rsidRPr="00B92AA8" w:rsidRDefault="006A560B" w:rsidP="0057501F">
            <w:pPr>
              <w:jc w:val="center"/>
              <w:rPr>
                <w:rFonts w:ascii="Arial Narrow" w:hAnsi="Arial Narrow"/>
                <w:sz w:val="18"/>
                <w:szCs w:val="18"/>
              </w:rPr>
            </w:pPr>
            <w:r w:rsidRPr="00B92AA8">
              <w:rPr>
                <w:rFonts w:ascii="Arial Narrow" w:hAnsi="Arial Narrow"/>
                <w:sz w:val="18"/>
                <w:szCs w:val="18"/>
              </w:rPr>
              <w:t>7</w:t>
            </w:r>
          </w:p>
          <w:p w:rsidR="007249CF" w:rsidRPr="00B92AA8" w:rsidRDefault="007249CF" w:rsidP="006A560B">
            <w:pPr>
              <w:jc w:val="center"/>
              <w:rPr>
                <w:rFonts w:ascii="Arial Narrow" w:hAnsi="Arial Narrow"/>
                <w:sz w:val="18"/>
                <w:szCs w:val="18"/>
              </w:rPr>
            </w:pPr>
            <w:r w:rsidRPr="00B92AA8">
              <w:rPr>
                <w:rFonts w:ascii="Arial Narrow" w:hAnsi="Arial Narrow"/>
                <w:sz w:val="18"/>
                <w:szCs w:val="18"/>
              </w:rPr>
              <w:t>(</w:t>
            </w:r>
            <w:r w:rsidR="006A560B" w:rsidRPr="00B92AA8">
              <w:rPr>
                <w:rFonts w:ascii="Arial Narrow" w:hAnsi="Arial Narrow"/>
                <w:sz w:val="18"/>
                <w:szCs w:val="18"/>
              </w:rPr>
              <w:t>66 in total</w:t>
            </w:r>
            <w:r w:rsidRPr="00B92AA8">
              <w:rPr>
                <w:rFonts w:ascii="Arial Narrow" w:hAnsi="Arial Narrow"/>
                <w:sz w:val="18"/>
                <w:szCs w:val="18"/>
              </w:rPr>
              <w:t>)</w:t>
            </w:r>
          </w:p>
        </w:tc>
        <w:tc>
          <w:tcPr>
            <w:tcW w:w="1173" w:type="pct"/>
            <w:shd w:val="clear" w:color="auto" w:fill="auto"/>
            <w:vAlign w:val="center"/>
          </w:tcPr>
          <w:p w:rsidR="007249CF" w:rsidRPr="00B92AA8" w:rsidRDefault="006A560B" w:rsidP="0057501F">
            <w:pPr>
              <w:jc w:val="center"/>
              <w:rPr>
                <w:rFonts w:ascii="Arial Narrow" w:hAnsi="Arial Narrow"/>
                <w:sz w:val="18"/>
                <w:szCs w:val="18"/>
              </w:rPr>
            </w:pPr>
            <w:r w:rsidRPr="00B92AA8">
              <w:rPr>
                <w:rFonts w:ascii="Arial Narrow" w:hAnsi="Arial Narrow"/>
                <w:sz w:val="18"/>
                <w:szCs w:val="18"/>
              </w:rPr>
              <w:t>Retrospective cohort</w:t>
            </w:r>
          </w:p>
          <w:p w:rsidR="006A560B" w:rsidRPr="00B92AA8" w:rsidRDefault="006A560B" w:rsidP="0057501F">
            <w:pPr>
              <w:jc w:val="center"/>
              <w:rPr>
                <w:rFonts w:ascii="Arial Narrow" w:hAnsi="Arial Narrow"/>
                <w:sz w:val="18"/>
                <w:szCs w:val="18"/>
              </w:rPr>
            </w:pPr>
            <w:r w:rsidRPr="00B92AA8">
              <w:rPr>
                <w:rFonts w:ascii="Arial Narrow" w:hAnsi="Arial Narrow"/>
                <w:sz w:val="18"/>
                <w:szCs w:val="18"/>
              </w:rPr>
              <w:t xml:space="preserve">Paediatric </w:t>
            </w:r>
          </w:p>
        </w:tc>
        <w:tc>
          <w:tcPr>
            <w:tcW w:w="1181" w:type="pct"/>
            <w:shd w:val="clear" w:color="auto" w:fill="auto"/>
            <w:vAlign w:val="center"/>
          </w:tcPr>
          <w:p w:rsidR="007249CF" w:rsidRPr="00B92AA8" w:rsidRDefault="007249CF"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BB04CA" w:rsidRPr="00B92AA8" w:rsidRDefault="00BB04CA" w:rsidP="0057501F">
            <w:pPr>
              <w:rPr>
                <w:rFonts w:ascii="Arial Narrow" w:hAnsi="Arial Narrow"/>
                <w:sz w:val="18"/>
                <w:szCs w:val="18"/>
              </w:rPr>
            </w:pPr>
            <w:r w:rsidRPr="00B92AA8">
              <w:rPr>
                <w:rFonts w:ascii="Arial Narrow" w:hAnsi="Arial Narrow"/>
                <w:sz w:val="18"/>
                <w:szCs w:val="18"/>
              </w:rPr>
              <w:t>Long term dialysis</w:t>
            </w:r>
          </w:p>
          <w:p w:rsidR="007249CF" w:rsidRPr="00B92AA8" w:rsidRDefault="00BB04CA" w:rsidP="00BB04CA">
            <w:pPr>
              <w:rPr>
                <w:rFonts w:ascii="Arial Narrow" w:hAnsi="Arial Narrow"/>
                <w:sz w:val="18"/>
                <w:szCs w:val="18"/>
              </w:rPr>
            </w:pPr>
            <w:r w:rsidRPr="00B92AA8">
              <w:rPr>
                <w:rFonts w:ascii="Arial Narrow" w:hAnsi="Arial Narrow"/>
                <w:sz w:val="18"/>
                <w:szCs w:val="18"/>
              </w:rPr>
              <w:t>Surviving patients received renal transplant.</w:t>
            </w:r>
          </w:p>
        </w:tc>
        <w:tc>
          <w:tcPr>
            <w:tcW w:w="1182" w:type="pct"/>
            <w:shd w:val="clear" w:color="auto" w:fill="auto"/>
            <w:vAlign w:val="center"/>
          </w:tcPr>
          <w:p w:rsidR="00BB04CA" w:rsidRPr="00B92AA8" w:rsidRDefault="00BB04CA" w:rsidP="00BB04CA">
            <w:pPr>
              <w:rPr>
                <w:rFonts w:ascii="Arial Narrow" w:hAnsi="Arial Narrow"/>
                <w:sz w:val="18"/>
                <w:szCs w:val="18"/>
              </w:rPr>
            </w:pPr>
            <w:r w:rsidRPr="00B92AA8">
              <w:rPr>
                <w:rFonts w:ascii="Arial Narrow" w:hAnsi="Arial Narrow"/>
                <w:sz w:val="18"/>
                <w:szCs w:val="18"/>
              </w:rPr>
              <w:t>Death</w:t>
            </w:r>
          </w:p>
          <w:p w:rsidR="007249CF" w:rsidRPr="00B92AA8" w:rsidRDefault="007249CF" w:rsidP="00BB04CA">
            <w:pPr>
              <w:rPr>
                <w:rFonts w:ascii="Arial Narrow" w:hAnsi="Arial Narrow"/>
                <w:sz w:val="18"/>
                <w:szCs w:val="18"/>
              </w:rPr>
            </w:pPr>
            <w:r w:rsidRPr="00B92AA8">
              <w:rPr>
                <w:rFonts w:ascii="Arial Narrow" w:hAnsi="Arial Narrow"/>
                <w:sz w:val="18"/>
                <w:szCs w:val="18"/>
              </w:rPr>
              <w:t>Recurrence of TMA</w:t>
            </w:r>
          </w:p>
        </w:tc>
      </w:tr>
      <w:tr w:rsidR="007249CF" w:rsidRPr="00B92AA8" w:rsidTr="00831CBA">
        <w:tc>
          <w:tcPr>
            <w:tcW w:w="802" w:type="pct"/>
            <w:shd w:val="clear" w:color="auto" w:fill="auto"/>
            <w:vAlign w:val="center"/>
          </w:tcPr>
          <w:p w:rsidR="007249CF" w:rsidRPr="00B92AA8" w:rsidRDefault="00BB04CA" w:rsidP="00BB04CA">
            <w:pPr>
              <w:rPr>
                <w:rFonts w:ascii="Arial Narrow" w:hAnsi="Arial Narrow"/>
                <w:sz w:val="18"/>
                <w:szCs w:val="18"/>
              </w:rPr>
            </w:pPr>
            <w:proofErr w:type="spellStart"/>
            <w:r w:rsidRPr="00B92AA8">
              <w:rPr>
                <w:rFonts w:ascii="Arial Narrow" w:hAnsi="Arial Narrow"/>
                <w:sz w:val="18"/>
                <w:szCs w:val="18"/>
              </w:rPr>
              <w:t>Besbas</w:t>
            </w:r>
            <w:proofErr w:type="spellEnd"/>
            <w:r w:rsidRPr="00B92AA8">
              <w:rPr>
                <w:rFonts w:ascii="Arial Narrow" w:hAnsi="Arial Narrow"/>
                <w:sz w:val="18"/>
                <w:szCs w:val="18"/>
              </w:rPr>
              <w:t xml:space="preserve"> </w:t>
            </w:r>
            <w:r w:rsidR="007249CF" w:rsidRPr="00B92AA8">
              <w:rPr>
                <w:rFonts w:ascii="Arial Narrow" w:hAnsi="Arial Narrow"/>
                <w:sz w:val="18"/>
                <w:szCs w:val="18"/>
              </w:rPr>
              <w:t>201</w:t>
            </w:r>
            <w:r w:rsidRPr="00B92AA8">
              <w:rPr>
                <w:rFonts w:ascii="Arial Narrow" w:hAnsi="Arial Narrow"/>
                <w:sz w:val="18"/>
                <w:szCs w:val="18"/>
              </w:rPr>
              <w:t>7</w:t>
            </w:r>
          </w:p>
        </w:tc>
        <w:tc>
          <w:tcPr>
            <w:tcW w:w="662" w:type="pct"/>
            <w:shd w:val="clear" w:color="auto" w:fill="auto"/>
            <w:vAlign w:val="center"/>
          </w:tcPr>
          <w:p w:rsidR="007249CF" w:rsidRPr="00B92AA8" w:rsidRDefault="00BB04CA" w:rsidP="0057501F">
            <w:pPr>
              <w:jc w:val="center"/>
              <w:rPr>
                <w:rFonts w:ascii="Arial Narrow" w:hAnsi="Arial Narrow"/>
                <w:sz w:val="18"/>
                <w:szCs w:val="18"/>
              </w:rPr>
            </w:pPr>
            <w:r w:rsidRPr="00B92AA8">
              <w:rPr>
                <w:rFonts w:ascii="Arial Narrow" w:hAnsi="Arial Narrow"/>
                <w:sz w:val="18"/>
                <w:szCs w:val="18"/>
              </w:rPr>
              <w:t>8</w:t>
            </w:r>
          </w:p>
          <w:p w:rsidR="00BB04CA" w:rsidRPr="00B92AA8" w:rsidRDefault="00BB04CA" w:rsidP="0057501F">
            <w:pPr>
              <w:jc w:val="center"/>
              <w:rPr>
                <w:rFonts w:ascii="Arial Narrow" w:hAnsi="Arial Narrow"/>
                <w:sz w:val="18"/>
                <w:szCs w:val="18"/>
              </w:rPr>
            </w:pPr>
            <w:r w:rsidRPr="00B92AA8">
              <w:rPr>
                <w:rFonts w:ascii="Arial Narrow" w:hAnsi="Arial Narrow"/>
                <w:sz w:val="18"/>
                <w:szCs w:val="18"/>
              </w:rPr>
              <w:t>(146 in total)</w:t>
            </w:r>
          </w:p>
        </w:tc>
        <w:tc>
          <w:tcPr>
            <w:tcW w:w="1173" w:type="pct"/>
            <w:shd w:val="clear" w:color="auto" w:fill="auto"/>
            <w:vAlign w:val="center"/>
          </w:tcPr>
          <w:p w:rsidR="007249CF" w:rsidRPr="00B92AA8" w:rsidRDefault="00BB04CA" w:rsidP="0057501F">
            <w:pPr>
              <w:jc w:val="center"/>
              <w:rPr>
                <w:rFonts w:ascii="Arial Narrow" w:hAnsi="Arial Narrow"/>
                <w:sz w:val="18"/>
                <w:szCs w:val="18"/>
              </w:rPr>
            </w:pPr>
            <w:r w:rsidRPr="00B92AA8">
              <w:rPr>
                <w:rFonts w:ascii="Arial Narrow" w:hAnsi="Arial Narrow"/>
                <w:sz w:val="18"/>
                <w:szCs w:val="18"/>
              </w:rPr>
              <w:t>Registry data</w:t>
            </w:r>
          </w:p>
        </w:tc>
        <w:tc>
          <w:tcPr>
            <w:tcW w:w="1181" w:type="pct"/>
            <w:shd w:val="clear" w:color="auto" w:fill="auto"/>
            <w:vAlign w:val="center"/>
          </w:tcPr>
          <w:p w:rsidR="007249CF" w:rsidRPr="00B92AA8" w:rsidRDefault="00F77380" w:rsidP="00BB04CA">
            <w:pPr>
              <w:rPr>
                <w:rFonts w:ascii="Arial Narrow" w:hAnsi="Arial Narrow"/>
                <w:sz w:val="18"/>
                <w:szCs w:val="18"/>
              </w:rPr>
            </w:pPr>
            <w:r w:rsidRPr="00B92AA8">
              <w:rPr>
                <w:rFonts w:ascii="Arial Narrow" w:hAnsi="Arial Narrow"/>
                <w:sz w:val="18"/>
                <w:szCs w:val="18"/>
              </w:rPr>
              <w:t>Case ESRD</w:t>
            </w:r>
          </w:p>
        </w:tc>
        <w:tc>
          <w:tcPr>
            <w:tcW w:w="1182" w:type="pct"/>
            <w:shd w:val="clear" w:color="auto" w:fill="auto"/>
            <w:vAlign w:val="center"/>
          </w:tcPr>
          <w:p w:rsidR="00F77380" w:rsidRPr="00B92AA8" w:rsidRDefault="00F77380" w:rsidP="0057501F">
            <w:pPr>
              <w:rPr>
                <w:rFonts w:ascii="Arial Narrow" w:hAnsi="Arial Narrow"/>
                <w:sz w:val="18"/>
                <w:szCs w:val="18"/>
              </w:rPr>
            </w:pPr>
            <w:r w:rsidRPr="00B92AA8">
              <w:rPr>
                <w:rFonts w:ascii="Arial Narrow" w:hAnsi="Arial Narrow"/>
                <w:sz w:val="18"/>
                <w:szCs w:val="18"/>
              </w:rPr>
              <w:t>Death rate</w:t>
            </w:r>
          </w:p>
          <w:p w:rsidR="007249CF" w:rsidRPr="00B92AA8" w:rsidRDefault="00F77380" w:rsidP="00F77380">
            <w:pPr>
              <w:rPr>
                <w:rFonts w:ascii="Arial Narrow" w:hAnsi="Arial Narrow"/>
                <w:sz w:val="18"/>
                <w:szCs w:val="18"/>
              </w:rPr>
            </w:pPr>
            <w:r w:rsidRPr="00B92AA8">
              <w:rPr>
                <w:rFonts w:ascii="Arial Narrow" w:hAnsi="Arial Narrow"/>
                <w:sz w:val="18"/>
                <w:szCs w:val="18"/>
              </w:rPr>
              <w:t>Hospitalisation rate</w:t>
            </w:r>
          </w:p>
        </w:tc>
      </w:tr>
      <w:tr w:rsidR="007249CF" w:rsidRPr="00B92AA8" w:rsidTr="00831CBA">
        <w:tc>
          <w:tcPr>
            <w:tcW w:w="802" w:type="pct"/>
            <w:shd w:val="clear" w:color="auto" w:fill="auto"/>
            <w:vAlign w:val="center"/>
          </w:tcPr>
          <w:p w:rsidR="007249CF" w:rsidRPr="00B92AA8" w:rsidRDefault="00BB04CA" w:rsidP="0057501F">
            <w:pPr>
              <w:rPr>
                <w:rFonts w:ascii="Arial Narrow" w:hAnsi="Arial Narrow"/>
                <w:sz w:val="18"/>
                <w:szCs w:val="18"/>
              </w:rPr>
            </w:pPr>
            <w:proofErr w:type="spellStart"/>
            <w:r w:rsidRPr="00B92AA8">
              <w:rPr>
                <w:rFonts w:ascii="Arial Narrow" w:hAnsi="Arial Narrow"/>
                <w:sz w:val="18"/>
                <w:szCs w:val="18"/>
              </w:rPr>
              <w:t>Brunelli</w:t>
            </w:r>
            <w:proofErr w:type="spellEnd"/>
            <w:r w:rsidR="007249CF" w:rsidRPr="00B92AA8">
              <w:rPr>
                <w:rFonts w:ascii="Arial Narrow" w:hAnsi="Arial Narrow"/>
                <w:sz w:val="18"/>
                <w:szCs w:val="18"/>
              </w:rPr>
              <w:t xml:space="preserve"> 2015</w:t>
            </w:r>
          </w:p>
        </w:tc>
        <w:tc>
          <w:tcPr>
            <w:tcW w:w="662" w:type="pct"/>
            <w:shd w:val="clear" w:color="auto" w:fill="auto"/>
            <w:vAlign w:val="center"/>
          </w:tcPr>
          <w:p w:rsidR="007249CF" w:rsidRPr="00B92AA8" w:rsidRDefault="00BB04CA" w:rsidP="00BB04CA">
            <w:pPr>
              <w:jc w:val="center"/>
              <w:rPr>
                <w:rFonts w:ascii="Arial Narrow" w:hAnsi="Arial Narrow"/>
                <w:sz w:val="18"/>
                <w:szCs w:val="18"/>
              </w:rPr>
            </w:pPr>
            <w:r w:rsidRPr="00B92AA8">
              <w:rPr>
                <w:rFonts w:ascii="Arial Narrow" w:hAnsi="Arial Narrow"/>
                <w:sz w:val="18"/>
                <w:szCs w:val="18"/>
              </w:rPr>
              <w:t>217 cases; 1</w:t>
            </w:r>
            <w:r w:rsidR="00F77380" w:rsidRPr="00B92AA8">
              <w:rPr>
                <w:rFonts w:ascii="Arial Narrow" w:hAnsi="Arial Narrow"/>
                <w:sz w:val="18"/>
                <w:szCs w:val="18"/>
              </w:rPr>
              <w:t>,</w:t>
            </w:r>
            <w:r w:rsidRPr="00B92AA8">
              <w:rPr>
                <w:rFonts w:ascii="Arial Narrow" w:hAnsi="Arial Narrow"/>
                <w:sz w:val="18"/>
                <w:szCs w:val="18"/>
              </w:rPr>
              <w:t>085 controls</w:t>
            </w:r>
          </w:p>
        </w:tc>
        <w:tc>
          <w:tcPr>
            <w:tcW w:w="1173" w:type="pct"/>
            <w:shd w:val="clear" w:color="auto" w:fill="auto"/>
            <w:vAlign w:val="center"/>
          </w:tcPr>
          <w:p w:rsidR="007249CF" w:rsidRPr="00B92AA8" w:rsidRDefault="00BB04CA" w:rsidP="00BB04CA">
            <w:pPr>
              <w:jc w:val="center"/>
              <w:rPr>
                <w:rFonts w:ascii="Arial Narrow" w:hAnsi="Arial Narrow"/>
                <w:sz w:val="18"/>
                <w:szCs w:val="18"/>
              </w:rPr>
            </w:pPr>
            <w:r w:rsidRPr="00B92AA8">
              <w:rPr>
                <w:rFonts w:ascii="Arial Narrow" w:hAnsi="Arial Narrow"/>
                <w:sz w:val="18"/>
                <w:szCs w:val="18"/>
              </w:rPr>
              <w:t>Case control</w:t>
            </w:r>
          </w:p>
        </w:tc>
        <w:tc>
          <w:tcPr>
            <w:tcW w:w="1181" w:type="pct"/>
            <w:shd w:val="clear" w:color="auto" w:fill="auto"/>
            <w:vAlign w:val="center"/>
          </w:tcPr>
          <w:p w:rsidR="007249CF" w:rsidRPr="00B92AA8" w:rsidRDefault="007249CF"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7249CF" w:rsidRPr="00B92AA8" w:rsidRDefault="007249CF" w:rsidP="0057501F">
            <w:pPr>
              <w:rPr>
                <w:rFonts w:ascii="Arial Narrow" w:hAnsi="Arial Narrow"/>
                <w:sz w:val="18"/>
                <w:szCs w:val="18"/>
              </w:rPr>
            </w:pPr>
            <w:r w:rsidRPr="00B92AA8">
              <w:rPr>
                <w:rFonts w:ascii="Arial Narrow" w:hAnsi="Arial Narrow"/>
                <w:sz w:val="18"/>
                <w:szCs w:val="18"/>
              </w:rPr>
              <w:t>9/11 peri-transplant</w:t>
            </w:r>
          </w:p>
          <w:p w:rsidR="007249CF" w:rsidRPr="00B92AA8" w:rsidRDefault="007249CF" w:rsidP="0057501F">
            <w:pPr>
              <w:rPr>
                <w:rFonts w:ascii="Arial Narrow" w:hAnsi="Arial Narrow"/>
                <w:sz w:val="18"/>
                <w:szCs w:val="18"/>
              </w:rPr>
            </w:pPr>
            <w:r w:rsidRPr="00B92AA8">
              <w:rPr>
                <w:rFonts w:ascii="Arial Narrow" w:hAnsi="Arial Narrow"/>
                <w:sz w:val="18"/>
                <w:szCs w:val="18"/>
              </w:rPr>
              <w:t>2/11 at recurrence of TMA</w:t>
            </w:r>
          </w:p>
        </w:tc>
        <w:tc>
          <w:tcPr>
            <w:tcW w:w="1182" w:type="pct"/>
            <w:shd w:val="clear" w:color="auto" w:fill="auto"/>
            <w:vAlign w:val="center"/>
          </w:tcPr>
          <w:p w:rsidR="007249CF" w:rsidRPr="00B92AA8" w:rsidRDefault="00BB04CA" w:rsidP="0057501F">
            <w:pPr>
              <w:rPr>
                <w:rFonts w:ascii="Arial Narrow" w:hAnsi="Arial Narrow"/>
                <w:sz w:val="18"/>
                <w:szCs w:val="18"/>
              </w:rPr>
            </w:pPr>
            <w:r w:rsidRPr="00B92AA8">
              <w:rPr>
                <w:rFonts w:ascii="Arial Narrow" w:hAnsi="Arial Narrow"/>
                <w:sz w:val="18"/>
                <w:szCs w:val="18"/>
              </w:rPr>
              <w:t>Dialysis requirement</w:t>
            </w:r>
          </w:p>
          <w:p w:rsidR="00BB04CA" w:rsidRPr="00B92AA8" w:rsidRDefault="00BB04CA" w:rsidP="0057501F">
            <w:pPr>
              <w:rPr>
                <w:rFonts w:ascii="Arial Narrow" w:hAnsi="Arial Narrow"/>
                <w:sz w:val="18"/>
                <w:szCs w:val="18"/>
              </w:rPr>
            </w:pPr>
            <w:r w:rsidRPr="00B92AA8">
              <w:rPr>
                <w:rFonts w:ascii="Arial Narrow" w:hAnsi="Arial Narrow"/>
                <w:sz w:val="18"/>
                <w:szCs w:val="18"/>
              </w:rPr>
              <w:t>Transplant status</w:t>
            </w:r>
          </w:p>
        </w:tc>
      </w:tr>
      <w:tr w:rsidR="007249CF" w:rsidRPr="00B92AA8" w:rsidTr="00831CBA">
        <w:tc>
          <w:tcPr>
            <w:tcW w:w="802" w:type="pct"/>
            <w:shd w:val="clear" w:color="auto" w:fill="auto"/>
            <w:vAlign w:val="center"/>
          </w:tcPr>
          <w:p w:rsidR="007249CF" w:rsidRPr="00B92AA8" w:rsidRDefault="00F77380" w:rsidP="00F77380">
            <w:pPr>
              <w:rPr>
                <w:rFonts w:ascii="Arial Narrow" w:hAnsi="Arial Narrow"/>
                <w:sz w:val="18"/>
                <w:szCs w:val="18"/>
              </w:rPr>
            </w:pPr>
            <w:r w:rsidRPr="00B92AA8">
              <w:rPr>
                <w:rFonts w:ascii="Arial Narrow" w:hAnsi="Arial Narrow"/>
                <w:sz w:val="18"/>
                <w:szCs w:val="18"/>
              </w:rPr>
              <w:t xml:space="preserve">Sexton </w:t>
            </w:r>
            <w:r w:rsidR="007249CF" w:rsidRPr="00B92AA8">
              <w:rPr>
                <w:rFonts w:ascii="Arial Narrow" w:hAnsi="Arial Narrow"/>
                <w:sz w:val="18"/>
                <w:szCs w:val="18"/>
              </w:rPr>
              <w:t>201</w:t>
            </w:r>
            <w:r w:rsidRPr="00B92AA8">
              <w:rPr>
                <w:rFonts w:ascii="Arial Narrow" w:hAnsi="Arial Narrow"/>
                <w:sz w:val="18"/>
                <w:szCs w:val="18"/>
              </w:rPr>
              <w:t>5</w:t>
            </w:r>
          </w:p>
        </w:tc>
        <w:tc>
          <w:tcPr>
            <w:tcW w:w="662" w:type="pct"/>
            <w:shd w:val="clear" w:color="auto" w:fill="auto"/>
            <w:vAlign w:val="center"/>
          </w:tcPr>
          <w:p w:rsidR="007249CF" w:rsidRPr="00B92AA8" w:rsidRDefault="00F77380" w:rsidP="0057501F">
            <w:pPr>
              <w:jc w:val="center"/>
              <w:rPr>
                <w:rFonts w:ascii="Arial Narrow" w:hAnsi="Arial Narrow"/>
                <w:sz w:val="18"/>
                <w:szCs w:val="18"/>
              </w:rPr>
            </w:pPr>
            <w:r w:rsidRPr="00B92AA8">
              <w:rPr>
                <w:rFonts w:ascii="Arial Narrow" w:hAnsi="Arial Narrow"/>
                <w:sz w:val="18"/>
                <w:szCs w:val="18"/>
              </w:rPr>
              <w:t>2,241</w:t>
            </w:r>
          </w:p>
        </w:tc>
        <w:tc>
          <w:tcPr>
            <w:tcW w:w="1173" w:type="pct"/>
            <w:shd w:val="clear" w:color="auto" w:fill="auto"/>
            <w:vAlign w:val="center"/>
          </w:tcPr>
          <w:p w:rsidR="007249CF" w:rsidRPr="00B92AA8" w:rsidRDefault="006A4C38" w:rsidP="0057501F">
            <w:pPr>
              <w:jc w:val="center"/>
              <w:rPr>
                <w:rFonts w:ascii="Arial Narrow" w:hAnsi="Arial Narrow"/>
                <w:sz w:val="18"/>
                <w:szCs w:val="18"/>
              </w:rPr>
            </w:pPr>
            <w:r w:rsidRPr="00B92AA8">
              <w:rPr>
                <w:rFonts w:ascii="Arial Narrow" w:hAnsi="Arial Narrow"/>
                <w:sz w:val="18"/>
                <w:szCs w:val="18"/>
              </w:rPr>
              <w:t>Retrospective HUS cohort</w:t>
            </w:r>
          </w:p>
        </w:tc>
        <w:tc>
          <w:tcPr>
            <w:tcW w:w="1181" w:type="pct"/>
            <w:shd w:val="clear" w:color="auto" w:fill="auto"/>
            <w:vAlign w:val="center"/>
          </w:tcPr>
          <w:p w:rsidR="007249CF" w:rsidRPr="00B92AA8" w:rsidRDefault="006A4C38" w:rsidP="0057501F">
            <w:pPr>
              <w:rPr>
                <w:rFonts w:ascii="Arial Narrow" w:hAnsi="Arial Narrow"/>
                <w:sz w:val="18"/>
                <w:szCs w:val="18"/>
              </w:rPr>
            </w:pPr>
            <w:r w:rsidRPr="00B92AA8">
              <w:rPr>
                <w:rFonts w:ascii="Arial Narrow" w:hAnsi="Arial Narrow"/>
                <w:sz w:val="18"/>
                <w:szCs w:val="18"/>
              </w:rPr>
              <w:t>HUS patients vs other ESRD patients</w:t>
            </w:r>
          </w:p>
        </w:tc>
        <w:tc>
          <w:tcPr>
            <w:tcW w:w="1182" w:type="pct"/>
            <w:shd w:val="clear" w:color="auto" w:fill="auto"/>
            <w:vAlign w:val="center"/>
          </w:tcPr>
          <w:p w:rsidR="007249CF" w:rsidRPr="00B92AA8" w:rsidRDefault="006A4C38" w:rsidP="0057501F">
            <w:pPr>
              <w:rPr>
                <w:rFonts w:ascii="Arial Narrow" w:hAnsi="Arial Narrow"/>
                <w:sz w:val="18"/>
                <w:szCs w:val="18"/>
              </w:rPr>
            </w:pPr>
            <w:r w:rsidRPr="00B92AA8">
              <w:rPr>
                <w:rFonts w:ascii="Arial Narrow" w:hAnsi="Arial Narrow"/>
                <w:sz w:val="18"/>
                <w:szCs w:val="18"/>
              </w:rPr>
              <w:t>Death</w:t>
            </w:r>
          </w:p>
        </w:tc>
      </w:tr>
      <w:tr w:rsidR="007249CF" w:rsidRPr="00B92AA8" w:rsidTr="00831CBA">
        <w:tc>
          <w:tcPr>
            <w:tcW w:w="802" w:type="pct"/>
            <w:shd w:val="clear" w:color="auto" w:fill="auto"/>
            <w:vAlign w:val="center"/>
          </w:tcPr>
          <w:p w:rsidR="007249CF" w:rsidRPr="00B92AA8" w:rsidRDefault="007249CF" w:rsidP="0057501F">
            <w:pPr>
              <w:rPr>
                <w:rFonts w:ascii="Arial Narrow" w:hAnsi="Arial Narrow"/>
                <w:sz w:val="18"/>
                <w:szCs w:val="18"/>
                <w:vertAlign w:val="superscript"/>
              </w:rPr>
            </w:pPr>
            <w:r w:rsidRPr="00B92AA8">
              <w:rPr>
                <w:rFonts w:ascii="Arial Narrow" w:hAnsi="Arial Narrow"/>
                <w:sz w:val="18"/>
                <w:szCs w:val="18"/>
              </w:rPr>
              <w:t>Case reports</w:t>
            </w:r>
          </w:p>
        </w:tc>
        <w:tc>
          <w:tcPr>
            <w:tcW w:w="662" w:type="pct"/>
            <w:shd w:val="clear" w:color="auto" w:fill="auto"/>
            <w:vAlign w:val="center"/>
          </w:tcPr>
          <w:p w:rsidR="007249CF" w:rsidRPr="00B92AA8" w:rsidRDefault="006A4C38" w:rsidP="0057501F">
            <w:pPr>
              <w:jc w:val="center"/>
              <w:rPr>
                <w:rFonts w:ascii="Arial Narrow" w:hAnsi="Arial Narrow"/>
                <w:sz w:val="18"/>
                <w:szCs w:val="18"/>
              </w:rPr>
            </w:pPr>
            <w:r w:rsidRPr="00B92AA8">
              <w:rPr>
                <w:rFonts w:ascii="Arial Narrow" w:hAnsi="Arial Narrow"/>
                <w:sz w:val="18"/>
                <w:szCs w:val="18"/>
              </w:rPr>
              <w:t>2</w:t>
            </w:r>
          </w:p>
        </w:tc>
        <w:tc>
          <w:tcPr>
            <w:tcW w:w="1173" w:type="pct"/>
            <w:shd w:val="clear" w:color="auto" w:fill="auto"/>
            <w:vAlign w:val="center"/>
          </w:tcPr>
          <w:p w:rsidR="007249CF" w:rsidRPr="00B92AA8" w:rsidRDefault="007249CF" w:rsidP="0057501F">
            <w:pPr>
              <w:jc w:val="center"/>
              <w:rPr>
                <w:rFonts w:ascii="Arial Narrow" w:hAnsi="Arial Narrow"/>
                <w:sz w:val="18"/>
                <w:szCs w:val="18"/>
              </w:rPr>
            </w:pPr>
            <w:r w:rsidRPr="00B92AA8">
              <w:rPr>
                <w:rFonts w:ascii="Arial Narrow" w:hAnsi="Arial Narrow"/>
                <w:sz w:val="18"/>
                <w:szCs w:val="18"/>
              </w:rPr>
              <w:t>Case reports</w:t>
            </w:r>
          </w:p>
          <w:p w:rsidR="007249CF" w:rsidRPr="00B92AA8" w:rsidRDefault="006A4C38" w:rsidP="0057501F">
            <w:pPr>
              <w:jc w:val="center"/>
              <w:rPr>
                <w:rFonts w:ascii="Arial Narrow" w:hAnsi="Arial Narrow"/>
                <w:sz w:val="18"/>
                <w:szCs w:val="18"/>
                <w:highlight w:val="yellow"/>
              </w:rPr>
            </w:pPr>
            <w:r w:rsidRPr="00B92AA8">
              <w:rPr>
                <w:rFonts w:ascii="Arial Narrow" w:hAnsi="Arial Narrow"/>
                <w:sz w:val="18"/>
                <w:szCs w:val="18"/>
              </w:rPr>
              <w:t>paediatric</w:t>
            </w:r>
          </w:p>
        </w:tc>
        <w:tc>
          <w:tcPr>
            <w:tcW w:w="1181" w:type="pct"/>
            <w:shd w:val="clear" w:color="auto" w:fill="auto"/>
            <w:vAlign w:val="center"/>
          </w:tcPr>
          <w:p w:rsidR="007249CF" w:rsidRPr="00B92AA8" w:rsidRDefault="007249CF" w:rsidP="0057501F">
            <w:pPr>
              <w:rPr>
                <w:rFonts w:ascii="Arial Narrow" w:hAnsi="Arial Narrow"/>
                <w:sz w:val="18"/>
                <w:szCs w:val="18"/>
              </w:rPr>
            </w:pP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7249CF" w:rsidRPr="00B92AA8" w:rsidRDefault="006A4C38" w:rsidP="0057501F">
            <w:pPr>
              <w:rPr>
                <w:rFonts w:ascii="Arial Narrow" w:hAnsi="Arial Narrow"/>
                <w:sz w:val="18"/>
                <w:szCs w:val="18"/>
              </w:rPr>
            </w:pPr>
            <w:r w:rsidRPr="00B92AA8">
              <w:rPr>
                <w:rFonts w:ascii="Arial Narrow" w:hAnsi="Arial Narrow"/>
                <w:sz w:val="18"/>
                <w:szCs w:val="18"/>
              </w:rPr>
              <w:t>Ongoing dialysis</w:t>
            </w:r>
          </w:p>
          <w:p w:rsidR="006A4C38" w:rsidRPr="00B92AA8" w:rsidRDefault="006A4C38" w:rsidP="0057501F">
            <w:pPr>
              <w:rPr>
                <w:rFonts w:ascii="Arial Narrow" w:hAnsi="Arial Narrow"/>
                <w:sz w:val="18"/>
                <w:szCs w:val="18"/>
              </w:rPr>
            </w:pPr>
            <w:r w:rsidRPr="00B92AA8">
              <w:rPr>
                <w:rFonts w:ascii="Arial Narrow" w:hAnsi="Arial Narrow"/>
                <w:sz w:val="18"/>
                <w:szCs w:val="18"/>
              </w:rPr>
              <w:t xml:space="preserve">One treated with </w:t>
            </w:r>
            <w:proofErr w:type="spellStart"/>
            <w:r w:rsidRPr="00B92AA8">
              <w:rPr>
                <w:rFonts w:ascii="Arial Narrow" w:hAnsi="Arial Narrow"/>
                <w:sz w:val="18"/>
                <w:szCs w:val="18"/>
              </w:rPr>
              <w:t>eculizumab</w:t>
            </w:r>
            <w:proofErr w:type="spellEnd"/>
            <w:r w:rsidRPr="00B92AA8">
              <w:rPr>
                <w:rFonts w:ascii="Arial Narrow" w:hAnsi="Arial Narrow"/>
                <w:sz w:val="18"/>
                <w:szCs w:val="18"/>
              </w:rPr>
              <w:t xml:space="preserve"> after 7 years dialysis</w:t>
            </w:r>
          </w:p>
        </w:tc>
        <w:tc>
          <w:tcPr>
            <w:tcW w:w="1182" w:type="pct"/>
            <w:shd w:val="clear" w:color="auto" w:fill="auto"/>
            <w:vAlign w:val="center"/>
          </w:tcPr>
          <w:p w:rsidR="007249CF" w:rsidRPr="00B92AA8" w:rsidRDefault="007249CF" w:rsidP="0057501F">
            <w:pPr>
              <w:rPr>
                <w:rFonts w:ascii="Arial Narrow" w:hAnsi="Arial Narrow"/>
                <w:sz w:val="18"/>
                <w:szCs w:val="18"/>
              </w:rPr>
            </w:pPr>
            <w:r w:rsidRPr="00B92AA8">
              <w:rPr>
                <w:rFonts w:ascii="Arial Narrow" w:hAnsi="Arial Narrow"/>
                <w:sz w:val="18"/>
                <w:szCs w:val="18"/>
              </w:rPr>
              <w:t>Recurrence of TMA</w:t>
            </w:r>
          </w:p>
          <w:p w:rsidR="007249CF" w:rsidRPr="00B92AA8" w:rsidRDefault="006A4C38" w:rsidP="0057501F">
            <w:pPr>
              <w:rPr>
                <w:rFonts w:ascii="Arial Narrow" w:hAnsi="Arial Narrow"/>
                <w:sz w:val="18"/>
                <w:szCs w:val="18"/>
              </w:rPr>
            </w:pPr>
            <w:r w:rsidRPr="00B92AA8">
              <w:rPr>
                <w:rFonts w:ascii="Arial Narrow" w:hAnsi="Arial Narrow"/>
                <w:sz w:val="18"/>
                <w:szCs w:val="18"/>
              </w:rPr>
              <w:t>Requirement for dialysis</w:t>
            </w:r>
          </w:p>
        </w:tc>
      </w:tr>
      <w:tr w:rsidR="006A4C38" w:rsidRPr="00B92AA8" w:rsidTr="006A4C38">
        <w:tc>
          <w:tcPr>
            <w:tcW w:w="5000" w:type="pct"/>
            <w:gridSpan w:val="5"/>
            <w:shd w:val="clear" w:color="auto" w:fill="auto"/>
            <w:vAlign w:val="center"/>
          </w:tcPr>
          <w:p w:rsidR="006A4C38" w:rsidRPr="00B92AA8" w:rsidRDefault="006A4C38" w:rsidP="0057501F">
            <w:pPr>
              <w:rPr>
                <w:rFonts w:ascii="Arial Narrow" w:hAnsi="Arial Narrow"/>
                <w:b/>
                <w:sz w:val="18"/>
                <w:szCs w:val="18"/>
              </w:rPr>
            </w:pPr>
            <w:r w:rsidRPr="00B92AA8">
              <w:rPr>
                <w:rFonts w:ascii="Arial Narrow" w:hAnsi="Arial Narrow"/>
                <w:b/>
                <w:sz w:val="18"/>
                <w:szCs w:val="18"/>
              </w:rPr>
              <w:t>ii) Evidence for plasma exchange/plasma infusion</w:t>
            </w:r>
          </w:p>
        </w:tc>
      </w:tr>
      <w:tr w:rsidR="006A4C38" w:rsidRPr="00B92AA8" w:rsidTr="00831CBA">
        <w:tc>
          <w:tcPr>
            <w:tcW w:w="802" w:type="pct"/>
            <w:shd w:val="clear" w:color="auto" w:fill="auto"/>
            <w:vAlign w:val="center"/>
          </w:tcPr>
          <w:p w:rsidR="006A4C38" w:rsidRPr="00B92AA8" w:rsidRDefault="00FA1DA0" w:rsidP="0057501F">
            <w:pPr>
              <w:rPr>
                <w:rFonts w:ascii="Arial Narrow" w:hAnsi="Arial Narrow"/>
                <w:sz w:val="18"/>
                <w:szCs w:val="18"/>
              </w:rPr>
            </w:pPr>
            <w:r w:rsidRPr="00B92AA8">
              <w:rPr>
                <w:rFonts w:ascii="Arial Narrow" w:hAnsi="Arial Narrow"/>
                <w:sz w:val="18"/>
                <w:szCs w:val="18"/>
              </w:rPr>
              <w:t xml:space="preserve">Le </w:t>
            </w:r>
            <w:proofErr w:type="spellStart"/>
            <w:r w:rsidRPr="00B92AA8">
              <w:rPr>
                <w:rFonts w:ascii="Arial Narrow" w:hAnsi="Arial Narrow"/>
                <w:sz w:val="18"/>
                <w:szCs w:val="18"/>
              </w:rPr>
              <w:t>Quintrec</w:t>
            </w:r>
            <w:proofErr w:type="spellEnd"/>
            <w:r w:rsidRPr="00B92AA8">
              <w:rPr>
                <w:rFonts w:ascii="Arial Narrow" w:hAnsi="Arial Narrow"/>
                <w:sz w:val="18"/>
                <w:szCs w:val="18"/>
              </w:rPr>
              <w:t xml:space="preserve"> 2013</w:t>
            </w:r>
          </w:p>
        </w:tc>
        <w:tc>
          <w:tcPr>
            <w:tcW w:w="662" w:type="pct"/>
            <w:shd w:val="clear" w:color="auto" w:fill="auto"/>
            <w:vAlign w:val="center"/>
          </w:tcPr>
          <w:p w:rsidR="006A4C38" w:rsidRPr="00B92AA8" w:rsidRDefault="00FA1DA0" w:rsidP="0057501F">
            <w:pPr>
              <w:jc w:val="center"/>
              <w:rPr>
                <w:rFonts w:ascii="Arial Narrow" w:hAnsi="Arial Narrow"/>
                <w:sz w:val="18"/>
                <w:szCs w:val="18"/>
              </w:rPr>
            </w:pPr>
            <w:r w:rsidRPr="00B92AA8">
              <w:rPr>
                <w:rFonts w:ascii="Arial Narrow" w:hAnsi="Arial Narrow"/>
                <w:sz w:val="18"/>
                <w:szCs w:val="18"/>
              </w:rPr>
              <w:t>9</w:t>
            </w:r>
          </w:p>
          <w:p w:rsidR="00FA1DA0" w:rsidRPr="00B92AA8" w:rsidRDefault="00FA1DA0" w:rsidP="0057501F">
            <w:pPr>
              <w:jc w:val="center"/>
              <w:rPr>
                <w:rFonts w:ascii="Arial Narrow" w:hAnsi="Arial Narrow"/>
                <w:sz w:val="18"/>
                <w:szCs w:val="18"/>
              </w:rPr>
            </w:pPr>
            <w:r w:rsidRPr="00B92AA8">
              <w:rPr>
                <w:rFonts w:ascii="Arial Narrow" w:hAnsi="Arial Narrow"/>
                <w:sz w:val="18"/>
                <w:szCs w:val="18"/>
              </w:rPr>
              <w:t>(57 in total)</w:t>
            </w:r>
          </w:p>
        </w:tc>
        <w:tc>
          <w:tcPr>
            <w:tcW w:w="1173" w:type="pct"/>
            <w:shd w:val="clear" w:color="auto" w:fill="auto"/>
            <w:vAlign w:val="center"/>
          </w:tcPr>
          <w:p w:rsidR="006A4C38" w:rsidRPr="00B92AA8" w:rsidRDefault="00FA1DA0" w:rsidP="0057501F">
            <w:pPr>
              <w:jc w:val="center"/>
              <w:rPr>
                <w:rFonts w:ascii="Arial Narrow" w:hAnsi="Arial Narrow"/>
                <w:sz w:val="18"/>
                <w:szCs w:val="18"/>
              </w:rPr>
            </w:pPr>
            <w:r w:rsidRPr="00B92AA8">
              <w:rPr>
                <w:rFonts w:ascii="Arial Narrow" w:hAnsi="Arial Narrow"/>
                <w:sz w:val="18"/>
                <w:szCs w:val="18"/>
              </w:rPr>
              <w:t>Retrospective cohort</w:t>
            </w:r>
          </w:p>
        </w:tc>
        <w:tc>
          <w:tcPr>
            <w:tcW w:w="1181" w:type="pct"/>
            <w:shd w:val="clear" w:color="auto" w:fill="auto"/>
            <w:vAlign w:val="center"/>
          </w:tcPr>
          <w:p w:rsidR="006A4C38" w:rsidRPr="00B92AA8" w:rsidRDefault="00FA1DA0"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p>
          <w:p w:rsidR="00FA1DA0" w:rsidRPr="00B92AA8" w:rsidRDefault="00FA1DA0" w:rsidP="0057501F">
            <w:pPr>
              <w:rPr>
                <w:rFonts w:ascii="Arial Narrow" w:hAnsi="Arial Narrow"/>
                <w:sz w:val="18"/>
                <w:szCs w:val="18"/>
              </w:rPr>
            </w:pPr>
            <w:r w:rsidRPr="00B92AA8">
              <w:rPr>
                <w:rFonts w:ascii="Arial Narrow" w:hAnsi="Arial Narrow"/>
                <w:sz w:val="18"/>
                <w:szCs w:val="18"/>
              </w:rPr>
              <w:t>PE/PI as prophylaxis</w:t>
            </w:r>
          </w:p>
        </w:tc>
        <w:tc>
          <w:tcPr>
            <w:tcW w:w="1182" w:type="pct"/>
            <w:shd w:val="clear" w:color="auto" w:fill="auto"/>
            <w:vAlign w:val="center"/>
          </w:tcPr>
          <w:p w:rsidR="006A4C38" w:rsidRPr="00B92AA8" w:rsidRDefault="00691117" w:rsidP="0057501F">
            <w:pPr>
              <w:rPr>
                <w:rFonts w:ascii="Arial Narrow" w:hAnsi="Arial Narrow"/>
                <w:sz w:val="18"/>
                <w:szCs w:val="18"/>
              </w:rPr>
            </w:pPr>
            <w:r w:rsidRPr="00B92AA8">
              <w:rPr>
                <w:rFonts w:ascii="Arial Narrow" w:hAnsi="Arial Narrow"/>
                <w:sz w:val="18"/>
                <w:szCs w:val="18"/>
              </w:rPr>
              <w:t>Death</w:t>
            </w:r>
          </w:p>
          <w:p w:rsidR="00691117" w:rsidRPr="00B92AA8" w:rsidRDefault="00691117" w:rsidP="00691117">
            <w:pPr>
              <w:rPr>
                <w:rFonts w:ascii="Arial Narrow" w:hAnsi="Arial Narrow"/>
                <w:sz w:val="18"/>
                <w:szCs w:val="18"/>
              </w:rPr>
            </w:pPr>
            <w:r w:rsidRPr="00B92AA8">
              <w:rPr>
                <w:rFonts w:ascii="Arial Narrow" w:hAnsi="Arial Narrow"/>
                <w:sz w:val="18"/>
                <w:szCs w:val="18"/>
              </w:rPr>
              <w:t>Recurrence of TMA</w:t>
            </w:r>
          </w:p>
        </w:tc>
      </w:tr>
      <w:tr w:rsidR="00FA1DA0" w:rsidRPr="00B92AA8" w:rsidTr="00831CBA">
        <w:tc>
          <w:tcPr>
            <w:tcW w:w="802" w:type="pct"/>
            <w:shd w:val="clear" w:color="auto" w:fill="auto"/>
            <w:vAlign w:val="center"/>
          </w:tcPr>
          <w:p w:rsidR="00FA1DA0" w:rsidRPr="00B92AA8" w:rsidRDefault="00FA1DA0" w:rsidP="0057501F">
            <w:pPr>
              <w:rPr>
                <w:rFonts w:ascii="Arial Narrow" w:hAnsi="Arial Narrow"/>
                <w:sz w:val="18"/>
                <w:szCs w:val="18"/>
              </w:rPr>
            </w:pPr>
            <w:proofErr w:type="spellStart"/>
            <w:r w:rsidRPr="00B92AA8">
              <w:rPr>
                <w:rFonts w:ascii="Arial Narrow" w:hAnsi="Arial Narrow"/>
                <w:sz w:val="18"/>
                <w:szCs w:val="18"/>
              </w:rPr>
              <w:t>Ardissino</w:t>
            </w:r>
            <w:proofErr w:type="spellEnd"/>
            <w:r w:rsidRPr="00B92AA8">
              <w:rPr>
                <w:rFonts w:ascii="Arial Narrow" w:hAnsi="Arial Narrow"/>
                <w:sz w:val="18"/>
                <w:szCs w:val="18"/>
              </w:rPr>
              <w:t xml:space="preserve"> 2016</w:t>
            </w:r>
          </w:p>
        </w:tc>
        <w:tc>
          <w:tcPr>
            <w:tcW w:w="662" w:type="pct"/>
            <w:shd w:val="clear" w:color="auto" w:fill="auto"/>
            <w:vAlign w:val="center"/>
          </w:tcPr>
          <w:p w:rsidR="00FA1DA0" w:rsidRPr="00B92AA8" w:rsidRDefault="00FA1DA0" w:rsidP="0057501F">
            <w:pPr>
              <w:jc w:val="center"/>
              <w:rPr>
                <w:rFonts w:ascii="Arial Narrow" w:hAnsi="Arial Narrow"/>
                <w:sz w:val="18"/>
                <w:szCs w:val="18"/>
              </w:rPr>
            </w:pPr>
            <w:r w:rsidRPr="00B92AA8">
              <w:rPr>
                <w:rFonts w:ascii="Arial Narrow" w:hAnsi="Arial Narrow"/>
                <w:sz w:val="18"/>
                <w:szCs w:val="18"/>
              </w:rPr>
              <w:t>5</w:t>
            </w:r>
          </w:p>
          <w:p w:rsidR="00FA1DA0" w:rsidRPr="00B92AA8" w:rsidRDefault="00FA1DA0" w:rsidP="0057501F">
            <w:pPr>
              <w:jc w:val="center"/>
              <w:rPr>
                <w:rFonts w:ascii="Arial Narrow" w:hAnsi="Arial Narrow"/>
                <w:sz w:val="18"/>
                <w:szCs w:val="18"/>
              </w:rPr>
            </w:pPr>
            <w:r w:rsidRPr="00B92AA8">
              <w:rPr>
                <w:rFonts w:ascii="Arial Narrow" w:hAnsi="Arial Narrow"/>
                <w:sz w:val="18"/>
                <w:szCs w:val="18"/>
              </w:rPr>
              <w:t>(20 in total)</w:t>
            </w:r>
          </w:p>
        </w:tc>
        <w:tc>
          <w:tcPr>
            <w:tcW w:w="1173" w:type="pct"/>
            <w:shd w:val="clear" w:color="auto" w:fill="auto"/>
            <w:vAlign w:val="center"/>
          </w:tcPr>
          <w:p w:rsidR="00FA1DA0" w:rsidRPr="00B92AA8" w:rsidRDefault="00FA1DA0" w:rsidP="007E4DBE">
            <w:pPr>
              <w:jc w:val="center"/>
              <w:rPr>
                <w:rFonts w:ascii="Arial Narrow" w:hAnsi="Arial Narrow"/>
                <w:sz w:val="18"/>
                <w:szCs w:val="18"/>
              </w:rPr>
            </w:pPr>
            <w:r w:rsidRPr="00B92AA8">
              <w:rPr>
                <w:rFonts w:ascii="Arial Narrow" w:hAnsi="Arial Narrow"/>
                <w:sz w:val="18"/>
                <w:szCs w:val="18"/>
              </w:rPr>
              <w:t xml:space="preserve">Retrospective cohort </w:t>
            </w:r>
          </w:p>
        </w:tc>
        <w:tc>
          <w:tcPr>
            <w:tcW w:w="2363" w:type="pct"/>
            <w:gridSpan w:val="2"/>
            <w:shd w:val="clear" w:color="auto" w:fill="auto"/>
            <w:vAlign w:val="center"/>
          </w:tcPr>
          <w:p w:rsidR="00FA1DA0" w:rsidRPr="00B92AA8" w:rsidRDefault="00FA1DA0" w:rsidP="00FA1DA0">
            <w:pPr>
              <w:rPr>
                <w:rFonts w:ascii="Arial Narrow" w:hAnsi="Arial Narrow"/>
                <w:sz w:val="18"/>
                <w:szCs w:val="18"/>
              </w:rPr>
            </w:pPr>
            <w:r w:rsidRPr="00B92AA8">
              <w:rPr>
                <w:rFonts w:ascii="Arial Narrow" w:hAnsi="Arial Narrow"/>
                <w:sz w:val="18"/>
                <w:szCs w:val="18"/>
              </w:rPr>
              <w:t>As per group B in Table 2 above</w:t>
            </w:r>
          </w:p>
        </w:tc>
      </w:tr>
      <w:tr w:rsidR="006A4C38" w:rsidRPr="00B92AA8" w:rsidTr="00831CBA">
        <w:tc>
          <w:tcPr>
            <w:tcW w:w="802" w:type="pct"/>
            <w:shd w:val="clear" w:color="auto" w:fill="auto"/>
            <w:vAlign w:val="center"/>
          </w:tcPr>
          <w:p w:rsidR="006A4C38" w:rsidRPr="00B92AA8" w:rsidRDefault="00691117" w:rsidP="0057501F">
            <w:pPr>
              <w:rPr>
                <w:rFonts w:ascii="Arial Narrow" w:hAnsi="Arial Narrow"/>
                <w:sz w:val="18"/>
                <w:szCs w:val="18"/>
              </w:rPr>
            </w:pPr>
            <w:r w:rsidRPr="00B92AA8">
              <w:rPr>
                <w:rFonts w:ascii="Arial Narrow" w:hAnsi="Arial Narrow"/>
                <w:sz w:val="18"/>
                <w:szCs w:val="18"/>
              </w:rPr>
              <w:t>Davin 2008</w:t>
            </w:r>
          </w:p>
        </w:tc>
        <w:tc>
          <w:tcPr>
            <w:tcW w:w="662" w:type="pct"/>
            <w:shd w:val="clear" w:color="auto" w:fill="auto"/>
            <w:vAlign w:val="center"/>
          </w:tcPr>
          <w:p w:rsidR="006A4C38" w:rsidRPr="00B92AA8" w:rsidRDefault="00691117" w:rsidP="0057501F">
            <w:pPr>
              <w:jc w:val="center"/>
              <w:rPr>
                <w:rFonts w:ascii="Arial Narrow" w:hAnsi="Arial Narrow"/>
                <w:sz w:val="18"/>
                <w:szCs w:val="18"/>
              </w:rPr>
            </w:pPr>
            <w:r w:rsidRPr="00B92AA8">
              <w:rPr>
                <w:rFonts w:ascii="Arial Narrow" w:hAnsi="Arial Narrow"/>
                <w:sz w:val="18"/>
                <w:szCs w:val="18"/>
              </w:rPr>
              <w:t>3</w:t>
            </w:r>
          </w:p>
        </w:tc>
        <w:tc>
          <w:tcPr>
            <w:tcW w:w="1173" w:type="pct"/>
            <w:shd w:val="clear" w:color="auto" w:fill="auto"/>
            <w:vAlign w:val="center"/>
          </w:tcPr>
          <w:p w:rsidR="006A4C38" w:rsidRPr="00B92AA8" w:rsidRDefault="00691117" w:rsidP="0057501F">
            <w:pPr>
              <w:jc w:val="center"/>
              <w:rPr>
                <w:rFonts w:ascii="Arial Narrow" w:hAnsi="Arial Narrow"/>
                <w:sz w:val="18"/>
                <w:szCs w:val="18"/>
              </w:rPr>
            </w:pPr>
            <w:r w:rsidRPr="00B92AA8">
              <w:rPr>
                <w:rFonts w:ascii="Arial Narrow" w:hAnsi="Arial Narrow"/>
                <w:sz w:val="18"/>
                <w:szCs w:val="18"/>
              </w:rPr>
              <w:t>Case series of 3 sisters</w:t>
            </w:r>
          </w:p>
        </w:tc>
        <w:tc>
          <w:tcPr>
            <w:tcW w:w="1181" w:type="pct"/>
            <w:shd w:val="clear" w:color="auto" w:fill="auto"/>
            <w:vAlign w:val="center"/>
          </w:tcPr>
          <w:p w:rsidR="006A4C38" w:rsidRPr="00B92AA8" w:rsidRDefault="00691117"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w:t>
            </w:r>
          </w:p>
          <w:p w:rsidR="00691117" w:rsidRPr="00B92AA8" w:rsidRDefault="00691117" w:rsidP="0057501F">
            <w:pPr>
              <w:rPr>
                <w:rFonts w:ascii="Arial Narrow" w:hAnsi="Arial Narrow"/>
                <w:sz w:val="18"/>
                <w:szCs w:val="18"/>
              </w:rPr>
            </w:pPr>
            <w:r w:rsidRPr="00B92AA8">
              <w:rPr>
                <w:rFonts w:ascii="Arial Narrow" w:hAnsi="Arial Narrow"/>
                <w:sz w:val="18"/>
                <w:szCs w:val="18"/>
              </w:rPr>
              <w:t>2 received transplant</w:t>
            </w:r>
          </w:p>
        </w:tc>
        <w:tc>
          <w:tcPr>
            <w:tcW w:w="1182" w:type="pct"/>
            <w:shd w:val="clear" w:color="auto" w:fill="auto"/>
            <w:vAlign w:val="center"/>
          </w:tcPr>
          <w:p w:rsidR="006A4C38" w:rsidRPr="00B92AA8" w:rsidRDefault="00691117" w:rsidP="0057501F">
            <w:pPr>
              <w:rPr>
                <w:rFonts w:ascii="Arial Narrow" w:hAnsi="Arial Narrow"/>
                <w:sz w:val="18"/>
                <w:szCs w:val="18"/>
              </w:rPr>
            </w:pPr>
            <w:r w:rsidRPr="00B92AA8">
              <w:rPr>
                <w:rFonts w:ascii="Arial Narrow" w:hAnsi="Arial Narrow"/>
                <w:sz w:val="18"/>
                <w:szCs w:val="18"/>
              </w:rPr>
              <w:t>Graft loss</w:t>
            </w:r>
          </w:p>
          <w:p w:rsidR="00691117" w:rsidRPr="00B92AA8" w:rsidRDefault="00691117" w:rsidP="0057501F">
            <w:pPr>
              <w:rPr>
                <w:rFonts w:ascii="Arial Narrow" w:hAnsi="Arial Narrow"/>
                <w:sz w:val="18"/>
                <w:szCs w:val="18"/>
              </w:rPr>
            </w:pPr>
            <w:r w:rsidRPr="00B92AA8">
              <w:rPr>
                <w:rFonts w:ascii="Arial Narrow" w:hAnsi="Arial Narrow"/>
                <w:sz w:val="18"/>
                <w:szCs w:val="18"/>
              </w:rPr>
              <w:t>Recurrence of TMA</w:t>
            </w:r>
          </w:p>
        </w:tc>
      </w:tr>
      <w:tr w:rsidR="006A4C38" w:rsidRPr="00B92AA8" w:rsidTr="00831CBA">
        <w:tc>
          <w:tcPr>
            <w:tcW w:w="802" w:type="pct"/>
            <w:shd w:val="clear" w:color="auto" w:fill="auto"/>
            <w:vAlign w:val="center"/>
          </w:tcPr>
          <w:p w:rsidR="006A4C38" w:rsidRPr="00B92AA8" w:rsidRDefault="00691117" w:rsidP="0057501F">
            <w:pPr>
              <w:rPr>
                <w:rFonts w:ascii="Arial Narrow" w:hAnsi="Arial Narrow"/>
                <w:sz w:val="18"/>
                <w:szCs w:val="18"/>
              </w:rPr>
            </w:pPr>
            <w:proofErr w:type="spellStart"/>
            <w:r w:rsidRPr="00B92AA8">
              <w:rPr>
                <w:rFonts w:ascii="Arial Narrow" w:hAnsi="Arial Narrow"/>
                <w:sz w:val="18"/>
                <w:szCs w:val="18"/>
              </w:rPr>
              <w:t>Jalanko</w:t>
            </w:r>
            <w:proofErr w:type="spellEnd"/>
            <w:r w:rsidRPr="00B92AA8">
              <w:rPr>
                <w:rFonts w:ascii="Arial Narrow" w:hAnsi="Arial Narrow"/>
                <w:sz w:val="18"/>
                <w:szCs w:val="18"/>
              </w:rPr>
              <w:t xml:space="preserve"> 2008</w:t>
            </w:r>
          </w:p>
        </w:tc>
        <w:tc>
          <w:tcPr>
            <w:tcW w:w="662" w:type="pct"/>
            <w:shd w:val="clear" w:color="auto" w:fill="auto"/>
            <w:vAlign w:val="center"/>
          </w:tcPr>
          <w:p w:rsidR="006A4C38" w:rsidRPr="00B92AA8" w:rsidRDefault="00691117" w:rsidP="0057501F">
            <w:pPr>
              <w:jc w:val="center"/>
              <w:rPr>
                <w:rFonts w:ascii="Arial Narrow" w:hAnsi="Arial Narrow"/>
                <w:sz w:val="18"/>
                <w:szCs w:val="18"/>
              </w:rPr>
            </w:pPr>
            <w:r w:rsidRPr="00B92AA8">
              <w:rPr>
                <w:rFonts w:ascii="Arial Narrow" w:hAnsi="Arial Narrow"/>
                <w:sz w:val="18"/>
                <w:szCs w:val="18"/>
              </w:rPr>
              <w:t>2</w:t>
            </w:r>
          </w:p>
        </w:tc>
        <w:tc>
          <w:tcPr>
            <w:tcW w:w="1173" w:type="pct"/>
            <w:shd w:val="clear" w:color="auto" w:fill="auto"/>
            <w:vAlign w:val="center"/>
          </w:tcPr>
          <w:p w:rsidR="006A4C38" w:rsidRPr="00B92AA8" w:rsidRDefault="00691117" w:rsidP="0057501F">
            <w:pPr>
              <w:jc w:val="center"/>
              <w:rPr>
                <w:rFonts w:ascii="Arial Narrow" w:hAnsi="Arial Narrow"/>
                <w:sz w:val="18"/>
                <w:szCs w:val="18"/>
              </w:rPr>
            </w:pPr>
            <w:r w:rsidRPr="00B92AA8">
              <w:rPr>
                <w:rFonts w:ascii="Arial Narrow" w:hAnsi="Arial Narrow"/>
                <w:sz w:val="18"/>
                <w:szCs w:val="18"/>
              </w:rPr>
              <w:t>Case series of infant and aunt</w:t>
            </w:r>
          </w:p>
        </w:tc>
        <w:tc>
          <w:tcPr>
            <w:tcW w:w="1181" w:type="pct"/>
            <w:shd w:val="clear" w:color="auto" w:fill="auto"/>
            <w:vAlign w:val="center"/>
          </w:tcPr>
          <w:p w:rsidR="006A4C38" w:rsidRPr="00B92AA8" w:rsidRDefault="00691117" w:rsidP="0057501F">
            <w:pPr>
              <w:rPr>
                <w:rFonts w:ascii="Arial Narrow" w:hAnsi="Arial Narrow"/>
                <w:sz w:val="18"/>
                <w:szCs w:val="18"/>
              </w:rPr>
            </w:pPr>
            <w:r w:rsidRPr="00B92AA8">
              <w:rPr>
                <w:rFonts w:ascii="Arial Narrow" w:hAnsi="Arial Narrow"/>
                <w:sz w:val="18"/>
                <w:szCs w:val="18"/>
              </w:rPr>
              <w:t>Both had liver-renal transplants</w:t>
            </w:r>
          </w:p>
        </w:tc>
        <w:tc>
          <w:tcPr>
            <w:tcW w:w="1182" w:type="pct"/>
            <w:shd w:val="clear" w:color="auto" w:fill="auto"/>
            <w:vAlign w:val="center"/>
          </w:tcPr>
          <w:p w:rsidR="006A4C38" w:rsidRPr="00B92AA8" w:rsidRDefault="00691117" w:rsidP="0057501F">
            <w:pPr>
              <w:rPr>
                <w:rFonts w:ascii="Arial Narrow" w:hAnsi="Arial Narrow"/>
                <w:sz w:val="18"/>
                <w:szCs w:val="18"/>
              </w:rPr>
            </w:pPr>
            <w:r w:rsidRPr="00B92AA8">
              <w:rPr>
                <w:rFonts w:ascii="Arial Narrow" w:hAnsi="Arial Narrow"/>
                <w:sz w:val="18"/>
                <w:szCs w:val="18"/>
              </w:rPr>
              <w:t>Graft function</w:t>
            </w:r>
          </w:p>
        </w:tc>
      </w:tr>
      <w:tr w:rsidR="00691117" w:rsidRPr="00B92AA8" w:rsidTr="00831CBA">
        <w:tc>
          <w:tcPr>
            <w:tcW w:w="802" w:type="pct"/>
            <w:shd w:val="clear" w:color="auto" w:fill="auto"/>
            <w:vAlign w:val="center"/>
          </w:tcPr>
          <w:p w:rsidR="00691117" w:rsidRPr="00B92AA8" w:rsidRDefault="00691117" w:rsidP="0057501F">
            <w:pPr>
              <w:rPr>
                <w:rFonts w:ascii="Arial Narrow" w:hAnsi="Arial Narrow"/>
                <w:sz w:val="18"/>
                <w:szCs w:val="18"/>
              </w:rPr>
            </w:pPr>
            <w:r w:rsidRPr="00B92AA8">
              <w:rPr>
                <w:rFonts w:ascii="Arial Narrow" w:hAnsi="Arial Narrow"/>
                <w:sz w:val="18"/>
                <w:szCs w:val="18"/>
              </w:rPr>
              <w:t>Case reports</w:t>
            </w:r>
          </w:p>
        </w:tc>
        <w:tc>
          <w:tcPr>
            <w:tcW w:w="662" w:type="pct"/>
            <w:shd w:val="clear" w:color="auto" w:fill="auto"/>
            <w:vAlign w:val="center"/>
          </w:tcPr>
          <w:p w:rsidR="00691117" w:rsidRPr="00B92AA8" w:rsidRDefault="00691117" w:rsidP="0057501F">
            <w:pPr>
              <w:jc w:val="center"/>
              <w:rPr>
                <w:rFonts w:ascii="Arial Narrow" w:hAnsi="Arial Narrow"/>
                <w:sz w:val="18"/>
                <w:szCs w:val="18"/>
              </w:rPr>
            </w:pPr>
            <w:r w:rsidRPr="00B92AA8">
              <w:rPr>
                <w:rFonts w:ascii="Arial Narrow" w:hAnsi="Arial Narrow"/>
                <w:sz w:val="18"/>
                <w:szCs w:val="18"/>
              </w:rPr>
              <w:t>1</w:t>
            </w:r>
            <w:r w:rsidR="0098270C">
              <w:rPr>
                <w:rFonts w:ascii="Arial Narrow" w:hAnsi="Arial Narrow"/>
                <w:sz w:val="18"/>
                <w:szCs w:val="18"/>
              </w:rPr>
              <w:t>0</w:t>
            </w:r>
          </w:p>
        </w:tc>
        <w:tc>
          <w:tcPr>
            <w:tcW w:w="1173" w:type="pct"/>
            <w:shd w:val="clear" w:color="auto" w:fill="auto"/>
            <w:vAlign w:val="center"/>
          </w:tcPr>
          <w:p w:rsidR="00691117" w:rsidRPr="00B92AA8" w:rsidRDefault="00691117" w:rsidP="0057501F">
            <w:pPr>
              <w:jc w:val="center"/>
              <w:rPr>
                <w:rFonts w:ascii="Arial Narrow" w:hAnsi="Arial Narrow"/>
                <w:sz w:val="18"/>
                <w:szCs w:val="18"/>
              </w:rPr>
            </w:pPr>
            <w:r w:rsidRPr="00B92AA8">
              <w:rPr>
                <w:rFonts w:ascii="Arial Narrow" w:hAnsi="Arial Narrow"/>
                <w:sz w:val="18"/>
                <w:szCs w:val="18"/>
              </w:rPr>
              <w:t>Case reports</w:t>
            </w:r>
          </w:p>
        </w:tc>
        <w:tc>
          <w:tcPr>
            <w:tcW w:w="1181" w:type="pct"/>
            <w:shd w:val="clear" w:color="auto" w:fill="auto"/>
            <w:vAlign w:val="center"/>
          </w:tcPr>
          <w:p w:rsidR="00691117" w:rsidRPr="00B92AA8" w:rsidRDefault="00691117"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691117" w:rsidRPr="00B92AA8" w:rsidRDefault="008C3606" w:rsidP="0057501F">
            <w:pPr>
              <w:rPr>
                <w:rFonts w:ascii="Arial Narrow" w:hAnsi="Arial Narrow"/>
                <w:sz w:val="18"/>
                <w:szCs w:val="18"/>
              </w:rPr>
            </w:pPr>
            <w:r w:rsidRPr="00B92AA8">
              <w:rPr>
                <w:rFonts w:ascii="Arial Narrow" w:hAnsi="Arial Narrow"/>
                <w:sz w:val="18"/>
                <w:szCs w:val="18"/>
              </w:rPr>
              <w:t>All at least one renal transplant</w:t>
            </w:r>
          </w:p>
        </w:tc>
        <w:tc>
          <w:tcPr>
            <w:tcW w:w="1182" w:type="pct"/>
            <w:shd w:val="clear" w:color="auto" w:fill="auto"/>
            <w:vAlign w:val="center"/>
          </w:tcPr>
          <w:p w:rsidR="00691117" w:rsidRPr="00B92AA8" w:rsidRDefault="008C3606" w:rsidP="0057501F">
            <w:pPr>
              <w:rPr>
                <w:rFonts w:ascii="Arial Narrow" w:hAnsi="Arial Narrow"/>
                <w:sz w:val="18"/>
                <w:szCs w:val="18"/>
              </w:rPr>
            </w:pPr>
            <w:r w:rsidRPr="00B92AA8">
              <w:rPr>
                <w:rFonts w:ascii="Arial Narrow" w:hAnsi="Arial Narrow"/>
                <w:sz w:val="18"/>
                <w:szCs w:val="18"/>
              </w:rPr>
              <w:t>Graft function</w:t>
            </w:r>
          </w:p>
          <w:p w:rsidR="008C3606" w:rsidRPr="00B92AA8" w:rsidRDefault="008C3606" w:rsidP="0057501F">
            <w:pPr>
              <w:rPr>
                <w:rFonts w:ascii="Arial Narrow" w:hAnsi="Arial Narrow"/>
                <w:sz w:val="18"/>
                <w:szCs w:val="18"/>
              </w:rPr>
            </w:pPr>
          </w:p>
        </w:tc>
      </w:tr>
      <w:tr w:rsidR="008C3606" w:rsidRPr="00B92AA8" w:rsidTr="008C3606">
        <w:tc>
          <w:tcPr>
            <w:tcW w:w="5000" w:type="pct"/>
            <w:gridSpan w:val="5"/>
            <w:shd w:val="clear" w:color="auto" w:fill="auto"/>
            <w:vAlign w:val="center"/>
          </w:tcPr>
          <w:p w:rsidR="008C3606" w:rsidRPr="00B92AA8" w:rsidRDefault="008C3606" w:rsidP="008C3606">
            <w:pPr>
              <w:rPr>
                <w:rFonts w:ascii="Arial Narrow" w:hAnsi="Arial Narrow"/>
                <w:b/>
                <w:sz w:val="18"/>
                <w:szCs w:val="18"/>
              </w:rPr>
            </w:pPr>
            <w:r w:rsidRPr="00B92AA8">
              <w:rPr>
                <w:rFonts w:ascii="Arial Narrow" w:hAnsi="Arial Narrow"/>
                <w:b/>
                <w:sz w:val="18"/>
                <w:szCs w:val="18"/>
              </w:rPr>
              <w:t>ii</w:t>
            </w:r>
            <w:r w:rsidR="00DC392D" w:rsidRPr="00B92AA8">
              <w:rPr>
                <w:rFonts w:ascii="Arial Narrow" w:hAnsi="Arial Narrow"/>
                <w:b/>
                <w:sz w:val="18"/>
                <w:szCs w:val="18"/>
              </w:rPr>
              <w:t>i</w:t>
            </w:r>
            <w:r w:rsidR="00C80CE3">
              <w:rPr>
                <w:rFonts w:ascii="Arial Narrow" w:hAnsi="Arial Narrow"/>
                <w:b/>
                <w:sz w:val="18"/>
                <w:szCs w:val="18"/>
              </w:rPr>
              <w:t xml:space="preserve">) Evidence for </w:t>
            </w:r>
            <w:proofErr w:type="spellStart"/>
            <w:r w:rsidR="00C80CE3">
              <w:rPr>
                <w:rFonts w:ascii="Arial Narrow" w:hAnsi="Arial Narrow"/>
                <w:b/>
                <w:sz w:val="18"/>
                <w:szCs w:val="18"/>
              </w:rPr>
              <w:t>eculiz</w:t>
            </w:r>
            <w:r w:rsidRPr="00B92AA8">
              <w:rPr>
                <w:rFonts w:ascii="Arial Narrow" w:hAnsi="Arial Narrow"/>
                <w:b/>
                <w:sz w:val="18"/>
                <w:szCs w:val="18"/>
              </w:rPr>
              <w:t>umab</w:t>
            </w:r>
            <w:proofErr w:type="spellEnd"/>
            <w:r w:rsidRPr="00B92AA8">
              <w:rPr>
                <w:rFonts w:ascii="Arial Narrow" w:hAnsi="Arial Narrow"/>
                <w:b/>
                <w:sz w:val="18"/>
                <w:szCs w:val="18"/>
              </w:rPr>
              <w:t xml:space="preserve"> treatment </w:t>
            </w:r>
            <w:proofErr w:type="spellStart"/>
            <w:r w:rsidR="00DC392D" w:rsidRPr="00B92AA8">
              <w:rPr>
                <w:rFonts w:ascii="Arial Narrow" w:hAnsi="Arial Narrow"/>
                <w:b/>
                <w:sz w:val="18"/>
                <w:szCs w:val="18"/>
              </w:rPr>
              <w:t>post transplant</w:t>
            </w:r>
            <w:proofErr w:type="spellEnd"/>
            <w:r w:rsidR="00DC392D" w:rsidRPr="00B92AA8">
              <w:rPr>
                <w:rFonts w:ascii="Arial Narrow" w:hAnsi="Arial Narrow"/>
                <w:b/>
                <w:sz w:val="18"/>
                <w:szCs w:val="18"/>
              </w:rPr>
              <w:t xml:space="preserve"> at TMA recurrence.</w:t>
            </w:r>
          </w:p>
        </w:tc>
      </w:tr>
      <w:tr w:rsidR="008C3606" w:rsidRPr="00B92AA8" w:rsidTr="00831CBA">
        <w:tc>
          <w:tcPr>
            <w:tcW w:w="802" w:type="pct"/>
            <w:shd w:val="clear" w:color="auto" w:fill="auto"/>
            <w:vAlign w:val="center"/>
          </w:tcPr>
          <w:p w:rsidR="008C3606" w:rsidRPr="00B92AA8" w:rsidRDefault="007E4DBE" w:rsidP="000C15B1">
            <w:pPr>
              <w:rPr>
                <w:rFonts w:ascii="Arial Narrow" w:hAnsi="Arial Narrow"/>
                <w:sz w:val="18"/>
                <w:szCs w:val="18"/>
              </w:rPr>
            </w:pPr>
            <w:r w:rsidRPr="00B92AA8">
              <w:rPr>
                <w:rFonts w:ascii="Arial Narrow" w:hAnsi="Arial Narrow"/>
                <w:sz w:val="18"/>
                <w:szCs w:val="18"/>
              </w:rPr>
              <w:t>Sheerin 201</w:t>
            </w:r>
            <w:r w:rsidR="000C15B1">
              <w:rPr>
                <w:rFonts w:ascii="Arial Narrow" w:hAnsi="Arial Narrow"/>
                <w:sz w:val="18"/>
                <w:szCs w:val="18"/>
              </w:rPr>
              <w:t>5</w:t>
            </w:r>
          </w:p>
        </w:tc>
        <w:tc>
          <w:tcPr>
            <w:tcW w:w="662" w:type="pct"/>
            <w:shd w:val="clear" w:color="auto" w:fill="auto"/>
            <w:vAlign w:val="center"/>
          </w:tcPr>
          <w:p w:rsidR="008C3606" w:rsidRPr="00B92AA8" w:rsidRDefault="007E4DBE" w:rsidP="0057501F">
            <w:pPr>
              <w:jc w:val="center"/>
              <w:rPr>
                <w:rFonts w:ascii="Arial Narrow" w:hAnsi="Arial Narrow"/>
                <w:sz w:val="18"/>
                <w:szCs w:val="18"/>
              </w:rPr>
            </w:pPr>
            <w:r w:rsidRPr="00B92AA8">
              <w:rPr>
                <w:rFonts w:ascii="Arial Narrow" w:hAnsi="Arial Narrow"/>
                <w:sz w:val="18"/>
                <w:szCs w:val="18"/>
              </w:rPr>
              <w:t>1</w:t>
            </w:r>
          </w:p>
          <w:p w:rsidR="007E4DBE" w:rsidRPr="00B92AA8" w:rsidRDefault="007E4DBE" w:rsidP="0057501F">
            <w:pPr>
              <w:jc w:val="center"/>
              <w:rPr>
                <w:rFonts w:ascii="Arial Narrow" w:hAnsi="Arial Narrow"/>
                <w:sz w:val="18"/>
                <w:szCs w:val="18"/>
              </w:rPr>
            </w:pPr>
            <w:r w:rsidRPr="00B92AA8">
              <w:rPr>
                <w:rFonts w:ascii="Arial Narrow" w:hAnsi="Arial Narrow"/>
                <w:sz w:val="18"/>
                <w:szCs w:val="18"/>
              </w:rPr>
              <w:t>(43 in total)</w:t>
            </w:r>
          </w:p>
        </w:tc>
        <w:tc>
          <w:tcPr>
            <w:tcW w:w="1173" w:type="pct"/>
            <w:shd w:val="clear" w:color="auto" w:fill="auto"/>
            <w:vAlign w:val="center"/>
          </w:tcPr>
          <w:p w:rsidR="008C3606" w:rsidRPr="00B92AA8" w:rsidRDefault="007E4DBE" w:rsidP="0057501F">
            <w:pPr>
              <w:jc w:val="center"/>
              <w:rPr>
                <w:rFonts w:ascii="Arial Narrow" w:hAnsi="Arial Narrow"/>
                <w:sz w:val="18"/>
                <w:szCs w:val="18"/>
              </w:rPr>
            </w:pPr>
            <w:r w:rsidRPr="00B92AA8">
              <w:rPr>
                <w:rFonts w:ascii="Arial Narrow" w:hAnsi="Arial Narrow"/>
                <w:sz w:val="18"/>
                <w:szCs w:val="18"/>
              </w:rPr>
              <w:t>Retrospective cohort</w:t>
            </w:r>
          </w:p>
        </w:tc>
        <w:tc>
          <w:tcPr>
            <w:tcW w:w="1181" w:type="pct"/>
            <w:shd w:val="clear" w:color="auto" w:fill="auto"/>
            <w:vAlign w:val="center"/>
          </w:tcPr>
          <w:p w:rsidR="008C3606" w:rsidRPr="00B92AA8" w:rsidRDefault="007E4DBE" w:rsidP="0057501F">
            <w:pPr>
              <w:rPr>
                <w:rFonts w:ascii="Arial Narrow" w:hAnsi="Arial Narrow"/>
                <w:sz w:val="18"/>
                <w:szCs w:val="18"/>
              </w:rPr>
            </w:pPr>
            <w:r w:rsidRPr="00B92AA8">
              <w:rPr>
                <w:rFonts w:ascii="Arial Narrow" w:hAnsi="Arial Narrow"/>
                <w:sz w:val="18"/>
                <w:szCs w:val="18"/>
              </w:rPr>
              <w:t xml:space="preserve">“early” </w:t>
            </w:r>
            <w:proofErr w:type="spellStart"/>
            <w:r w:rsidRPr="00B92AA8">
              <w:rPr>
                <w:rFonts w:ascii="Arial Narrow" w:hAnsi="Arial Narrow"/>
                <w:sz w:val="18"/>
                <w:szCs w:val="18"/>
              </w:rPr>
              <w:t>post operative</w:t>
            </w:r>
            <w:proofErr w:type="spellEnd"/>
            <w:r w:rsidRPr="00B92AA8">
              <w:rPr>
                <w:rFonts w:ascii="Arial Narrow" w:hAnsi="Arial Narrow"/>
                <w:sz w:val="18"/>
                <w:szCs w:val="18"/>
              </w:rPr>
              <w:t xml:space="preserve"> treatment with </w:t>
            </w:r>
            <w:proofErr w:type="spellStart"/>
            <w:r w:rsidRPr="00B92AA8">
              <w:rPr>
                <w:rFonts w:ascii="Arial Narrow" w:hAnsi="Arial Narrow"/>
                <w:sz w:val="18"/>
                <w:szCs w:val="18"/>
              </w:rPr>
              <w:t>Ec</w:t>
            </w:r>
            <w:proofErr w:type="spellEnd"/>
          </w:p>
        </w:tc>
        <w:tc>
          <w:tcPr>
            <w:tcW w:w="1182" w:type="pct"/>
            <w:shd w:val="clear" w:color="auto" w:fill="auto"/>
            <w:vAlign w:val="center"/>
          </w:tcPr>
          <w:p w:rsidR="008C3606" w:rsidRPr="00B92AA8" w:rsidRDefault="007E4DBE" w:rsidP="0057501F">
            <w:pPr>
              <w:rPr>
                <w:rFonts w:ascii="Arial Narrow" w:hAnsi="Arial Narrow"/>
                <w:sz w:val="18"/>
                <w:szCs w:val="18"/>
              </w:rPr>
            </w:pPr>
            <w:r w:rsidRPr="00B92AA8">
              <w:rPr>
                <w:rFonts w:ascii="Arial Narrow" w:hAnsi="Arial Narrow"/>
                <w:sz w:val="18"/>
                <w:szCs w:val="18"/>
              </w:rPr>
              <w:t>Graft function</w:t>
            </w:r>
          </w:p>
        </w:tc>
      </w:tr>
      <w:tr w:rsidR="008C3606" w:rsidRPr="00B92AA8" w:rsidTr="00831CBA">
        <w:tc>
          <w:tcPr>
            <w:tcW w:w="802" w:type="pct"/>
            <w:shd w:val="clear" w:color="auto" w:fill="auto"/>
            <w:vAlign w:val="center"/>
          </w:tcPr>
          <w:p w:rsidR="008C3606" w:rsidRPr="00B92AA8" w:rsidRDefault="000A3EF8" w:rsidP="0057501F">
            <w:pPr>
              <w:rPr>
                <w:rFonts w:ascii="Arial Narrow" w:hAnsi="Arial Narrow"/>
                <w:sz w:val="18"/>
                <w:szCs w:val="18"/>
              </w:rPr>
            </w:pPr>
            <w:r w:rsidRPr="00B92AA8">
              <w:rPr>
                <w:rFonts w:ascii="Arial Narrow" w:hAnsi="Arial Narrow"/>
                <w:sz w:val="18"/>
                <w:szCs w:val="18"/>
              </w:rPr>
              <w:t>Zuber 2012</w:t>
            </w:r>
          </w:p>
        </w:tc>
        <w:tc>
          <w:tcPr>
            <w:tcW w:w="662" w:type="pct"/>
            <w:shd w:val="clear" w:color="auto" w:fill="auto"/>
            <w:vAlign w:val="center"/>
          </w:tcPr>
          <w:p w:rsidR="008C3606" w:rsidRPr="00B92AA8" w:rsidRDefault="000A3EF8" w:rsidP="0057501F">
            <w:pPr>
              <w:jc w:val="center"/>
              <w:rPr>
                <w:rFonts w:ascii="Arial Narrow" w:hAnsi="Arial Narrow"/>
                <w:sz w:val="18"/>
                <w:szCs w:val="18"/>
              </w:rPr>
            </w:pPr>
            <w:r w:rsidRPr="00B92AA8">
              <w:rPr>
                <w:rFonts w:ascii="Arial Narrow" w:hAnsi="Arial Narrow"/>
                <w:sz w:val="18"/>
                <w:szCs w:val="18"/>
              </w:rPr>
              <w:t>7 cohort</w:t>
            </w:r>
          </w:p>
          <w:p w:rsidR="000A3EF8" w:rsidRPr="00B92AA8" w:rsidRDefault="000A3EF8" w:rsidP="0057501F">
            <w:pPr>
              <w:jc w:val="center"/>
              <w:rPr>
                <w:rFonts w:ascii="Arial Narrow" w:hAnsi="Arial Narrow"/>
                <w:sz w:val="18"/>
                <w:szCs w:val="18"/>
              </w:rPr>
            </w:pPr>
            <w:r w:rsidRPr="00B92AA8">
              <w:rPr>
                <w:rFonts w:ascii="Arial Narrow" w:hAnsi="Arial Narrow"/>
                <w:sz w:val="18"/>
                <w:szCs w:val="18"/>
              </w:rPr>
              <w:t xml:space="preserve">6 Literature </w:t>
            </w:r>
            <w:r w:rsidR="00DF56E2" w:rsidRPr="00B92AA8">
              <w:rPr>
                <w:rFonts w:ascii="Arial Narrow" w:hAnsi="Arial Narrow"/>
                <w:sz w:val="18"/>
                <w:szCs w:val="18"/>
              </w:rPr>
              <w:t>search</w:t>
            </w:r>
          </w:p>
        </w:tc>
        <w:tc>
          <w:tcPr>
            <w:tcW w:w="1173" w:type="pct"/>
            <w:shd w:val="clear" w:color="auto" w:fill="auto"/>
            <w:vAlign w:val="center"/>
          </w:tcPr>
          <w:p w:rsidR="008C3606" w:rsidRPr="00B92AA8" w:rsidRDefault="000A3EF8" w:rsidP="0057501F">
            <w:pPr>
              <w:jc w:val="center"/>
              <w:rPr>
                <w:rFonts w:ascii="Arial Narrow" w:hAnsi="Arial Narrow"/>
                <w:sz w:val="18"/>
                <w:szCs w:val="18"/>
              </w:rPr>
            </w:pPr>
            <w:r w:rsidRPr="00B92AA8">
              <w:rPr>
                <w:rFonts w:ascii="Arial Narrow" w:hAnsi="Arial Narrow"/>
                <w:sz w:val="18"/>
                <w:szCs w:val="18"/>
              </w:rPr>
              <w:t>Retrospective cohort and literature search</w:t>
            </w:r>
          </w:p>
        </w:tc>
        <w:tc>
          <w:tcPr>
            <w:tcW w:w="1181" w:type="pct"/>
            <w:shd w:val="clear" w:color="auto" w:fill="auto"/>
            <w:vAlign w:val="center"/>
          </w:tcPr>
          <w:p w:rsidR="00DF56E2" w:rsidRPr="00B92AA8" w:rsidRDefault="00DF56E2" w:rsidP="00831CBA">
            <w:pPr>
              <w:rPr>
                <w:rFonts w:ascii="Arial Narrow" w:hAnsi="Arial Narrow"/>
                <w:sz w:val="18"/>
                <w:szCs w:val="18"/>
              </w:rPr>
            </w:pPr>
            <w:proofErr w:type="spellStart"/>
            <w:r w:rsidRPr="00B92AA8">
              <w:rPr>
                <w:rFonts w:ascii="Arial Narrow" w:hAnsi="Arial Narrow"/>
                <w:sz w:val="18"/>
                <w:szCs w:val="18"/>
              </w:rPr>
              <w:t>Ec</w:t>
            </w:r>
            <w:proofErr w:type="spellEnd"/>
            <w:r w:rsidRPr="00B92AA8">
              <w:rPr>
                <w:rFonts w:ascii="Arial Narrow" w:hAnsi="Arial Narrow"/>
                <w:sz w:val="18"/>
                <w:szCs w:val="18"/>
              </w:rPr>
              <w:t xml:space="preserve"> range 3 days to 5 years </w:t>
            </w:r>
            <w:proofErr w:type="spellStart"/>
            <w:r w:rsidRPr="00B92AA8">
              <w:rPr>
                <w:rFonts w:ascii="Arial Narrow" w:hAnsi="Arial Narrow"/>
                <w:sz w:val="18"/>
                <w:szCs w:val="18"/>
              </w:rPr>
              <w:t>post transplant</w:t>
            </w:r>
            <w:proofErr w:type="spellEnd"/>
          </w:p>
        </w:tc>
        <w:tc>
          <w:tcPr>
            <w:tcW w:w="1182" w:type="pct"/>
            <w:shd w:val="clear" w:color="auto" w:fill="auto"/>
            <w:vAlign w:val="center"/>
          </w:tcPr>
          <w:p w:rsidR="008C3606" w:rsidRPr="00B92AA8" w:rsidRDefault="00DF56E2" w:rsidP="0057501F">
            <w:pPr>
              <w:rPr>
                <w:rFonts w:ascii="Arial Narrow" w:hAnsi="Arial Narrow"/>
                <w:sz w:val="18"/>
                <w:szCs w:val="18"/>
              </w:rPr>
            </w:pPr>
            <w:r w:rsidRPr="00B92AA8">
              <w:rPr>
                <w:rFonts w:ascii="Arial Narrow" w:hAnsi="Arial Narrow"/>
                <w:sz w:val="18"/>
                <w:szCs w:val="18"/>
              </w:rPr>
              <w:t>Resolution of TMA</w:t>
            </w:r>
          </w:p>
          <w:p w:rsidR="00DF56E2" w:rsidRPr="00B92AA8" w:rsidRDefault="00DF56E2" w:rsidP="0057501F">
            <w:pPr>
              <w:rPr>
                <w:rFonts w:ascii="Arial Narrow" w:hAnsi="Arial Narrow"/>
                <w:sz w:val="18"/>
                <w:szCs w:val="18"/>
              </w:rPr>
            </w:pPr>
            <w:r w:rsidRPr="00B92AA8">
              <w:rPr>
                <w:rFonts w:ascii="Arial Narrow" w:hAnsi="Arial Narrow"/>
                <w:sz w:val="18"/>
                <w:szCs w:val="18"/>
              </w:rPr>
              <w:t>Graft function</w:t>
            </w:r>
          </w:p>
        </w:tc>
      </w:tr>
      <w:tr w:rsidR="00831CBA" w:rsidRPr="00B92AA8" w:rsidTr="00831CBA">
        <w:tc>
          <w:tcPr>
            <w:tcW w:w="802" w:type="pct"/>
            <w:shd w:val="clear" w:color="auto" w:fill="auto"/>
            <w:vAlign w:val="center"/>
          </w:tcPr>
          <w:p w:rsidR="00831CBA" w:rsidRPr="00B92AA8" w:rsidRDefault="00831CBA" w:rsidP="0057501F">
            <w:pPr>
              <w:rPr>
                <w:rFonts w:ascii="Arial Narrow" w:hAnsi="Arial Narrow" w:cs="Arial"/>
                <w:sz w:val="18"/>
                <w:szCs w:val="18"/>
              </w:rPr>
            </w:pPr>
            <w:proofErr w:type="spellStart"/>
            <w:r w:rsidRPr="00B92AA8">
              <w:rPr>
                <w:rFonts w:ascii="Arial Narrow" w:hAnsi="Arial Narrow" w:cs="Arial"/>
                <w:sz w:val="18"/>
                <w:szCs w:val="18"/>
              </w:rPr>
              <w:t>Siedlecki</w:t>
            </w:r>
            <w:proofErr w:type="spellEnd"/>
            <w:r w:rsidRPr="00B92AA8">
              <w:rPr>
                <w:rFonts w:ascii="Arial Narrow" w:hAnsi="Arial Narrow" w:cs="Arial"/>
                <w:sz w:val="18"/>
                <w:szCs w:val="18"/>
              </w:rPr>
              <w:t xml:space="preserve"> 2016</w:t>
            </w:r>
          </w:p>
          <w:p w:rsidR="00831CBA" w:rsidRPr="00B92AA8" w:rsidRDefault="00831CBA" w:rsidP="0057501F">
            <w:pPr>
              <w:rPr>
                <w:rFonts w:ascii="Arial Narrow" w:hAnsi="Arial Narrow"/>
                <w:sz w:val="18"/>
                <w:szCs w:val="18"/>
              </w:rPr>
            </w:pPr>
            <w:r w:rsidRPr="00B92AA8">
              <w:rPr>
                <w:rFonts w:ascii="Arial Narrow" w:hAnsi="Arial Narrow" w:cs="Arial"/>
                <w:sz w:val="18"/>
                <w:szCs w:val="18"/>
              </w:rPr>
              <w:t>(as in table 2)</w:t>
            </w:r>
          </w:p>
        </w:tc>
        <w:tc>
          <w:tcPr>
            <w:tcW w:w="662" w:type="pct"/>
            <w:shd w:val="clear" w:color="auto" w:fill="auto"/>
            <w:vAlign w:val="center"/>
          </w:tcPr>
          <w:p w:rsidR="00831CBA" w:rsidRPr="00B92AA8" w:rsidRDefault="008533FB" w:rsidP="0057501F">
            <w:pPr>
              <w:jc w:val="center"/>
              <w:rPr>
                <w:rFonts w:ascii="Arial Narrow" w:hAnsi="Arial Narrow"/>
                <w:sz w:val="18"/>
                <w:szCs w:val="18"/>
              </w:rPr>
            </w:pPr>
            <w:r w:rsidRPr="00B92AA8">
              <w:rPr>
                <w:rFonts w:ascii="Arial Narrow" w:hAnsi="Arial Narrow"/>
                <w:sz w:val="18"/>
                <w:szCs w:val="18"/>
              </w:rPr>
              <w:t>36</w:t>
            </w:r>
          </w:p>
          <w:p w:rsidR="00831CBA" w:rsidRPr="00B92AA8" w:rsidRDefault="008533FB" w:rsidP="008533FB">
            <w:pPr>
              <w:jc w:val="center"/>
              <w:rPr>
                <w:rFonts w:ascii="Arial Narrow" w:hAnsi="Arial Narrow"/>
                <w:sz w:val="18"/>
                <w:szCs w:val="18"/>
              </w:rPr>
            </w:pPr>
            <w:r w:rsidRPr="00B92AA8">
              <w:rPr>
                <w:rFonts w:ascii="Arial Narrow" w:hAnsi="Arial Narrow"/>
                <w:sz w:val="18"/>
                <w:szCs w:val="18"/>
              </w:rPr>
              <w:t>(</w:t>
            </w:r>
            <w:r w:rsidR="00831CBA" w:rsidRPr="00B92AA8">
              <w:rPr>
                <w:rFonts w:ascii="Arial Narrow" w:hAnsi="Arial Narrow"/>
                <w:sz w:val="18"/>
                <w:szCs w:val="18"/>
              </w:rPr>
              <w:t>7</w:t>
            </w:r>
            <w:r w:rsidRPr="00B92AA8">
              <w:rPr>
                <w:rFonts w:ascii="Arial Narrow" w:hAnsi="Arial Narrow"/>
                <w:sz w:val="18"/>
                <w:szCs w:val="18"/>
              </w:rPr>
              <w:t>8</w:t>
            </w:r>
            <w:r w:rsidR="00831CBA" w:rsidRPr="00B92AA8">
              <w:rPr>
                <w:rFonts w:ascii="Arial Narrow" w:hAnsi="Arial Narrow"/>
                <w:sz w:val="18"/>
                <w:szCs w:val="18"/>
              </w:rPr>
              <w:t xml:space="preserve"> claimed </w:t>
            </w:r>
            <w:r w:rsidRPr="00B92AA8">
              <w:rPr>
                <w:rFonts w:ascii="Arial Narrow" w:hAnsi="Arial Narrow"/>
                <w:sz w:val="18"/>
                <w:szCs w:val="18"/>
              </w:rPr>
              <w:t xml:space="preserve">as relevant </w:t>
            </w:r>
            <w:r w:rsidR="00831CBA" w:rsidRPr="00B92AA8">
              <w:rPr>
                <w:rFonts w:ascii="Arial Narrow" w:hAnsi="Arial Narrow"/>
                <w:sz w:val="18"/>
                <w:szCs w:val="18"/>
              </w:rPr>
              <w:t>in submission)</w:t>
            </w:r>
          </w:p>
        </w:tc>
        <w:tc>
          <w:tcPr>
            <w:tcW w:w="1173" w:type="pct"/>
            <w:shd w:val="clear" w:color="auto" w:fill="auto"/>
            <w:vAlign w:val="center"/>
          </w:tcPr>
          <w:p w:rsidR="00831CBA" w:rsidRPr="00B92AA8" w:rsidRDefault="00831CBA" w:rsidP="0057501F">
            <w:pPr>
              <w:jc w:val="center"/>
              <w:rPr>
                <w:rFonts w:ascii="Arial Narrow" w:hAnsi="Arial Narrow"/>
                <w:sz w:val="18"/>
                <w:szCs w:val="18"/>
              </w:rPr>
            </w:pPr>
            <w:r w:rsidRPr="00B92AA8">
              <w:rPr>
                <w:rFonts w:ascii="Arial Narrow" w:hAnsi="Arial Narrow"/>
                <w:sz w:val="18"/>
                <w:szCs w:val="18"/>
              </w:rPr>
              <w:t>Registry data</w:t>
            </w:r>
          </w:p>
          <w:p w:rsidR="00831CBA" w:rsidRPr="00B92AA8" w:rsidRDefault="00831CBA" w:rsidP="0057501F">
            <w:pPr>
              <w:jc w:val="center"/>
              <w:rPr>
                <w:rFonts w:ascii="Arial Narrow" w:hAnsi="Arial Narrow"/>
                <w:sz w:val="18"/>
                <w:szCs w:val="18"/>
              </w:rPr>
            </w:pPr>
            <w:r w:rsidRPr="00B92AA8">
              <w:rPr>
                <w:rFonts w:ascii="Arial Narrow" w:hAnsi="Arial Narrow"/>
                <w:sz w:val="18"/>
                <w:szCs w:val="18"/>
              </w:rPr>
              <w:t>Peri-transplant (n=57)</w:t>
            </w:r>
          </w:p>
          <w:p w:rsidR="00831CBA" w:rsidRPr="00B92AA8" w:rsidRDefault="00831CBA" w:rsidP="0057501F">
            <w:pPr>
              <w:jc w:val="center"/>
              <w:rPr>
                <w:rFonts w:ascii="Arial Narrow" w:hAnsi="Arial Narrow"/>
                <w:sz w:val="18"/>
                <w:szCs w:val="18"/>
              </w:rPr>
            </w:pPr>
            <w:r w:rsidRPr="00B92AA8">
              <w:rPr>
                <w:rFonts w:ascii="Arial Narrow" w:hAnsi="Arial Narrow"/>
                <w:sz w:val="18"/>
                <w:szCs w:val="18"/>
              </w:rPr>
              <w:t>Post-transplant (n=36)</w:t>
            </w:r>
          </w:p>
          <w:p w:rsidR="00831CBA" w:rsidRPr="00B92AA8" w:rsidRDefault="00831CBA" w:rsidP="0057501F">
            <w:pPr>
              <w:jc w:val="center"/>
              <w:rPr>
                <w:rFonts w:ascii="Arial Narrow" w:hAnsi="Arial Narrow"/>
                <w:sz w:val="18"/>
                <w:szCs w:val="18"/>
              </w:rPr>
            </w:pPr>
          </w:p>
        </w:tc>
        <w:tc>
          <w:tcPr>
            <w:tcW w:w="1181" w:type="pct"/>
            <w:shd w:val="clear" w:color="auto" w:fill="auto"/>
            <w:vAlign w:val="center"/>
          </w:tcPr>
          <w:p w:rsidR="00831CBA" w:rsidRPr="00B92AA8" w:rsidRDefault="00831CBA"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831CBA" w:rsidRPr="00B92AA8" w:rsidRDefault="00831CBA" w:rsidP="0057501F">
            <w:pPr>
              <w:rPr>
                <w:rFonts w:ascii="Arial Narrow" w:hAnsi="Arial Narrow"/>
                <w:sz w:val="18"/>
                <w:szCs w:val="18"/>
              </w:rPr>
            </w:pPr>
            <w:r w:rsidRPr="00B92AA8">
              <w:rPr>
                <w:rFonts w:ascii="Arial Narrow" w:hAnsi="Arial Narrow"/>
                <w:sz w:val="18"/>
                <w:szCs w:val="18"/>
              </w:rPr>
              <w:t>All at least 1 renal transplant</w:t>
            </w:r>
          </w:p>
        </w:tc>
        <w:tc>
          <w:tcPr>
            <w:tcW w:w="1182" w:type="pct"/>
            <w:shd w:val="clear" w:color="auto" w:fill="auto"/>
            <w:vAlign w:val="center"/>
          </w:tcPr>
          <w:p w:rsidR="00831CBA" w:rsidRPr="00B92AA8" w:rsidRDefault="00831CBA" w:rsidP="0057501F">
            <w:pPr>
              <w:rPr>
                <w:rFonts w:ascii="Arial Narrow" w:hAnsi="Arial Narrow"/>
                <w:sz w:val="18"/>
                <w:szCs w:val="18"/>
              </w:rPr>
            </w:pPr>
            <w:r w:rsidRPr="00B92AA8">
              <w:rPr>
                <w:rFonts w:ascii="Arial Narrow" w:hAnsi="Arial Narrow"/>
                <w:sz w:val="18"/>
                <w:szCs w:val="18"/>
              </w:rPr>
              <w:t>Recurrence of TMA</w:t>
            </w:r>
          </w:p>
          <w:p w:rsidR="00831CBA" w:rsidRPr="00B92AA8" w:rsidRDefault="00831CBA" w:rsidP="0057501F">
            <w:pPr>
              <w:rPr>
                <w:rFonts w:ascii="Arial Narrow" w:hAnsi="Arial Narrow"/>
                <w:sz w:val="18"/>
                <w:szCs w:val="18"/>
              </w:rPr>
            </w:pPr>
            <w:r w:rsidRPr="00B92AA8">
              <w:rPr>
                <w:rFonts w:ascii="Arial Narrow" w:hAnsi="Arial Narrow"/>
                <w:sz w:val="18"/>
                <w:szCs w:val="18"/>
              </w:rPr>
              <w:t>Dialysis required</w:t>
            </w:r>
          </w:p>
          <w:p w:rsidR="00831CBA" w:rsidRPr="00B92AA8" w:rsidRDefault="00831CBA" w:rsidP="0057501F">
            <w:pPr>
              <w:rPr>
                <w:rFonts w:ascii="Arial Narrow" w:hAnsi="Arial Narrow"/>
                <w:sz w:val="18"/>
                <w:szCs w:val="18"/>
              </w:rPr>
            </w:pPr>
            <w:r w:rsidRPr="00B92AA8">
              <w:rPr>
                <w:rFonts w:ascii="Arial Narrow" w:hAnsi="Arial Narrow"/>
                <w:sz w:val="18"/>
                <w:szCs w:val="18"/>
              </w:rPr>
              <w:t>Time to dialysis</w:t>
            </w:r>
          </w:p>
        </w:tc>
      </w:tr>
      <w:tr w:rsidR="00FB15CC" w:rsidRPr="00B92AA8" w:rsidTr="00831CBA">
        <w:tc>
          <w:tcPr>
            <w:tcW w:w="802" w:type="pct"/>
            <w:shd w:val="clear" w:color="auto" w:fill="auto"/>
            <w:vAlign w:val="center"/>
          </w:tcPr>
          <w:p w:rsidR="00FB15CC" w:rsidRPr="00B92AA8" w:rsidRDefault="00FB15CC" w:rsidP="0057501F">
            <w:pPr>
              <w:rPr>
                <w:rFonts w:ascii="Arial Narrow" w:hAnsi="Arial Narrow"/>
                <w:sz w:val="18"/>
                <w:szCs w:val="18"/>
              </w:rPr>
            </w:pPr>
            <w:r w:rsidRPr="00B92AA8">
              <w:rPr>
                <w:rFonts w:ascii="Arial Narrow" w:hAnsi="Arial Narrow"/>
                <w:sz w:val="18"/>
                <w:szCs w:val="18"/>
              </w:rPr>
              <w:t>Levi 2015</w:t>
            </w:r>
          </w:p>
          <w:p w:rsidR="00FB15CC" w:rsidRPr="00B92AA8" w:rsidRDefault="00FB15CC" w:rsidP="0057501F">
            <w:pPr>
              <w:rPr>
                <w:rFonts w:ascii="Arial Narrow" w:hAnsi="Arial Narrow"/>
                <w:sz w:val="18"/>
                <w:szCs w:val="18"/>
              </w:rPr>
            </w:pPr>
            <w:r w:rsidRPr="00B92AA8">
              <w:rPr>
                <w:rFonts w:ascii="Arial Narrow" w:hAnsi="Arial Narrow" w:cs="Arial"/>
                <w:sz w:val="18"/>
                <w:szCs w:val="18"/>
              </w:rPr>
              <w:t>(as in table 2)</w:t>
            </w:r>
          </w:p>
        </w:tc>
        <w:tc>
          <w:tcPr>
            <w:tcW w:w="662" w:type="pct"/>
            <w:shd w:val="clear" w:color="auto" w:fill="auto"/>
            <w:vAlign w:val="center"/>
          </w:tcPr>
          <w:p w:rsidR="00FB15CC" w:rsidRPr="00B92AA8" w:rsidRDefault="00FB15CC" w:rsidP="0057501F">
            <w:pPr>
              <w:jc w:val="center"/>
              <w:rPr>
                <w:rFonts w:ascii="Arial Narrow" w:hAnsi="Arial Narrow"/>
                <w:sz w:val="18"/>
                <w:szCs w:val="18"/>
              </w:rPr>
            </w:pPr>
            <w:r w:rsidRPr="00B92AA8">
              <w:rPr>
                <w:rFonts w:ascii="Arial Narrow" w:hAnsi="Arial Narrow"/>
                <w:sz w:val="18"/>
                <w:szCs w:val="18"/>
              </w:rPr>
              <w:t>2</w:t>
            </w:r>
          </w:p>
          <w:p w:rsidR="00FB15CC" w:rsidRPr="00B92AA8" w:rsidRDefault="00FB15CC" w:rsidP="0057501F">
            <w:pPr>
              <w:jc w:val="center"/>
              <w:rPr>
                <w:rFonts w:ascii="Arial Narrow" w:hAnsi="Arial Narrow"/>
                <w:sz w:val="18"/>
                <w:szCs w:val="18"/>
              </w:rPr>
            </w:pPr>
            <w:r w:rsidRPr="00B92AA8">
              <w:rPr>
                <w:rFonts w:ascii="Arial Narrow" w:hAnsi="Arial Narrow"/>
                <w:sz w:val="18"/>
                <w:szCs w:val="18"/>
              </w:rPr>
              <w:t>(11 in total)</w:t>
            </w:r>
          </w:p>
        </w:tc>
        <w:tc>
          <w:tcPr>
            <w:tcW w:w="1173" w:type="pct"/>
            <w:shd w:val="clear" w:color="auto" w:fill="auto"/>
            <w:vAlign w:val="center"/>
          </w:tcPr>
          <w:p w:rsidR="00FB15CC" w:rsidRPr="00B92AA8" w:rsidRDefault="00FB15CC" w:rsidP="0057501F">
            <w:pPr>
              <w:jc w:val="center"/>
              <w:rPr>
                <w:rFonts w:ascii="Arial Narrow" w:hAnsi="Arial Narrow"/>
                <w:sz w:val="18"/>
                <w:szCs w:val="18"/>
              </w:rPr>
            </w:pPr>
            <w:r w:rsidRPr="00B92AA8">
              <w:rPr>
                <w:rFonts w:ascii="Arial Narrow" w:hAnsi="Arial Narrow"/>
                <w:sz w:val="18"/>
                <w:szCs w:val="18"/>
              </w:rPr>
              <w:t>Case series</w:t>
            </w:r>
          </w:p>
        </w:tc>
        <w:tc>
          <w:tcPr>
            <w:tcW w:w="1181" w:type="pct"/>
            <w:shd w:val="clear" w:color="auto" w:fill="auto"/>
            <w:vAlign w:val="center"/>
          </w:tcPr>
          <w:p w:rsidR="00FB15CC" w:rsidRPr="00B92AA8" w:rsidRDefault="00FB15CC"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FB15CC" w:rsidRPr="00B92AA8" w:rsidRDefault="00FB15CC" w:rsidP="0057501F">
            <w:pPr>
              <w:rPr>
                <w:rFonts w:ascii="Arial Narrow" w:hAnsi="Arial Narrow"/>
                <w:sz w:val="18"/>
                <w:szCs w:val="18"/>
              </w:rPr>
            </w:pPr>
            <w:r w:rsidRPr="00B92AA8">
              <w:rPr>
                <w:rFonts w:ascii="Arial Narrow" w:hAnsi="Arial Narrow"/>
                <w:sz w:val="18"/>
                <w:szCs w:val="18"/>
              </w:rPr>
              <w:t>9/11 peri-transplant</w:t>
            </w:r>
          </w:p>
          <w:p w:rsidR="00FB15CC" w:rsidRPr="00B92AA8" w:rsidRDefault="00FB15CC" w:rsidP="0057501F">
            <w:pPr>
              <w:rPr>
                <w:rFonts w:ascii="Arial Narrow" w:hAnsi="Arial Narrow"/>
                <w:sz w:val="18"/>
                <w:szCs w:val="18"/>
              </w:rPr>
            </w:pPr>
            <w:r w:rsidRPr="00B92AA8">
              <w:rPr>
                <w:rFonts w:ascii="Arial Narrow" w:hAnsi="Arial Narrow"/>
                <w:sz w:val="18"/>
                <w:szCs w:val="18"/>
              </w:rPr>
              <w:t>2/11 at recurrence of TMA</w:t>
            </w:r>
          </w:p>
        </w:tc>
        <w:tc>
          <w:tcPr>
            <w:tcW w:w="1182" w:type="pct"/>
            <w:shd w:val="clear" w:color="auto" w:fill="auto"/>
            <w:vAlign w:val="center"/>
          </w:tcPr>
          <w:p w:rsidR="00FB15CC" w:rsidRPr="00B92AA8" w:rsidRDefault="00FB15CC" w:rsidP="0057501F">
            <w:pPr>
              <w:rPr>
                <w:rFonts w:ascii="Arial Narrow" w:hAnsi="Arial Narrow"/>
                <w:sz w:val="18"/>
                <w:szCs w:val="18"/>
              </w:rPr>
            </w:pPr>
            <w:r w:rsidRPr="00B92AA8">
              <w:rPr>
                <w:rFonts w:ascii="Arial Narrow" w:hAnsi="Arial Narrow"/>
                <w:sz w:val="18"/>
                <w:szCs w:val="18"/>
              </w:rPr>
              <w:t>Recurrence of TMA</w:t>
            </w:r>
          </w:p>
          <w:p w:rsidR="00FB15CC" w:rsidRPr="00B92AA8" w:rsidRDefault="00FB15CC" w:rsidP="0057501F">
            <w:pPr>
              <w:rPr>
                <w:rFonts w:ascii="Arial Narrow" w:hAnsi="Arial Narrow"/>
                <w:sz w:val="18"/>
                <w:szCs w:val="18"/>
              </w:rPr>
            </w:pPr>
            <w:r w:rsidRPr="00B92AA8">
              <w:rPr>
                <w:rFonts w:ascii="Arial Narrow" w:hAnsi="Arial Narrow"/>
                <w:sz w:val="18"/>
                <w:szCs w:val="18"/>
              </w:rPr>
              <w:t>Graft loss</w:t>
            </w:r>
          </w:p>
        </w:tc>
      </w:tr>
      <w:tr w:rsidR="00FB15CC" w:rsidRPr="00B92AA8" w:rsidTr="00831CBA">
        <w:tc>
          <w:tcPr>
            <w:tcW w:w="802" w:type="pct"/>
            <w:shd w:val="clear" w:color="auto" w:fill="auto"/>
            <w:vAlign w:val="center"/>
          </w:tcPr>
          <w:p w:rsidR="00FB15CC" w:rsidRPr="00B92AA8" w:rsidRDefault="00FB15CC" w:rsidP="0057501F">
            <w:pPr>
              <w:rPr>
                <w:rFonts w:ascii="Arial Narrow" w:hAnsi="Arial Narrow"/>
                <w:sz w:val="18"/>
                <w:szCs w:val="18"/>
              </w:rPr>
            </w:pPr>
            <w:r w:rsidRPr="00B92AA8">
              <w:rPr>
                <w:rFonts w:ascii="Arial Narrow" w:hAnsi="Arial Narrow"/>
                <w:sz w:val="18"/>
                <w:szCs w:val="18"/>
              </w:rPr>
              <w:t>Andrade 2016</w:t>
            </w:r>
          </w:p>
          <w:p w:rsidR="00FB15CC" w:rsidRPr="00B92AA8" w:rsidRDefault="00FB15CC" w:rsidP="0057501F">
            <w:pPr>
              <w:rPr>
                <w:rFonts w:ascii="Arial Narrow" w:hAnsi="Arial Narrow"/>
                <w:sz w:val="18"/>
                <w:szCs w:val="18"/>
              </w:rPr>
            </w:pPr>
            <w:r w:rsidRPr="00B92AA8">
              <w:rPr>
                <w:rFonts w:ascii="Arial Narrow" w:hAnsi="Arial Narrow" w:cs="Arial"/>
                <w:sz w:val="18"/>
                <w:szCs w:val="18"/>
              </w:rPr>
              <w:t>(as in table 2)</w:t>
            </w:r>
          </w:p>
        </w:tc>
        <w:tc>
          <w:tcPr>
            <w:tcW w:w="662" w:type="pct"/>
            <w:shd w:val="clear" w:color="auto" w:fill="auto"/>
            <w:vAlign w:val="center"/>
          </w:tcPr>
          <w:p w:rsidR="00FB15CC" w:rsidRPr="00B92AA8" w:rsidRDefault="00FB15CC" w:rsidP="0057501F">
            <w:pPr>
              <w:jc w:val="center"/>
              <w:rPr>
                <w:rFonts w:ascii="Arial Narrow" w:hAnsi="Arial Narrow"/>
                <w:sz w:val="18"/>
                <w:szCs w:val="18"/>
              </w:rPr>
            </w:pPr>
            <w:r w:rsidRPr="00B92AA8">
              <w:rPr>
                <w:rFonts w:ascii="Arial Narrow" w:hAnsi="Arial Narrow"/>
                <w:sz w:val="18"/>
                <w:szCs w:val="18"/>
              </w:rPr>
              <w:t>3</w:t>
            </w:r>
          </w:p>
          <w:p w:rsidR="00FB15CC" w:rsidRPr="00B92AA8" w:rsidRDefault="00FB15CC" w:rsidP="0057501F">
            <w:pPr>
              <w:jc w:val="center"/>
              <w:rPr>
                <w:rFonts w:ascii="Arial Narrow" w:hAnsi="Arial Narrow"/>
                <w:sz w:val="18"/>
                <w:szCs w:val="18"/>
              </w:rPr>
            </w:pPr>
            <w:r w:rsidRPr="00B92AA8">
              <w:rPr>
                <w:rFonts w:ascii="Arial Narrow" w:hAnsi="Arial Narrow"/>
                <w:sz w:val="18"/>
                <w:szCs w:val="18"/>
              </w:rPr>
              <w:t>(8 in total)</w:t>
            </w:r>
          </w:p>
        </w:tc>
        <w:tc>
          <w:tcPr>
            <w:tcW w:w="1173" w:type="pct"/>
            <w:shd w:val="clear" w:color="auto" w:fill="auto"/>
            <w:vAlign w:val="center"/>
          </w:tcPr>
          <w:p w:rsidR="00FB15CC" w:rsidRPr="00B92AA8" w:rsidRDefault="00FB15CC" w:rsidP="0057501F">
            <w:pPr>
              <w:jc w:val="center"/>
              <w:rPr>
                <w:rFonts w:ascii="Arial Narrow" w:hAnsi="Arial Narrow"/>
                <w:sz w:val="18"/>
                <w:szCs w:val="18"/>
              </w:rPr>
            </w:pPr>
            <w:r w:rsidRPr="00B92AA8">
              <w:rPr>
                <w:rFonts w:ascii="Arial Narrow" w:hAnsi="Arial Narrow"/>
                <w:sz w:val="18"/>
                <w:szCs w:val="18"/>
              </w:rPr>
              <w:t>Case series</w:t>
            </w:r>
          </w:p>
        </w:tc>
        <w:tc>
          <w:tcPr>
            <w:tcW w:w="1181" w:type="pct"/>
            <w:shd w:val="clear" w:color="auto" w:fill="auto"/>
            <w:vAlign w:val="center"/>
          </w:tcPr>
          <w:p w:rsidR="00FB15CC" w:rsidRPr="00B92AA8" w:rsidRDefault="00FB15CC"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FB15CC" w:rsidRPr="00B92AA8" w:rsidRDefault="00FB15CC" w:rsidP="0057501F">
            <w:pPr>
              <w:rPr>
                <w:rFonts w:ascii="Arial Narrow" w:hAnsi="Arial Narrow"/>
                <w:sz w:val="18"/>
                <w:szCs w:val="18"/>
              </w:rPr>
            </w:pPr>
            <w:r w:rsidRPr="00B92AA8">
              <w:rPr>
                <w:rFonts w:ascii="Arial Narrow" w:hAnsi="Arial Narrow"/>
                <w:sz w:val="18"/>
                <w:szCs w:val="18"/>
              </w:rPr>
              <w:t>3/8 peri-transplant</w:t>
            </w:r>
          </w:p>
          <w:p w:rsidR="00FB15CC" w:rsidRPr="00B92AA8" w:rsidRDefault="00FB15CC" w:rsidP="0057501F">
            <w:pPr>
              <w:rPr>
                <w:rFonts w:ascii="Arial Narrow" w:hAnsi="Arial Narrow"/>
                <w:sz w:val="18"/>
                <w:szCs w:val="18"/>
              </w:rPr>
            </w:pPr>
            <w:r w:rsidRPr="00B92AA8">
              <w:rPr>
                <w:rFonts w:ascii="Arial Narrow" w:hAnsi="Arial Narrow"/>
                <w:sz w:val="18"/>
                <w:szCs w:val="18"/>
              </w:rPr>
              <w:t>3/8 at recurrence of TMA</w:t>
            </w:r>
          </w:p>
          <w:p w:rsidR="00FB15CC" w:rsidRPr="00B92AA8" w:rsidRDefault="00FB15CC" w:rsidP="0057501F">
            <w:pPr>
              <w:rPr>
                <w:rFonts w:ascii="Arial Narrow" w:hAnsi="Arial Narrow"/>
                <w:sz w:val="18"/>
                <w:szCs w:val="18"/>
              </w:rPr>
            </w:pPr>
            <w:r w:rsidRPr="00B92AA8">
              <w:rPr>
                <w:rFonts w:ascii="Arial Narrow" w:hAnsi="Arial Narrow"/>
                <w:sz w:val="18"/>
                <w:szCs w:val="18"/>
              </w:rPr>
              <w:t>2/8 post graft loss</w:t>
            </w:r>
          </w:p>
        </w:tc>
        <w:tc>
          <w:tcPr>
            <w:tcW w:w="1182" w:type="pct"/>
            <w:shd w:val="clear" w:color="auto" w:fill="auto"/>
            <w:vAlign w:val="center"/>
          </w:tcPr>
          <w:p w:rsidR="00FB15CC" w:rsidRPr="00B92AA8" w:rsidRDefault="00FB15CC" w:rsidP="0057501F">
            <w:pPr>
              <w:rPr>
                <w:rFonts w:ascii="Arial Narrow" w:hAnsi="Arial Narrow"/>
                <w:sz w:val="18"/>
                <w:szCs w:val="18"/>
              </w:rPr>
            </w:pPr>
            <w:r w:rsidRPr="00B92AA8">
              <w:rPr>
                <w:rFonts w:ascii="Arial Narrow" w:hAnsi="Arial Narrow"/>
                <w:sz w:val="18"/>
                <w:szCs w:val="18"/>
              </w:rPr>
              <w:t>Graft loss</w:t>
            </w:r>
          </w:p>
          <w:p w:rsidR="00FB15CC" w:rsidRPr="00B92AA8" w:rsidRDefault="00FB15CC" w:rsidP="0057501F">
            <w:pPr>
              <w:rPr>
                <w:rFonts w:ascii="Arial Narrow" w:hAnsi="Arial Narrow"/>
                <w:sz w:val="18"/>
                <w:szCs w:val="18"/>
              </w:rPr>
            </w:pPr>
            <w:r w:rsidRPr="00B92AA8">
              <w:rPr>
                <w:rFonts w:ascii="Arial Narrow" w:hAnsi="Arial Narrow"/>
                <w:sz w:val="18"/>
                <w:szCs w:val="18"/>
              </w:rPr>
              <w:t>Serum creatinine</w:t>
            </w:r>
          </w:p>
          <w:p w:rsidR="00FB15CC" w:rsidRPr="00B92AA8" w:rsidRDefault="00FB15CC" w:rsidP="0057501F">
            <w:pPr>
              <w:rPr>
                <w:rFonts w:ascii="Arial Narrow" w:hAnsi="Arial Narrow"/>
                <w:sz w:val="18"/>
                <w:szCs w:val="18"/>
              </w:rPr>
            </w:pPr>
            <w:proofErr w:type="spellStart"/>
            <w:r w:rsidRPr="00B92AA8">
              <w:rPr>
                <w:rFonts w:ascii="Arial Narrow" w:hAnsi="Arial Narrow"/>
                <w:sz w:val="18"/>
                <w:szCs w:val="18"/>
              </w:rPr>
              <w:t>eGFR</w:t>
            </w:r>
            <w:proofErr w:type="spellEnd"/>
          </w:p>
        </w:tc>
      </w:tr>
      <w:tr w:rsidR="00FB15CC" w:rsidRPr="00B92AA8" w:rsidTr="00831CBA">
        <w:tc>
          <w:tcPr>
            <w:tcW w:w="802" w:type="pct"/>
            <w:shd w:val="clear" w:color="auto" w:fill="auto"/>
            <w:vAlign w:val="center"/>
          </w:tcPr>
          <w:p w:rsidR="00FB15CC" w:rsidRPr="00B92AA8" w:rsidRDefault="008533FB" w:rsidP="0057501F">
            <w:pPr>
              <w:rPr>
                <w:rFonts w:ascii="Arial Narrow" w:hAnsi="Arial Narrow"/>
                <w:sz w:val="18"/>
                <w:szCs w:val="18"/>
              </w:rPr>
            </w:pPr>
            <w:r w:rsidRPr="00B92AA8">
              <w:rPr>
                <w:rFonts w:ascii="Arial Narrow" w:hAnsi="Arial Narrow"/>
                <w:sz w:val="18"/>
                <w:szCs w:val="18"/>
              </w:rPr>
              <w:t>Case reports</w:t>
            </w:r>
          </w:p>
        </w:tc>
        <w:tc>
          <w:tcPr>
            <w:tcW w:w="662" w:type="pct"/>
            <w:shd w:val="clear" w:color="auto" w:fill="auto"/>
            <w:vAlign w:val="center"/>
          </w:tcPr>
          <w:p w:rsidR="00FB15CC" w:rsidRPr="00B92AA8" w:rsidRDefault="0098270C" w:rsidP="0057501F">
            <w:pPr>
              <w:jc w:val="center"/>
              <w:rPr>
                <w:rFonts w:ascii="Arial Narrow" w:hAnsi="Arial Narrow"/>
                <w:sz w:val="18"/>
                <w:szCs w:val="18"/>
              </w:rPr>
            </w:pPr>
            <w:r>
              <w:rPr>
                <w:rFonts w:ascii="Arial Narrow" w:hAnsi="Arial Narrow"/>
                <w:sz w:val="18"/>
                <w:szCs w:val="18"/>
              </w:rPr>
              <w:t>6</w:t>
            </w:r>
          </w:p>
        </w:tc>
        <w:tc>
          <w:tcPr>
            <w:tcW w:w="1173" w:type="pct"/>
            <w:shd w:val="clear" w:color="auto" w:fill="auto"/>
            <w:vAlign w:val="center"/>
          </w:tcPr>
          <w:p w:rsidR="00FB15CC" w:rsidRPr="00B92AA8" w:rsidRDefault="00606B89" w:rsidP="0057501F">
            <w:pPr>
              <w:jc w:val="center"/>
              <w:rPr>
                <w:rFonts w:ascii="Arial Narrow" w:hAnsi="Arial Narrow"/>
                <w:sz w:val="18"/>
                <w:szCs w:val="18"/>
              </w:rPr>
            </w:pPr>
            <w:r w:rsidRPr="00B92AA8">
              <w:rPr>
                <w:rFonts w:ascii="Arial Narrow" w:hAnsi="Arial Narrow"/>
                <w:sz w:val="18"/>
                <w:szCs w:val="18"/>
              </w:rPr>
              <w:t>Case reports</w:t>
            </w:r>
          </w:p>
        </w:tc>
        <w:tc>
          <w:tcPr>
            <w:tcW w:w="1181" w:type="pct"/>
            <w:shd w:val="clear" w:color="auto" w:fill="auto"/>
            <w:vAlign w:val="center"/>
          </w:tcPr>
          <w:p w:rsidR="00FB15CC" w:rsidRPr="00B92AA8" w:rsidRDefault="00606B89" w:rsidP="0057501F">
            <w:pPr>
              <w:rPr>
                <w:rFonts w:ascii="Arial Narrow" w:hAnsi="Arial Narrow"/>
                <w:sz w:val="18"/>
                <w:szCs w:val="18"/>
              </w:rPr>
            </w:pPr>
            <w:r w:rsidRPr="00B92AA8">
              <w:rPr>
                <w:rFonts w:ascii="Arial Narrow" w:hAnsi="Arial Narrow"/>
                <w:sz w:val="18"/>
                <w:szCs w:val="18"/>
              </w:rPr>
              <w:t xml:space="preserve">All </w:t>
            </w:r>
            <w:proofErr w:type="spellStart"/>
            <w:r w:rsidRPr="00B92AA8">
              <w:rPr>
                <w:rFonts w:ascii="Arial Narrow" w:hAnsi="Arial Narrow"/>
                <w:sz w:val="18"/>
                <w:szCs w:val="18"/>
              </w:rPr>
              <w:t>aHUS</w:t>
            </w:r>
            <w:proofErr w:type="spellEnd"/>
            <w:r w:rsidRPr="00B92AA8">
              <w:rPr>
                <w:rFonts w:ascii="Arial Narrow" w:hAnsi="Arial Narrow"/>
                <w:sz w:val="18"/>
                <w:szCs w:val="18"/>
              </w:rPr>
              <w:t xml:space="preserve"> patients</w:t>
            </w:r>
          </w:p>
          <w:p w:rsidR="00606B89" w:rsidRPr="00B92AA8" w:rsidRDefault="00606B89" w:rsidP="0057501F">
            <w:pPr>
              <w:rPr>
                <w:rFonts w:ascii="Arial Narrow" w:hAnsi="Arial Narrow"/>
                <w:sz w:val="18"/>
                <w:szCs w:val="18"/>
              </w:rPr>
            </w:pPr>
            <w:r w:rsidRPr="00B92AA8">
              <w:rPr>
                <w:rFonts w:ascii="Arial Narrow" w:hAnsi="Arial Narrow"/>
                <w:sz w:val="18"/>
                <w:szCs w:val="18"/>
              </w:rPr>
              <w:t>At least 1 transplant</w:t>
            </w:r>
          </w:p>
          <w:p w:rsidR="00606B89" w:rsidRPr="00B92AA8" w:rsidRDefault="00606B89" w:rsidP="0057501F">
            <w:pPr>
              <w:rPr>
                <w:rFonts w:ascii="Arial Narrow" w:hAnsi="Arial Narrow"/>
                <w:sz w:val="18"/>
                <w:szCs w:val="18"/>
              </w:rPr>
            </w:pPr>
            <w:r w:rsidRPr="00B92AA8">
              <w:rPr>
                <w:rFonts w:ascii="Arial Narrow" w:hAnsi="Arial Narrow"/>
                <w:sz w:val="18"/>
                <w:szCs w:val="18"/>
              </w:rPr>
              <w:t xml:space="preserve">EC range 6 days to 4 years </w:t>
            </w:r>
            <w:proofErr w:type="spellStart"/>
            <w:r w:rsidRPr="00B92AA8">
              <w:rPr>
                <w:rFonts w:ascii="Arial Narrow" w:hAnsi="Arial Narrow"/>
                <w:sz w:val="18"/>
                <w:szCs w:val="18"/>
              </w:rPr>
              <w:t>post transplant</w:t>
            </w:r>
            <w:proofErr w:type="spellEnd"/>
          </w:p>
        </w:tc>
        <w:tc>
          <w:tcPr>
            <w:tcW w:w="1182" w:type="pct"/>
            <w:shd w:val="clear" w:color="auto" w:fill="auto"/>
            <w:vAlign w:val="center"/>
          </w:tcPr>
          <w:p w:rsidR="00606B89" w:rsidRPr="00B92AA8" w:rsidRDefault="00606B89" w:rsidP="00606B89">
            <w:pPr>
              <w:rPr>
                <w:rFonts w:ascii="Arial Narrow" w:hAnsi="Arial Narrow"/>
                <w:sz w:val="18"/>
                <w:szCs w:val="18"/>
              </w:rPr>
            </w:pPr>
            <w:r w:rsidRPr="00B92AA8">
              <w:rPr>
                <w:rFonts w:ascii="Arial Narrow" w:hAnsi="Arial Narrow"/>
                <w:sz w:val="18"/>
                <w:szCs w:val="18"/>
              </w:rPr>
              <w:t>Recurrence of TMA</w:t>
            </w:r>
          </w:p>
          <w:p w:rsidR="00606B89" w:rsidRPr="00B92AA8" w:rsidRDefault="00606B89" w:rsidP="00606B89">
            <w:pPr>
              <w:rPr>
                <w:rFonts w:ascii="Arial Narrow" w:hAnsi="Arial Narrow"/>
                <w:sz w:val="18"/>
                <w:szCs w:val="18"/>
              </w:rPr>
            </w:pPr>
            <w:r w:rsidRPr="00B92AA8">
              <w:rPr>
                <w:rFonts w:ascii="Arial Narrow" w:hAnsi="Arial Narrow"/>
                <w:sz w:val="18"/>
                <w:szCs w:val="18"/>
              </w:rPr>
              <w:t>Dialysis required</w:t>
            </w:r>
          </w:p>
          <w:p w:rsidR="00FB15CC" w:rsidRPr="00B92AA8" w:rsidRDefault="00606B89" w:rsidP="0057501F">
            <w:pPr>
              <w:rPr>
                <w:rFonts w:ascii="Arial Narrow" w:hAnsi="Arial Narrow"/>
                <w:sz w:val="18"/>
                <w:szCs w:val="18"/>
              </w:rPr>
            </w:pPr>
            <w:r w:rsidRPr="00B92AA8">
              <w:rPr>
                <w:rFonts w:ascii="Arial Narrow" w:hAnsi="Arial Narrow"/>
                <w:sz w:val="18"/>
                <w:szCs w:val="18"/>
              </w:rPr>
              <w:t>Creatinine levels</w:t>
            </w:r>
          </w:p>
          <w:p w:rsidR="00606B89" w:rsidRPr="00B92AA8" w:rsidRDefault="00606B89" w:rsidP="0057501F">
            <w:pPr>
              <w:rPr>
                <w:rFonts w:ascii="Arial Narrow" w:hAnsi="Arial Narrow"/>
                <w:sz w:val="18"/>
                <w:szCs w:val="18"/>
              </w:rPr>
            </w:pPr>
            <w:r w:rsidRPr="00B92AA8">
              <w:rPr>
                <w:rFonts w:ascii="Arial Narrow" w:hAnsi="Arial Narrow"/>
                <w:sz w:val="18"/>
                <w:szCs w:val="18"/>
              </w:rPr>
              <w:t>Graft function/Loss</w:t>
            </w:r>
          </w:p>
        </w:tc>
      </w:tr>
    </w:tbl>
    <w:p w:rsidR="007249CF" w:rsidRPr="00F77380" w:rsidRDefault="007249CF" w:rsidP="0064358C">
      <w:pPr>
        <w:pStyle w:val="PBACHeading1"/>
        <w:numPr>
          <w:ilvl w:val="0"/>
          <w:numId w:val="0"/>
        </w:numPr>
        <w:ind w:left="720"/>
        <w:outlineLvl w:val="9"/>
        <w:rPr>
          <w:rFonts w:ascii="Arial Narrow" w:hAnsi="Arial Narrow"/>
          <w:b w:val="0"/>
          <w:sz w:val="18"/>
          <w:szCs w:val="18"/>
        </w:rPr>
      </w:pPr>
      <w:proofErr w:type="spellStart"/>
      <w:proofErr w:type="gramStart"/>
      <w:r w:rsidRPr="00F77380">
        <w:rPr>
          <w:rFonts w:ascii="Arial Narrow" w:hAnsi="Arial Narrow"/>
          <w:b w:val="0"/>
          <w:sz w:val="18"/>
          <w:szCs w:val="18"/>
        </w:rPr>
        <w:t>aHUS</w:t>
      </w:r>
      <w:proofErr w:type="spellEnd"/>
      <w:proofErr w:type="gramEnd"/>
      <w:r w:rsidRPr="00F77380">
        <w:rPr>
          <w:rFonts w:ascii="Arial Narrow" w:hAnsi="Arial Narrow"/>
          <w:b w:val="0"/>
          <w:sz w:val="18"/>
          <w:szCs w:val="18"/>
        </w:rPr>
        <w:t xml:space="preserve"> = atypical haemolytic uraemic syndrome; </w:t>
      </w:r>
      <w:r w:rsidR="006A4C38" w:rsidRPr="006A4C38">
        <w:rPr>
          <w:rFonts w:ascii="Arial Narrow" w:hAnsi="Arial Narrow"/>
          <w:b w:val="0"/>
          <w:sz w:val="18"/>
          <w:szCs w:val="18"/>
        </w:rPr>
        <w:t>ESRD – end stage renal disease</w:t>
      </w:r>
      <w:r w:rsidRPr="00F77380">
        <w:rPr>
          <w:rFonts w:ascii="Arial Narrow" w:hAnsi="Arial Narrow"/>
          <w:b w:val="0"/>
          <w:sz w:val="18"/>
          <w:szCs w:val="18"/>
        </w:rPr>
        <w:t xml:space="preserve">; TMA = thrombotic </w:t>
      </w:r>
      <w:proofErr w:type="spellStart"/>
      <w:r w:rsidRPr="00F77380">
        <w:rPr>
          <w:rFonts w:ascii="Arial Narrow" w:hAnsi="Arial Narrow"/>
          <w:b w:val="0"/>
          <w:sz w:val="18"/>
          <w:szCs w:val="18"/>
        </w:rPr>
        <w:t>microangiopathy</w:t>
      </w:r>
      <w:proofErr w:type="spellEnd"/>
      <w:r w:rsidR="006A4C38">
        <w:rPr>
          <w:rFonts w:ascii="Arial Narrow" w:hAnsi="Arial Narrow"/>
          <w:b w:val="0"/>
          <w:sz w:val="18"/>
          <w:szCs w:val="18"/>
        </w:rPr>
        <w:t xml:space="preserve">, </w:t>
      </w:r>
      <w:r w:rsidR="00FA1DA0">
        <w:rPr>
          <w:rFonts w:ascii="Arial Narrow" w:hAnsi="Arial Narrow"/>
          <w:b w:val="0"/>
          <w:sz w:val="18"/>
          <w:szCs w:val="18"/>
        </w:rPr>
        <w:t>PE</w:t>
      </w:r>
      <w:r w:rsidR="006A4C38">
        <w:rPr>
          <w:rFonts w:ascii="Arial Narrow" w:hAnsi="Arial Narrow"/>
          <w:b w:val="0"/>
          <w:sz w:val="18"/>
          <w:szCs w:val="18"/>
        </w:rPr>
        <w:t>/</w:t>
      </w:r>
      <w:r w:rsidR="00FA1DA0">
        <w:rPr>
          <w:rFonts w:ascii="Arial Narrow" w:hAnsi="Arial Narrow"/>
          <w:b w:val="0"/>
          <w:sz w:val="18"/>
          <w:szCs w:val="18"/>
        </w:rPr>
        <w:t>PI</w:t>
      </w:r>
      <w:r w:rsidR="006A4C38">
        <w:rPr>
          <w:rFonts w:ascii="Arial Narrow" w:hAnsi="Arial Narrow"/>
          <w:b w:val="0"/>
          <w:sz w:val="18"/>
          <w:szCs w:val="18"/>
        </w:rPr>
        <w:t xml:space="preserve"> = </w:t>
      </w:r>
      <w:r w:rsidR="006A4C38" w:rsidRPr="006A4C38">
        <w:rPr>
          <w:rFonts w:ascii="Arial Narrow" w:hAnsi="Arial Narrow"/>
          <w:b w:val="0"/>
          <w:sz w:val="18"/>
          <w:szCs w:val="18"/>
        </w:rPr>
        <w:t>plasma exchange/plasma infusion</w:t>
      </w:r>
      <w:r w:rsidR="00E07FC2">
        <w:rPr>
          <w:rFonts w:ascii="Arial Narrow" w:hAnsi="Arial Narrow"/>
          <w:b w:val="0"/>
          <w:sz w:val="18"/>
          <w:szCs w:val="18"/>
        </w:rPr>
        <w:t xml:space="preserve">, </w:t>
      </w:r>
      <w:proofErr w:type="spellStart"/>
      <w:r w:rsidR="00E07FC2">
        <w:rPr>
          <w:rFonts w:ascii="Arial Narrow" w:hAnsi="Arial Narrow"/>
          <w:b w:val="0"/>
          <w:sz w:val="18"/>
          <w:szCs w:val="18"/>
        </w:rPr>
        <w:t>Ec</w:t>
      </w:r>
      <w:proofErr w:type="spellEnd"/>
      <w:r w:rsidR="00E07FC2">
        <w:rPr>
          <w:rFonts w:ascii="Arial Narrow" w:hAnsi="Arial Narrow"/>
          <w:b w:val="0"/>
          <w:sz w:val="18"/>
          <w:szCs w:val="18"/>
        </w:rPr>
        <w:t xml:space="preserve"> = </w:t>
      </w:r>
      <w:proofErr w:type="spellStart"/>
      <w:r w:rsidR="00E07FC2">
        <w:rPr>
          <w:rFonts w:ascii="Arial Narrow" w:hAnsi="Arial Narrow"/>
          <w:b w:val="0"/>
          <w:sz w:val="18"/>
          <w:szCs w:val="18"/>
        </w:rPr>
        <w:t>eculizumab</w:t>
      </w:r>
      <w:proofErr w:type="spellEnd"/>
      <w:r w:rsidR="00E07FC2">
        <w:rPr>
          <w:rFonts w:ascii="Arial Narrow" w:hAnsi="Arial Narrow"/>
          <w:b w:val="0"/>
          <w:sz w:val="18"/>
          <w:szCs w:val="18"/>
        </w:rPr>
        <w:t>.</w:t>
      </w:r>
    </w:p>
    <w:p w:rsidR="007249CF" w:rsidRPr="00F77380" w:rsidRDefault="007249CF" w:rsidP="0064358C">
      <w:pPr>
        <w:pStyle w:val="PBACHeading1"/>
        <w:numPr>
          <w:ilvl w:val="0"/>
          <w:numId w:val="0"/>
        </w:numPr>
        <w:ind w:left="720"/>
        <w:outlineLvl w:val="9"/>
        <w:rPr>
          <w:rFonts w:ascii="Arial Narrow" w:hAnsi="Arial Narrow"/>
          <w:b w:val="0"/>
          <w:sz w:val="18"/>
          <w:szCs w:val="18"/>
        </w:rPr>
      </w:pPr>
      <w:r w:rsidRPr="00F77380">
        <w:rPr>
          <w:rFonts w:ascii="Arial Narrow" w:hAnsi="Arial Narrow"/>
          <w:b w:val="0"/>
          <w:sz w:val="18"/>
          <w:szCs w:val="18"/>
        </w:rPr>
        <w:t>Source: Compiled from information provided on pp</w:t>
      </w:r>
      <w:r w:rsidR="00A662F5">
        <w:rPr>
          <w:rFonts w:ascii="Arial Narrow" w:hAnsi="Arial Narrow"/>
          <w:b w:val="0"/>
          <w:sz w:val="18"/>
          <w:szCs w:val="18"/>
        </w:rPr>
        <w:t>70</w:t>
      </w:r>
      <w:r w:rsidRPr="00F77380">
        <w:rPr>
          <w:rFonts w:ascii="Arial Narrow" w:hAnsi="Arial Narrow"/>
          <w:b w:val="0"/>
          <w:sz w:val="18"/>
          <w:szCs w:val="18"/>
        </w:rPr>
        <w:t>-</w:t>
      </w:r>
      <w:r w:rsidR="00A662F5">
        <w:rPr>
          <w:rFonts w:ascii="Arial Narrow" w:hAnsi="Arial Narrow"/>
          <w:b w:val="0"/>
          <w:sz w:val="18"/>
          <w:szCs w:val="18"/>
        </w:rPr>
        <w:t>8</w:t>
      </w:r>
      <w:r w:rsidRPr="00F77380">
        <w:rPr>
          <w:rFonts w:ascii="Arial Narrow" w:hAnsi="Arial Narrow"/>
          <w:b w:val="0"/>
          <w:sz w:val="18"/>
          <w:szCs w:val="18"/>
        </w:rPr>
        <w:t>9 of the submission</w:t>
      </w:r>
    </w:p>
    <w:p w:rsidR="002D1D0D" w:rsidRPr="00F77380" w:rsidRDefault="002D1D0D" w:rsidP="009B0F67">
      <w:pPr>
        <w:jc w:val="both"/>
        <w:rPr>
          <w:rFonts w:asciiTheme="minorHAnsi" w:hAnsiTheme="minorHAnsi" w:cs="Arial"/>
          <w:sz w:val="22"/>
          <w:szCs w:val="22"/>
        </w:rPr>
      </w:pPr>
    </w:p>
    <w:p w:rsidR="005A3173" w:rsidRPr="00617D5D" w:rsidRDefault="005A3173" w:rsidP="00B1059E">
      <w:pPr>
        <w:pStyle w:val="Heading2"/>
        <w:rPr>
          <w:rFonts w:asciiTheme="minorHAnsi" w:hAnsiTheme="minorHAnsi" w:cs="Arial"/>
          <w:sz w:val="28"/>
          <w:szCs w:val="28"/>
        </w:rPr>
      </w:pPr>
      <w:r w:rsidRPr="00617D5D">
        <w:rPr>
          <w:rFonts w:asciiTheme="minorHAnsi" w:hAnsiTheme="minorHAnsi" w:cs="Arial"/>
          <w:sz w:val="28"/>
          <w:szCs w:val="28"/>
        </w:rPr>
        <w:t>Comparative effectiveness</w:t>
      </w:r>
    </w:p>
    <w:p w:rsidR="005A3173" w:rsidRPr="00617D5D" w:rsidRDefault="005A3173" w:rsidP="00882085">
      <w:pPr>
        <w:jc w:val="both"/>
        <w:rPr>
          <w:rFonts w:asciiTheme="minorHAnsi" w:hAnsiTheme="minorHAnsi" w:cs="Arial"/>
        </w:rPr>
      </w:pPr>
    </w:p>
    <w:p w:rsidR="00D67CE8" w:rsidRPr="002D01B9" w:rsidRDefault="00D67CE8" w:rsidP="00FC668B">
      <w:pPr>
        <w:pStyle w:val="ListParagraph"/>
        <w:numPr>
          <w:ilvl w:val="1"/>
          <w:numId w:val="5"/>
        </w:numPr>
        <w:ind w:left="709"/>
        <w:rPr>
          <w:rFonts w:asciiTheme="minorHAnsi" w:hAnsiTheme="minorHAnsi"/>
          <w:sz w:val="24"/>
          <w:szCs w:val="24"/>
        </w:rPr>
      </w:pPr>
      <w:r w:rsidRPr="002D01B9">
        <w:rPr>
          <w:rFonts w:asciiTheme="minorHAnsi" w:hAnsiTheme="minorHAnsi"/>
          <w:sz w:val="24"/>
          <w:szCs w:val="24"/>
        </w:rPr>
        <w:t>There was considerable heterogeneity between the various sources of evidence presented in the submission in terms of the baseline demographic and disease characteristics of the patients. Given this heterogeneity, and the potential for prognostic factors to confound the results, it was not appropriate to directly compare the outcomes between evidence sets and treatment regimes. Interpretation of the evidence was further hindered by the lack of uniformity in the outcomes reported, especially between the case series/reports and the clinical studies, and the time at which outcomes were assessed.</w:t>
      </w:r>
    </w:p>
    <w:p w:rsidR="00ED3BB0" w:rsidRPr="00617D5D" w:rsidRDefault="00ED3BB0" w:rsidP="00ED3BB0">
      <w:pPr>
        <w:pStyle w:val="ListParagraph"/>
        <w:rPr>
          <w:rFonts w:asciiTheme="minorHAnsi" w:hAnsiTheme="minorHAnsi"/>
          <w:i/>
          <w:sz w:val="24"/>
          <w:szCs w:val="24"/>
        </w:rPr>
      </w:pPr>
    </w:p>
    <w:p w:rsidR="00ED3BB0" w:rsidRPr="00617D5D" w:rsidRDefault="00ED3BB0" w:rsidP="0064358C">
      <w:pPr>
        <w:pStyle w:val="PBACHeading1"/>
        <w:numPr>
          <w:ilvl w:val="0"/>
          <w:numId w:val="0"/>
        </w:numPr>
        <w:ind w:left="720"/>
        <w:outlineLvl w:val="2"/>
        <w:rPr>
          <w:rFonts w:asciiTheme="minorHAnsi" w:hAnsiTheme="minorHAnsi"/>
          <w:sz w:val="24"/>
          <w:szCs w:val="24"/>
        </w:rPr>
      </w:pPr>
      <w:proofErr w:type="spellStart"/>
      <w:r w:rsidRPr="00617D5D">
        <w:rPr>
          <w:rFonts w:asciiTheme="minorHAnsi" w:hAnsiTheme="minorHAnsi"/>
          <w:sz w:val="24"/>
          <w:szCs w:val="24"/>
        </w:rPr>
        <w:t>i</w:t>
      </w:r>
      <w:proofErr w:type="spellEnd"/>
      <w:r w:rsidRPr="00617D5D">
        <w:rPr>
          <w:rFonts w:asciiTheme="minorHAnsi" w:hAnsiTheme="minorHAnsi"/>
          <w:sz w:val="24"/>
          <w:szCs w:val="24"/>
        </w:rPr>
        <w:t xml:space="preserve">) Prophylactic </w:t>
      </w:r>
      <w:r w:rsidR="001D6D49" w:rsidRPr="00617D5D">
        <w:rPr>
          <w:rFonts w:asciiTheme="minorHAnsi" w:hAnsiTheme="minorHAnsi"/>
          <w:sz w:val="24"/>
          <w:szCs w:val="24"/>
        </w:rPr>
        <w:t xml:space="preserve">peri-transplant </w:t>
      </w:r>
      <w:r w:rsidRPr="00617D5D">
        <w:rPr>
          <w:rFonts w:asciiTheme="minorHAnsi" w:hAnsiTheme="minorHAnsi"/>
          <w:sz w:val="24"/>
          <w:szCs w:val="24"/>
        </w:rPr>
        <w:t xml:space="preserve">and sustained use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in patients undergoing renal transplantation</w:t>
      </w:r>
    </w:p>
    <w:p w:rsidR="00D67CE8" w:rsidRPr="00617D5D" w:rsidRDefault="00D67CE8" w:rsidP="00D67CE8">
      <w:pPr>
        <w:pStyle w:val="ListParagraph"/>
        <w:rPr>
          <w:rFonts w:asciiTheme="minorHAnsi" w:hAnsiTheme="minorHAnsi"/>
          <w:sz w:val="24"/>
          <w:szCs w:val="24"/>
        </w:rPr>
      </w:pPr>
    </w:p>
    <w:p w:rsidR="000B558D" w:rsidRPr="00617D5D" w:rsidRDefault="00402D0E" w:rsidP="00FC668B">
      <w:pPr>
        <w:pStyle w:val="ListParagraph"/>
        <w:numPr>
          <w:ilvl w:val="1"/>
          <w:numId w:val="5"/>
        </w:numPr>
        <w:ind w:left="709"/>
        <w:rPr>
          <w:rFonts w:asciiTheme="minorHAnsi" w:hAnsiTheme="minorHAnsi"/>
          <w:sz w:val="24"/>
          <w:szCs w:val="24"/>
        </w:rPr>
      </w:pPr>
      <w:r w:rsidRPr="00617D5D">
        <w:rPr>
          <w:rFonts w:asciiTheme="minorHAnsi" w:hAnsiTheme="minorHAnsi"/>
          <w:sz w:val="24"/>
          <w:szCs w:val="24"/>
        </w:rPr>
        <w:t>As noted above minimal data were available in the new studies relied on in this submission</w:t>
      </w:r>
      <w:r w:rsidR="0098270C" w:rsidRPr="00617D5D">
        <w:rPr>
          <w:rFonts w:asciiTheme="minorHAnsi" w:hAnsiTheme="minorHAnsi"/>
          <w:sz w:val="24"/>
          <w:szCs w:val="24"/>
        </w:rPr>
        <w:t xml:space="preserve">. </w:t>
      </w:r>
      <w:r w:rsidR="003A068D">
        <w:rPr>
          <w:rFonts w:asciiTheme="minorHAnsi" w:hAnsiTheme="minorHAnsi"/>
          <w:sz w:val="24"/>
          <w:szCs w:val="24"/>
        </w:rPr>
        <w:t xml:space="preserve"> </w:t>
      </w:r>
      <w:r w:rsidR="00072E19" w:rsidRPr="00617D5D">
        <w:rPr>
          <w:rFonts w:asciiTheme="minorHAnsi" w:hAnsiTheme="minorHAnsi"/>
          <w:sz w:val="24"/>
          <w:szCs w:val="24"/>
        </w:rPr>
        <w:t xml:space="preserve">The outcomes for use of prophylactic </w:t>
      </w:r>
      <w:r w:rsidR="00CF7E16" w:rsidRPr="00617D5D">
        <w:rPr>
          <w:rFonts w:asciiTheme="minorHAnsi" w:hAnsiTheme="minorHAnsi"/>
          <w:sz w:val="24"/>
          <w:szCs w:val="24"/>
        </w:rPr>
        <w:t xml:space="preserve">peri-transplant </w:t>
      </w:r>
      <w:proofErr w:type="spellStart"/>
      <w:r w:rsidR="00072E19" w:rsidRPr="00617D5D">
        <w:rPr>
          <w:rFonts w:asciiTheme="minorHAnsi" w:hAnsiTheme="minorHAnsi"/>
          <w:sz w:val="24"/>
          <w:szCs w:val="24"/>
        </w:rPr>
        <w:t>eculizumab</w:t>
      </w:r>
      <w:proofErr w:type="spellEnd"/>
      <w:r w:rsidR="00072E19" w:rsidRPr="00617D5D">
        <w:rPr>
          <w:rFonts w:asciiTheme="minorHAnsi" w:hAnsiTheme="minorHAnsi"/>
          <w:sz w:val="24"/>
          <w:szCs w:val="24"/>
        </w:rPr>
        <w:t xml:space="preserve"> in patients undergoing renal transplantation are summarised in Table </w:t>
      </w:r>
      <w:r w:rsidR="00740FEE" w:rsidRPr="00617D5D">
        <w:rPr>
          <w:rFonts w:asciiTheme="minorHAnsi" w:hAnsiTheme="minorHAnsi"/>
          <w:sz w:val="24"/>
          <w:szCs w:val="24"/>
        </w:rPr>
        <w:t>5</w:t>
      </w:r>
      <w:r w:rsidR="00072E19" w:rsidRPr="00617D5D">
        <w:rPr>
          <w:rFonts w:asciiTheme="minorHAnsi" w:hAnsiTheme="minorHAnsi"/>
          <w:sz w:val="24"/>
          <w:szCs w:val="24"/>
        </w:rPr>
        <w:t>.</w:t>
      </w:r>
    </w:p>
    <w:p w:rsidR="009B0F67" w:rsidRPr="00617D5D" w:rsidRDefault="009B0F67" w:rsidP="009B0F67">
      <w:pPr>
        <w:pStyle w:val="ListParagraph"/>
        <w:ind w:left="709"/>
        <w:rPr>
          <w:rFonts w:asciiTheme="minorHAnsi" w:hAnsiTheme="minorHAnsi"/>
          <w:sz w:val="24"/>
          <w:szCs w:val="24"/>
        </w:rPr>
      </w:pPr>
    </w:p>
    <w:p w:rsidR="00771DE8" w:rsidRPr="00617D5D" w:rsidRDefault="00771DE8" w:rsidP="009B0F67">
      <w:pPr>
        <w:pStyle w:val="ListParagraph"/>
        <w:ind w:left="709"/>
        <w:rPr>
          <w:rFonts w:asciiTheme="minorHAnsi" w:hAnsiTheme="minorHAnsi"/>
          <w:sz w:val="24"/>
          <w:szCs w:val="24"/>
        </w:rPr>
      </w:pPr>
    </w:p>
    <w:p w:rsidR="00771DE8" w:rsidRPr="00617D5D" w:rsidRDefault="00771DE8" w:rsidP="009B0F67">
      <w:pPr>
        <w:pStyle w:val="ListParagraph"/>
        <w:ind w:left="709"/>
        <w:rPr>
          <w:rFonts w:asciiTheme="minorHAnsi" w:hAnsiTheme="minorHAnsi"/>
          <w:sz w:val="24"/>
          <w:szCs w:val="24"/>
        </w:rPr>
        <w:sectPr w:rsidR="00771DE8" w:rsidRPr="00617D5D" w:rsidSect="00CE3FE2">
          <w:pgSz w:w="11906" w:h="16838" w:code="9"/>
          <w:pgMar w:top="1440" w:right="1440" w:bottom="1440" w:left="1440" w:header="1440" w:footer="1440" w:gutter="0"/>
          <w:cols w:space="708"/>
          <w:docGrid w:linePitch="360"/>
        </w:sectPr>
      </w:pPr>
    </w:p>
    <w:p w:rsidR="004A6028" w:rsidRDefault="004A6028" w:rsidP="004A6028">
      <w:pPr>
        <w:pStyle w:val="Caption"/>
      </w:pPr>
      <w:proofErr w:type="gramStart"/>
      <w:r>
        <w:t xml:space="preserve">Table </w:t>
      </w:r>
      <w:proofErr w:type="gramEnd"/>
      <w:r>
        <w:fldChar w:fldCharType="begin"/>
      </w:r>
      <w:r>
        <w:instrText xml:space="preserve"> SEQ Table \* ARABIC </w:instrText>
      </w:r>
      <w:r>
        <w:fldChar w:fldCharType="separate"/>
      </w:r>
      <w:r>
        <w:rPr>
          <w:noProof/>
        </w:rPr>
        <w:t>5</w:t>
      </w:r>
      <w:r>
        <w:fldChar w:fldCharType="end"/>
      </w:r>
      <w:proofErr w:type="gramStart"/>
      <w:r>
        <w:t xml:space="preserve">: </w:t>
      </w:r>
      <w:r w:rsidRPr="00DD3E6E">
        <w:t xml:space="preserve">Summary of new data presented in the submission with prophylactic peri-transplant </w:t>
      </w:r>
      <w:proofErr w:type="spellStart"/>
      <w:r w:rsidRPr="00DD3E6E">
        <w:t>eculizumab</w:t>
      </w:r>
      <w:proofErr w:type="spellEnd"/>
      <w:r w:rsidRPr="00DD3E6E">
        <w:t xml:space="preserve"> treatment.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07"/>
        <w:gridCol w:w="2508"/>
        <w:gridCol w:w="1307"/>
        <w:gridCol w:w="1283"/>
        <w:gridCol w:w="1734"/>
        <w:gridCol w:w="1416"/>
        <w:gridCol w:w="2559"/>
      </w:tblGrid>
      <w:tr w:rsidR="004D7281" w:rsidRPr="00E57BA7" w:rsidTr="00ED3BB0">
        <w:tc>
          <w:tcPr>
            <w:tcW w:w="0" w:type="auto"/>
            <w:vMerge w:val="restart"/>
          </w:tcPr>
          <w:p w:rsidR="0066178B" w:rsidRPr="00E57BA7" w:rsidRDefault="0066178B" w:rsidP="00950B6C">
            <w:pPr>
              <w:rPr>
                <w:rFonts w:ascii="Arial Narrow" w:hAnsi="Arial Narrow"/>
                <w:b/>
                <w:sz w:val="18"/>
                <w:szCs w:val="18"/>
              </w:rPr>
            </w:pPr>
          </w:p>
        </w:tc>
        <w:tc>
          <w:tcPr>
            <w:tcW w:w="0" w:type="auto"/>
          </w:tcPr>
          <w:p w:rsidR="0066178B" w:rsidRPr="00E57BA7" w:rsidRDefault="0066178B" w:rsidP="00771DE8">
            <w:pPr>
              <w:jc w:val="center"/>
              <w:rPr>
                <w:rFonts w:ascii="Arial Narrow" w:hAnsi="Arial Narrow"/>
                <w:b/>
                <w:sz w:val="18"/>
                <w:szCs w:val="18"/>
              </w:rPr>
            </w:pPr>
            <w:proofErr w:type="spellStart"/>
            <w:r w:rsidRPr="00E57BA7">
              <w:rPr>
                <w:rFonts w:ascii="Arial Narrow" w:hAnsi="Arial Narrow"/>
                <w:b/>
                <w:sz w:val="18"/>
                <w:szCs w:val="18"/>
              </w:rPr>
              <w:t>Siedlecki</w:t>
            </w:r>
            <w:proofErr w:type="spellEnd"/>
            <w:r w:rsidRPr="00E57BA7">
              <w:rPr>
                <w:rFonts w:ascii="Arial Narrow" w:hAnsi="Arial Narrow"/>
                <w:b/>
                <w:sz w:val="18"/>
                <w:szCs w:val="18"/>
              </w:rPr>
              <w:t xml:space="preserve"> 2016 </w:t>
            </w:r>
          </w:p>
        </w:tc>
        <w:tc>
          <w:tcPr>
            <w:tcW w:w="0" w:type="auto"/>
            <w:vMerge w:val="restart"/>
          </w:tcPr>
          <w:p w:rsidR="0066178B" w:rsidRPr="00E57BA7" w:rsidRDefault="0066178B" w:rsidP="00950B6C">
            <w:pPr>
              <w:jc w:val="center"/>
              <w:rPr>
                <w:rFonts w:ascii="Arial Narrow" w:hAnsi="Arial Narrow"/>
                <w:b/>
                <w:sz w:val="18"/>
                <w:szCs w:val="18"/>
              </w:rPr>
            </w:pPr>
            <w:proofErr w:type="spellStart"/>
            <w:r w:rsidRPr="00E57BA7">
              <w:rPr>
                <w:rFonts w:ascii="Arial Narrow" w:hAnsi="Arial Narrow"/>
                <w:b/>
                <w:sz w:val="18"/>
                <w:szCs w:val="18"/>
              </w:rPr>
              <w:t>Ardissino</w:t>
            </w:r>
            <w:proofErr w:type="spellEnd"/>
            <w:r w:rsidRPr="00E57BA7">
              <w:rPr>
                <w:rFonts w:ascii="Arial Narrow" w:hAnsi="Arial Narrow"/>
                <w:b/>
                <w:sz w:val="18"/>
                <w:szCs w:val="18"/>
              </w:rPr>
              <w:t xml:space="preserve"> 2016</w:t>
            </w:r>
          </w:p>
          <w:p w:rsidR="0066178B" w:rsidRPr="00E57BA7" w:rsidRDefault="0066178B" w:rsidP="0094416E">
            <w:pPr>
              <w:jc w:val="center"/>
              <w:rPr>
                <w:rFonts w:ascii="Arial Narrow" w:hAnsi="Arial Narrow"/>
                <w:b/>
                <w:sz w:val="18"/>
                <w:szCs w:val="18"/>
                <w:vertAlign w:val="superscript"/>
              </w:rPr>
            </w:pPr>
            <w:r w:rsidRPr="00E57BA7">
              <w:rPr>
                <w:rFonts w:ascii="Arial Narrow" w:hAnsi="Arial Narrow"/>
                <w:b/>
                <w:sz w:val="18"/>
                <w:szCs w:val="18"/>
              </w:rPr>
              <w:t>N=14</w:t>
            </w:r>
            <w:r w:rsidR="00ED3BB0">
              <w:rPr>
                <w:rFonts w:ascii="Arial Narrow" w:hAnsi="Arial Narrow"/>
                <w:b/>
                <w:sz w:val="18"/>
                <w:szCs w:val="18"/>
                <w:vertAlign w:val="superscript"/>
              </w:rPr>
              <w:t>b</w:t>
            </w:r>
          </w:p>
        </w:tc>
        <w:tc>
          <w:tcPr>
            <w:tcW w:w="0" w:type="auto"/>
            <w:vMerge w:val="restart"/>
          </w:tcPr>
          <w:p w:rsidR="0066178B" w:rsidRPr="00E57BA7" w:rsidRDefault="0066178B" w:rsidP="00950B6C">
            <w:pPr>
              <w:jc w:val="center"/>
              <w:rPr>
                <w:rFonts w:ascii="Arial Narrow" w:hAnsi="Arial Narrow"/>
                <w:b/>
                <w:sz w:val="18"/>
                <w:szCs w:val="18"/>
              </w:rPr>
            </w:pPr>
            <w:r w:rsidRPr="00E57BA7">
              <w:rPr>
                <w:rFonts w:ascii="Arial Narrow" w:hAnsi="Arial Narrow"/>
                <w:b/>
                <w:sz w:val="18"/>
                <w:szCs w:val="18"/>
              </w:rPr>
              <w:t>Kumar 2016</w:t>
            </w:r>
          </w:p>
          <w:p w:rsidR="0066178B" w:rsidRPr="00E57BA7" w:rsidRDefault="0066178B" w:rsidP="00950B6C">
            <w:pPr>
              <w:jc w:val="center"/>
              <w:rPr>
                <w:rFonts w:ascii="Arial Narrow" w:hAnsi="Arial Narrow"/>
                <w:b/>
                <w:sz w:val="18"/>
                <w:szCs w:val="18"/>
              </w:rPr>
            </w:pPr>
            <w:r w:rsidRPr="00E57BA7">
              <w:rPr>
                <w:rFonts w:ascii="Arial Narrow" w:hAnsi="Arial Narrow"/>
                <w:b/>
                <w:sz w:val="18"/>
                <w:szCs w:val="18"/>
              </w:rPr>
              <w:t>N=9</w:t>
            </w:r>
          </w:p>
        </w:tc>
        <w:tc>
          <w:tcPr>
            <w:tcW w:w="0" w:type="auto"/>
            <w:vMerge w:val="restart"/>
          </w:tcPr>
          <w:p w:rsidR="0066178B" w:rsidRPr="00E57BA7" w:rsidRDefault="0066178B" w:rsidP="00950B6C">
            <w:pPr>
              <w:jc w:val="center"/>
              <w:rPr>
                <w:rFonts w:ascii="Arial Narrow" w:hAnsi="Arial Narrow"/>
                <w:b/>
                <w:sz w:val="18"/>
                <w:szCs w:val="18"/>
              </w:rPr>
            </w:pPr>
            <w:r w:rsidRPr="00E57BA7">
              <w:rPr>
                <w:rFonts w:ascii="Arial Narrow" w:hAnsi="Arial Narrow"/>
                <w:b/>
                <w:sz w:val="18"/>
                <w:szCs w:val="18"/>
              </w:rPr>
              <w:t>Levi 2015</w:t>
            </w:r>
          </w:p>
          <w:p w:rsidR="0066178B" w:rsidRPr="00E57BA7" w:rsidRDefault="0066178B" w:rsidP="00950B6C">
            <w:pPr>
              <w:jc w:val="center"/>
              <w:rPr>
                <w:rFonts w:ascii="Arial Narrow" w:hAnsi="Arial Narrow"/>
                <w:b/>
                <w:sz w:val="18"/>
                <w:szCs w:val="18"/>
              </w:rPr>
            </w:pPr>
            <w:r w:rsidRPr="00E57BA7">
              <w:rPr>
                <w:rFonts w:ascii="Arial Narrow" w:hAnsi="Arial Narrow"/>
                <w:b/>
                <w:sz w:val="18"/>
                <w:szCs w:val="18"/>
              </w:rPr>
              <w:t>N=11</w:t>
            </w:r>
          </w:p>
        </w:tc>
        <w:tc>
          <w:tcPr>
            <w:tcW w:w="0" w:type="auto"/>
          </w:tcPr>
          <w:p w:rsidR="0066178B" w:rsidRPr="00E57BA7" w:rsidRDefault="0066178B" w:rsidP="00950B6C">
            <w:pPr>
              <w:jc w:val="center"/>
              <w:rPr>
                <w:rFonts w:ascii="Arial Narrow" w:hAnsi="Arial Narrow"/>
                <w:b/>
                <w:sz w:val="18"/>
                <w:szCs w:val="18"/>
              </w:rPr>
            </w:pPr>
            <w:r w:rsidRPr="00E57BA7">
              <w:rPr>
                <w:rFonts w:ascii="Arial Narrow" w:hAnsi="Arial Narrow"/>
                <w:b/>
                <w:sz w:val="18"/>
                <w:szCs w:val="18"/>
              </w:rPr>
              <w:t>Andrade 2016</w:t>
            </w:r>
          </w:p>
        </w:tc>
        <w:tc>
          <w:tcPr>
            <w:tcW w:w="0" w:type="auto"/>
            <w:vMerge w:val="restart"/>
          </w:tcPr>
          <w:p w:rsidR="0066178B" w:rsidRPr="00E57BA7" w:rsidRDefault="0066178B" w:rsidP="00950B6C">
            <w:pPr>
              <w:jc w:val="center"/>
              <w:rPr>
                <w:rFonts w:ascii="Arial Narrow" w:hAnsi="Arial Narrow"/>
                <w:b/>
                <w:sz w:val="18"/>
                <w:szCs w:val="18"/>
              </w:rPr>
            </w:pPr>
            <w:r w:rsidRPr="00E57BA7">
              <w:rPr>
                <w:rFonts w:ascii="Arial Narrow" w:hAnsi="Arial Narrow"/>
                <w:b/>
                <w:sz w:val="18"/>
                <w:szCs w:val="18"/>
              </w:rPr>
              <w:t>Case reports</w:t>
            </w:r>
          </w:p>
          <w:p w:rsidR="0066178B" w:rsidRPr="00E57BA7" w:rsidRDefault="0066178B" w:rsidP="00881AAE">
            <w:pPr>
              <w:jc w:val="center"/>
              <w:rPr>
                <w:rFonts w:ascii="Arial Narrow" w:hAnsi="Arial Narrow"/>
                <w:b/>
                <w:sz w:val="18"/>
                <w:szCs w:val="18"/>
              </w:rPr>
            </w:pPr>
            <w:r w:rsidRPr="00E57BA7">
              <w:rPr>
                <w:rFonts w:ascii="Arial Narrow" w:hAnsi="Arial Narrow"/>
                <w:b/>
                <w:sz w:val="18"/>
                <w:szCs w:val="18"/>
              </w:rPr>
              <w:t>N=</w:t>
            </w:r>
            <w:r w:rsidR="00881AAE" w:rsidRPr="00E57BA7">
              <w:rPr>
                <w:rFonts w:ascii="Arial Narrow" w:hAnsi="Arial Narrow"/>
                <w:b/>
                <w:sz w:val="18"/>
                <w:szCs w:val="18"/>
              </w:rPr>
              <w:t>4 (new)</w:t>
            </w:r>
          </w:p>
        </w:tc>
      </w:tr>
      <w:tr w:rsidR="004D7281" w:rsidRPr="00E57BA7" w:rsidTr="00ED3BB0">
        <w:tc>
          <w:tcPr>
            <w:tcW w:w="0" w:type="auto"/>
            <w:vMerge/>
          </w:tcPr>
          <w:p w:rsidR="00ED3BB0" w:rsidRPr="00E57BA7" w:rsidRDefault="00ED3BB0" w:rsidP="00950B6C">
            <w:pPr>
              <w:pStyle w:val="Tabletext"/>
              <w:rPr>
                <w:rFonts w:ascii="Arial Narrow" w:hAnsi="Arial Narrow"/>
                <w:sz w:val="18"/>
                <w:szCs w:val="18"/>
              </w:rPr>
            </w:pPr>
          </w:p>
        </w:tc>
        <w:tc>
          <w:tcPr>
            <w:tcW w:w="0" w:type="auto"/>
          </w:tcPr>
          <w:p w:rsidR="00ED3BB0" w:rsidRPr="00E57BA7" w:rsidRDefault="00ED3BB0" w:rsidP="00950B6C">
            <w:pPr>
              <w:jc w:val="center"/>
              <w:rPr>
                <w:rFonts w:ascii="Arial Narrow" w:hAnsi="Arial Narrow"/>
                <w:b/>
                <w:sz w:val="18"/>
                <w:szCs w:val="18"/>
              </w:rPr>
            </w:pPr>
            <w:r w:rsidRPr="00E57BA7">
              <w:rPr>
                <w:rFonts w:ascii="Arial Narrow" w:hAnsi="Arial Narrow"/>
                <w:b/>
                <w:sz w:val="18"/>
                <w:szCs w:val="18"/>
              </w:rPr>
              <w:t>Peri-transplant</w:t>
            </w:r>
          </w:p>
          <w:p w:rsidR="00ED3BB0" w:rsidRPr="00E57BA7" w:rsidRDefault="00ED3BB0" w:rsidP="00950B6C">
            <w:pPr>
              <w:jc w:val="center"/>
              <w:rPr>
                <w:rFonts w:ascii="Arial Narrow" w:hAnsi="Arial Narrow"/>
                <w:b/>
                <w:sz w:val="18"/>
                <w:szCs w:val="18"/>
                <w:vertAlign w:val="superscript"/>
              </w:rPr>
            </w:pPr>
            <w:r w:rsidRPr="00E57BA7">
              <w:rPr>
                <w:rFonts w:ascii="Arial Narrow" w:hAnsi="Arial Narrow"/>
                <w:b/>
                <w:sz w:val="18"/>
                <w:szCs w:val="18"/>
              </w:rPr>
              <w:t>N=57</w:t>
            </w:r>
            <w:r w:rsidRPr="00E57BA7">
              <w:rPr>
                <w:rFonts w:ascii="Arial Narrow" w:hAnsi="Arial Narrow"/>
                <w:b/>
                <w:sz w:val="18"/>
                <w:szCs w:val="18"/>
                <w:vertAlign w:val="superscript"/>
              </w:rPr>
              <w:t>a</w:t>
            </w:r>
          </w:p>
        </w:tc>
        <w:tc>
          <w:tcPr>
            <w:tcW w:w="0" w:type="auto"/>
            <w:vMerge/>
          </w:tcPr>
          <w:p w:rsidR="00ED3BB0" w:rsidRPr="00E57BA7" w:rsidRDefault="00ED3BB0" w:rsidP="00950B6C">
            <w:pPr>
              <w:jc w:val="center"/>
              <w:rPr>
                <w:rFonts w:ascii="Arial Narrow" w:hAnsi="Arial Narrow"/>
                <w:sz w:val="18"/>
                <w:szCs w:val="18"/>
              </w:rPr>
            </w:pPr>
          </w:p>
        </w:tc>
        <w:tc>
          <w:tcPr>
            <w:tcW w:w="0" w:type="auto"/>
            <w:vMerge/>
          </w:tcPr>
          <w:p w:rsidR="00ED3BB0" w:rsidRPr="00E57BA7" w:rsidRDefault="00ED3BB0" w:rsidP="00950B6C">
            <w:pPr>
              <w:jc w:val="center"/>
              <w:rPr>
                <w:rFonts w:ascii="Arial Narrow" w:hAnsi="Arial Narrow"/>
                <w:sz w:val="18"/>
                <w:szCs w:val="18"/>
              </w:rPr>
            </w:pPr>
          </w:p>
        </w:tc>
        <w:tc>
          <w:tcPr>
            <w:tcW w:w="0" w:type="auto"/>
            <w:vMerge/>
          </w:tcPr>
          <w:p w:rsidR="00ED3BB0" w:rsidRPr="00E57BA7" w:rsidRDefault="00ED3BB0" w:rsidP="00950B6C">
            <w:pPr>
              <w:jc w:val="center"/>
              <w:rPr>
                <w:rFonts w:ascii="Arial Narrow" w:hAnsi="Arial Narrow"/>
                <w:i/>
                <w:sz w:val="18"/>
                <w:szCs w:val="18"/>
              </w:rPr>
            </w:pPr>
          </w:p>
        </w:tc>
        <w:tc>
          <w:tcPr>
            <w:tcW w:w="0" w:type="auto"/>
          </w:tcPr>
          <w:p w:rsidR="00ED3BB0" w:rsidRPr="00E57BA7" w:rsidRDefault="00ED3BB0" w:rsidP="005E1665">
            <w:pPr>
              <w:jc w:val="center"/>
              <w:rPr>
                <w:rFonts w:ascii="Arial Narrow" w:hAnsi="Arial Narrow"/>
                <w:b/>
                <w:sz w:val="18"/>
                <w:szCs w:val="18"/>
              </w:rPr>
            </w:pPr>
            <w:r w:rsidRPr="00E57BA7">
              <w:rPr>
                <w:rFonts w:ascii="Arial Narrow" w:hAnsi="Arial Narrow"/>
                <w:b/>
                <w:sz w:val="18"/>
                <w:szCs w:val="18"/>
              </w:rPr>
              <w:t>Peri-transplant</w:t>
            </w:r>
          </w:p>
          <w:p w:rsidR="00ED3BB0" w:rsidRPr="00E57BA7" w:rsidRDefault="00ED3BB0" w:rsidP="00C819E1">
            <w:pPr>
              <w:jc w:val="center"/>
              <w:rPr>
                <w:rFonts w:ascii="Arial Narrow" w:hAnsi="Arial Narrow"/>
                <w:b/>
                <w:sz w:val="18"/>
                <w:szCs w:val="18"/>
                <w:vertAlign w:val="superscript"/>
              </w:rPr>
            </w:pPr>
            <w:r w:rsidRPr="00E57BA7">
              <w:rPr>
                <w:rFonts w:ascii="Arial Narrow" w:hAnsi="Arial Narrow"/>
                <w:b/>
                <w:sz w:val="18"/>
                <w:szCs w:val="18"/>
              </w:rPr>
              <w:t>N=3</w:t>
            </w:r>
          </w:p>
        </w:tc>
        <w:tc>
          <w:tcPr>
            <w:tcW w:w="0" w:type="auto"/>
            <w:vMerge/>
          </w:tcPr>
          <w:p w:rsidR="00ED3BB0" w:rsidRPr="00E57BA7" w:rsidRDefault="00ED3BB0" w:rsidP="00950B6C">
            <w:pPr>
              <w:jc w:val="center"/>
              <w:rPr>
                <w:rFonts w:ascii="Arial Narrow" w:hAnsi="Arial Narrow"/>
                <w:i/>
                <w:sz w:val="18"/>
                <w:szCs w:val="18"/>
              </w:rPr>
            </w:pPr>
          </w:p>
        </w:tc>
      </w:tr>
      <w:tr w:rsidR="004D7281" w:rsidRPr="00E57BA7" w:rsidTr="00ED3BB0">
        <w:tc>
          <w:tcPr>
            <w:tcW w:w="0" w:type="auto"/>
          </w:tcPr>
          <w:p w:rsidR="00ED3BB0" w:rsidRPr="00E57BA7" w:rsidRDefault="00ED3BB0" w:rsidP="000319EA">
            <w:pPr>
              <w:pStyle w:val="Tabletext"/>
              <w:rPr>
                <w:rFonts w:ascii="Arial Narrow" w:hAnsi="Arial Narrow"/>
                <w:sz w:val="18"/>
                <w:szCs w:val="18"/>
              </w:rPr>
            </w:pPr>
            <w:r w:rsidRPr="00E57BA7">
              <w:rPr>
                <w:rFonts w:ascii="Arial Narrow" w:hAnsi="Arial Narrow"/>
                <w:sz w:val="18"/>
                <w:szCs w:val="18"/>
              </w:rPr>
              <w:t>Median age at transplant, years</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27.6</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6 – 40 (range)</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25.2</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 7.8</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13.5</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(5.3 – 33)</w:t>
            </w:r>
          </w:p>
        </w:tc>
      </w:tr>
      <w:tr w:rsidR="004D7281" w:rsidRPr="00E57BA7" w:rsidTr="00ED3BB0">
        <w:tc>
          <w:tcPr>
            <w:tcW w:w="0" w:type="auto"/>
          </w:tcPr>
          <w:p w:rsidR="00ED3BB0" w:rsidRPr="00E57BA7" w:rsidRDefault="00ED3BB0" w:rsidP="00950B6C">
            <w:pPr>
              <w:pStyle w:val="Tabletext"/>
              <w:rPr>
                <w:rFonts w:ascii="Arial Narrow" w:hAnsi="Arial Narrow"/>
                <w:sz w:val="18"/>
                <w:szCs w:val="18"/>
              </w:rPr>
            </w:pPr>
            <w:r w:rsidRPr="00E57BA7">
              <w:rPr>
                <w:rFonts w:ascii="Arial Narrow" w:hAnsi="Arial Narrow"/>
                <w:sz w:val="18"/>
                <w:szCs w:val="18"/>
              </w:rPr>
              <w:t xml:space="preserve">Family history of </w:t>
            </w:r>
            <w:proofErr w:type="spellStart"/>
            <w:r w:rsidRPr="00E57BA7">
              <w:rPr>
                <w:rFonts w:ascii="Arial Narrow" w:hAnsi="Arial Narrow"/>
                <w:sz w:val="18"/>
                <w:szCs w:val="18"/>
              </w:rPr>
              <w:t>aHUS</w:t>
            </w:r>
            <w:proofErr w:type="spellEnd"/>
            <w:r w:rsidRPr="00E57BA7">
              <w:rPr>
                <w:rFonts w:ascii="Arial Narrow" w:hAnsi="Arial Narrow"/>
                <w:sz w:val="18"/>
                <w:szCs w:val="18"/>
              </w:rPr>
              <w:t xml:space="preserve"> N (%)</w:t>
            </w:r>
          </w:p>
          <w:p w:rsidR="00ED3BB0" w:rsidRPr="00E57BA7" w:rsidRDefault="00ED3BB0" w:rsidP="00950B6C">
            <w:pPr>
              <w:pStyle w:val="Tabletext"/>
              <w:rPr>
                <w:rFonts w:ascii="Arial Narrow" w:hAnsi="Arial Narrow"/>
                <w:sz w:val="18"/>
                <w:szCs w:val="18"/>
              </w:rPr>
            </w:pPr>
            <w:r w:rsidRPr="00E57BA7">
              <w:rPr>
                <w:rFonts w:ascii="Arial Narrow" w:hAnsi="Arial Narrow"/>
                <w:sz w:val="18"/>
                <w:szCs w:val="18"/>
              </w:rPr>
              <w:t>CFH mutation detected N (%)</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18 (32%)</w:t>
            </w:r>
          </w:p>
          <w:p w:rsidR="00ED3BB0" w:rsidRPr="00E57BA7" w:rsidRDefault="00ED3BB0" w:rsidP="00950B6C">
            <w:pPr>
              <w:jc w:val="center"/>
              <w:rPr>
                <w:rFonts w:ascii="Arial Narrow" w:hAnsi="Arial Narrow"/>
                <w:sz w:val="18"/>
                <w:szCs w:val="18"/>
              </w:rPr>
            </w:pPr>
          </w:p>
          <w:p w:rsidR="00ED3BB0" w:rsidRPr="00E57BA7" w:rsidRDefault="00ED3BB0" w:rsidP="00E07C58">
            <w:pPr>
              <w:jc w:val="center"/>
              <w:rPr>
                <w:rFonts w:ascii="Arial Narrow" w:hAnsi="Arial Narrow"/>
                <w:sz w:val="18"/>
                <w:szCs w:val="18"/>
              </w:rPr>
            </w:pPr>
            <w:r w:rsidRPr="00E57BA7">
              <w:rPr>
                <w:rFonts w:ascii="Arial Narrow" w:hAnsi="Arial Narrow"/>
                <w:sz w:val="18"/>
                <w:szCs w:val="18"/>
              </w:rPr>
              <w:t>NR</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p w:rsidR="00ED3BB0" w:rsidRPr="00E57BA7" w:rsidRDefault="00ED3BB0" w:rsidP="00950B6C">
            <w:pPr>
              <w:jc w:val="center"/>
              <w:rPr>
                <w:rFonts w:ascii="Arial Narrow" w:hAnsi="Arial Narrow"/>
                <w:sz w:val="18"/>
                <w:szCs w:val="18"/>
              </w:rPr>
            </w:pP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12 (86%)</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p w:rsidR="00ED3BB0" w:rsidRPr="00E57BA7" w:rsidRDefault="00ED3BB0" w:rsidP="00950B6C">
            <w:pPr>
              <w:jc w:val="center"/>
              <w:rPr>
                <w:rFonts w:ascii="Arial Narrow" w:hAnsi="Arial Narrow"/>
                <w:sz w:val="18"/>
                <w:szCs w:val="18"/>
              </w:rPr>
            </w:pP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5 (56%)</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p w:rsidR="00ED3BB0" w:rsidRPr="00E57BA7" w:rsidRDefault="00ED3BB0" w:rsidP="00950B6C">
            <w:pPr>
              <w:jc w:val="center"/>
              <w:rPr>
                <w:rFonts w:ascii="Arial Narrow" w:hAnsi="Arial Narrow"/>
                <w:sz w:val="18"/>
                <w:szCs w:val="18"/>
              </w:rPr>
            </w:pP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7 (64%)</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p w:rsidR="00ED3BB0" w:rsidRPr="00E57BA7" w:rsidRDefault="00ED3BB0" w:rsidP="00950B6C">
            <w:pPr>
              <w:jc w:val="center"/>
              <w:rPr>
                <w:rFonts w:ascii="Arial Narrow" w:hAnsi="Arial Narrow"/>
                <w:sz w:val="18"/>
                <w:szCs w:val="18"/>
              </w:rPr>
            </w:pP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2</w:t>
            </w:r>
          </w:p>
          <w:p w:rsidR="00ED3BB0" w:rsidRPr="00E57BA7" w:rsidRDefault="00ED3BB0" w:rsidP="00950B6C">
            <w:pPr>
              <w:jc w:val="center"/>
              <w:rPr>
                <w:rFonts w:ascii="Arial Narrow" w:hAnsi="Arial Narrow"/>
                <w:sz w:val="18"/>
                <w:szCs w:val="18"/>
              </w:rPr>
            </w:pP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3 (+1 liver donor)</w:t>
            </w:r>
          </w:p>
        </w:tc>
      </w:tr>
      <w:tr w:rsidR="004D7281" w:rsidRPr="00E57BA7" w:rsidTr="00ED3BB0">
        <w:tc>
          <w:tcPr>
            <w:tcW w:w="0" w:type="auto"/>
            <w:tcBorders>
              <w:bottom w:val="single" w:sz="4" w:space="0" w:color="auto"/>
            </w:tcBorders>
          </w:tcPr>
          <w:p w:rsidR="00ED3BB0" w:rsidRPr="00E57BA7" w:rsidRDefault="00ED3BB0" w:rsidP="00950B6C">
            <w:pPr>
              <w:pStyle w:val="Tabletext"/>
              <w:rPr>
                <w:rFonts w:ascii="Arial Narrow" w:hAnsi="Arial Narrow"/>
                <w:sz w:val="18"/>
                <w:szCs w:val="18"/>
              </w:rPr>
            </w:pPr>
            <w:r w:rsidRPr="00E57BA7">
              <w:rPr>
                <w:rFonts w:ascii="Arial Narrow" w:hAnsi="Arial Narrow"/>
                <w:sz w:val="18"/>
                <w:szCs w:val="18"/>
              </w:rPr>
              <w:t xml:space="preserve">Dialysis </w:t>
            </w:r>
            <w:proofErr w:type="spellStart"/>
            <w:r w:rsidRPr="00E57BA7">
              <w:rPr>
                <w:rFonts w:ascii="Arial Narrow" w:hAnsi="Arial Narrow"/>
                <w:sz w:val="18"/>
                <w:szCs w:val="18"/>
              </w:rPr>
              <w:t>post transplant</w:t>
            </w:r>
            <w:proofErr w:type="spellEnd"/>
            <w:r w:rsidRPr="00E57BA7">
              <w:rPr>
                <w:rFonts w:ascii="Arial Narrow" w:hAnsi="Arial Narrow"/>
                <w:sz w:val="18"/>
                <w:szCs w:val="18"/>
              </w:rPr>
              <w:t xml:space="preserve"> N (%)</w:t>
            </w:r>
          </w:p>
        </w:tc>
        <w:tc>
          <w:tcPr>
            <w:tcW w:w="0" w:type="auto"/>
            <w:tcBorders>
              <w:bottom w:val="single" w:sz="4" w:space="0" w:color="auto"/>
            </w:tcBorders>
          </w:tcPr>
          <w:p w:rsidR="00ED3BB0" w:rsidRPr="00E57BA7" w:rsidRDefault="00ED3BB0" w:rsidP="00950B6C">
            <w:pPr>
              <w:jc w:val="center"/>
              <w:rPr>
                <w:rFonts w:ascii="Arial Narrow" w:hAnsi="Arial Narrow"/>
                <w:i/>
                <w:sz w:val="18"/>
                <w:szCs w:val="18"/>
              </w:rPr>
            </w:pPr>
            <w:r w:rsidRPr="00E57BA7">
              <w:rPr>
                <w:rFonts w:ascii="Arial Narrow" w:hAnsi="Arial Narrow"/>
                <w:sz w:val="18"/>
                <w:szCs w:val="18"/>
              </w:rPr>
              <w:t>2 (4%)</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0</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0</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0</w:t>
            </w:r>
          </w:p>
        </w:tc>
      </w:tr>
      <w:tr w:rsidR="004D7281" w:rsidRPr="00E57BA7" w:rsidTr="00ED3BB0">
        <w:tc>
          <w:tcPr>
            <w:tcW w:w="0" w:type="auto"/>
            <w:tcBorders>
              <w:bottom w:val="single" w:sz="4" w:space="0" w:color="auto"/>
            </w:tcBorders>
          </w:tcPr>
          <w:p w:rsidR="00ED3BB0" w:rsidRPr="00E57BA7" w:rsidRDefault="00ED3BB0" w:rsidP="00BB2992">
            <w:pPr>
              <w:pStyle w:val="Tabletext"/>
              <w:rPr>
                <w:rFonts w:ascii="Arial Narrow" w:hAnsi="Arial Narrow"/>
                <w:sz w:val="18"/>
                <w:szCs w:val="18"/>
                <w:vertAlign w:val="superscript"/>
              </w:rPr>
            </w:pPr>
            <w:r w:rsidRPr="00E57BA7">
              <w:rPr>
                <w:rFonts w:ascii="Arial Narrow" w:hAnsi="Arial Narrow"/>
                <w:sz w:val="18"/>
                <w:szCs w:val="18"/>
              </w:rPr>
              <w:t>Duration of time to dialysis, median (range), months</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15.3</w:t>
            </w:r>
          </w:p>
          <w:p w:rsidR="00ED3BB0" w:rsidRPr="00E57BA7" w:rsidRDefault="00ED3BB0" w:rsidP="00950B6C">
            <w:pPr>
              <w:jc w:val="center"/>
              <w:rPr>
                <w:rFonts w:ascii="Arial Narrow" w:hAnsi="Arial Narrow"/>
                <w:i/>
                <w:sz w:val="18"/>
                <w:szCs w:val="18"/>
              </w:rPr>
            </w:pPr>
            <w:r w:rsidRPr="00E57BA7">
              <w:rPr>
                <w:rFonts w:ascii="Arial Narrow" w:hAnsi="Arial Narrow"/>
                <w:sz w:val="18"/>
                <w:szCs w:val="18"/>
              </w:rPr>
              <w:t>(12.8 – 17.9)</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NA</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NA</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Pr>
                <w:rFonts w:ascii="Arial Narrow" w:hAnsi="Arial Narrow"/>
                <w:sz w:val="18"/>
                <w:szCs w:val="18"/>
              </w:rPr>
              <w:t>NA</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NA</w:t>
            </w:r>
          </w:p>
        </w:tc>
        <w:tc>
          <w:tcPr>
            <w:tcW w:w="0" w:type="auto"/>
            <w:tcBorders>
              <w:bottom w:val="single" w:sz="4" w:space="0" w:color="auto"/>
            </w:tcBorders>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NA</w:t>
            </w:r>
          </w:p>
        </w:tc>
      </w:tr>
      <w:tr w:rsidR="004D7281" w:rsidRPr="00E57BA7" w:rsidTr="00ED3BB0">
        <w:tc>
          <w:tcPr>
            <w:tcW w:w="0" w:type="auto"/>
          </w:tcPr>
          <w:p w:rsidR="00ED3BB0" w:rsidRPr="00E57BA7" w:rsidRDefault="00ED3BB0" w:rsidP="00E57BA7">
            <w:pPr>
              <w:pStyle w:val="Tabletext"/>
              <w:rPr>
                <w:rFonts w:ascii="Arial Narrow" w:hAnsi="Arial Narrow"/>
                <w:sz w:val="18"/>
                <w:szCs w:val="18"/>
              </w:rPr>
            </w:pPr>
            <w:r w:rsidRPr="00E57BA7">
              <w:rPr>
                <w:rFonts w:ascii="Arial Narrow" w:hAnsi="Arial Narrow"/>
                <w:sz w:val="18"/>
                <w:szCs w:val="18"/>
              </w:rPr>
              <w:t>Duration of follow-</w:t>
            </w:r>
            <w:proofErr w:type="spellStart"/>
            <w:r w:rsidRPr="00E57BA7">
              <w:rPr>
                <w:rFonts w:ascii="Arial Narrow" w:hAnsi="Arial Narrow"/>
                <w:sz w:val="18"/>
                <w:szCs w:val="18"/>
              </w:rPr>
              <w:t>up</w:t>
            </w:r>
            <w:r>
              <w:rPr>
                <w:rFonts w:ascii="Arial Narrow" w:hAnsi="Arial Narrow"/>
                <w:sz w:val="18"/>
                <w:szCs w:val="18"/>
                <w:vertAlign w:val="superscript"/>
              </w:rPr>
              <w:t>c</w:t>
            </w:r>
            <w:proofErr w:type="spellEnd"/>
            <w:r w:rsidRPr="00E57BA7">
              <w:rPr>
                <w:rFonts w:ascii="Arial Narrow" w:hAnsi="Arial Narrow"/>
                <w:sz w:val="18"/>
                <w:szCs w:val="18"/>
              </w:rPr>
              <w:t xml:space="preserve">, </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Up to 12 months</w:t>
            </w:r>
          </w:p>
        </w:tc>
        <w:tc>
          <w:tcPr>
            <w:tcW w:w="0" w:type="auto"/>
          </w:tcPr>
          <w:p w:rsidR="00ED3BB0" w:rsidRPr="00E57BA7" w:rsidRDefault="00ED3BB0" w:rsidP="00DA7148">
            <w:pPr>
              <w:jc w:val="center"/>
              <w:rPr>
                <w:rFonts w:ascii="Arial Narrow" w:hAnsi="Arial Narrow"/>
                <w:sz w:val="18"/>
                <w:szCs w:val="18"/>
              </w:rPr>
            </w:pPr>
            <w:r w:rsidRPr="00E57BA7">
              <w:rPr>
                <w:rFonts w:ascii="Arial Narrow" w:hAnsi="Arial Narrow"/>
                <w:sz w:val="18"/>
                <w:szCs w:val="18"/>
              </w:rPr>
              <w:t>44 years cumulative</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2.6 years (median)</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2 months to 5 years</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21.6 months</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(median)</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 19</w:t>
            </w:r>
          </w:p>
        </w:tc>
        <w:tc>
          <w:tcPr>
            <w:tcW w:w="0" w:type="auto"/>
          </w:tcPr>
          <w:p w:rsidR="00ED3BB0" w:rsidRPr="00E57BA7" w:rsidRDefault="00ED3BB0" w:rsidP="00950B6C">
            <w:pPr>
              <w:jc w:val="center"/>
              <w:rPr>
                <w:rFonts w:ascii="Arial Narrow" w:hAnsi="Arial Narrow"/>
                <w:sz w:val="18"/>
                <w:szCs w:val="18"/>
              </w:rPr>
            </w:pPr>
            <w:proofErr w:type="spellStart"/>
            <w:r w:rsidRPr="00E57BA7">
              <w:rPr>
                <w:rFonts w:ascii="Arial Narrow" w:hAnsi="Arial Narrow"/>
                <w:sz w:val="18"/>
                <w:szCs w:val="18"/>
              </w:rPr>
              <w:t>Eculizumab</w:t>
            </w:r>
            <w:proofErr w:type="spellEnd"/>
            <w:r w:rsidRPr="00E57BA7">
              <w:rPr>
                <w:rFonts w:ascii="Arial Narrow" w:hAnsi="Arial Narrow"/>
                <w:sz w:val="18"/>
                <w:szCs w:val="18"/>
              </w:rPr>
              <w:t xml:space="preserve"> treatment</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19.6 months</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w:t>
            </w:r>
          </w:p>
          <w:p w:rsidR="00ED3BB0" w:rsidRPr="00E57BA7" w:rsidRDefault="00ED3BB0" w:rsidP="0066178B">
            <w:pPr>
              <w:jc w:val="center"/>
              <w:rPr>
                <w:rFonts w:ascii="Arial Narrow" w:hAnsi="Arial Narrow"/>
                <w:sz w:val="18"/>
                <w:szCs w:val="18"/>
              </w:rPr>
            </w:pPr>
            <w:r w:rsidRPr="00E57BA7">
              <w:rPr>
                <w:rFonts w:ascii="Arial Narrow" w:hAnsi="Arial Narrow"/>
                <w:sz w:val="18"/>
                <w:szCs w:val="18"/>
              </w:rPr>
              <w:t>9.3</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 year</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 xml:space="preserve">1 year (only 1 month </w:t>
            </w:r>
            <w:proofErr w:type="spellStart"/>
            <w:r w:rsidRPr="00E57BA7">
              <w:rPr>
                <w:rFonts w:ascii="Arial Narrow" w:hAnsi="Arial Narrow"/>
                <w:sz w:val="18"/>
                <w:szCs w:val="18"/>
              </w:rPr>
              <w:t>Tx</w:t>
            </w:r>
            <w:proofErr w:type="spellEnd"/>
            <w:r w:rsidRPr="00E57BA7">
              <w:rPr>
                <w:rFonts w:ascii="Arial Narrow" w:hAnsi="Arial Narrow"/>
                <w:sz w:val="18"/>
                <w:szCs w:val="18"/>
              </w:rPr>
              <w:t xml:space="preserve"> with </w:t>
            </w:r>
            <w:proofErr w:type="spellStart"/>
            <w:r w:rsidRPr="00E57BA7">
              <w:rPr>
                <w:rFonts w:ascii="Arial Narrow" w:hAnsi="Arial Narrow"/>
                <w:sz w:val="18"/>
                <w:szCs w:val="18"/>
              </w:rPr>
              <w:t>Ec</w:t>
            </w:r>
            <w:proofErr w:type="spellEnd"/>
            <w:r w:rsidRPr="00E57BA7">
              <w:rPr>
                <w:rFonts w:ascii="Arial Narrow" w:hAnsi="Arial Narrow"/>
                <w:sz w:val="18"/>
                <w:szCs w:val="18"/>
              </w:rPr>
              <w:t>)</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 xml:space="preserve">47 months (6 months post withdrawal </w:t>
            </w:r>
            <w:proofErr w:type="spellStart"/>
            <w:r w:rsidRPr="00E57BA7">
              <w:rPr>
                <w:rFonts w:ascii="Arial Narrow" w:hAnsi="Arial Narrow"/>
                <w:sz w:val="18"/>
                <w:szCs w:val="18"/>
              </w:rPr>
              <w:t>Ec</w:t>
            </w:r>
            <w:proofErr w:type="spellEnd"/>
            <w:r w:rsidRPr="00E57BA7">
              <w:rPr>
                <w:rFonts w:ascii="Arial Narrow" w:hAnsi="Arial Narrow"/>
                <w:sz w:val="18"/>
                <w:szCs w:val="18"/>
              </w:rPr>
              <w:t>)</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24 months</w:t>
            </w:r>
          </w:p>
        </w:tc>
      </w:tr>
      <w:tr w:rsidR="004D7281" w:rsidRPr="00E57BA7" w:rsidTr="00ED3BB0">
        <w:tc>
          <w:tcPr>
            <w:tcW w:w="0" w:type="auto"/>
          </w:tcPr>
          <w:p w:rsidR="00ED3BB0" w:rsidRPr="00E57BA7" w:rsidRDefault="00ED3BB0" w:rsidP="00507ABD">
            <w:pPr>
              <w:pStyle w:val="Tabletext"/>
              <w:rPr>
                <w:rFonts w:ascii="Arial Narrow" w:hAnsi="Arial Narrow"/>
                <w:sz w:val="18"/>
                <w:szCs w:val="18"/>
                <w:vertAlign w:val="superscript"/>
              </w:rPr>
            </w:pPr>
            <w:r w:rsidRPr="00E57BA7">
              <w:rPr>
                <w:rFonts w:ascii="Arial Narrow" w:hAnsi="Arial Narrow"/>
                <w:sz w:val="18"/>
                <w:szCs w:val="18"/>
              </w:rPr>
              <w:t>Serum creatinine, mean (SD), µ</w:t>
            </w:r>
            <w:proofErr w:type="spellStart"/>
            <w:r w:rsidRPr="00E57BA7">
              <w:rPr>
                <w:rFonts w:ascii="Arial Narrow" w:hAnsi="Arial Narrow"/>
                <w:sz w:val="18"/>
                <w:szCs w:val="18"/>
              </w:rPr>
              <w:t>mol</w:t>
            </w:r>
            <w:proofErr w:type="spellEnd"/>
            <w:r w:rsidRPr="00E57BA7">
              <w:rPr>
                <w:rFonts w:ascii="Arial Narrow" w:hAnsi="Arial Narrow"/>
                <w:sz w:val="18"/>
                <w:szCs w:val="18"/>
              </w:rPr>
              <w:t>/</w:t>
            </w:r>
            <w:proofErr w:type="spellStart"/>
            <w:r w:rsidRPr="00E57BA7">
              <w:rPr>
                <w:rFonts w:ascii="Arial Narrow" w:hAnsi="Arial Narrow"/>
                <w:sz w:val="18"/>
                <w:szCs w:val="18"/>
              </w:rPr>
              <w:t>L</w:t>
            </w:r>
            <w:r>
              <w:rPr>
                <w:rFonts w:ascii="Arial Narrow" w:hAnsi="Arial Narrow"/>
                <w:sz w:val="18"/>
                <w:szCs w:val="18"/>
                <w:vertAlign w:val="superscript"/>
              </w:rPr>
              <w:t>d</w:t>
            </w:r>
            <w:proofErr w:type="spellEnd"/>
          </w:p>
        </w:tc>
        <w:tc>
          <w:tcPr>
            <w:tcW w:w="0" w:type="auto"/>
          </w:tcPr>
          <w:p w:rsidR="00ED3BB0" w:rsidRPr="00E57BA7" w:rsidRDefault="00ED3BB0" w:rsidP="00950B6C">
            <w:pPr>
              <w:jc w:val="center"/>
              <w:rPr>
                <w:rFonts w:ascii="Arial Narrow" w:hAnsi="Arial Narrow"/>
                <w:i/>
                <w:sz w:val="18"/>
                <w:szCs w:val="18"/>
              </w:rPr>
            </w:pPr>
            <w:r w:rsidRPr="00E57BA7">
              <w:rPr>
                <w:rFonts w:ascii="Arial Narrow" w:hAnsi="Arial Narrow"/>
                <w:sz w:val="18"/>
                <w:szCs w:val="18"/>
              </w:rPr>
              <w:t>NR</w:t>
            </w:r>
          </w:p>
        </w:tc>
        <w:tc>
          <w:tcPr>
            <w:tcW w:w="0" w:type="auto"/>
          </w:tcPr>
          <w:p w:rsidR="00ED3BB0" w:rsidRPr="00E57BA7" w:rsidRDefault="00ED3BB0" w:rsidP="00950B6C">
            <w:pPr>
              <w:jc w:val="center"/>
              <w:rPr>
                <w:rFonts w:ascii="Arial Narrow" w:hAnsi="Arial Narrow"/>
                <w:i/>
                <w:sz w:val="18"/>
                <w:szCs w:val="18"/>
              </w:rPr>
            </w:pPr>
            <w:r w:rsidRPr="00E57BA7">
              <w:rPr>
                <w:rFonts w:ascii="Arial Narrow" w:hAnsi="Arial Narrow"/>
                <w:i/>
                <w:sz w:val="18"/>
                <w:szCs w:val="18"/>
              </w:rPr>
              <w:t>NR</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1.05 mg/</w:t>
            </w:r>
            <w:proofErr w:type="spellStart"/>
            <w:r w:rsidRPr="00E57BA7">
              <w:rPr>
                <w:rFonts w:ascii="Arial Narrow" w:hAnsi="Arial Narrow"/>
                <w:sz w:val="18"/>
                <w:szCs w:val="18"/>
              </w:rPr>
              <w:t>dL</w:t>
            </w:r>
            <w:proofErr w:type="spellEnd"/>
          </w:p>
          <w:p w:rsidR="00ED3BB0" w:rsidRPr="00E57BA7" w:rsidRDefault="00ED3BB0" w:rsidP="00950B6C">
            <w:pPr>
              <w:jc w:val="center"/>
              <w:rPr>
                <w:rFonts w:ascii="Arial Narrow" w:hAnsi="Arial Narrow"/>
                <w:i/>
                <w:sz w:val="18"/>
                <w:szCs w:val="18"/>
                <w:vertAlign w:val="superscript"/>
              </w:rPr>
            </w:pPr>
            <w:r w:rsidRPr="00E57BA7">
              <w:rPr>
                <w:rFonts w:ascii="Arial Narrow" w:hAnsi="Arial Narrow"/>
                <w:sz w:val="18"/>
                <w:szCs w:val="18"/>
              </w:rPr>
              <w:t>(0.27 – 1.7)</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135</w:t>
            </w:r>
          </w:p>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 60</w:t>
            </w:r>
            <w:r w:rsidR="004D7281">
              <w:rPr>
                <w:rFonts w:ascii="Arial Narrow" w:hAnsi="Arial Narrow"/>
                <w:sz w:val="18"/>
                <w:szCs w:val="18"/>
              </w:rPr>
              <w:t xml:space="preserve"> </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1.2±0.1 mg/</w:t>
            </w:r>
            <w:proofErr w:type="spellStart"/>
            <w:r w:rsidRPr="00E57BA7">
              <w:rPr>
                <w:rFonts w:ascii="Arial Narrow" w:hAnsi="Arial Narrow"/>
                <w:sz w:val="18"/>
                <w:szCs w:val="18"/>
              </w:rPr>
              <w:t>dL</w:t>
            </w:r>
            <w:proofErr w:type="spellEnd"/>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0.78±0.24 mg/</w:t>
            </w:r>
            <w:proofErr w:type="spellStart"/>
            <w:r w:rsidRPr="00E57BA7">
              <w:rPr>
                <w:rFonts w:ascii="Arial Narrow" w:hAnsi="Arial Narrow"/>
                <w:sz w:val="18"/>
                <w:szCs w:val="18"/>
              </w:rPr>
              <w:t>dL</w:t>
            </w:r>
            <w:proofErr w:type="spellEnd"/>
          </w:p>
        </w:tc>
      </w:tr>
      <w:tr w:rsidR="004D7281" w:rsidRPr="00E57BA7" w:rsidTr="00ED3BB0">
        <w:tc>
          <w:tcPr>
            <w:tcW w:w="0" w:type="auto"/>
          </w:tcPr>
          <w:p w:rsidR="00ED3BB0" w:rsidRPr="00E57BA7" w:rsidRDefault="00ED3BB0" w:rsidP="00BB2992">
            <w:pPr>
              <w:pStyle w:val="Tabletext"/>
              <w:rPr>
                <w:rFonts w:ascii="Arial Narrow" w:hAnsi="Arial Narrow"/>
                <w:sz w:val="18"/>
                <w:szCs w:val="18"/>
              </w:rPr>
            </w:pPr>
            <w:r w:rsidRPr="00E57BA7">
              <w:rPr>
                <w:rFonts w:ascii="Arial Narrow" w:hAnsi="Arial Narrow"/>
                <w:sz w:val="18"/>
                <w:szCs w:val="18"/>
              </w:rPr>
              <w:t xml:space="preserve">Recurrence of TMA in patients N </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4 (7%)</w:t>
            </w:r>
          </w:p>
        </w:tc>
        <w:tc>
          <w:tcPr>
            <w:tcW w:w="0" w:type="auto"/>
          </w:tcPr>
          <w:p w:rsidR="00ED3BB0" w:rsidRPr="00E57BA7" w:rsidRDefault="00ED3BB0" w:rsidP="0094416E">
            <w:pPr>
              <w:jc w:val="center"/>
              <w:rPr>
                <w:rFonts w:ascii="Arial Narrow" w:hAnsi="Arial Narrow"/>
                <w:sz w:val="18"/>
                <w:szCs w:val="18"/>
              </w:rPr>
            </w:pPr>
            <w:r w:rsidRPr="00E57BA7">
              <w:rPr>
                <w:rFonts w:ascii="Arial Narrow" w:hAnsi="Arial Narrow"/>
                <w:sz w:val="18"/>
                <w:szCs w:val="18"/>
              </w:rPr>
              <w:t>0</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0</w:t>
            </w:r>
          </w:p>
          <w:p w:rsidR="00ED3BB0" w:rsidRPr="00E57BA7" w:rsidRDefault="00ED3BB0" w:rsidP="00950B6C">
            <w:pPr>
              <w:jc w:val="center"/>
              <w:rPr>
                <w:rFonts w:ascii="Arial Narrow" w:hAnsi="Arial Narrow"/>
                <w:sz w:val="18"/>
                <w:szCs w:val="18"/>
                <w:vertAlign w:val="superscript"/>
              </w:rPr>
            </w:pPr>
            <w:r w:rsidRPr="00E57BA7">
              <w:rPr>
                <w:rFonts w:ascii="Arial Narrow" w:hAnsi="Arial Narrow"/>
                <w:sz w:val="18"/>
                <w:szCs w:val="18"/>
              </w:rPr>
              <w:t>(1 rejection)</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2</w:t>
            </w:r>
            <w:r w:rsidR="004D7281">
              <w:rPr>
                <w:rFonts w:ascii="Arial Narrow" w:hAnsi="Arial Narrow"/>
                <w:sz w:val="18"/>
                <w:szCs w:val="18"/>
              </w:rPr>
              <w:t xml:space="preserve"> (18%)</w:t>
            </w:r>
          </w:p>
          <w:p w:rsidR="00ED3BB0" w:rsidRPr="00E57BA7" w:rsidRDefault="006649BF" w:rsidP="00950B6C">
            <w:pPr>
              <w:jc w:val="center"/>
              <w:rPr>
                <w:rFonts w:ascii="Arial Narrow" w:hAnsi="Arial Narrow"/>
                <w:sz w:val="18"/>
                <w:szCs w:val="18"/>
              </w:rPr>
            </w:pPr>
            <w:r>
              <w:rPr>
                <w:rFonts w:ascii="Arial Narrow" w:hAnsi="Arial Narrow"/>
                <w:sz w:val="18"/>
                <w:szCs w:val="18"/>
              </w:rPr>
              <w:t>(not treated per</w:t>
            </w:r>
            <w:r w:rsidR="00ED3BB0" w:rsidRPr="00E57BA7">
              <w:rPr>
                <w:rFonts w:ascii="Arial Narrow" w:hAnsi="Arial Narrow"/>
                <w:sz w:val="18"/>
                <w:szCs w:val="18"/>
              </w:rPr>
              <w:t>i-transplant)</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NR</w:t>
            </w:r>
          </w:p>
        </w:tc>
        <w:tc>
          <w:tcPr>
            <w:tcW w:w="0" w:type="auto"/>
          </w:tcPr>
          <w:p w:rsidR="00ED3BB0" w:rsidRPr="00E57BA7" w:rsidRDefault="00ED3BB0" w:rsidP="00950B6C">
            <w:pPr>
              <w:jc w:val="center"/>
              <w:rPr>
                <w:rFonts w:ascii="Arial Narrow" w:hAnsi="Arial Narrow"/>
                <w:sz w:val="18"/>
                <w:szCs w:val="18"/>
              </w:rPr>
            </w:pPr>
            <w:r w:rsidRPr="00E57BA7">
              <w:rPr>
                <w:rFonts w:ascii="Arial Narrow" w:hAnsi="Arial Narrow"/>
                <w:sz w:val="18"/>
                <w:szCs w:val="18"/>
              </w:rPr>
              <w:t>1</w:t>
            </w:r>
          </w:p>
        </w:tc>
      </w:tr>
      <w:tr w:rsidR="004D7281" w:rsidRPr="00E57BA7" w:rsidTr="00ED3BB0">
        <w:tc>
          <w:tcPr>
            <w:tcW w:w="0" w:type="auto"/>
            <w:tcBorders>
              <w:bottom w:val="single" w:sz="4" w:space="0" w:color="auto"/>
            </w:tcBorders>
          </w:tcPr>
          <w:p w:rsidR="00ED3BB0" w:rsidRPr="00E57BA7" w:rsidRDefault="00ED3BB0" w:rsidP="00BB2992">
            <w:pPr>
              <w:pStyle w:val="Tabletext"/>
              <w:rPr>
                <w:rFonts w:ascii="Arial Narrow" w:hAnsi="Arial Narrow"/>
                <w:sz w:val="18"/>
                <w:szCs w:val="18"/>
                <w:vertAlign w:val="superscript"/>
              </w:rPr>
            </w:pPr>
            <w:r w:rsidRPr="00E57BA7">
              <w:rPr>
                <w:rFonts w:ascii="Arial Narrow" w:hAnsi="Arial Narrow"/>
                <w:sz w:val="18"/>
                <w:szCs w:val="18"/>
              </w:rPr>
              <w:t>Duration of time to TMA, median (range), months</w:t>
            </w:r>
          </w:p>
        </w:tc>
        <w:tc>
          <w:tcPr>
            <w:tcW w:w="0" w:type="auto"/>
            <w:tcBorders>
              <w:bottom w:val="single" w:sz="4" w:space="0" w:color="auto"/>
            </w:tcBorders>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11.4</w:t>
            </w:r>
          </w:p>
          <w:p w:rsidR="00ED3BB0" w:rsidRPr="00E57BA7" w:rsidRDefault="00ED3BB0" w:rsidP="00BB2992">
            <w:pPr>
              <w:jc w:val="center"/>
              <w:rPr>
                <w:rFonts w:ascii="Arial Narrow" w:hAnsi="Arial Narrow"/>
                <w:sz w:val="18"/>
                <w:szCs w:val="18"/>
              </w:rPr>
            </w:pPr>
            <w:r w:rsidRPr="00E57BA7">
              <w:rPr>
                <w:rFonts w:ascii="Arial Narrow" w:hAnsi="Arial Narrow"/>
                <w:sz w:val="18"/>
                <w:szCs w:val="18"/>
              </w:rPr>
              <w:t>(4.3 – 21.5)</w:t>
            </w:r>
          </w:p>
        </w:tc>
        <w:tc>
          <w:tcPr>
            <w:tcW w:w="0" w:type="auto"/>
            <w:tcBorders>
              <w:bottom w:val="single" w:sz="4" w:space="0" w:color="auto"/>
            </w:tcBorders>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NA</w:t>
            </w:r>
          </w:p>
        </w:tc>
        <w:tc>
          <w:tcPr>
            <w:tcW w:w="0" w:type="auto"/>
            <w:tcBorders>
              <w:bottom w:val="single" w:sz="4" w:space="0" w:color="auto"/>
            </w:tcBorders>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NA</w:t>
            </w:r>
          </w:p>
        </w:tc>
        <w:tc>
          <w:tcPr>
            <w:tcW w:w="0" w:type="auto"/>
            <w:tcBorders>
              <w:bottom w:val="single" w:sz="4" w:space="0" w:color="auto"/>
            </w:tcBorders>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day 6 and 25</w:t>
            </w:r>
          </w:p>
        </w:tc>
        <w:tc>
          <w:tcPr>
            <w:tcW w:w="0" w:type="auto"/>
            <w:tcBorders>
              <w:bottom w:val="single" w:sz="4" w:space="0" w:color="auto"/>
            </w:tcBorders>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NA</w:t>
            </w:r>
          </w:p>
        </w:tc>
        <w:tc>
          <w:tcPr>
            <w:tcW w:w="0" w:type="auto"/>
            <w:tcBorders>
              <w:bottom w:val="single" w:sz="4" w:space="0" w:color="auto"/>
            </w:tcBorders>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1</w:t>
            </w:r>
          </w:p>
        </w:tc>
      </w:tr>
      <w:tr w:rsidR="004D7281" w:rsidRPr="00E57BA7" w:rsidTr="00ED3BB0">
        <w:tc>
          <w:tcPr>
            <w:tcW w:w="0" w:type="auto"/>
          </w:tcPr>
          <w:p w:rsidR="00ED3BB0" w:rsidRPr="00E57BA7" w:rsidRDefault="00ED3BB0" w:rsidP="0066178B">
            <w:pPr>
              <w:pStyle w:val="Tabletext"/>
              <w:rPr>
                <w:rFonts w:ascii="Arial Narrow" w:hAnsi="Arial Narrow"/>
                <w:sz w:val="18"/>
                <w:szCs w:val="18"/>
              </w:rPr>
            </w:pPr>
            <w:r w:rsidRPr="00E57BA7">
              <w:rPr>
                <w:rFonts w:ascii="Arial Narrow" w:hAnsi="Arial Narrow"/>
                <w:sz w:val="18"/>
                <w:szCs w:val="18"/>
              </w:rPr>
              <w:t>Satisfactory allograft function at last follow-up, N (%)</w:t>
            </w:r>
          </w:p>
        </w:tc>
        <w:tc>
          <w:tcPr>
            <w:tcW w:w="0" w:type="auto"/>
          </w:tcPr>
          <w:p w:rsidR="00ED3BB0" w:rsidRDefault="00ED3BB0" w:rsidP="005E1665">
            <w:pPr>
              <w:jc w:val="center"/>
              <w:rPr>
                <w:rFonts w:ascii="Arial Narrow" w:hAnsi="Arial Narrow"/>
                <w:sz w:val="18"/>
                <w:szCs w:val="18"/>
              </w:rPr>
            </w:pPr>
            <w:r w:rsidRPr="00E57BA7">
              <w:rPr>
                <w:rFonts w:ascii="Arial Narrow" w:hAnsi="Arial Narrow"/>
                <w:sz w:val="18"/>
                <w:szCs w:val="18"/>
              </w:rPr>
              <w:t>NR</w:t>
            </w:r>
          </w:p>
          <w:p w:rsidR="004D7281" w:rsidRPr="00E57BA7" w:rsidRDefault="004D7281" w:rsidP="005E1665">
            <w:pPr>
              <w:jc w:val="center"/>
              <w:rPr>
                <w:rFonts w:ascii="Arial Narrow" w:hAnsi="Arial Narrow"/>
                <w:sz w:val="18"/>
                <w:szCs w:val="18"/>
              </w:rPr>
            </w:pPr>
            <w:r>
              <w:rPr>
                <w:rFonts w:ascii="Arial Narrow" w:hAnsi="Arial Narrow"/>
                <w:sz w:val="18"/>
                <w:szCs w:val="18"/>
              </w:rPr>
              <w:t>(55 inferred from as no dialysis required)</w:t>
            </w:r>
          </w:p>
        </w:tc>
        <w:tc>
          <w:tcPr>
            <w:tcW w:w="0" w:type="auto"/>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13 (93%)</w:t>
            </w:r>
          </w:p>
        </w:tc>
        <w:tc>
          <w:tcPr>
            <w:tcW w:w="0" w:type="auto"/>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9 (100%)</w:t>
            </w:r>
          </w:p>
        </w:tc>
        <w:tc>
          <w:tcPr>
            <w:tcW w:w="0" w:type="auto"/>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11 (100%)</w:t>
            </w:r>
          </w:p>
        </w:tc>
        <w:tc>
          <w:tcPr>
            <w:tcW w:w="0" w:type="auto"/>
          </w:tcPr>
          <w:p w:rsidR="00ED3BB0" w:rsidRPr="00E57BA7" w:rsidRDefault="00ED3BB0" w:rsidP="0066178B">
            <w:pPr>
              <w:jc w:val="center"/>
              <w:rPr>
                <w:rFonts w:ascii="Arial Narrow" w:hAnsi="Arial Narrow"/>
                <w:sz w:val="18"/>
                <w:szCs w:val="18"/>
              </w:rPr>
            </w:pPr>
            <w:r w:rsidRPr="00E57BA7">
              <w:rPr>
                <w:rFonts w:ascii="Arial Narrow" w:hAnsi="Arial Narrow"/>
                <w:sz w:val="18"/>
                <w:szCs w:val="18"/>
              </w:rPr>
              <w:t>3 (100%)</w:t>
            </w:r>
          </w:p>
        </w:tc>
        <w:tc>
          <w:tcPr>
            <w:tcW w:w="0" w:type="auto"/>
          </w:tcPr>
          <w:p w:rsidR="00ED3BB0" w:rsidRPr="00E57BA7" w:rsidRDefault="00ED3BB0" w:rsidP="005E1665">
            <w:pPr>
              <w:jc w:val="center"/>
              <w:rPr>
                <w:rFonts w:ascii="Arial Narrow" w:hAnsi="Arial Narrow"/>
                <w:sz w:val="18"/>
                <w:szCs w:val="18"/>
              </w:rPr>
            </w:pPr>
            <w:r w:rsidRPr="00E57BA7">
              <w:rPr>
                <w:rFonts w:ascii="Arial Narrow" w:hAnsi="Arial Narrow"/>
                <w:sz w:val="18"/>
                <w:szCs w:val="18"/>
              </w:rPr>
              <w:t>4</w:t>
            </w:r>
            <w:r w:rsidR="008E11C7">
              <w:rPr>
                <w:rFonts w:ascii="Arial Narrow" w:hAnsi="Arial Narrow"/>
                <w:sz w:val="18"/>
                <w:szCs w:val="18"/>
              </w:rPr>
              <w:t xml:space="preserve"> (100%)</w:t>
            </w:r>
          </w:p>
        </w:tc>
      </w:tr>
      <w:tr w:rsidR="004D7281" w:rsidRPr="00E57BA7" w:rsidTr="00ED3BB0">
        <w:tc>
          <w:tcPr>
            <w:tcW w:w="0" w:type="auto"/>
          </w:tcPr>
          <w:p w:rsidR="00ED3BB0" w:rsidRPr="00E57BA7" w:rsidRDefault="00ED3BB0" w:rsidP="00BB2992">
            <w:pPr>
              <w:pStyle w:val="Tabletext"/>
              <w:rPr>
                <w:rFonts w:ascii="Arial Narrow" w:hAnsi="Arial Narrow"/>
                <w:sz w:val="16"/>
                <w:szCs w:val="16"/>
              </w:rPr>
            </w:pPr>
            <w:r w:rsidRPr="00E57BA7">
              <w:rPr>
                <w:rFonts w:ascii="Arial Narrow" w:hAnsi="Arial Narrow"/>
                <w:sz w:val="16"/>
                <w:szCs w:val="16"/>
              </w:rPr>
              <w:t>Death (all causes) N (%)</w:t>
            </w:r>
          </w:p>
        </w:tc>
        <w:tc>
          <w:tcPr>
            <w:tcW w:w="0" w:type="auto"/>
          </w:tcPr>
          <w:p w:rsidR="00ED3BB0" w:rsidRPr="00E57BA7" w:rsidRDefault="00ED3BB0" w:rsidP="00950B6C">
            <w:pPr>
              <w:jc w:val="center"/>
              <w:rPr>
                <w:rFonts w:ascii="Arial Narrow" w:hAnsi="Arial Narrow"/>
                <w:sz w:val="16"/>
                <w:szCs w:val="16"/>
              </w:rPr>
            </w:pPr>
            <w:r w:rsidRPr="00E57BA7">
              <w:rPr>
                <w:rFonts w:ascii="Arial Narrow" w:hAnsi="Arial Narrow"/>
                <w:sz w:val="16"/>
                <w:szCs w:val="16"/>
              </w:rPr>
              <w:t>1 (2%)</w:t>
            </w:r>
          </w:p>
        </w:tc>
        <w:tc>
          <w:tcPr>
            <w:tcW w:w="0" w:type="auto"/>
          </w:tcPr>
          <w:p w:rsidR="00ED3BB0" w:rsidRPr="00E57BA7" w:rsidRDefault="00ED3BB0" w:rsidP="00950B6C">
            <w:pPr>
              <w:jc w:val="center"/>
              <w:rPr>
                <w:rFonts w:ascii="Arial Narrow" w:hAnsi="Arial Narrow"/>
                <w:sz w:val="16"/>
                <w:szCs w:val="16"/>
              </w:rPr>
            </w:pPr>
            <w:r w:rsidRPr="00E57BA7">
              <w:rPr>
                <w:rFonts w:ascii="Arial Narrow" w:hAnsi="Arial Narrow"/>
                <w:sz w:val="16"/>
                <w:szCs w:val="16"/>
              </w:rPr>
              <w:t>NR</w:t>
            </w:r>
          </w:p>
        </w:tc>
        <w:tc>
          <w:tcPr>
            <w:tcW w:w="0" w:type="auto"/>
          </w:tcPr>
          <w:p w:rsidR="00ED3BB0" w:rsidRPr="00E57BA7" w:rsidRDefault="00ED3BB0" w:rsidP="00950B6C">
            <w:pPr>
              <w:jc w:val="center"/>
              <w:rPr>
                <w:rFonts w:ascii="Arial Narrow" w:hAnsi="Arial Narrow"/>
                <w:sz w:val="16"/>
                <w:szCs w:val="16"/>
              </w:rPr>
            </w:pPr>
            <w:r w:rsidRPr="00E57BA7">
              <w:rPr>
                <w:rFonts w:ascii="Arial Narrow" w:hAnsi="Arial Narrow"/>
                <w:sz w:val="16"/>
                <w:szCs w:val="16"/>
              </w:rPr>
              <w:t>0</w:t>
            </w:r>
          </w:p>
        </w:tc>
        <w:tc>
          <w:tcPr>
            <w:tcW w:w="0" w:type="auto"/>
          </w:tcPr>
          <w:p w:rsidR="00ED3BB0" w:rsidRPr="00E57BA7" w:rsidRDefault="00ED3BB0" w:rsidP="00950B6C">
            <w:pPr>
              <w:jc w:val="center"/>
              <w:rPr>
                <w:rFonts w:ascii="Arial Narrow" w:hAnsi="Arial Narrow"/>
                <w:sz w:val="16"/>
                <w:szCs w:val="16"/>
              </w:rPr>
            </w:pPr>
            <w:r w:rsidRPr="00E57BA7">
              <w:rPr>
                <w:rFonts w:ascii="Arial Narrow" w:hAnsi="Arial Narrow"/>
                <w:sz w:val="16"/>
                <w:szCs w:val="16"/>
              </w:rPr>
              <w:t>0</w:t>
            </w:r>
          </w:p>
        </w:tc>
        <w:tc>
          <w:tcPr>
            <w:tcW w:w="0" w:type="auto"/>
          </w:tcPr>
          <w:p w:rsidR="00ED3BB0" w:rsidRPr="00E57BA7" w:rsidRDefault="00ED3BB0" w:rsidP="00950B6C">
            <w:pPr>
              <w:jc w:val="center"/>
              <w:rPr>
                <w:rFonts w:ascii="Arial Narrow" w:hAnsi="Arial Narrow"/>
                <w:sz w:val="16"/>
                <w:szCs w:val="16"/>
              </w:rPr>
            </w:pPr>
            <w:r w:rsidRPr="00E57BA7">
              <w:rPr>
                <w:rFonts w:ascii="Arial Narrow" w:hAnsi="Arial Narrow"/>
                <w:sz w:val="16"/>
                <w:szCs w:val="16"/>
              </w:rPr>
              <w:t>0</w:t>
            </w:r>
          </w:p>
        </w:tc>
        <w:tc>
          <w:tcPr>
            <w:tcW w:w="0" w:type="auto"/>
          </w:tcPr>
          <w:p w:rsidR="00ED3BB0" w:rsidRPr="00E57BA7" w:rsidRDefault="00ED3BB0" w:rsidP="00950B6C">
            <w:pPr>
              <w:jc w:val="center"/>
              <w:rPr>
                <w:rFonts w:ascii="Arial Narrow" w:hAnsi="Arial Narrow"/>
                <w:sz w:val="16"/>
                <w:szCs w:val="16"/>
              </w:rPr>
            </w:pPr>
            <w:r w:rsidRPr="00E57BA7">
              <w:rPr>
                <w:rFonts w:ascii="Arial Narrow" w:hAnsi="Arial Narrow"/>
                <w:sz w:val="16"/>
                <w:szCs w:val="16"/>
              </w:rPr>
              <w:t>0</w:t>
            </w:r>
          </w:p>
        </w:tc>
      </w:tr>
    </w:tbl>
    <w:p w:rsidR="00E57BA7" w:rsidRDefault="00E57BA7" w:rsidP="00950B6C">
      <w:pPr>
        <w:pStyle w:val="TableFooter"/>
        <w:ind w:left="709"/>
        <w:rPr>
          <w:sz w:val="16"/>
          <w:szCs w:val="16"/>
        </w:rPr>
        <w:sectPr w:rsidR="00E57BA7" w:rsidSect="00C6047C">
          <w:pgSz w:w="16838" w:h="11906" w:orient="landscape" w:code="9"/>
          <w:pgMar w:top="1440" w:right="1440" w:bottom="1440" w:left="1440" w:header="1440" w:footer="1440" w:gutter="0"/>
          <w:cols w:space="708"/>
          <w:docGrid w:linePitch="360"/>
        </w:sectPr>
      </w:pPr>
    </w:p>
    <w:p w:rsidR="00950B6C" w:rsidRPr="00E57BA7" w:rsidRDefault="00950B6C" w:rsidP="00FD55AD">
      <w:pPr>
        <w:pStyle w:val="TableFooter"/>
        <w:rPr>
          <w:sz w:val="16"/>
          <w:szCs w:val="16"/>
        </w:rPr>
      </w:pPr>
      <w:r w:rsidRPr="00E57BA7">
        <w:rPr>
          <w:sz w:val="16"/>
          <w:szCs w:val="16"/>
        </w:rPr>
        <w:t xml:space="preserve">NA = not applicable; NR = not reported; SD = standard deviation; TMA = thrombotic </w:t>
      </w:r>
      <w:proofErr w:type="spellStart"/>
      <w:r w:rsidRPr="00E57BA7">
        <w:rPr>
          <w:sz w:val="16"/>
          <w:szCs w:val="16"/>
        </w:rPr>
        <w:t>microangiopathy</w:t>
      </w:r>
      <w:proofErr w:type="spellEnd"/>
      <w:r w:rsidR="00E57BA7" w:rsidRPr="00E57BA7">
        <w:rPr>
          <w:sz w:val="16"/>
          <w:szCs w:val="16"/>
        </w:rPr>
        <w:t xml:space="preserve">; </w:t>
      </w:r>
      <w:proofErr w:type="spellStart"/>
      <w:r w:rsidR="00E57BA7" w:rsidRPr="00E57BA7">
        <w:rPr>
          <w:sz w:val="16"/>
          <w:szCs w:val="16"/>
        </w:rPr>
        <w:t>Ec</w:t>
      </w:r>
      <w:proofErr w:type="spellEnd"/>
      <w:r w:rsidR="00E57BA7" w:rsidRPr="00E57BA7">
        <w:rPr>
          <w:sz w:val="16"/>
          <w:szCs w:val="16"/>
        </w:rPr>
        <w:t xml:space="preserve"> = </w:t>
      </w:r>
      <w:proofErr w:type="spellStart"/>
      <w:r w:rsidR="00E57BA7" w:rsidRPr="00E57BA7">
        <w:rPr>
          <w:sz w:val="16"/>
          <w:szCs w:val="16"/>
        </w:rPr>
        <w:t>eculizumab</w:t>
      </w:r>
      <w:proofErr w:type="spellEnd"/>
    </w:p>
    <w:p w:rsidR="00950B6C" w:rsidRPr="00E57BA7" w:rsidRDefault="00950B6C" w:rsidP="00FD55AD">
      <w:pPr>
        <w:pStyle w:val="TableFooter"/>
        <w:rPr>
          <w:sz w:val="16"/>
          <w:szCs w:val="16"/>
        </w:rPr>
      </w:pPr>
      <w:proofErr w:type="gramStart"/>
      <w:r w:rsidRPr="00E57BA7">
        <w:rPr>
          <w:sz w:val="16"/>
          <w:szCs w:val="16"/>
          <w:vertAlign w:val="superscript"/>
        </w:rPr>
        <w:t>a</w:t>
      </w:r>
      <w:proofErr w:type="gramEnd"/>
      <w:r w:rsidRPr="00E57BA7">
        <w:rPr>
          <w:sz w:val="16"/>
          <w:szCs w:val="16"/>
          <w:vertAlign w:val="superscript"/>
        </w:rPr>
        <w:t xml:space="preserve"> </w:t>
      </w:r>
      <w:r w:rsidR="00E07C58" w:rsidRPr="00E57BA7">
        <w:rPr>
          <w:sz w:val="16"/>
          <w:szCs w:val="16"/>
        </w:rPr>
        <w:t>Numbers reported as per the provided abstract, the submission claimed N=69 (not supported by reference)</w:t>
      </w:r>
      <w:r w:rsidR="004507B6" w:rsidRPr="00E57BA7">
        <w:rPr>
          <w:sz w:val="16"/>
          <w:szCs w:val="16"/>
        </w:rPr>
        <w:t>.</w:t>
      </w:r>
    </w:p>
    <w:p w:rsidR="0094416E" w:rsidRPr="00E57BA7" w:rsidRDefault="00ED3BB0" w:rsidP="00FD55AD">
      <w:pPr>
        <w:pStyle w:val="TableFooter"/>
        <w:rPr>
          <w:sz w:val="16"/>
          <w:szCs w:val="16"/>
        </w:rPr>
      </w:pPr>
      <w:proofErr w:type="gramStart"/>
      <w:r>
        <w:rPr>
          <w:sz w:val="16"/>
          <w:szCs w:val="16"/>
          <w:vertAlign w:val="superscript"/>
        </w:rPr>
        <w:t>b</w:t>
      </w:r>
      <w:proofErr w:type="gramEnd"/>
      <w:r w:rsidR="0094416E" w:rsidRPr="00E57BA7">
        <w:rPr>
          <w:sz w:val="16"/>
          <w:szCs w:val="16"/>
        </w:rPr>
        <w:t xml:space="preserve"> Only patients receiving </w:t>
      </w:r>
      <w:proofErr w:type="spellStart"/>
      <w:r w:rsidR="0094416E" w:rsidRPr="00E57BA7">
        <w:rPr>
          <w:sz w:val="16"/>
          <w:szCs w:val="16"/>
        </w:rPr>
        <w:t>eculizumab</w:t>
      </w:r>
      <w:proofErr w:type="spellEnd"/>
      <w:r w:rsidR="0094416E" w:rsidRPr="00E57BA7">
        <w:rPr>
          <w:sz w:val="16"/>
          <w:szCs w:val="16"/>
        </w:rPr>
        <w:t xml:space="preserve"> peri-transplant were included in the data presented.</w:t>
      </w:r>
    </w:p>
    <w:p w:rsidR="00950B6C" w:rsidRPr="00E57BA7" w:rsidRDefault="00ED3BB0" w:rsidP="00E57BA7">
      <w:pPr>
        <w:pStyle w:val="TableFooter"/>
        <w:ind w:left="284"/>
        <w:rPr>
          <w:sz w:val="16"/>
          <w:szCs w:val="16"/>
        </w:rPr>
      </w:pPr>
      <w:proofErr w:type="gramStart"/>
      <w:r>
        <w:rPr>
          <w:sz w:val="16"/>
          <w:szCs w:val="16"/>
          <w:vertAlign w:val="superscript"/>
        </w:rPr>
        <w:t>c</w:t>
      </w:r>
      <w:proofErr w:type="gramEnd"/>
      <w:r w:rsidR="00950B6C" w:rsidRPr="00E57BA7">
        <w:rPr>
          <w:sz w:val="16"/>
          <w:szCs w:val="16"/>
        </w:rPr>
        <w:t xml:space="preserve"> Duration of follow-up </w:t>
      </w:r>
      <w:proofErr w:type="spellStart"/>
      <w:r w:rsidR="00BB2992" w:rsidRPr="00E57BA7">
        <w:rPr>
          <w:sz w:val="16"/>
          <w:szCs w:val="16"/>
        </w:rPr>
        <w:t>post transplant</w:t>
      </w:r>
      <w:proofErr w:type="spellEnd"/>
      <w:r w:rsidR="00950B6C" w:rsidRPr="00E57BA7">
        <w:rPr>
          <w:sz w:val="16"/>
          <w:szCs w:val="16"/>
        </w:rPr>
        <w:t>.</w:t>
      </w:r>
    </w:p>
    <w:p w:rsidR="00950B6C" w:rsidRPr="00E57BA7" w:rsidRDefault="00ED3BB0" w:rsidP="00E57BA7">
      <w:pPr>
        <w:pStyle w:val="TableFooter"/>
        <w:ind w:left="284"/>
        <w:rPr>
          <w:sz w:val="16"/>
          <w:szCs w:val="16"/>
        </w:rPr>
      </w:pPr>
      <w:proofErr w:type="gramStart"/>
      <w:r>
        <w:rPr>
          <w:sz w:val="16"/>
          <w:szCs w:val="16"/>
          <w:vertAlign w:val="superscript"/>
        </w:rPr>
        <w:t>d</w:t>
      </w:r>
      <w:proofErr w:type="gramEnd"/>
      <w:r w:rsidR="00E57BA7" w:rsidRPr="00E57BA7">
        <w:rPr>
          <w:sz w:val="16"/>
          <w:szCs w:val="16"/>
          <w:vertAlign w:val="superscript"/>
        </w:rPr>
        <w:t xml:space="preserve"> </w:t>
      </w:r>
      <w:r w:rsidR="00E57BA7" w:rsidRPr="00E57BA7">
        <w:rPr>
          <w:sz w:val="16"/>
          <w:szCs w:val="16"/>
        </w:rPr>
        <w:t>At last reported follow-up.</w:t>
      </w:r>
    </w:p>
    <w:p w:rsidR="00950B6C" w:rsidRPr="00E57BA7" w:rsidRDefault="00950B6C" w:rsidP="00E57BA7">
      <w:pPr>
        <w:pStyle w:val="TableFooter"/>
        <w:ind w:left="284"/>
        <w:rPr>
          <w:i/>
          <w:sz w:val="16"/>
          <w:szCs w:val="16"/>
        </w:rPr>
      </w:pPr>
      <w:r w:rsidRPr="00E57BA7">
        <w:rPr>
          <w:i/>
          <w:sz w:val="16"/>
          <w:szCs w:val="16"/>
        </w:rPr>
        <w:t>Source: Table constructed during the evaluation.</w:t>
      </w:r>
    </w:p>
    <w:p w:rsidR="00E57BA7" w:rsidRDefault="00E57BA7" w:rsidP="009B0F67">
      <w:pPr>
        <w:pStyle w:val="ListParagraph"/>
        <w:ind w:left="709"/>
        <w:rPr>
          <w:rFonts w:asciiTheme="minorHAnsi" w:hAnsiTheme="minorHAnsi"/>
          <w:szCs w:val="22"/>
        </w:rPr>
        <w:sectPr w:rsidR="00E57BA7" w:rsidSect="00E57BA7">
          <w:type w:val="continuous"/>
          <w:pgSz w:w="16838" w:h="11906" w:orient="landscape" w:code="9"/>
          <w:pgMar w:top="1440" w:right="1440" w:bottom="1440" w:left="1440" w:header="1440" w:footer="1440" w:gutter="0"/>
          <w:pgNumType w:start="1"/>
          <w:cols w:num="2" w:space="110"/>
          <w:docGrid w:linePitch="360"/>
        </w:sectPr>
      </w:pPr>
    </w:p>
    <w:p w:rsidR="00950B6C" w:rsidRDefault="00950B6C" w:rsidP="009B0F67">
      <w:pPr>
        <w:pStyle w:val="ListParagraph"/>
        <w:ind w:left="709"/>
        <w:rPr>
          <w:rFonts w:asciiTheme="minorHAnsi" w:hAnsiTheme="minorHAnsi"/>
          <w:szCs w:val="22"/>
        </w:rPr>
      </w:pPr>
    </w:p>
    <w:p w:rsidR="00771DE8" w:rsidRDefault="00771DE8" w:rsidP="009B0F67">
      <w:pPr>
        <w:pStyle w:val="ListParagraph"/>
        <w:ind w:left="709"/>
        <w:rPr>
          <w:rFonts w:asciiTheme="minorHAnsi" w:hAnsiTheme="minorHAnsi"/>
          <w:szCs w:val="22"/>
        </w:rPr>
        <w:sectPr w:rsidR="00771DE8" w:rsidSect="00E57BA7">
          <w:type w:val="continuous"/>
          <w:pgSz w:w="16838" w:h="11906" w:orient="landscape" w:code="9"/>
          <w:pgMar w:top="1440" w:right="1440" w:bottom="1440" w:left="1440" w:header="1440" w:footer="1440" w:gutter="0"/>
          <w:pgNumType w:start="1"/>
          <w:cols w:space="708"/>
          <w:docGrid w:linePitch="360"/>
        </w:sectPr>
      </w:pPr>
    </w:p>
    <w:p w:rsidR="00771DE8" w:rsidRPr="00617D5D" w:rsidRDefault="00072E19" w:rsidP="00FC668B">
      <w:pPr>
        <w:pStyle w:val="ListParagraph"/>
        <w:numPr>
          <w:ilvl w:val="1"/>
          <w:numId w:val="5"/>
        </w:numPr>
        <w:ind w:left="709"/>
        <w:rPr>
          <w:rFonts w:asciiTheme="minorHAnsi" w:hAnsiTheme="minorHAnsi"/>
          <w:sz w:val="24"/>
          <w:szCs w:val="24"/>
        </w:rPr>
      </w:pPr>
      <w:r w:rsidRPr="00617D5D">
        <w:rPr>
          <w:rFonts w:asciiTheme="minorHAnsi" w:hAnsiTheme="minorHAnsi"/>
          <w:sz w:val="24"/>
          <w:szCs w:val="24"/>
        </w:rPr>
        <w:t xml:space="preserve">A total of 98 previously </w:t>
      </w:r>
      <w:r w:rsidR="00084D38" w:rsidRPr="00617D5D">
        <w:rPr>
          <w:rFonts w:asciiTheme="minorHAnsi" w:hAnsiTheme="minorHAnsi"/>
          <w:sz w:val="24"/>
          <w:szCs w:val="24"/>
        </w:rPr>
        <w:t>un-</w:t>
      </w:r>
      <w:r w:rsidRPr="00617D5D">
        <w:rPr>
          <w:rFonts w:asciiTheme="minorHAnsi" w:hAnsiTheme="minorHAnsi"/>
          <w:sz w:val="24"/>
          <w:szCs w:val="24"/>
        </w:rPr>
        <w:t xml:space="preserve">assessed cases of prophylactic peri-transplant use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in renal transplant patients were presented in the submission. </w:t>
      </w:r>
      <w:r w:rsidR="003A068D">
        <w:rPr>
          <w:rFonts w:asciiTheme="minorHAnsi" w:hAnsiTheme="minorHAnsi"/>
          <w:sz w:val="24"/>
          <w:szCs w:val="24"/>
        </w:rPr>
        <w:t xml:space="preserve"> </w:t>
      </w:r>
      <w:r w:rsidR="007F74EF" w:rsidRPr="00617D5D">
        <w:rPr>
          <w:rFonts w:asciiTheme="minorHAnsi" w:hAnsiTheme="minorHAnsi"/>
          <w:sz w:val="24"/>
          <w:szCs w:val="24"/>
        </w:rPr>
        <w:t xml:space="preserve">Of the 98 patients </w:t>
      </w:r>
      <w:r w:rsidR="008E11C7" w:rsidRPr="00617D5D">
        <w:rPr>
          <w:rFonts w:asciiTheme="minorHAnsi" w:hAnsiTheme="minorHAnsi"/>
          <w:sz w:val="24"/>
          <w:szCs w:val="24"/>
        </w:rPr>
        <w:t>95</w:t>
      </w:r>
      <w:r w:rsidR="007F74EF" w:rsidRPr="00617D5D">
        <w:rPr>
          <w:rFonts w:asciiTheme="minorHAnsi" w:hAnsiTheme="minorHAnsi"/>
          <w:sz w:val="24"/>
          <w:szCs w:val="24"/>
        </w:rPr>
        <w:t xml:space="preserve"> (</w:t>
      </w:r>
      <w:r w:rsidR="008E11C7" w:rsidRPr="00617D5D">
        <w:rPr>
          <w:rFonts w:asciiTheme="minorHAnsi" w:hAnsiTheme="minorHAnsi"/>
          <w:sz w:val="24"/>
          <w:szCs w:val="24"/>
        </w:rPr>
        <w:t>97</w:t>
      </w:r>
      <w:r w:rsidR="007F74EF" w:rsidRPr="00617D5D">
        <w:rPr>
          <w:rFonts w:asciiTheme="minorHAnsi" w:hAnsiTheme="minorHAnsi"/>
          <w:sz w:val="24"/>
          <w:szCs w:val="24"/>
        </w:rPr>
        <w:t xml:space="preserve">%) maintained satisfactory allograft function over the duration of follow-up ranging from between </w:t>
      </w:r>
      <w:r w:rsidR="00D67CE8" w:rsidRPr="00617D5D">
        <w:rPr>
          <w:rFonts w:asciiTheme="minorHAnsi" w:hAnsiTheme="minorHAnsi"/>
          <w:sz w:val="24"/>
          <w:szCs w:val="24"/>
        </w:rPr>
        <w:t>2 months to 5 ye</w:t>
      </w:r>
      <w:r w:rsidR="00ED3BB0" w:rsidRPr="00617D5D">
        <w:rPr>
          <w:rFonts w:asciiTheme="minorHAnsi" w:hAnsiTheme="minorHAnsi"/>
          <w:sz w:val="24"/>
          <w:szCs w:val="24"/>
        </w:rPr>
        <w:t>ars.</w:t>
      </w:r>
      <w:r w:rsidR="00787DF7" w:rsidRPr="00617D5D">
        <w:rPr>
          <w:rFonts w:asciiTheme="minorHAnsi" w:hAnsiTheme="minorHAnsi"/>
          <w:sz w:val="24"/>
          <w:szCs w:val="24"/>
        </w:rPr>
        <w:t xml:space="preserve"> </w:t>
      </w:r>
      <w:r w:rsidR="003A068D">
        <w:rPr>
          <w:rFonts w:asciiTheme="minorHAnsi" w:hAnsiTheme="minorHAnsi"/>
          <w:sz w:val="24"/>
          <w:szCs w:val="24"/>
        </w:rPr>
        <w:t xml:space="preserve"> </w:t>
      </w:r>
      <w:r w:rsidR="00F349B2" w:rsidRPr="00617D5D">
        <w:rPr>
          <w:rFonts w:asciiTheme="minorHAnsi" w:hAnsiTheme="minorHAnsi"/>
          <w:sz w:val="24"/>
          <w:szCs w:val="24"/>
        </w:rPr>
        <w:t>R</w:t>
      </w:r>
      <w:r w:rsidR="00C6047C" w:rsidRPr="00617D5D">
        <w:rPr>
          <w:rFonts w:asciiTheme="minorHAnsi" w:hAnsiTheme="minorHAnsi"/>
          <w:sz w:val="24"/>
          <w:szCs w:val="24"/>
        </w:rPr>
        <w:t>eoccurrence for TMA was</w:t>
      </w:r>
      <w:r w:rsidR="004D7281" w:rsidRPr="00617D5D">
        <w:rPr>
          <w:rFonts w:asciiTheme="minorHAnsi" w:hAnsiTheme="minorHAnsi"/>
          <w:sz w:val="24"/>
          <w:szCs w:val="24"/>
        </w:rPr>
        <w:t xml:space="preserve"> reported in 6 patients (6%). </w:t>
      </w:r>
      <w:r w:rsidR="003A068D">
        <w:rPr>
          <w:rFonts w:asciiTheme="minorHAnsi" w:hAnsiTheme="minorHAnsi"/>
          <w:sz w:val="24"/>
          <w:szCs w:val="24"/>
        </w:rPr>
        <w:t xml:space="preserve"> </w:t>
      </w:r>
      <w:r w:rsidR="00D67CE8" w:rsidRPr="00617D5D">
        <w:rPr>
          <w:rFonts w:asciiTheme="minorHAnsi" w:hAnsiTheme="minorHAnsi"/>
          <w:sz w:val="24"/>
          <w:szCs w:val="24"/>
        </w:rPr>
        <w:t xml:space="preserve">Two </w:t>
      </w:r>
      <w:r w:rsidR="008E11C7" w:rsidRPr="00617D5D">
        <w:rPr>
          <w:rFonts w:asciiTheme="minorHAnsi" w:hAnsiTheme="minorHAnsi"/>
          <w:sz w:val="24"/>
          <w:szCs w:val="24"/>
        </w:rPr>
        <w:t xml:space="preserve">of the individual case reports included patients who had discontinued </w:t>
      </w:r>
      <w:proofErr w:type="spellStart"/>
      <w:r w:rsidR="008E11C7" w:rsidRPr="00617D5D">
        <w:rPr>
          <w:rFonts w:asciiTheme="minorHAnsi" w:hAnsiTheme="minorHAnsi"/>
          <w:sz w:val="24"/>
          <w:szCs w:val="24"/>
        </w:rPr>
        <w:t>eculizumab</w:t>
      </w:r>
      <w:proofErr w:type="spellEnd"/>
      <w:r w:rsidR="008E11C7" w:rsidRPr="00617D5D">
        <w:rPr>
          <w:rFonts w:asciiTheme="minorHAnsi" w:hAnsiTheme="minorHAnsi"/>
          <w:sz w:val="24"/>
          <w:szCs w:val="24"/>
        </w:rPr>
        <w:t xml:space="preserve"> </w:t>
      </w:r>
      <w:proofErr w:type="spellStart"/>
      <w:r w:rsidR="008E11C7" w:rsidRPr="00617D5D">
        <w:rPr>
          <w:rFonts w:asciiTheme="minorHAnsi" w:hAnsiTheme="minorHAnsi"/>
          <w:sz w:val="24"/>
          <w:szCs w:val="24"/>
        </w:rPr>
        <w:t>post transplant</w:t>
      </w:r>
      <w:proofErr w:type="spellEnd"/>
      <w:r w:rsidR="008E11C7" w:rsidRPr="00617D5D">
        <w:rPr>
          <w:rFonts w:asciiTheme="minorHAnsi" w:hAnsiTheme="minorHAnsi"/>
          <w:sz w:val="24"/>
          <w:szCs w:val="24"/>
        </w:rPr>
        <w:t xml:space="preserve"> with no recurrence of TMA at follow up of 1 year and 6 months (after a liver transplant) after discontinuation.</w:t>
      </w:r>
    </w:p>
    <w:p w:rsidR="001D6D49" w:rsidRPr="00617D5D" w:rsidRDefault="001D6D49" w:rsidP="001D6D49">
      <w:pPr>
        <w:pStyle w:val="ListParagraph"/>
        <w:rPr>
          <w:rFonts w:asciiTheme="minorHAnsi" w:hAnsiTheme="minorHAnsi"/>
          <w:sz w:val="24"/>
          <w:szCs w:val="24"/>
        </w:rPr>
      </w:pPr>
    </w:p>
    <w:p w:rsidR="001D6D49" w:rsidRPr="00617D5D" w:rsidRDefault="001D6D49" w:rsidP="0064358C">
      <w:pPr>
        <w:pStyle w:val="PBACHeading1"/>
        <w:numPr>
          <w:ilvl w:val="0"/>
          <w:numId w:val="0"/>
        </w:numPr>
        <w:ind w:left="720"/>
        <w:outlineLvl w:val="2"/>
        <w:rPr>
          <w:rFonts w:asciiTheme="minorHAnsi" w:hAnsiTheme="minorHAnsi"/>
          <w:sz w:val="24"/>
          <w:szCs w:val="24"/>
        </w:rPr>
      </w:pPr>
      <w:r w:rsidRPr="00617D5D">
        <w:rPr>
          <w:rFonts w:asciiTheme="minorHAnsi" w:hAnsiTheme="minorHAnsi"/>
          <w:sz w:val="24"/>
          <w:szCs w:val="24"/>
        </w:rPr>
        <w:t>i</w:t>
      </w:r>
      <w:r w:rsidR="003B2ECC" w:rsidRPr="00617D5D">
        <w:rPr>
          <w:rFonts w:asciiTheme="minorHAnsi" w:hAnsiTheme="minorHAnsi"/>
          <w:sz w:val="24"/>
          <w:szCs w:val="24"/>
        </w:rPr>
        <w:t>i</w:t>
      </w:r>
      <w:r w:rsidRPr="00617D5D">
        <w:rPr>
          <w:rFonts w:asciiTheme="minorHAnsi" w:hAnsiTheme="minorHAnsi"/>
          <w:sz w:val="24"/>
          <w:szCs w:val="24"/>
        </w:rPr>
        <w:t xml:space="preserve">) </w:t>
      </w:r>
      <w:r w:rsidR="003B2ECC" w:rsidRPr="00617D5D">
        <w:rPr>
          <w:rFonts w:asciiTheme="minorHAnsi" w:hAnsiTheme="minorHAnsi"/>
          <w:sz w:val="24"/>
          <w:szCs w:val="24"/>
        </w:rPr>
        <w:t>P</w:t>
      </w:r>
      <w:r w:rsidRPr="00617D5D">
        <w:rPr>
          <w:rFonts w:asciiTheme="minorHAnsi" w:hAnsiTheme="minorHAnsi"/>
          <w:sz w:val="24"/>
          <w:szCs w:val="24"/>
        </w:rPr>
        <w:t xml:space="preserve">ost-transplant and sustained use of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in patients </w:t>
      </w:r>
      <w:r w:rsidR="003B2ECC" w:rsidRPr="00617D5D">
        <w:rPr>
          <w:rFonts w:asciiTheme="minorHAnsi" w:hAnsiTheme="minorHAnsi"/>
          <w:sz w:val="24"/>
          <w:szCs w:val="24"/>
        </w:rPr>
        <w:t>after</w:t>
      </w:r>
      <w:r w:rsidRPr="00617D5D">
        <w:rPr>
          <w:rFonts w:asciiTheme="minorHAnsi" w:hAnsiTheme="minorHAnsi"/>
          <w:sz w:val="24"/>
          <w:szCs w:val="24"/>
        </w:rPr>
        <w:t xml:space="preserve"> renal transplantation</w:t>
      </w:r>
    </w:p>
    <w:p w:rsidR="008E11C7" w:rsidRPr="00617D5D" w:rsidRDefault="008E11C7" w:rsidP="008E11C7">
      <w:pPr>
        <w:pStyle w:val="ListParagraph"/>
        <w:rPr>
          <w:rFonts w:asciiTheme="minorHAnsi" w:hAnsiTheme="minorHAnsi"/>
          <w:sz w:val="24"/>
          <w:szCs w:val="24"/>
        </w:rPr>
      </w:pPr>
    </w:p>
    <w:p w:rsidR="00DF26A7" w:rsidRPr="00617D5D" w:rsidRDefault="00CF7E16" w:rsidP="00FC668B">
      <w:pPr>
        <w:pStyle w:val="ListParagraph"/>
        <w:numPr>
          <w:ilvl w:val="1"/>
          <w:numId w:val="5"/>
        </w:numPr>
        <w:ind w:left="709" w:hanging="708"/>
        <w:rPr>
          <w:rFonts w:asciiTheme="minorHAnsi" w:hAnsiTheme="minorHAnsi"/>
          <w:sz w:val="24"/>
          <w:szCs w:val="24"/>
        </w:rPr>
      </w:pPr>
      <w:r w:rsidRPr="00617D5D">
        <w:rPr>
          <w:rFonts w:asciiTheme="minorHAnsi" w:hAnsiTheme="minorHAnsi"/>
          <w:sz w:val="24"/>
          <w:szCs w:val="24"/>
        </w:rPr>
        <w:t xml:space="preserve">The outcomes for use of post-transplant </w:t>
      </w:r>
      <w:proofErr w:type="spellStart"/>
      <w:r w:rsidRPr="00617D5D">
        <w:rPr>
          <w:rFonts w:asciiTheme="minorHAnsi" w:hAnsiTheme="minorHAnsi"/>
          <w:sz w:val="24"/>
          <w:szCs w:val="24"/>
        </w:rPr>
        <w:t>eculizumab</w:t>
      </w:r>
      <w:proofErr w:type="spellEnd"/>
      <w:r w:rsidRPr="00617D5D">
        <w:rPr>
          <w:rFonts w:asciiTheme="minorHAnsi" w:hAnsiTheme="minorHAnsi"/>
          <w:sz w:val="24"/>
          <w:szCs w:val="24"/>
        </w:rPr>
        <w:t xml:space="preserve"> in patients after renal transplantation are summarised in Table </w:t>
      </w:r>
      <w:r w:rsidR="00740FEE" w:rsidRPr="00617D5D">
        <w:rPr>
          <w:rFonts w:asciiTheme="minorHAnsi" w:hAnsiTheme="minorHAnsi"/>
          <w:sz w:val="24"/>
          <w:szCs w:val="24"/>
        </w:rPr>
        <w:t>6</w:t>
      </w:r>
      <w:r w:rsidR="004B4070" w:rsidRPr="00617D5D">
        <w:rPr>
          <w:rFonts w:asciiTheme="minorHAnsi" w:hAnsiTheme="minorHAnsi"/>
          <w:sz w:val="24"/>
          <w:szCs w:val="24"/>
        </w:rPr>
        <w:t>.</w:t>
      </w:r>
    </w:p>
    <w:p w:rsidR="00CF7E16" w:rsidRPr="00617D5D" w:rsidRDefault="00CF7E16" w:rsidP="00CF7E16">
      <w:pPr>
        <w:pStyle w:val="ListParagraph"/>
        <w:rPr>
          <w:rFonts w:asciiTheme="minorHAnsi" w:hAnsiTheme="minorHAnsi"/>
          <w:sz w:val="24"/>
          <w:szCs w:val="24"/>
        </w:rPr>
      </w:pPr>
    </w:p>
    <w:p w:rsidR="004A6028" w:rsidRDefault="004A6028" w:rsidP="004A6028">
      <w:pPr>
        <w:pStyle w:val="Caption"/>
        <w:ind w:left="709"/>
      </w:pPr>
      <w:proofErr w:type="gramStart"/>
      <w:r>
        <w:t xml:space="preserve">Table </w:t>
      </w:r>
      <w:proofErr w:type="gramEnd"/>
      <w:r>
        <w:fldChar w:fldCharType="begin"/>
      </w:r>
      <w:r>
        <w:instrText xml:space="preserve"> SEQ Table \* ARABIC </w:instrText>
      </w:r>
      <w:r>
        <w:fldChar w:fldCharType="separate"/>
      </w:r>
      <w:r>
        <w:rPr>
          <w:noProof/>
        </w:rPr>
        <w:t>6</w:t>
      </w:r>
      <w:r>
        <w:fldChar w:fldCharType="end"/>
      </w:r>
      <w:proofErr w:type="gramStart"/>
      <w:r>
        <w:t xml:space="preserve">: </w:t>
      </w:r>
      <w:r w:rsidRPr="0052718B">
        <w:t xml:space="preserve">Summary of new data presented in the submission with post-transplant </w:t>
      </w:r>
      <w:proofErr w:type="spellStart"/>
      <w:r w:rsidRPr="0052718B">
        <w:t>eculizumab</w:t>
      </w:r>
      <w:proofErr w:type="spellEnd"/>
      <w:r w:rsidRPr="0052718B">
        <w:t xml:space="preserve"> treatment.</w:t>
      </w:r>
      <w:proofErr w:type="gramEnd"/>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9"/>
        <w:gridCol w:w="3044"/>
        <w:gridCol w:w="2892"/>
      </w:tblGrid>
      <w:tr w:rsidR="00CF7E16" w:rsidRPr="00E57BA7" w:rsidTr="00FD55AD">
        <w:tc>
          <w:tcPr>
            <w:tcW w:w="1443" w:type="pct"/>
            <w:vMerge w:val="restart"/>
          </w:tcPr>
          <w:p w:rsidR="00CF7E16" w:rsidRPr="00E57BA7" w:rsidRDefault="00CF7E16" w:rsidP="005E1665">
            <w:pPr>
              <w:rPr>
                <w:rFonts w:ascii="Arial Narrow" w:hAnsi="Arial Narrow"/>
                <w:b/>
                <w:sz w:val="18"/>
                <w:szCs w:val="18"/>
              </w:rPr>
            </w:pPr>
          </w:p>
        </w:tc>
        <w:tc>
          <w:tcPr>
            <w:tcW w:w="1824" w:type="pct"/>
          </w:tcPr>
          <w:p w:rsidR="00CF7E16" w:rsidRPr="00E57BA7" w:rsidRDefault="00CF7E16" w:rsidP="005E1665">
            <w:pPr>
              <w:jc w:val="center"/>
              <w:rPr>
                <w:rFonts w:ascii="Arial Narrow" w:hAnsi="Arial Narrow"/>
                <w:b/>
                <w:sz w:val="18"/>
                <w:szCs w:val="18"/>
              </w:rPr>
            </w:pPr>
            <w:proofErr w:type="spellStart"/>
            <w:r w:rsidRPr="00E57BA7">
              <w:rPr>
                <w:rFonts w:ascii="Arial Narrow" w:hAnsi="Arial Narrow"/>
                <w:b/>
                <w:sz w:val="18"/>
                <w:szCs w:val="18"/>
              </w:rPr>
              <w:t>Siedlecki</w:t>
            </w:r>
            <w:proofErr w:type="spellEnd"/>
            <w:r w:rsidRPr="00E57BA7">
              <w:rPr>
                <w:rFonts w:ascii="Arial Narrow" w:hAnsi="Arial Narrow"/>
                <w:b/>
                <w:sz w:val="18"/>
                <w:szCs w:val="18"/>
              </w:rPr>
              <w:t xml:space="preserve"> 2016 </w:t>
            </w:r>
          </w:p>
        </w:tc>
        <w:tc>
          <w:tcPr>
            <w:tcW w:w="1733" w:type="pct"/>
          </w:tcPr>
          <w:p w:rsidR="00CF7E16" w:rsidRPr="00E57BA7" w:rsidRDefault="00CF7E16" w:rsidP="005E1665">
            <w:pPr>
              <w:jc w:val="center"/>
              <w:rPr>
                <w:rFonts w:ascii="Arial Narrow" w:hAnsi="Arial Narrow"/>
                <w:b/>
                <w:sz w:val="18"/>
                <w:szCs w:val="18"/>
              </w:rPr>
            </w:pPr>
            <w:r w:rsidRPr="00E57BA7">
              <w:rPr>
                <w:rFonts w:ascii="Arial Narrow" w:hAnsi="Arial Narrow"/>
                <w:b/>
                <w:sz w:val="18"/>
                <w:szCs w:val="18"/>
              </w:rPr>
              <w:t>Andrade 2016</w:t>
            </w:r>
          </w:p>
        </w:tc>
      </w:tr>
      <w:tr w:rsidR="00CF7E16" w:rsidRPr="00E57BA7" w:rsidTr="00FD55AD">
        <w:tc>
          <w:tcPr>
            <w:tcW w:w="1443" w:type="pct"/>
            <w:vMerge/>
          </w:tcPr>
          <w:p w:rsidR="00CF7E16" w:rsidRPr="00E57BA7" w:rsidRDefault="00CF7E16" w:rsidP="005E1665">
            <w:pPr>
              <w:pStyle w:val="Tabletext"/>
              <w:rPr>
                <w:rFonts w:ascii="Arial Narrow" w:hAnsi="Arial Narrow"/>
                <w:sz w:val="18"/>
                <w:szCs w:val="18"/>
              </w:rPr>
            </w:pPr>
          </w:p>
        </w:tc>
        <w:tc>
          <w:tcPr>
            <w:tcW w:w="1824" w:type="pct"/>
          </w:tcPr>
          <w:p w:rsidR="00CF7E16" w:rsidRPr="00E57BA7" w:rsidRDefault="00CF7E16" w:rsidP="005E1665">
            <w:pPr>
              <w:jc w:val="center"/>
              <w:rPr>
                <w:rFonts w:ascii="Arial Narrow" w:hAnsi="Arial Narrow"/>
                <w:b/>
                <w:sz w:val="18"/>
                <w:szCs w:val="18"/>
              </w:rPr>
            </w:pPr>
            <w:r w:rsidRPr="00E57BA7">
              <w:rPr>
                <w:rFonts w:ascii="Arial Narrow" w:hAnsi="Arial Narrow"/>
                <w:b/>
                <w:sz w:val="18"/>
                <w:szCs w:val="18"/>
              </w:rPr>
              <w:t>Post-transplant</w:t>
            </w:r>
          </w:p>
          <w:p w:rsidR="00CF7E16" w:rsidRPr="00E57BA7" w:rsidRDefault="00CF7E16" w:rsidP="005E1665">
            <w:pPr>
              <w:jc w:val="center"/>
              <w:rPr>
                <w:rFonts w:ascii="Arial Narrow" w:hAnsi="Arial Narrow"/>
                <w:b/>
                <w:sz w:val="18"/>
                <w:szCs w:val="18"/>
                <w:vertAlign w:val="superscript"/>
              </w:rPr>
            </w:pPr>
            <w:r w:rsidRPr="00E57BA7">
              <w:rPr>
                <w:rFonts w:ascii="Arial Narrow" w:hAnsi="Arial Narrow"/>
                <w:b/>
                <w:sz w:val="18"/>
                <w:szCs w:val="18"/>
              </w:rPr>
              <w:t>N=36</w:t>
            </w:r>
            <w:r>
              <w:rPr>
                <w:rFonts w:ascii="Arial Narrow" w:hAnsi="Arial Narrow"/>
                <w:b/>
                <w:sz w:val="18"/>
                <w:szCs w:val="18"/>
                <w:vertAlign w:val="superscript"/>
              </w:rPr>
              <w:t>a</w:t>
            </w:r>
          </w:p>
        </w:tc>
        <w:tc>
          <w:tcPr>
            <w:tcW w:w="1733" w:type="pct"/>
          </w:tcPr>
          <w:p w:rsidR="00CF7E16" w:rsidRPr="00E57BA7" w:rsidRDefault="00CF7E16" w:rsidP="005E1665">
            <w:pPr>
              <w:jc w:val="center"/>
              <w:rPr>
                <w:rFonts w:ascii="Arial Narrow" w:hAnsi="Arial Narrow"/>
                <w:b/>
                <w:sz w:val="18"/>
                <w:szCs w:val="18"/>
              </w:rPr>
            </w:pPr>
            <w:r w:rsidRPr="00E57BA7">
              <w:rPr>
                <w:rFonts w:ascii="Arial Narrow" w:hAnsi="Arial Narrow"/>
                <w:b/>
                <w:sz w:val="18"/>
                <w:szCs w:val="18"/>
              </w:rPr>
              <w:t>Post-transplant</w:t>
            </w:r>
          </w:p>
          <w:p w:rsidR="00CF7E16" w:rsidRPr="00E57BA7" w:rsidRDefault="00CF7E16" w:rsidP="005E1665">
            <w:pPr>
              <w:jc w:val="center"/>
              <w:rPr>
                <w:rFonts w:ascii="Arial Narrow" w:hAnsi="Arial Narrow"/>
                <w:b/>
                <w:sz w:val="18"/>
                <w:szCs w:val="18"/>
                <w:vertAlign w:val="superscript"/>
              </w:rPr>
            </w:pPr>
            <w:r w:rsidRPr="00E57BA7">
              <w:rPr>
                <w:rFonts w:ascii="Arial Narrow" w:hAnsi="Arial Narrow"/>
                <w:b/>
                <w:sz w:val="18"/>
                <w:szCs w:val="18"/>
              </w:rPr>
              <w:t>N=3</w:t>
            </w:r>
          </w:p>
        </w:tc>
      </w:tr>
      <w:tr w:rsidR="00CF7E16" w:rsidRPr="00E57BA7" w:rsidTr="00FD55AD">
        <w:tc>
          <w:tcPr>
            <w:tcW w:w="1443" w:type="pct"/>
          </w:tcPr>
          <w:p w:rsidR="00CF7E16" w:rsidRPr="00E57BA7" w:rsidRDefault="00CF7E16" w:rsidP="005E1665">
            <w:pPr>
              <w:pStyle w:val="Tabletext"/>
              <w:rPr>
                <w:rFonts w:ascii="Arial Narrow" w:hAnsi="Arial Narrow"/>
                <w:sz w:val="18"/>
                <w:szCs w:val="18"/>
              </w:rPr>
            </w:pPr>
            <w:r w:rsidRPr="00E57BA7">
              <w:rPr>
                <w:rFonts w:ascii="Arial Narrow" w:hAnsi="Arial Narrow"/>
                <w:sz w:val="18"/>
                <w:szCs w:val="18"/>
              </w:rPr>
              <w:t>Median age at transplant, years</w:t>
            </w:r>
          </w:p>
        </w:tc>
        <w:tc>
          <w:tcPr>
            <w:tcW w:w="1824"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34.4</w:t>
            </w:r>
          </w:p>
        </w:tc>
        <w:tc>
          <w:tcPr>
            <w:tcW w:w="1733"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28.1</w:t>
            </w:r>
          </w:p>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 22</w:t>
            </w:r>
          </w:p>
        </w:tc>
      </w:tr>
      <w:tr w:rsidR="00CF7E16" w:rsidRPr="00E57BA7" w:rsidTr="00FD55AD">
        <w:tc>
          <w:tcPr>
            <w:tcW w:w="1443" w:type="pct"/>
          </w:tcPr>
          <w:p w:rsidR="00CF7E16" w:rsidRPr="00E57BA7" w:rsidRDefault="00CF7E16" w:rsidP="005E1665">
            <w:pPr>
              <w:pStyle w:val="Tabletext"/>
              <w:rPr>
                <w:rFonts w:ascii="Arial Narrow" w:hAnsi="Arial Narrow"/>
                <w:sz w:val="18"/>
                <w:szCs w:val="18"/>
              </w:rPr>
            </w:pPr>
            <w:r w:rsidRPr="00E57BA7">
              <w:rPr>
                <w:rFonts w:ascii="Arial Narrow" w:hAnsi="Arial Narrow"/>
                <w:sz w:val="18"/>
                <w:szCs w:val="18"/>
              </w:rPr>
              <w:t xml:space="preserve">Family history of </w:t>
            </w:r>
            <w:proofErr w:type="spellStart"/>
            <w:r w:rsidRPr="00E57BA7">
              <w:rPr>
                <w:rFonts w:ascii="Arial Narrow" w:hAnsi="Arial Narrow"/>
                <w:sz w:val="18"/>
                <w:szCs w:val="18"/>
              </w:rPr>
              <w:t>aHUS</w:t>
            </w:r>
            <w:proofErr w:type="spellEnd"/>
            <w:r w:rsidRPr="00E57BA7">
              <w:rPr>
                <w:rFonts w:ascii="Arial Narrow" w:hAnsi="Arial Narrow"/>
                <w:sz w:val="18"/>
                <w:szCs w:val="18"/>
              </w:rPr>
              <w:t xml:space="preserve"> N (%)</w:t>
            </w:r>
          </w:p>
          <w:p w:rsidR="00CF7E16" w:rsidRPr="00E57BA7" w:rsidRDefault="00CF7E16" w:rsidP="005E1665">
            <w:pPr>
              <w:pStyle w:val="Tabletext"/>
              <w:rPr>
                <w:rFonts w:ascii="Arial Narrow" w:hAnsi="Arial Narrow"/>
                <w:sz w:val="18"/>
                <w:szCs w:val="18"/>
              </w:rPr>
            </w:pPr>
            <w:r w:rsidRPr="00E57BA7">
              <w:rPr>
                <w:rFonts w:ascii="Arial Narrow" w:hAnsi="Arial Narrow"/>
                <w:sz w:val="18"/>
                <w:szCs w:val="18"/>
              </w:rPr>
              <w:t>CFH mutation detected N (%)</w:t>
            </w:r>
          </w:p>
        </w:tc>
        <w:tc>
          <w:tcPr>
            <w:tcW w:w="1824"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3 (8%)</w:t>
            </w:r>
          </w:p>
          <w:p w:rsidR="00CF7E16" w:rsidRPr="00E57BA7" w:rsidRDefault="00CF7E16" w:rsidP="005E1665">
            <w:pPr>
              <w:jc w:val="center"/>
              <w:rPr>
                <w:rFonts w:ascii="Arial Narrow" w:hAnsi="Arial Narrow"/>
                <w:sz w:val="18"/>
                <w:szCs w:val="18"/>
              </w:rPr>
            </w:pPr>
          </w:p>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NR</w:t>
            </w:r>
          </w:p>
        </w:tc>
        <w:tc>
          <w:tcPr>
            <w:tcW w:w="1733"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NR</w:t>
            </w:r>
          </w:p>
          <w:p w:rsidR="00CF7E16" w:rsidRPr="00E57BA7" w:rsidRDefault="00CF7E16" w:rsidP="005E1665">
            <w:pPr>
              <w:jc w:val="center"/>
              <w:rPr>
                <w:rFonts w:ascii="Arial Narrow" w:hAnsi="Arial Narrow"/>
                <w:sz w:val="18"/>
                <w:szCs w:val="18"/>
              </w:rPr>
            </w:pPr>
          </w:p>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NR</w:t>
            </w:r>
          </w:p>
        </w:tc>
      </w:tr>
      <w:tr w:rsidR="00CF7E16" w:rsidRPr="00E57BA7" w:rsidTr="00FD55AD">
        <w:tc>
          <w:tcPr>
            <w:tcW w:w="1443" w:type="pct"/>
            <w:tcBorders>
              <w:bottom w:val="single" w:sz="4" w:space="0" w:color="auto"/>
            </w:tcBorders>
          </w:tcPr>
          <w:p w:rsidR="00CF7E16" w:rsidRPr="00E57BA7" w:rsidRDefault="00CF7E16" w:rsidP="005E1665">
            <w:pPr>
              <w:pStyle w:val="Tabletext"/>
              <w:rPr>
                <w:rFonts w:ascii="Arial Narrow" w:hAnsi="Arial Narrow"/>
                <w:sz w:val="18"/>
                <w:szCs w:val="18"/>
              </w:rPr>
            </w:pPr>
            <w:r w:rsidRPr="00E57BA7">
              <w:rPr>
                <w:rFonts w:ascii="Arial Narrow" w:hAnsi="Arial Narrow"/>
                <w:sz w:val="18"/>
                <w:szCs w:val="18"/>
              </w:rPr>
              <w:t xml:space="preserve">Dialysis </w:t>
            </w:r>
            <w:proofErr w:type="spellStart"/>
            <w:r w:rsidRPr="00E57BA7">
              <w:rPr>
                <w:rFonts w:ascii="Arial Narrow" w:hAnsi="Arial Narrow"/>
                <w:sz w:val="18"/>
                <w:szCs w:val="18"/>
              </w:rPr>
              <w:t>post transplant</w:t>
            </w:r>
            <w:proofErr w:type="spellEnd"/>
            <w:r w:rsidRPr="00E57BA7">
              <w:rPr>
                <w:rFonts w:ascii="Arial Narrow" w:hAnsi="Arial Narrow"/>
                <w:sz w:val="18"/>
                <w:szCs w:val="18"/>
              </w:rPr>
              <w:t xml:space="preserve"> N (%)</w:t>
            </w:r>
          </w:p>
        </w:tc>
        <w:tc>
          <w:tcPr>
            <w:tcW w:w="1824" w:type="pct"/>
            <w:tcBorders>
              <w:bottom w:val="single" w:sz="4" w:space="0" w:color="auto"/>
            </w:tcBorders>
          </w:tcPr>
          <w:p w:rsidR="00CF7E16" w:rsidRPr="00E57BA7" w:rsidRDefault="00CF7E16" w:rsidP="005E1665">
            <w:pPr>
              <w:jc w:val="center"/>
              <w:rPr>
                <w:rFonts w:ascii="Arial Narrow" w:hAnsi="Arial Narrow"/>
                <w:i/>
                <w:sz w:val="18"/>
                <w:szCs w:val="18"/>
              </w:rPr>
            </w:pPr>
            <w:r w:rsidRPr="00E57BA7">
              <w:rPr>
                <w:rFonts w:ascii="Arial Narrow" w:hAnsi="Arial Narrow"/>
                <w:i/>
                <w:sz w:val="18"/>
                <w:szCs w:val="18"/>
              </w:rPr>
              <w:t>12 (33%)</w:t>
            </w:r>
          </w:p>
        </w:tc>
        <w:tc>
          <w:tcPr>
            <w:tcW w:w="1733" w:type="pct"/>
            <w:tcBorders>
              <w:bottom w:val="single" w:sz="4" w:space="0" w:color="auto"/>
            </w:tcBorders>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NR</w:t>
            </w:r>
          </w:p>
        </w:tc>
      </w:tr>
      <w:tr w:rsidR="00CF7E16" w:rsidRPr="00E57BA7" w:rsidTr="00FD55AD">
        <w:tc>
          <w:tcPr>
            <w:tcW w:w="1443" w:type="pct"/>
            <w:tcBorders>
              <w:bottom w:val="single" w:sz="4" w:space="0" w:color="auto"/>
            </w:tcBorders>
          </w:tcPr>
          <w:p w:rsidR="00CF7E16" w:rsidRPr="00E57BA7" w:rsidRDefault="00CF7E16" w:rsidP="005E1665">
            <w:pPr>
              <w:pStyle w:val="Tabletext"/>
              <w:rPr>
                <w:rFonts w:ascii="Arial Narrow" w:hAnsi="Arial Narrow"/>
                <w:sz w:val="18"/>
                <w:szCs w:val="18"/>
                <w:vertAlign w:val="superscript"/>
              </w:rPr>
            </w:pPr>
            <w:r w:rsidRPr="00E57BA7">
              <w:rPr>
                <w:rFonts w:ascii="Arial Narrow" w:hAnsi="Arial Narrow"/>
                <w:sz w:val="18"/>
                <w:szCs w:val="18"/>
              </w:rPr>
              <w:t>Duration of time to dialysis, median (range), months</w:t>
            </w:r>
          </w:p>
        </w:tc>
        <w:tc>
          <w:tcPr>
            <w:tcW w:w="1824" w:type="pct"/>
            <w:tcBorders>
              <w:bottom w:val="single" w:sz="4" w:space="0" w:color="auto"/>
            </w:tcBorders>
          </w:tcPr>
          <w:p w:rsidR="00CF7E16" w:rsidRPr="00E57BA7" w:rsidRDefault="00CF7E16" w:rsidP="005E1665">
            <w:pPr>
              <w:jc w:val="center"/>
              <w:rPr>
                <w:rFonts w:ascii="Arial Narrow" w:hAnsi="Arial Narrow"/>
                <w:i/>
                <w:sz w:val="18"/>
                <w:szCs w:val="18"/>
              </w:rPr>
            </w:pPr>
            <w:r w:rsidRPr="00E57BA7">
              <w:rPr>
                <w:rFonts w:ascii="Arial Narrow" w:hAnsi="Arial Narrow"/>
                <w:i/>
                <w:sz w:val="18"/>
                <w:szCs w:val="18"/>
              </w:rPr>
              <w:t>1.6</w:t>
            </w:r>
          </w:p>
          <w:p w:rsidR="00CF7E16" w:rsidRPr="00E57BA7" w:rsidRDefault="00CF7E16" w:rsidP="005E1665">
            <w:pPr>
              <w:jc w:val="center"/>
              <w:rPr>
                <w:rFonts w:ascii="Arial Narrow" w:hAnsi="Arial Narrow"/>
                <w:i/>
                <w:sz w:val="18"/>
                <w:szCs w:val="18"/>
              </w:rPr>
            </w:pPr>
            <w:r w:rsidRPr="00E57BA7">
              <w:rPr>
                <w:rFonts w:ascii="Arial Narrow" w:hAnsi="Arial Narrow"/>
                <w:i/>
                <w:sz w:val="18"/>
                <w:szCs w:val="18"/>
              </w:rPr>
              <w:t>(0.1 - 15.0)</w:t>
            </w:r>
          </w:p>
        </w:tc>
        <w:tc>
          <w:tcPr>
            <w:tcW w:w="1733" w:type="pct"/>
            <w:tcBorders>
              <w:bottom w:val="single" w:sz="4" w:space="0" w:color="auto"/>
            </w:tcBorders>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NA</w:t>
            </w:r>
          </w:p>
        </w:tc>
      </w:tr>
      <w:tr w:rsidR="00CF7E16" w:rsidRPr="00E57BA7" w:rsidTr="00FD55AD">
        <w:tc>
          <w:tcPr>
            <w:tcW w:w="1443" w:type="pct"/>
          </w:tcPr>
          <w:p w:rsidR="00CF7E16" w:rsidRPr="00E57BA7" w:rsidRDefault="00CF7E16" w:rsidP="00CF7E16">
            <w:pPr>
              <w:pStyle w:val="Tabletext"/>
              <w:rPr>
                <w:rFonts w:ascii="Arial Narrow" w:hAnsi="Arial Narrow"/>
                <w:sz w:val="18"/>
                <w:szCs w:val="18"/>
              </w:rPr>
            </w:pPr>
            <w:r w:rsidRPr="00E57BA7">
              <w:rPr>
                <w:rFonts w:ascii="Arial Narrow" w:hAnsi="Arial Narrow"/>
                <w:sz w:val="18"/>
                <w:szCs w:val="18"/>
              </w:rPr>
              <w:t>Duration of follow-</w:t>
            </w:r>
            <w:proofErr w:type="spellStart"/>
            <w:r w:rsidRPr="00E57BA7">
              <w:rPr>
                <w:rFonts w:ascii="Arial Narrow" w:hAnsi="Arial Narrow"/>
                <w:sz w:val="18"/>
                <w:szCs w:val="18"/>
              </w:rPr>
              <w:t>up</w:t>
            </w:r>
            <w:r>
              <w:rPr>
                <w:rFonts w:ascii="Arial Narrow" w:hAnsi="Arial Narrow"/>
                <w:sz w:val="18"/>
                <w:szCs w:val="18"/>
                <w:vertAlign w:val="superscript"/>
              </w:rPr>
              <w:t>b</w:t>
            </w:r>
            <w:proofErr w:type="spellEnd"/>
            <w:r w:rsidRPr="00E57BA7">
              <w:rPr>
                <w:rFonts w:ascii="Arial Narrow" w:hAnsi="Arial Narrow"/>
                <w:sz w:val="18"/>
                <w:szCs w:val="18"/>
              </w:rPr>
              <w:t xml:space="preserve">, </w:t>
            </w:r>
          </w:p>
        </w:tc>
        <w:tc>
          <w:tcPr>
            <w:tcW w:w="1824"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Up to 12 months</w:t>
            </w:r>
          </w:p>
        </w:tc>
        <w:tc>
          <w:tcPr>
            <w:tcW w:w="1733" w:type="pct"/>
          </w:tcPr>
          <w:p w:rsidR="00CF7E16" w:rsidRPr="00E57BA7" w:rsidRDefault="00CF7E16" w:rsidP="005E1665">
            <w:pPr>
              <w:jc w:val="center"/>
              <w:rPr>
                <w:rFonts w:ascii="Arial Narrow" w:hAnsi="Arial Narrow"/>
                <w:sz w:val="18"/>
                <w:szCs w:val="18"/>
              </w:rPr>
            </w:pPr>
            <w:proofErr w:type="spellStart"/>
            <w:r w:rsidRPr="00E57BA7">
              <w:rPr>
                <w:rFonts w:ascii="Arial Narrow" w:hAnsi="Arial Narrow"/>
                <w:sz w:val="18"/>
                <w:szCs w:val="18"/>
              </w:rPr>
              <w:t>Eculizumab</w:t>
            </w:r>
            <w:proofErr w:type="spellEnd"/>
            <w:r w:rsidRPr="00E57BA7">
              <w:rPr>
                <w:rFonts w:ascii="Arial Narrow" w:hAnsi="Arial Narrow"/>
                <w:sz w:val="18"/>
                <w:szCs w:val="18"/>
              </w:rPr>
              <w:t xml:space="preserve"> treatment</w:t>
            </w:r>
          </w:p>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11.5 months</w:t>
            </w:r>
          </w:p>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w:t>
            </w:r>
          </w:p>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7.2</w:t>
            </w:r>
          </w:p>
        </w:tc>
      </w:tr>
      <w:tr w:rsidR="00CF7E16" w:rsidRPr="00E57BA7" w:rsidTr="00FD55AD">
        <w:tc>
          <w:tcPr>
            <w:tcW w:w="1443" w:type="pct"/>
          </w:tcPr>
          <w:p w:rsidR="00CF7E16" w:rsidRPr="00E57BA7" w:rsidRDefault="00CF7E16" w:rsidP="005E1665">
            <w:pPr>
              <w:pStyle w:val="Tabletext"/>
              <w:rPr>
                <w:rFonts w:ascii="Arial Narrow" w:hAnsi="Arial Narrow"/>
                <w:sz w:val="18"/>
                <w:szCs w:val="18"/>
                <w:vertAlign w:val="superscript"/>
              </w:rPr>
            </w:pPr>
            <w:r w:rsidRPr="00E57BA7">
              <w:rPr>
                <w:rFonts w:ascii="Arial Narrow" w:hAnsi="Arial Narrow"/>
                <w:sz w:val="18"/>
                <w:szCs w:val="18"/>
              </w:rPr>
              <w:t>Serum creatinine, mean (SD), µ</w:t>
            </w:r>
            <w:proofErr w:type="spellStart"/>
            <w:r w:rsidRPr="00E57BA7">
              <w:rPr>
                <w:rFonts w:ascii="Arial Narrow" w:hAnsi="Arial Narrow"/>
                <w:sz w:val="18"/>
                <w:szCs w:val="18"/>
              </w:rPr>
              <w:t>mol</w:t>
            </w:r>
            <w:proofErr w:type="spellEnd"/>
            <w:r w:rsidRPr="00E57BA7">
              <w:rPr>
                <w:rFonts w:ascii="Arial Narrow" w:hAnsi="Arial Narrow"/>
                <w:sz w:val="18"/>
                <w:szCs w:val="18"/>
              </w:rPr>
              <w:t>/</w:t>
            </w:r>
            <w:proofErr w:type="spellStart"/>
            <w:r w:rsidRPr="00E57BA7">
              <w:rPr>
                <w:rFonts w:ascii="Arial Narrow" w:hAnsi="Arial Narrow"/>
                <w:sz w:val="18"/>
                <w:szCs w:val="18"/>
              </w:rPr>
              <w:t>L</w:t>
            </w:r>
            <w:r>
              <w:rPr>
                <w:rFonts w:ascii="Arial Narrow" w:hAnsi="Arial Narrow"/>
                <w:sz w:val="18"/>
                <w:szCs w:val="18"/>
                <w:vertAlign w:val="superscript"/>
              </w:rPr>
              <w:t>c</w:t>
            </w:r>
            <w:proofErr w:type="spellEnd"/>
          </w:p>
        </w:tc>
        <w:tc>
          <w:tcPr>
            <w:tcW w:w="1824" w:type="pct"/>
          </w:tcPr>
          <w:p w:rsidR="00CF7E16" w:rsidRPr="00E57BA7" w:rsidRDefault="00CF7E16" w:rsidP="005E1665">
            <w:pPr>
              <w:jc w:val="center"/>
              <w:rPr>
                <w:rFonts w:ascii="Arial Narrow" w:hAnsi="Arial Narrow"/>
                <w:i/>
                <w:sz w:val="18"/>
                <w:szCs w:val="18"/>
              </w:rPr>
            </w:pPr>
            <w:r w:rsidRPr="00E57BA7">
              <w:rPr>
                <w:rFonts w:ascii="Arial Narrow" w:hAnsi="Arial Narrow"/>
                <w:i/>
                <w:sz w:val="18"/>
                <w:szCs w:val="18"/>
              </w:rPr>
              <w:t>NR</w:t>
            </w:r>
          </w:p>
        </w:tc>
        <w:tc>
          <w:tcPr>
            <w:tcW w:w="1733"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0.9±0.3 mg/</w:t>
            </w:r>
            <w:proofErr w:type="spellStart"/>
            <w:r w:rsidRPr="00E57BA7">
              <w:rPr>
                <w:rFonts w:ascii="Arial Narrow" w:hAnsi="Arial Narrow"/>
                <w:sz w:val="18"/>
                <w:szCs w:val="18"/>
              </w:rPr>
              <w:t>dL</w:t>
            </w:r>
            <w:proofErr w:type="spellEnd"/>
          </w:p>
        </w:tc>
      </w:tr>
      <w:tr w:rsidR="00CF7E16" w:rsidRPr="00E57BA7" w:rsidTr="00FD55AD">
        <w:tc>
          <w:tcPr>
            <w:tcW w:w="1443" w:type="pct"/>
          </w:tcPr>
          <w:p w:rsidR="00CF7E16" w:rsidRPr="00E57BA7" w:rsidRDefault="00CF7E16" w:rsidP="005E1665">
            <w:pPr>
              <w:pStyle w:val="Tabletext"/>
              <w:rPr>
                <w:rFonts w:ascii="Arial Narrow" w:hAnsi="Arial Narrow"/>
                <w:sz w:val="18"/>
                <w:szCs w:val="18"/>
              </w:rPr>
            </w:pPr>
            <w:r w:rsidRPr="00E57BA7">
              <w:rPr>
                <w:rFonts w:ascii="Arial Narrow" w:hAnsi="Arial Narrow"/>
                <w:sz w:val="18"/>
                <w:szCs w:val="18"/>
              </w:rPr>
              <w:t xml:space="preserve">Recurrence of TMA in patients N </w:t>
            </w:r>
          </w:p>
        </w:tc>
        <w:tc>
          <w:tcPr>
            <w:tcW w:w="1824"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22 (61%)</w:t>
            </w:r>
          </w:p>
        </w:tc>
        <w:tc>
          <w:tcPr>
            <w:tcW w:w="1733"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NR</w:t>
            </w:r>
          </w:p>
        </w:tc>
      </w:tr>
      <w:tr w:rsidR="00CF7E16" w:rsidRPr="00E57BA7" w:rsidTr="00FD55AD">
        <w:tc>
          <w:tcPr>
            <w:tcW w:w="1443" w:type="pct"/>
            <w:tcBorders>
              <w:bottom w:val="single" w:sz="4" w:space="0" w:color="auto"/>
            </w:tcBorders>
          </w:tcPr>
          <w:p w:rsidR="00CF7E16" w:rsidRPr="00E57BA7" w:rsidRDefault="00CF7E16" w:rsidP="005E1665">
            <w:pPr>
              <w:pStyle w:val="Tabletext"/>
              <w:rPr>
                <w:rFonts w:ascii="Arial Narrow" w:hAnsi="Arial Narrow"/>
                <w:sz w:val="18"/>
                <w:szCs w:val="18"/>
                <w:vertAlign w:val="superscript"/>
              </w:rPr>
            </w:pPr>
            <w:r w:rsidRPr="00E57BA7">
              <w:rPr>
                <w:rFonts w:ascii="Arial Narrow" w:hAnsi="Arial Narrow"/>
                <w:sz w:val="18"/>
                <w:szCs w:val="18"/>
              </w:rPr>
              <w:t>Duration of time to TMA, median (range), months</w:t>
            </w:r>
          </w:p>
        </w:tc>
        <w:tc>
          <w:tcPr>
            <w:tcW w:w="1824" w:type="pct"/>
            <w:tcBorders>
              <w:bottom w:val="single" w:sz="4" w:space="0" w:color="auto"/>
            </w:tcBorders>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3.0</w:t>
            </w:r>
          </w:p>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(0.2 – 8.7)</w:t>
            </w:r>
          </w:p>
        </w:tc>
        <w:tc>
          <w:tcPr>
            <w:tcW w:w="1733" w:type="pct"/>
            <w:tcBorders>
              <w:bottom w:val="single" w:sz="4" w:space="0" w:color="auto"/>
            </w:tcBorders>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NA</w:t>
            </w:r>
          </w:p>
        </w:tc>
      </w:tr>
      <w:tr w:rsidR="00CF7E16" w:rsidRPr="00E57BA7" w:rsidTr="00FD55AD">
        <w:tc>
          <w:tcPr>
            <w:tcW w:w="1443" w:type="pct"/>
          </w:tcPr>
          <w:p w:rsidR="00CF7E16" w:rsidRPr="00E57BA7" w:rsidRDefault="00CF7E16" w:rsidP="005E1665">
            <w:pPr>
              <w:pStyle w:val="Tabletext"/>
              <w:rPr>
                <w:rFonts w:ascii="Arial Narrow" w:hAnsi="Arial Narrow"/>
                <w:sz w:val="18"/>
                <w:szCs w:val="18"/>
              </w:rPr>
            </w:pPr>
            <w:r w:rsidRPr="00E57BA7">
              <w:rPr>
                <w:rFonts w:ascii="Arial Narrow" w:hAnsi="Arial Narrow"/>
                <w:sz w:val="18"/>
                <w:szCs w:val="18"/>
              </w:rPr>
              <w:t>Satisfactory allograft function at last follow-up, N (%)</w:t>
            </w:r>
          </w:p>
        </w:tc>
        <w:tc>
          <w:tcPr>
            <w:tcW w:w="1824" w:type="pct"/>
          </w:tcPr>
          <w:p w:rsidR="00CF7E16" w:rsidRDefault="00CF7E16" w:rsidP="005E1665">
            <w:pPr>
              <w:jc w:val="center"/>
              <w:rPr>
                <w:rFonts w:ascii="Arial Narrow" w:hAnsi="Arial Narrow"/>
                <w:sz w:val="18"/>
                <w:szCs w:val="18"/>
              </w:rPr>
            </w:pPr>
            <w:r w:rsidRPr="00E57BA7">
              <w:rPr>
                <w:rFonts w:ascii="Arial Narrow" w:hAnsi="Arial Narrow"/>
                <w:sz w:val="18"/>
                <w:szCs w:val="18"/>
              </w:rPr>
              <w:t>NR</w:t>
            </w:r>
          </w:p>
          <w:p w:rsidR="00F46C9A" w:rsidRPr="00E57BA7" w:rsidRDefault="00F46C9A" w:rsidP="005E1665">
            <w:pPr>
              <w:jc w:val="center"/>
              <w:rPr>
                <w:rFonts w:ascii="Arial Narrow" w:hAnsi="Arial Narrow"/>
                <w:sz w:val="18"/>
                <w:szCs w:val="18"/>
              </w:rPr>
            </w:pPr>
            <w:r>
              <w:rPr>
                <w:rFonts w:ascii="Arial Narrow" w:hAnsi="Arial Narrow"/>
                <w:sz w:val="18"/>
                <w:szCs w:val="18"/>
              </w:rPr>
              <w:t>(24 inferred by no dialysis required)</w:t>
            </w:r>
          </w:p>
        </w:tc>
        <w:tc>
          <w:tcPr>
            <w:tcW w:w="1733" w:type="pct"/>
          </w:tcPr>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1</w:t>
            </w:r>
          </w:p>
          <w:p w:rsidR="00CF7E16" w:rsidRPr="00E57BA7" w:rsidRDefault="00CF7E16" w:rsidP="005E1665">
            <w:pPr>
              <w:jc w:val="center"/>
              <w:rPr>
                <w:rFonts w:ascii="Arial Narrow" w:hAnsi="Arial Narrow"/>
                <w:sz w:val="18"/>
                <w:szCs w:val="18"/>
              </w:rPr>
            </w:pPr>
            <w:r w:rsidRPr="00E57BA7">
              <w:rPr>
                <w:rFonts w:ascii="Arial Narrow" w:hAnsi="Arial Narrow"/>
                <w:sz w:val="18"/>
                <w:szCs w:val="18"/>
              </w:rPr>
              <w:t>2 deaths with functional grafts</w:t>
            </w:r>
          </w:p>
        </w:tc>
      </w:tr>
      <w:tr w:rsidR="00CF7E16" w:rsidRPr="00E57BA7" w:rsidTr="00FD55AD">
        <w:tc>
          <w:tcPr>
            <w:tcW w:w="1443" w:type="pct"/>
          </w:tcPr>
          <w:p w:rsidR="00CF7E16" w:rsidRPr="00E57BA7" w:rsidRDefault="00CF7E16" w:rsidP="005E1665">
            <w:pPr>
              <w:pStyle w:val="Tabletext"/>
              <w:rPr>
                <w:rFonts w:ascii="Arial Narrow" w:hAnsi="Arial Narrow"/>
                <w:sz w:val="16"/>
                <w:szCs w:val="16"/>
              </w:rPr>
            </w:pPr>
            <w:r w:rsidRPr="00E57BA7">
              <w:rPr>
                <w:rFonts w:ascii="Arial Narrow" w:hAnsi="Arial Narrow"/>
                <w:sz w:val="16"/>
                <w:szCs w:val="16"/>
              </w:rPr>
              <w:t>Death (all causes) N (%)</w:t>
            </w:r>
          </w:p>
        </w:tc>
        <w:tc>
          <w:tcPr>
            <w:tcW w:w="1824" w:type="pct"/>
          </w:tcPr>
          <w:p w:rsidR="00CF7E16" w:rsidRPr="00E57BA7" w:rsidRDefault="00CF7E16" w:rsidP="005E1665">
            <w:pPr>
              <w:jc w:val="center"/>
              <w:rPr>
                <w:rFonts w:ascii="Arial Narrow" w:hAnsi="Arial Narrow"/>
                <w:sz w:val="16"/>
                <w:szCs w:val="16"/>
              </w:rPr>
            </w:pPr>
            <w:r w:rsidRPr="00E57BA7">
              <w:rPr>
                <w:rFonts w:ascii="Arial Narrow" w:hAnsi="Arial Narrow"/>
                <w:sz w:val="16"/>
                <w:szCs w:val="16"/>
              </w:rPr>
              <w:t>0</w:t>
            </w:r>
          </w:p>
        </w:tc>
        <w:tc>
          <w:tcPr>
            <w:tcW w:w="1733" w:type="pct"/>
          </w:tcPr>
          <w:p w:rsidR="00CF7E16" w:rsidRPr="00E57BA7" w:rsidRDefault="00CF7E16" w:rsidP="005E1665">
            <w:pPr>
              <w:jc w:val="center"/>
              <w:rPr>
                <w:rFonts w:ascii="Arial Narrow" w:hAnsi="Arial Narrow"/>
                <w:sz w:val="16"/>
                <w:szCs w:val="16"/>
              </w:rPr>
            </w:pPr>
            <w:r w:rsidRPr="00E57BA7">
              <w:rPr>
                <w:rFonts w:ascii="Arial Narrow" w:hAnsi="Arial Narrow"/>
                <w:sz w:val="16"/>
                <w:szCs w:val="16"/>
              </w:rPr>
              <w:t>2</w:t>
            </w:r>
          </w:p>
          <w:p w:rsidR="00CF7E16" w:rsidRPr="00E57BA7" w:rsidRDefault="00CF7E16" w:rsidP="005E1665">
            <w:pPr>
              <w:jc w:val="center"/>
              <w:rPr>
                <w:rFonts w:ascii="Arial Narrow" w:hAnsi="Arial Narrow"/>
                <w:sz w:val="16"/>
                <w:szCs w:val="16"/>
              </w:rPr>
            </w:pPr>
            <w:r w:rsidRPr="00E57BA7">
              <w:rPr>
                <w:rFonts w:ascii="Arial Narrow" w:hAnsi="Arial Narrow"/>
                <w:sz w:val="16"/>
                <w:szCs w:val="16"/>
              </w:rPr>
              <w:t>(pulmonary infection)</w:t>
            </w:r>
          </w:p>
        </w:tc>
      </w:tr>
    </w:tbl>
    <w:p w:rsidR="00ED3BB0" w:rsidRPr="00E57BA7" w:rsidRDefault="00ED3BB0" w:rsidP="00FD55AD">
      <w:pPr>
        <w:pStyle w:val="TableFooter"/>
        <w:ind w:left="284" w:firstLine="436"/>
        <w:rPr>
          <w:sz w:val="16"/>
          <w:szCs w:val="16"/>
        </w:rPr>
      </w:pPr>
      <w:r w:rsidRPr="00E57BA7">
        <w:rPr>
          <w:sz w:val="16"/>
          <w:szCs w:val="16"/>
        </w:rPr>
        <w:t xml:space="preserve">A = not applicable; NR = not reported; SD = standard deviation; TMA = thrombotic </w:t>
      </w:r>
      <w:proofErr w:type="spellStart"/>
      <w:r w:rsidRPr="00E57BA7">
        <w:rPr>
          <w:sz w:val="16"/>
          <w:szCs w:val="16"/>
        </w:rPr>
        <w:t>microangiopathy</w:t>
      </w:r>
      <w:proofErr w:type="spellEnd"/>
      <w:r w:rsidRPr="00E57BA7">
        <w:rPr>
          <w:sz w:val="16"/>
          <w:szCs w:val="16"/>
        </w:rPr>
        <w:t xml:space="preserve">; </w:t>
      </w:r>
      <w:proofErr w:type="spellStart"/>
      <w:r w:rsidRPr="00E57BA7">
        <w:rPr>
          <w:sz w:val="16"/>
          <w:szCs w:val="16"/>
        </w:rPr>
        <w:t>Ec</w:t>
      </w:r>
      <w:proofErr w:type="spellEnd"/>
      <w:r w:rsidRPr="00E57BA7">
        <w:rPr>
          <w:sz w:val="16"/>
          <w:szCs w:val="16"/>
        </w:rPr>
        <w:t xml:space="preserve"> = </w:t>
      </w:r>
      <w:proofErr w:type="spellStart"/>
      <w:r w:rsidRPr="00E57BA7">
        <w:rPr>
          <w:sz w:val="16"/>
          <w:szCs w:val="16"/>
        </w:rPr>
        <w:t>eculizumab</w:t>
      </w:r>
      <w:proofErr w:type="spellEnd"/>
    </w:p>
    <w:p w:rsidR="00ED3BB0" w:rsidRPr="00E57BA7" w:rsidRDefault="00ED3BB0" w:rsidP="00FD55AD">
      <w:pPr>
        <w:pStyle w:val="TableFooter"/>
        <w:ind w:left="284" w:right="-321" w:firstLine="436"/>
        <w:rPr>
          <w:sz w:val="16"/>
          <w:szCs w:val="16"/>
        </w:rPr>
      </w:pPr>
      <w:proofErr w:type="spellStart"/>
      <w:proofErr w:type="gramStart"/>
      <w:r>
        <w:rPr>
          <w:sz w:val="16"/>
          <w:szCs w:val="16"/>
          <w:vertAlign w:val="superscript"/>
        </w:rPr>
        <w:t>a</w:t>
      </w:r>
      <w:r w:rsidRPr="00E57BA7">
        <w:rPr>
          <w:sz w:val="16"/>
          <w:szCs w:val="16"/>
        </w:rPr>
        <w:t>Numbers</w:t>
      </w:r>
      <w:proofErr w:type="spellEnd"/>
      <w:proofErr w:type="gramEnd"/>
      <w:r w:rsidRPr="00E57BA7">
        <w:rPr>
          <w:sz w:val="16"/>
          <w:szCs w:val="16"/>
        </w:rPr>
        <w:t xml:space="preserve"> reported as per the provided abstract, the submission claimed N=78 (not supported by reference).</w:t>
      </w:r>
    </w:p>
    <w:p w:rsidR="00ED3BB0" w:rsidRPr="00E57BA7" w:rsidRDefault="00CF7E16" w:rsidP="00FD55AD">
      <w:pPr>
        <w:pStyle w:val="TableFooter"/>
        <w:ind w:left="284" w:firstLine="436"/>
        <w:rPr>
          <w:sz w:val="16"/>
          <w:szCs w:val="16"/>
        </w:rPr>
      </w:pPr>
      <w:proofErr w:type="gramStart"/>
      <w:r>
        <w:rPr>
          <w:sz w:val="16"/>
          <w:szCs w:val="16"/>
          <w:vertAlign w:val="superscript"/>
        </w:rPr>
        <w:t>b</w:t>
      </w:r>
      <w:proofErr w:type="gramEnd"/>
      <w:r w:rsidR="00ED3BB0" w:rsidRPr="00E57BA7">
        <w:rPr>
          <w:sz w:val="16"/>
          <w:szCs w:val="16"/>
        </w:rPr>
        <w:t xml:space="preserve"> Duration of follow-up </w:t>
      </w:r>
      <w:proofErr w:type="spellStart"/>
      <w:r w:rsidR="00ED3BB0" w:rsidRPr="00E57BA7">
        <w:rPr>
          <w:sz w:val="16"/>
          <w:szCs w:val="16"/>
        </w:rPr>
        <w:t>post transplant</w:t>
      </w:r>
      <w:proofErr w:type="spellEnd"/>
      <w:r w:rsidR="00ED3BB0" w:rsidRPr="00E57BA7">
        <w:rPr>
          <w:sz w:val="16"/>
          <w:szCs w:val="16"/>
        </w:rPr>
        <w:t>.</w:t>
      </w:r>
    </w:p>
    <w:p w:rsidR="00ED3BB0" w:rsidRPr="00E57BA7" w:rsidRDefault="00CF7E16" w:rsidP="00FD55AD">
      <w:pPr>
        <w:pStyle w:val="TableFooter"/>
        <w:ind w:left="284" w:firstLine="436"/>
        <w:rPr>
          <w:sz w:val="16"/>
          <w:szCs w:val="16"/>
        </w:rPr>
      </w:pPr>
      <w:proofErr w:type="gramStart"/>
      <w:r>
        <w:rPr>
          <w:sz w:val="16"/>
          <w:szCs w:val="16"/>
          <w:vertAlign w:val="superscript"/>
        </w:rPr>
        <w:t>c</w:t>
      </w:r>
      <w:proofErr w:type="gramEnd"/>
      <w:r w:rsidR="00ED3BB0" w:rsidRPr="00E57BA7">
        <w:rPr>
          <w:sz w:val="16"/>
          <w:szCs w:val="16"/>
          <w:vertAlign w:val="superscript"/>
        </w:rPr>
        <w:t xml:space="preserve"> </w:t>
      </w:r>
      <w:r w:rsidR="00ED3BB0" w:rsidRPr="00E57BA7">
        <w:rPr>
          <w:sz w:val="16"/>
          <w:szCs w:val="16"/>
        </w:rPr>
        <w:t>At last reported follow-up.</w:t>
      </w:r>
    </w:p>
    <w:p w:rsidR="00ED3BB0" w:rsidRPr="00E57BA7" w:rsidRDefault="00ED3BB0" w:rsidP="00FD55AD">
      <w:pPr>
        <w:pStyle w:val="TableFooter"/>
        <w:ind w:left="284" w:firstLine="436"/>
        <w:rPr>
          <w:i/>
          <w:sz w:val="16"/>
          <w:szCs w:val="16"/>
        </w:rPr>
      </w:pPr>
      <w:r w:rsidRPr="00E57BA7">
        <w:rPr>
          <w:i/>
          <w:sz w:val="16"/>
          <w:szCs w:val="16"/>
        </w:rPr>
        <w:t>Source: Table constructed during the evaluation.</w:t>
      </w:r>
    </w:p>
    <w:p w:rsidR="003B2ECC" w:rsidRDefault="003B2ECC" w:rsidP="003B2ECC">
      <w:pPr>
        <w:pStyle w:val="ListParagraph"/>
        <w:rPr>
          <w:rFonts w:asciiTheme="minorHAnsi" w:hAnsiTheme="minorHAnsi"/>
          <w:szCs w:val="22"/>
        </w:rPr>
      </w:pPr>
    </w:p>
    <w:p w:rsidR="00CF7E16" w:rsidRPr="00617D5D" w:rsidRDefault="00CF7E16" w:rsidP="00FC668B">
      <w:pPr>
        <w:pStyle w:val="ListParagraph"/>
        <w:numPr>
          <w:ilvl w:val="1"/>
          <w:numId w:val="5"/>
        </w:numPr>
        <w:ind w:left="709"/>
        <w:rPr>
          <w:rFonts w:asciiTheme="minorHAnsi" w:hAnsiTheme="minorHAnsi"/>
          <w:sz w:val="24"/>
          <w:szCs w:val="24"/>
        </w:rPr>
      </w:pPr>
      <w:r w:rsidRPr="00617D5D">
        <w:rPr>
          <w:rFonts w:asciiTheme="minorHAnsi" w:hAnsiTheme="minorHAnsi"/>
          <w:sz w:val="24"/>
          <w:szCs w:val="24"/>
        </w:rPr>
        <w:t>At total of 17 of 39 (42%) patients remained free of recurrent TMA at the end of the follow up period of approximately 1 year</w:t>
      </w:r>
      <w:r w:rsidR="00F46C9A" w:rsidRPr="00617D5D">
        <w:rPr>
          <w:rFonts w:asciiTheme="minorHAnsi" w:hAnsiTheme="minorHAnsi"/>
          <w:sz w:val="24"/>
          <w:szCs w:val="24"/>
        </w:rPr>
        <w:t xml:space="preserve"> with approximately 24 (61%) </w:t>
      </w:r>
      <w:r w:rsidR="00F81DC1" w:rsidRPr="00617D5D">
        <w:rPr>
          <w:rFonts w:asciiTheme="minorHAnsi" w:hAnsiTheme="minorHAnsi"/>
          <w:sz w:val="24"/>
          <w:szCs w:val="24"/>
        </w:rPr>
        <w:t xml:space="preserve">who </w:t>
      </w:r>
      <w:r w:rsidR="00F46C9A" w:rsidRPr="00617D5D">
        <w:rPr>
          <w:rFonts w:asciiTheme="minorHAnsi" w:hAnsiTheme="minorHAnsi"/>
          <w:sz w:val="24"/>
          <w:szCs w:val="24"/>
        </w:rPr>
        <w:t>maintain</w:t>
      </w:r>
      <w:r w:rsidR="00F81DC1" w:rsidRPr="00617D5D">
        <w:rPr>
          <w:rFonts w:asciiTheme="minorHAnsi" w:hAnsiTheme="minorHAnsi"/>
          <w:sz w:val="24"/>
          <w:szCs w:val="24"/>
        </w:rPr>
        <w:t xml:space="preserve">ed satisfactory </w:t>
      </w:r>
      <w:r w:rsidR="00F46C9A" w:rsidRPr="00617D5D">
        <w:rPr>
          <w:rFonts w:asciiTheme="minorHAnsi" w:hAnsiTheme="minorHAnsi"/>
          <w:sz w:val="24"/>
          <w:szCs w:val="24"/>
        </w:rPr>
        <w:t>allograft</w:t>
      </w:r>
      <w:r w:rsidR="00F81DC1" w:rsidRPr="00617D5D">
        <w:rPr>
          <w:rFonts w:asciiTheme="minorHAnsi" w:hAnsiTheme="minorHAnsi"/>
          <w:sz w:val="24"/>
          <w:szCs w:val="24"/>
        </w:rPr>
        <w:t xml:space="preserve"> function</w:t>
      </w:r>
      <w:r w:rsidR="00F46C9A" w:rsidRPr="00617D5D">
        <w:rPr>
          <w:rFonts w:asciiTheme="minorHAnsi" w:hAnsiTheme="minorHAnsi"/>
          <w:sz w:val="24"/>
          <w:szCs w:val="24"/>
        </w:rPr>
        <w:t xml:space="preserve"> at follow-up</w:t>
      </w:r>
      <w:r w:rsidRPr="00617D5D">
        <w:rPr>
          <w:rFonts w:asciiTheme="minorHAnsi" w:hAnsiTheme="minorHAnsi"/>
          <w:sz w:val="24"/>
          <w:szCs w:val="24"/>
        </w:rPr>
        <w:t xml:space="preserve">. </w:t>
      </w:r>
      <w:r w:rsidR="003A068D">
        <w:rPr>
          <w:rFonts w:asciiTheme="minorHAnsi" w:hAnsiTheme="minorHAnsi"/>
          <w:sz w:val="24"/>
          <w:szCs w:val="24"/>
        </w:rPr>
        <w:t xml:space="preserve"> </w:t>
      </w:r>
      <w:r w:rsidRPr="00617D5D">
        <w:rPr>
          <w:rFonts w:asciiTheme="minorHAnsi" w:hAnsiTheme="minorHAnsi"/>
          <w:sz w:val="24"/>
          <w:szCs w:val="24"/>
        </w:rPr>
        <w:t>However</w:t>
      </w:r>
      <w:r w:rsidR="003B2ECC" w:rsidRPr="00617D5D">
        <w:rPr>
          <w:rFonts w:asciiTheme="minorHAnsi" w:hAnsiTheme="minorHAnsi"/>
          <w:sz w:val="24"/>
          <w:szCs w:val="24"/>
        </w:rPr>
        <w:t>,</w:t>
      </w:r>
      <w:r w:rsidRPr="00617D5D">
        <w:rPr>
          <w:rFonts w:asciiTheme="minorHAnsi" w:hAnsiTheme="minorHAnsi"/>
          <w:sz w:val="24"/>
          <w:szCs w:val="24"/>
        </w:rPr>
        <w:t xml:space="preserve"> the timing of initiation of post-transplant treatment was not reported in </w:t>
      </w:r>
      <w:proofErr w:type="spellStart"/>
      <w:r w:rsidR="003B2ECC" w:rsidRPr="00617D5D">
        <w:rPr>
          <w:rFonts w:asciiTheme="minorHAnsi" w:hAnsiTheme="minorHAnsi"/>
          <w:sz w:val="24"/>
          <w:szCs w:val="24"/>
        </w:rPr>
        <w:t>Siedlecki</w:t>
      </w:r>
      <w:proofErr w:type="spellEnd"/>
      <w:r w:rsidR="003B2ECC" w:rsidRPr="00617D5D">
        <w:rPr>
          <w:rFonts w:asciiTheme="minorHAnsi" w:hAnsiTheme="minorHAnsi"/>
          <w:sz w:val="24"/>
          <w:szCs w:val="24"/>
        </w:rPr>
        <w:t xml:space="preserve"> et al. 2016</w:t>
      </w:r>
      <w:r w:rsidR="00F349B2" w:rsidRPr="00617D5D">
        <w:rPr>
          <w:rFonts w:asciiTheme="minorHAnsi" w:hAnsiTheme="minorHAnsi"/>
          <w:sz w:val="24"/>
          <w:szCs w:val="24"/>
        </w:rPr>
        <w:t>.</w:t>
      </w:r>
      <w:r w:rsidR="003B2ECC" w:rsidRPr="00617D5D">
        <w:rPr>
          <w:rFonts w:asciiTheme="minorHAnsi" w:hAnsiTheme="minorHAnsi"/>
          <w:sz w:val="24"/>
          <w:szCs w:val="24"/>
        </w:rPr>
        <w:t xml:space="preserve"> </w:t>
      </w:r>
      <w:r w:rsidR="00AE17EB">
        <w:rPr>
          <w:rFonts w:asciiTheme="minorHAnsi" w:hAnsiTheme="minorHAnsi"/>
          <w:sz w:val="24"/>
          <w:szCs w:val="24"/>
        </w:rPr>
        <w:t xml:space="preserve"> </w:t>
      </w:r>
      <w:r w:rsidR="00F349B2" w:rsidRPr="00617D5D">
        <w:rPr>
          <w:rFonts w:asciiTheme="minorHAnsi" w:hAnsiTheme="minorHAnsi"/>
          <w:sz w:val="24"/>
          <w:szCs w:val="24"/>
        </w:rPr>
        <w:t xml:space="preserve">It was </w:t>
      </w:r>
      <w:r w:rsidR="00F46C9A" w:rsidRPr="00617D5D">
        <w:rPr>
          <w:rFonts w:asciiTheme="minorHAnsi" w:hAnsiTheme="minorHAnsi"/>
          <w:sz w:val="24"/>
          <w:szCs w:val="24"/>
        </w:rPr>
        <w:t xml:space="preserve">also not reported </w:t>
      </w:r>
      <w:r w:rsidR="003B2ECC" w:rsidRPr="00617D5D">
        <w:rPr>
          <w:rFonts w:asciiTheme="minorHAnsi" w:hAnsiTheme="minorHAnsi"/>
          <w:sz w:val="24"/>
          <w:szCs w:val="24"/>
        </w:rPr>
        <w:t xml:space="preserve">if treatment was initiated </w:t>
      </w:r>
      <w:r w:rsidR="00F349B2" w:rsidRPr="00617D5D">
        <w:rPr>
          <w:rFonts w:asciiTheme="minorHAnsi" w:hAnsiTheme="minorHAnsi"/>
          <w:sz w:val="24"/>
          <w:szCs w:val="24"/>
        </w:rPr>
        <w:t xml:space="preserve">prophylactically or </w:t>
      </w:r>
      <w:r w:rsidR="003B2ECC" w:rsidRPr="00617D5D">
        <w:rPr>
          <w:rFonts w:asciiTheme="minorHAnsi" w:hAnsiTheme="minorHAnsi"/>
          <w:sz w:val="24"/>
          <w:szCs w:val="24"/>
        </w:rPr>
        <w:t>after reoccurrence of TMA</w:t>
      </w:r>
      <w:r w:rsidR="00AE17EB">
        <w:rPr>
          <w:rFonts w:asciiTheme="minorHAnsi" w:hAnsiTheme="minorHAnsi"/>
          <w:sz w:val="24"/>
          <w:szCs w:val="24"/>
        </w:rPr>
        <w:t xml:space="preserve">. </w:t>
      </w:r>
      <w:r w:rsidR="003B2ECC" w:rsidRPr="00617D5D">
        <w:rPr>
          <w:rFonts w:asciiTheme="minorHAnsi" w:hAnsiTheme="minorHAnsi"/>
          <w:sz w:val="24"/>
          <w:szCs w:val="24"/>
        </w:rPr>
        <w:t xml:space="preserve"> </w:t>
      </w:r>
      <w:r w:rsidR="00F349B2" w:rsidRPr="00617D5D">
        <w:rPr>
          <w:rFonts w:asciiTheme="minorHAnsi" w:hAnsiTheme="minorHAnsi"/>
          <w:sz w:val="24"/>
          <w:szCs w:val="24"/>
        </w:rPr>
        <w:t>This</w:t>
      </w:r>
      <w:r w:rsidR="003B2ECC" w:rsidRPr="00617D5D">
        <w:rPr>
          <w:rFonts w:asciiTheme="minorHAnsi" w:hAnsiTheme="minorHAnsi"/>
          <w:sz w:val="24"/>
          <w:szCs w:val="24"/>
        </w:rPr>
        <w:t xml:space="preserve"> along with a lack of detailed information to allow for a more comprehensive comparison to the patients initiated peri-transplant reduce</w:t>
      </w:r>
      <w:r w:rsidR="00084D38" w:rsidRPr="00617D5D">
        <w:rPr>
          <w:rFonts w:asciiTheme="minorHAnsi" w:hAnsiTheme="minorHAnsi"/>
          <w:sz w:val="24"/>
          <w:szCs w:val="24"/>
        </w:rPr>
        <w:t>d</w:t>
      </w:r>
      <w:r w:rsidR="003B2ECC" w:rsidRPr="00617D5D">
        <w:rPr>
          <w:rFonts w:asciiTheme="minorHAnsi" w:hAnsiTheme="minorHAnsi"/>
          <w:sz w:val="24"/>
          <w:szCs w:val="24"/>
        </w:rPr>
        <w:t xml:space="preserve"> the value that can be placed on this data.</w:t>
      </w:r>
    </w:p>
    <w:p w:rsidR="003B2ECC" w:rsidRPr="00617D5D" w:rsidRDefault="003B2ECC" w:rsidP="003B2ECC">
      <w:pPr>
        <w:pStyle w:val="ListParagraph"/>
        <w:rPr>
          <w:rFonts w:asciiTheme="minorHAnsi" w:hAnsiTheme="minorHAnsi"/>
          <w:sz w:val="24"/>
          <w:szCs w:val="24"/>
        </w:rPr>
      </w:pPr>
    </w:p>
    <w:p w:rsidR="003B2ECC" w:rsidRPr="00617D5D" w:rsidRDefault="003B2ECC" w:rsidP="0064358C">
      <w:pPr>
        <w:pStyle w:val="PBACHeading1"/>
        <w:numPr>
          <w:ilvl w:val="0"/>
          <w:numId w:val="0"/>
        </w:numPr>
        <w:ind w:left="720"/>
        <w:outlineLvl w:val="2"/>
        <w:rPr>
          <w:rFonts w:asciiTheme="minorHAnsi" w:hAnsiTheme="minorHAnsi"/>
          <w:sz w:val="24"/>
          <w:szCs w:val="24"/>
        </w:rPr>
      </w:pPr>
      <w:r w:rsidRPr="00617D5D">
        <w:rPr>
          <w:rFonts w:asciiTheme="minorHAnsi" w:hAnsiTheme="minorHAnsi"/>
          <w:sz w:val="24"/>
          <w:szCs w:val="24"/>
        </w:rPr>
        <w:t>ii</w:t>
      </w:r>
      <w:r w:rsidR="005A7CE1" w:rsidRPr="00617D5D">
        <w:rPr>
          <w:rFonts w:asciiTheme="minorHAnsi" w:hAnsiTheme="minorHAnsi"/>
          <w:sz w:val="24"/>
          <w:szCs w:val="24"/>
        </w:rPr>
        <w:t>i</w:t>
      </w:r>
      <w:r w:rsidRPr="00617D5D">
        <w:rPr>
          <w:rFonts w:asciiTheme="minorHAnsi" w:hAnsiTheme="minorHAnsi"/>
          <w:sz w:val="24"/>
          <w:szCs w:val="24"/>
        </w:rPr>
        <w:t xml:space="preserve">) Treatment of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with long-term dialysis.</w:t>
      </w:r>
    </w:p>
    <w:p w:rsidR="00084D38" w:rsidRPr="00617D5D" w:rsidRDefault="00084D38" w:rsidP="006649BF"/>
    <w:p w:rsidR="00ED3BB0" w:rsidRPr="00617D5D" w:rsidRDefault="004B4070" w:rsidP="00FC668B">
      <w:pPr>
        <w:pStyle w:val="ListParagraph"/>
        <w:numPr>
          <w:ilvl w:val="1"/>
          <w:numId w:val="5"/>
        </w:numPr>
        <w:ind w:left="709"/>
        <w:rPr>
          <w:rFonts w:asciiTheme="minorHAnsi" w:hAnsiTheme="minorHAnsi"/>
          <w:sz w:val="24"/>
          <w:szCs w:val="24"/>
        </w:rPr>
      </w:pPr>
      <w:r w:rsidRPr="00617D5D">
        <w:rPr>
          <w:rFonts w:asciiTheme="minorHAnsi" w:hAnsiTheme="minorHAnsi"/>
          <w:sz w:val="24"/>
          <w:szCs w:val="24"/>
        </w:rPr>
        <w:t xml:space="preserve">The outcomes for </w:t>
      </w:r>
      <w:r w:rsidR="005A7CE1" w:rsidRPr="00617D5D">
        <w:rPr>
          <w:rFonts w:asciiTheme="minorHAnsi" w:hAnsiTheme="minorHAnsi"/>
          <w:sz w:val="24"/>
          <w:szCs w:val="24"/>
        </w:rPr>
        <w:t xml:space="preserve">the </w:t>
      </w:r>
      <w:r w:rsidRPr="00617D5D">
        <w:rPr>
          <w:rFonts w:asciiTheme="minorHAnsi" w:hAnsiTheme="minorHAnsi"/>
          <w:sz w:val="24"/>
          <w:szCs w:val="24"/>
        </w:rPr>
        <w:t xml:space="preserve">use of </w:t>
      </w:r>
      <w:r w:rsidR="002537D5" w:rsidRPr="00617D5D">
        <w:rPr>
          <w:rFonts w:asciiTheme="minorHAnsi" w:hAnsiTheme="minorHAnsi"/>
          <w:sz w:val="24"/>
          <w:szCs w:val="24"/>
        </w:rPr>
        <w:t>long-term</w:t>
      </w:r>
      <w:r w:rsidR="005A7CE1" w:rsidRPr="00617D5D">
        <w:rPr>
          <w:rFonts w:asciiTheme="minorHAnsi" w:hAnsiTheme="minorHAnsi"/>
          <w:sz w:val="24"/>
          <w:szCs w:val="24"/>
        </w:rPr>
        <w:t xml:space="preserve"> dialysis </w:t>
      </w:r>
      <w:r w:rsidRPr="00617D5D">
        <w:rPr>
          <w:rFonts w:asciiTheme="minorHAnsi" w:hAnsiTheme="minorHAnsi"/>
          <w:sz w:val="24"/>
          <w:szCs w:val="24"/>
        </w:rPr>
        <w:t xml:space="preserve">in </w:t>
      </w:r>
      <w:proofErr w:type="spellStart"/>
      <w:r w:rsidR="005A7CE1" w:rsidRPr="00617D5D">
        <w:rPr>
          <w:rFonts w:asciiTheme="minorHAnsi" w:hAnsiTheme="minorHAnsi"/>
          <w:sz w:val="24"/>
          <w:szCs w:val="24"/>
        </w:rPr>
        <w:t>aHUS</w:t>
      </w:r>
      <w:proofErr w:type="spellEnd"/>
      <w:r w:rsidR="005A7CE1" w:rsidRPr="00617D5D">
        <w:rPr>
          <w:rFonts w:asciiTheme="minorHAnsi" w:hAnsiTheme="minorHAnsi"/>
          <w:sz w:val="24"/>
          <w:szCs w:val="24"/>
        </w:rPr>
        <w:t xml:space="preserve"> </w:t>
      </w:r>
      <w:r w:rsidRPr="00617D5D">
        <w:rPr>
          <w:rFonts w:asciiTheme="minorHAnsi" w:hAnsiTheme="minorHAnsi"/>
          <w:sz w:val="24"/>
          <w:szCs w:val="24"/>
        </w:rPr>
        <w:t xml:space="preserve">patients are summarised in Table </w:t>
      </w:r>
      <w:r w:rsidR="00740FEE" w:rsidRPr="00617D5D">
        <w:rPr>
          <w:rFonts w:asciiTheme="minorHAnsi" w:hAnsiTheme="minorHAnsi"/>
          <w:sz w:val="24"/>
          <w:szCs w:val="24"/>
        </w:rPr>
        <w:t>7</w:t>
      </w:r>
      <w:r w:rsidRPr="00617D5D">
        <w:rPr>
          <w:rFonts w:asciiTheme="minorHAnsi" w:hAnsiTheme="minorHAnsi"/>
          <w:sz w:val="24"/>
          <w:szCs w:val="24"/>
        </w:rPr>
        <w:t>.</w:t>
      </w:r>
      <w:r w:rsidR="00AE17EB">
        <w:rPr>
          <w:rFonts w:asciiTheme="minorHAnsi" w:hAnsiTheme="minorHAnsi"/>
          <w:sz w:val="24"/>
          <w:szCs w:val="24"/>
        </w:rPr>
        <w:t xml:space="preserve"> </w:t>
      </w:r>
      <w:r w:rsidR="00084D38" w:rsidRPr="00617D5D">
        <w:rPr>
          <w:rFonts w:asciiTheme="minorHAnsi" w:hAnsiTheme="minorHAnsi"/>
          <w:sz w:val="24"/>
          <w:szCs w:val="24"/>
        </w:rPr>
        <w:t xml:space="preserve"> A total of 26 new individuals with diagnosed </w:t>
      </w:r>
      <w:proofErr w:type="spellStart"/>
      <w:r w:rsidR="00084D38" w:rsidRPr="00617D5D">
        <w:rPr>
          <w:rFonts w:asciiTheme="minorHAnsi" w:hAnsiTheme="minorHAnsi"/>
          <w:sz w:val="24"/>
          <w:szCs w:val="24"/>
        </w:rPr>
        <w:t>aHUS</w:t>
      </w:r>
      <w:proofErr w:type="spellEnd"/>
      <w:r w:rsidR="00084D38" w:rsidRPr="00617D5D">
        <w:rPr>
          <w:rFonts w:asciiTheme="minorHAnsi" w:hAnsiTheme="minorHAnsi"/>
          <w:sz w:val="24"/>
          <w:szCs w:val="24"/>
        </w:rPr>
        <w:t xml:space="preserve"> were included in the studies with a further 2,458 patients with HUS (not confined to </w:t>
      </w:r>
      <w:proofErr w:type="spellStart"/>
      <w:r w:rsidR="00084D38" w:rsidRPr="00617D5D">
        <w:rPr>
          <w:rFonts w:asciiTheme="minorHAnsi" w:hAnsiTheme="minorHAnsi"/>
          <w:sz w:val="24"/>
          <w:szCs w:val="24"/>
        </w:rPr>
        <w:t>aHUS</w:t>
      </w:r>
      <w:proofErr w:type="spellEnd"/>
      <w:r w:rsidR="00084D38" w:rsidRPr="00617D5D">
        <w:rPr>
          <w:rFonts w:asciiTheme="minorHAnsi" w:hAnsiTheme="minorHAnsi"/>
          <w:sz w:val="24"/>
          <w:szCs w:val="24"/>
        </w:rPr>
        <w:t xml:space="preserve">) reported more broadly without individual patient data </w:t>
      </w:r>
      <w:r w:rsidR="0098270C" w:rsidRPr="00617D5D">
        <w:rPr>
          <w:rFonts w:asciiTheme="minorHAnsi" w:hAnsiTheme="minorHAnsi"/>
          <w:sz w:val="24"/>
          <w:szCs w:val="24"/>
        </w:rPr>
        <w:t xml:space="preserve">being </w:t>
      </w:r>
      <w:r w:rsidR="00084D38" w:rsidRPr="00617D5D">
        <w:rPr>
          <w:rFonts w:asciiTheme="minorHAnsi" w:hAnsiTheme="minorHAnsi"/>
          <w:sz w:val="24"/>
          <w:szCs w:val="24"/>
        </w:rPr>
        <w:t>available.</w:t>
      </w:r>
    </w:p>
    <w:p w:rsidR="005E1665" w:rsidRPr="00617D5D" w:rsidRDefault="005E1665" w:rsidP="00882085">
      <w:pPr>
        <w:jc w:val="both"/>
        <w:rPr>
          <w:rFonts w:asciiTheme="minorHAnsi" w:hAnsiTheme="minorHAnsi" w:cs="Arial"/>
        </w:rPr>
      </w:pPr>
    </w:p>
    <w:p w:rsidR="005E1665" w:rsidRPr="00617D5D" w:rsidRDefault="005E1665" w:rsidP="005E1665">
      <w:pPr>
        <w:pStyle w:val="ListParagraph"/>
        <w:ind w:left="709"/>
        <w:rPr>
          <w:rFonts w:asciiTheme="minorHAnsi" w:hAnsiTheme="minorHAnsi"/>
          <w:sz w:val="24"/>
          <w:szCs w:val="24"/>
        </w:rPr>
        <w:sectPr w:rsidR="005E1665" w:rsidRPr="00617D5D" w:rsidSect="00F437AD">
          <w:headerReference w:type="even" r:id="rId15"/>
          <w:footerReference w:type="even" r:id="rId16"/>
          <w:footerReference w:type="first" r:id="rId17"/>
          <w:pgSz w:w="11906" w:h="16838" w:code="9"/>
          <w:pgMar w:top="1440" w:right="1440" w:bottom="1440" w:left="1440" w:header="1440" w:footer="1440" w:gutter="0"/>
          <w:pgNumType w:start="21"/>
          <w:cols w:space="708"/>
          <w:docGrid w:linePitch="360"/>
        </w:sectPr>
      </w:pPr>
    </w:p>
    <w:p w:rsidR="004A6028" w:rsidRDefault="004A6028" w:rsidP="004A6028">
      <w:pPr>
        <w:pStyle w:val="Caption"/>
      </w:pPr>
      <w:proofErr w:type="gramStart"/>
      <w:r>
        <w:t xml:space="preserve">Table </w:t>
      </w:r>
      <w:proofErr w:type="gramEnd"/>
      <w:r>
        <w:fldChar w:fldCharType="begin"/>
      </w:r>
      <w:r>
        <w:instrText xml:space="preserve"> SEQ Table \* ARABIC </w:instrText>
      </w:r>
      <w:r>
        <w:fldChar w:fldCharType="separate"/>
      </w:r>
      <w:r>
        <w:rPr>
          <w:noProof/>
        </w:rPr>
        <w:t>7</w:t>
      </w:r>
      <w:r>
        <w:fldChar w:fldCharType="end"/>
      </w:r>
      <w:proofErr w:type="gramStart"/>
      <w:r>
        <w:t xml:space="preserve">: </w:t>
      </w:r>
      <w:r w:rsidRPr="007B7502">
        <w:t xml:space="preserve">Summary long term dialysis treatment in ESRD due to </w:t>
      </w:r>
      <w:proofErr w:type="spellStart"/>
      <w:r w:rsidRPr="007B7502">
        <w:t>aHUS</w:t>
      </w:r>
      <w:proofErr w:type="spellEnd"/>
      <w:r w:rsidRPr="007B7502">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78"/>
        <w:gridCol w:w="934"/>
        <w:gridCol w:w="1509"/>
        <w:gridCol w:w="1295"/>
        <w:gridCol w:w="1746"/>
        <w:gridCol w:w="1759"/>
        <w:gridCol w:w="1470"/>
        <w:gridCol w:w="1213"/>
      </w:tblGrid>
      <w:tr w:rsidR="005E1665" w:rsidRPr="00E57BA7" w:rsidTr="004A6028">
        <w:tc>
          <w:tcPr>
            <w:tcW w:w="0" w:type="auto"/>
            <w:vMerge w:val="restart"/>
          </w:tcPr>
          <w:p w:rsidR="005E1665" w:rsidRPr="00E57BA7" w:rsidRDefault="005E1665" w:rsidP="005E1665">
            <w:pPr>
              <w:rPr>
                <w:rFonts w:ascii="Arial Narrow" w:hAnsi="Arial Narrow"/>
                <w:b/>
                <w:sz w:val="18"/>
                <w:szCs w:val="18"/>
              </w:rPr>
            </w:pPr>
          </w:p>
        </w:tc>
        <w:tc>
          <w:tcPr>
            <w:tcW w:w="0" w:type="auto"/>
            <w:vMerge w:val="restart"/>
          </w:tcPr>
          <w:p w:rsidR="005E1665" w:rsidRDefault="005E1665" w:rsidP="005E1665">
            <w:pPr>
              <w:jc w:val="center"/>
              <w:rPr>
                <w:rFonts w:ascii="Arial Narrow" w:hAnsi="Arial Narrow"/>
                <w:b/>
                <w:sz w:val="18"/>
                <w:szCs w:val="18"/>
              </w:rPr>
            </w:pPr>
            <w:proofErr w:type="spellStart"/>
            <w:r w:rsidRPr="005E1665">
              <w:rPr>
                <w:rFonts w:ascii="Arial Narrow" w:hAnsi="Arial Narrow"/>
                <w:b/>
                <w:sz w:val="18"/>
                <w:szCs w:val="18"/>
              </w:rPr>
              <w:t>Durkan</w:t>
            </w:r>
            <w:proofErr w:type="spellEnd"/>
            <w:r w:rsidRPr="005E1665">
              <w:rPr>
                <w:rFonts w:ascii="Arial Narrow" w:hAnsi="Arial Narrow"/>
                <w:b/>
                <w:sz w:val="18"/>
                <w:szCs w:val="18"/>
              </w:rPr>
              <w:t xml:space="preserve"> 2016</w:t>
            </w:r>
          </w:p>
          <w:p w:rsidR="005E1665" w:rsidRDefault="005E1665" w:rsidP="005E1665">
            <w:pPr>
              <w:jc w:val="center"/>
              <w:rPr>
                <w:rFonts w:ascii="Arial Narrow" w:hAnsi="Arial Narrow"/>
                <w:b/>
                <w:sz w:val="18"/>
                <w:szCs w:val="18"/>
              </w:rPr>
            </w:pPr>
            <w:r>
              <w:rPr>
                <w:rFonts w:ascii="Arial Narrow" w:hAnsi="Arial Narrow"/>
                <w:b/>
                <w:sz w:val="18"/>
                <w:szCs w:val="18"/>
              </w:rPr>
              <w:t>N=</w:t>
            </w:r>
            <w:r w:rsidR="007F56F7">
              <w:rPr>
                <w:rFonts w:ascii="Arial Narrow" w:hAnsi="Arial Narrow"/>
                <w:b/>
                <w:sz w:val="18"/>
                <w:szCs w:val="18"/>
              </w:rPr>
              <w:t>14</w:t>
            </w:r>
          </w:p>
          <w:p w:rsidR="007F56F7" w:rsidRPr="00E57BA7" w:rsidRDefault="007F56F7" w:rsidP="005E1665">
            <w:pPr>
              <w:jc w:val="center"/>
              <w:rPr>
                <w:rFonts w:ascii="Arial Narrow" w:hAnsi="Arial Narrow"/>
                <w:b/>
                <w:sz w:val="18"/>
                <w:szCs w:val="18"/>
              </w:rPr>
            </w:pPr>
            <w:r>
              <w:rPr>
                <w:rFonts w:ascii="Arial Narrow" w:hAnsi="Arial Narrow"/>
                <w:b/>
                <w:sz w:val="18"/>
                <w:szCs w:val="18"/>
              </w:rPr>
              <w:t xml:space="preserve">(9 </w:t>
            </w:r>
            <w:r w:rsidR="00D46A68">
              <w:rPr>
                <w:rFonts w:ascii="Arial Narrow" w:hAnsi="Arial Narrow"/>
                <w:b/>
                <w:sz w:val="18"/>
                <w:szCs w:val="18"/>
              </w:rPr>
              <w:t>relevant</w:t>
            </w:r>
            <w:r>
              <w:rPr>
                <w:rFonts w:ascii="Arial Narrow" w:hAnsi="Arial Narrow"/>
                <w:b/>
                <w:sz w:val="18"/>
                <w:szCs w:val="18"/>
              </w:rPr>
              <w:t>)</w:t>
            </w:r>
          </w:p>
        </w:tc>
        <w:tc>
          <w:tcPr>
            <w:tcW w:w="0" w:type="auto"/>
            <w:vMerge w:val="restart"/>
          </w:tcPr>
          <w:p w:rsidR="005E1665" w:rsidRDefault="005E1665" w:rsidP="005E1665">
            <w:pPr>
              <w:jc w:val="center"/>
              <w:rPr>
                <w:rFonts w:ascii="Arial Narrow" w:hAnsi="Arial Narrow"/>
                <w:b/>
                <w:sz w:val="18"/>
                <w:szCs w:val="18"/>
              </w:rPr>
            </w:pPr>
            <w:proofErr w:type="spellStart"/>
            <w:r w:rsidRPr="005E1665">
              <w:rPr>
                <w:rFonts w:ascii="Arial Narrow" w:hAnsi="Arial Narrow"/>
                <w:b/>
                <w:sz w:val="18"/>
                <w:szCs w:val="18"/>
              </w:rPr>
              <w:t>Neuhaus</w:t>
            </w:r>
            <w:proofErr w:type="spellEnd"/>
            <w:r w:rsidRPr="005E1665">
              <w:rPr>
                <w:rFonts w:ascii="Arial Narrow" w:hAnsi="Arial Narrow"/>
                <w:b/>
                <w:sz w:val="18"/>
                <w:szCs w:val="18"/>
              </w:rPr>
              <w:t xml:space="preserve"> 1997</w:t>
            </w:r>
          </w:p>
          <w:p w:rsidR="005E1665" w:rsidRPr="00E57BA7" w:rsidRDefault="005E1665" w:rsidP="005E1665">
            <w:pPr>
              <w:jc w:val="center"/>
              <w:rPr>
                <w:rFonts w:ascii="Arial Narrow" w:hAnsi="Arial Narrow"/>
                <w:b/>
                <w:sz w:val="18"/>
                <w:szCs w:val="18"/>
                <w:vertAlign w:val="superscript"/>
              </w:rPr>
            </w:pPr>
            <w:r w:rsidRPr="00E57BA7">
              <w:rPr>
                <w:rFonts w:ascii="Arial Narrow" w:hAnsi="Arial Narrow"/>
                <w:b/>
                <w:sz w:val="18"/>
                <w:szCs w:val="18"/>
              </w:rPr>
              <w:t>N=</w:t>
            </w:r>
            <w:r>
              <w:rPr>
                <w:rFonts w:ascii="Arial Narrow" w:hAnsi="Arial Narrow"/>
                <w:b/>
                <w:sz w:val="18"/>
                <w:szCs w:val="18"/>
              </w:rPr>
              <w:t>7</w:t>
            </w:r>
          </w:p>
        </w:tc>
        <w:tc>
          <w:tcPr>
            <w:tcW w:w="0" w:type="auto"/>
            <w:vMerge w:val="restart"/>
          </w:tcPr>
          <w:p w:rsidR="005E1665" w:rsidRPr="00E57BA7" w:rsidRDefault="005E1665" w:rsidP="005E1665">
            <w:pPr>
              <w:jc w:val="center"/>
              <w:rPr>
                <w:rFonts w:ascii="Arial Narrow" w:hAnsi="Arial Narrow"/>
                <w:b/>
                <w:sz w:val="18"/>
                <w:szCs w:val="18"/>
              </w:rPr>
            </w:pPr>
            <w:proofErr w:type="spellStart"/>
            <w:r w:rsidRPr="005E1665">
              <w:rPr>
                <w:rFonts w:ascii="Arial Narrow" w:hAnsi="Arial Narrow"/>
                <w:b/>
                <w:sz w:val="18"/>
                <w:szCs w:val="18"/>
              </w:rPr>
              <w:t>Besbas</w:t>
            </w:r>
            <w:proofErr w:type="spellEnd"/>
            <w:r w:rsidRPr="005E1665">
              <w:rPr>
                <w:rFonts w:ascii="Arial Narrow" w:hAnsi="Arial Narrow"/>
                <w:b/>
                <w:sz w:val="18"/>
                <w:szCs w:val="18"/>
              </w:rPr>
              <w:t xml:space="preserve"> 2017</w:t>
            </w:r>
          </w:p>
          <w:p w:rsidR="005E1665" w:rsidRPr="008530F3" w:rsidRDefault="005E1665" w:rsidP="005E1665">
            <w:pPr>
              <w:jc w:val="center"/>
              <w:rPr>
                <w:rFonts w:ascii="Arial Narrow" w:hAnsi="Arial Narrow"/>
                <w:b/>
                <w:sz w:val="18"/>
                <w:szCs w:val="18"/>
                <w:vertAlign w:val="superscript"/>
              </w:rPr>
            </w:pPr>
            <w:r w:rsidRPr="00E57BA7">
              <w:rPr>
                <w:rFonts w:ascii="Arial Narrow" w:hAnsi="Arial Narrow"/>
                <w:b/>
                <w:sz w:val="18"/>
                <w:szCs w:val="18"/>
              </w:rPr>
              <w:t>N=</w:t>
            </w:r>
            <w:r>
              <w:rPr>
                <w:rFonts w:ascii="Arial Narrow" w:hAnsi="Arial Narrow"/>
                <w:b/>
                <w:sz w:val="18"/>
                <w:szCs w:val="18"/>
              </w:rPr>
              <w:t>8</w:t>
            </w:r>
            <w:r w:rsidR="008530F3">
              <w:rPr>
                <w:rFonts w:ascii="Arial Narrow" w:hAnsi="Arial Narrow"/>
                <w:b/>
                <w:sz w:val="18"/>
                <w:szCs w:val="18"/>
                <w:vertAlign w:val="superscript"/>
              </w:rPr>
              <w:t>a</w:t>
            </w:r>
          </w:p>
        </w:tc>
        <w:tc>
          <w:tcPr>
            <w:tcW w:w="3505" w:type="dxa"/>
            <w:gridSpan w:val="2"/>
          </w:tcPr>
          <w:p w:rsidR="005E1665" w:rsidRPr="00E57BA7" w:rsidRDefault="005E1665" w:rsidP="005E1665">
            <w:pPr>
              <w:jc w:val="center"/>
              <w:rPr>
                <w:rFonts w:ascii="Arial Narrow" w:hAnsi="Arial Narrow"/>
                <w:b/>
                <w:sz w:val="18"/>
                <w:szCs w:val="18"/>
              </w:rPr>
            </w:pPr>
            <w:proofErr w:type="spellStart"/>
            <w:r w:rsidRPr="005E1665">
              <w:rPr>
                <w:rFonts w:ascii="Arial Narrow" w:hAnsi="Arial Narrow"/>
                <w:b/>
                <w:sz w:val="18"/>
                <w:szCs w:val="18"/>
              </w:rPr>
              <w:t>Brunelli</w:t>
            </w:r>
            <w:proofErr w:type="spellEnd"/>
            <w:r w:rsidRPr="005E1665">
              <w:rPr>
                <w:rFonts w:ascii="Arial Narrow" w:hAnsi="Arial Narrow"/>
                <w:b/>
                <w:sz w:val="18"/>
                <w:szCs w:val="18"/>
              </w:rPr>
              <w:t xml:space="preserve"> 2015</w:t>
            </w:r>
          </w:p>
          <w:p w:rsidR="005E1665" w:rsidRPr="00E57BA7" w:rsidRDefault="005E1665" w:rsidP="005E1665">
            <w:pPr>
              <w:jc w:val="center"/>
              <w:rPr>
                <w:rFonts w:ascii="Arial Narrow" w:hAnsi="Arial Narrow"/>
                <w:b/>
                <w:sz w:val="18"/>
                <w:szCs w:val="18"/>
              </w:rPr>
            </w:pPr>
            <w:r w:rsidRPr="00E57BA7">
              <w:rPr>
                <w:rFonts w:ascii="Arial Narrow" w:hAnsi="Arial Narrow"/>
                <w:b/>
                <w:sz w:val="18"/>
                <w:szCs w:val="18"/>
              </w:rPr>
              <w:t>N=</w:t>
            </w:r>
            <w:r>
              <w:rPr>
                <w:rFonts w:ascii="Arial Narrow" w:hAnsi="Arial Narrow"/>
                <w:b/>
                <w:sz w:val="18"/>
                <w:szCs w:val="18"/>
              </w:rPr>
              <w:t>217</w:t>
            </w:r>
          </w:p>
        </w:tc>
        <w:tc>
          <w:tcPr>
            <w:tcW w:w="1470" w:type="dxa"/>
            <w:vMerge w:val="restart"/>
          </w:tcPr>
          <w:p w:rsidR="005E1665" w:rsidRDefault="005E1665" w:rsidP="005E1665">
            <w:pPr>
              <w:jc w:val="center"/>
              <w:rPr>
                <w:rFonts w:ascii="Arial Narrow" w:hAnsi="Arial Narrow"/>
                <w:b/>
                <w:sz w:val="18"/>
                <w:szCs w:val="18"/>
              </w:rPr>
            </w:pPr>
            <w:r>
              <w:rPr>
                <w:rFonts w:ascii="Arial Narrow" w:hAnsi="Arial Narrow"/>
                <w:b/>
                <w:sz w:val="18"/>
                <w:szCs w:val="18"/>
              </w:rPr>
              <w:t>Sexton 2015</w:t>
            </w:r>
          </w:p>
          <w:p w:rsidR="005E1665" w:rsidRPr="00E57BA7" w:rsidRDefault="005E1665" w:rsidP="005E1665">
            <w:pPr>
              <w:jc w:val="center"/>
              <w:rPr>
                <w:rFonts w:ascii="Arial Narrow" w:hAnsi="Arial Narrow"/>
                <w:b/>
                <w:sz w:val="18"/>
                <w:szCs w:val="18"/>
              </w:rPr>
            </w:pPr>
            <w:r>
              <w:rPr>
                <w:rFonts w:ascii="Arial Narrow" w:hAnsi="Arial Narrow"/>
                <w:b/>
                <w:sz w:val="18"/>
                <w:szCs w:val="18"/>
              </w:rPr>
              <w:t>N=2,241</w:t>
            </w:r>
          </w:p>
        </w:tc>
        <w:tc>
          <w:tcPr>
            <w:tcW w:w="0" w:type="auto"/>
            <w:vMerge w:val="restart"/>
          </w:tcPr>
          <w:p w:rsidR="005E1665" w:rsidRPr="00E57BA7" w:rsidRDefault="005E1665" w:rsidP="005E1665">
            <w:pPr>
              <w:jc w:val="center"/>
              <w:rPr>
                <w:rFonts w:ascii="Arial Narrow" w:hAnsi="Arial Narrow"/>
                <w:b/>
                <w:sz w:val="18"/>
                <w:szCs w:val="18"/>
              </w:rPr>
            </w:pPr>
            <w:r w:rsidRPr="00E57BA7">
              <w:rPr>
                <w:rFonts w:ascii="Arial Narrow" w:hAnsi="Arial Narrow"/>
                <w:b/>
                <w:sz w:val="18"/>
                <w:szCs w:val="18"/>
              </w:rPr>
              <w:t>Case reports</w:t>
            </w:r>
          </w:p>
          <w:p w:rsidR="005E1665" w:rsidRPr="00E57BA7" w:rsidRDefault="005E1665" w:rsidP="005E1665">
            <w:pPr>
              <w:jc w:val="center"/>
              <w:rPr>
                <w:rFonts w:ascii="Arial Narrow" w:hAnsi="Arial Narrow"/>
                <w:b/>
                <w:sz w:val="18"/>
                <w:szCs w:val="18"/>
              </w:rPr>
            </w:pPr>
            <w:r w:rsidRPr="00E57BA7">
              <w:rPr>
                <w:rFonts w:ascii="Arial Narrow" w:hAnsi="Arial Narrow"/>
                <w:b/>
                <w:sz w:val="18"/>
                <w:szCs w:val="18"/>
              </w:rPr>
              <w:t>N=</w:t>
            </w:r>
            <w:r>
              <w:rPr>
                <w:rFonts w:ascii="Arial Narrow" w:hAnsi="Arial Narrow"/>
                <w:b/>
                <w:sz w:val="18"/>
                <w:szCs w:val="18"/>
              </w:rPr>
              <w:t>2</w:t>
            </w:r>
          </w:p>
        </w:tc>
      </w:tr>
      <w:tr w:rsidR="005E1665" w:rsidRPr="00E57BA7" w:rsidTr="00023580">
        <w:tc>
          <w:tcPr>
            <w:tcW w:w="0" w:type="auto"/>
            <w:vMerge/>
          </w:tcPr>
          <w:p w:rsidR="005E1665" w:rsidRPr="00E57BA7" w:rsidRDefault="005E1665" w:rsidP="005E1665">
            <w:pPr>
              <w:pStyle w:val="Tabletext"/>
              <w:rPr>
                <w:rFonts w:ascii="Arial Narrow" w:hAnsi="Arial Narrow"/>
                <w:sz w:val="18"/>
                <w:szCs w:val="18"/>
              </w:rPr>
            </w:pPr>
          </w:p>
        </w:tc>
        <w:tc>
          <w:tcPr>
            <w:tcW w:w="0" w:type="auto"/>
            <w:vMerge/>
          </w:tcPr>
          <w:p w:rsidR="005E1665" w:rsidRPr="00E57BA7" w:rsidRDefault="005E1665" w:rsidP="005E1665">
            <w:pPr>
              <w:jc w:val="center"/>
              <w:rPr>
                <w:rFonts w:ascii="Arial Narrow" w:hAnsi="Arial Narrow"/>
                <w:b/>
                <w:sz w:val="18"/>
                <w:szCs w:val="18"/>
                <w:vertAlign w:val="superscript"/>
              </w:rPr>
            </w:pPr>
          </w:p>
        </w:tc>
        <w:tc>
          <w:tcPr>
            <w:tcW w:w="0" w:type="auto"/>
            <w:vMerge/>
          </w:tcPr>
          <w:p w:rsidR="005E1665" w:rsidRPr="00E57BA7" w:rsidRDefault="005E1665" w:rsidP="005E1665">
            <w:pPr>
              <w:jc w:val="center"/>
              <w:rPr>
                <w:rFonts w:ascii="Arial Narrow" w:hAnsi="Arial Narrow"/>
                <w:sz w:val="18"/>
                <w:szCs w:val="18"/>
              </w:rPr>
            </w:pPr>
          </w:p>
        </w:tc>
        <w:tc>
          <w:tcPr>
            <w:tcW w:w="0" w:type="auto"/>
            <w:vMerge/>
          </w:tcPr>
          <w:p w:rsidR="005E1665" w:rsidRPr="00E57BA7" w:rsidRDefault="005E1665" w:rsidP="005E1665">
            <w:pPr>
              <w:jc w:val="center"/>
              <w:rPr>
                <w:rFonts w:ascii="Arial Narrow" w:hAnsi="Arial Narrow"/>
                <w:sz w:val="18"/>
                <w:szCs w:val="18"/>
              </w:rPr>
            </w:pPr>
          </w:p>
        </w:tc>
        <w:tc>
          <w:tcPr>
            <w:tcW w:w="0" w:type="auto"/>
          </w:tcPr>
          <w:p w:rsidR="005E1665" w:rsidRPr="00023580" w:rsidRDefault="005E1665" w:rsidP="005E1665">
            <w:pPr>
              <w:jc w:val="center"/>
              <w:rPr>
                <w:rFonts w:ascii="Arial Narrow" w:hAnsi="Arial Narrow"/>
                <w:b/>
                <w:sz w:val="18"/>
                <w:szCs w:val="18"/>
              </w:rPr>
            </w:pPr>
            <w:r w:rsidRPr="00023580">
              <w:rPr>
                <w:rFonts w:ascii="Arial Narrow" w:hAnsi="Arial Narrow"/>
                <w:b/>
                <w:sz w:val="18"/>
                <w:szCs w:val="18"/>
              </w:rPr>
              <w:t xml:space="preserve">Case </w:t>
            </w:r>
          </w:p>
          <w:p w:rsidR="005E1665" w:rsidRPr="005E1665" w:rsidRDefault="005E1665" w:rsidP="005E1665">
            <w:pPr>
              <w:jc w:val="center"/>
              <w:rPr>
                <w:rFonts w:ascii="Arial Narrow" w:hAnsi="Arial Narrow"/>
                <w:b/>
                <w:i/>
                <w:sz w:val="18"/>
                <w:szCs w:val="18"/>
              </w:rPr>
            </w:pPr>
            <w:r w:rsidRPr="00023580">
              <w:rPr>
                <w:rFonts w:ascii="Arial Narrow" w:hAnsi="Arial Narrow"/>
                <w:b/>
                <w:sz w:val="18"/>
                <w:szCs w:val="18"/>
              </w:rPr>
              <w:t>N=217</w:t>
            </w:r>
          </w:p>
        </w:tc>
        <w:tc>
          <w:tcPr>
            <w:tcW w:w="1759" w:type="dxa"/>
          </w:tcPr>
          <w:p w:rsidR="00023580" w:rsidRDefault="00023580" w:rsidP="005E1665">
            <w:pPr>
              <w:jc w:val="center"/>
              <w:rPr>
                <w:rFonts w:ascii="Arial Narrow" w:hAnsi="Arial Narrow"/>
                <w:b/>
                <w:sz w:val="18"/>
                <w:szCs w:val="18"/>
              </w:rPr>
            </w:pPr>
            <w:r>
              <w:rPr>
                <w:rFonts w:ascii="Arial Narrow" w:hAnsi="Arial Narrow"/>
                <w:b/>
                <w:sz w:val="18"/>
                <w:szCs w:val="18"/>
              </w:rPr>
              <w:t>Control</w:t>
            </w:r>
          </w:p>
          <w:p w:rsidR="005E1665" w:rsidRPr="00E57BA7" w:rsidRDefault="005E1665" w:rsidP="005E1665">
            <w:pPr>
              <w:jc w:val="center"/>
              <w:rPr>
                <w:rFonts w:ascii="Arial Narrow" w:hAnsi="Arial Narrow"/>
                <w:b/>
                <w:sz w:val="18"/>
                <w:szCs w:val="18"/>
              </w:rPr>
            </w:pPr>
            <w:r>
              <w:rPr>
                <w:rFonts w:ascii="Arial Narrow" w:hAnsi="Arial Narrow"/>
                <w:b/>
                <w:sz w:val="18"/>
                <w:szCs w:val="18"/>
              </w:rPr>
              <w:t>N=1085</w:t>
            </w:r>
          </w:p>
        </w:tc>
        <w:tc>
          <w:tcPr>
            <w:tcW w:w="1470" w:type="dxa"/>
            <w:vMerge/>
          </w:tcPr>
          <w:p w:rsidR="005E1665" w:rsidRPr="00E57BA7" w:rsidRDefault="005E1665" w:rsidP="005E1665">
            <w:pPr>
              <w:jc w:val="center"/>
              <w:rPr>
                <w:rFonts w:ascii="Arial Narrow" w:hAnsi="Arial Narrow"/>
                <w:b/>
                <w:sz w:val="18"/>
                <w:szCs w:val="18"/>
                <w:vertAlign w:val="superscript"/>
              </w:rPr>
            </w:pPr>
          </w:p>
        </w:tc>
        <w:tc>
          <w:tcPr>
            <w:tcW w:w="0" w:type="auto"/>
            <w:vMerge/>
          </w:tcPr>
          <w:p w:rsidR="005E1665" w:rsidRPr="00E57BA7" w:rsidRDefault="005E1665" w:rsidP="005E1665">
            <w:pPr>
              <w:jc w:val="center"/>
              <w:rPr>
                <w:rFonts w:ascii="Arial Narrow" w:hAnsi="Arial Narrow"/>
                <w:i/>
                <w:sz w:val="18"/>
                <w:szCs w:val="18"/>
              </w:rPr>
            </w:pPr>
          </w:p>
        </w:tc>
      </w:tr>
      <w:tr w:rsidR="005E1665" w:rsidRPr="00E57BA7" w:rsidTr="00023580">
        <w:tc>
          <w:tcPr>
            <w:tcW w:w="0" w:type="auto"/>
          </w:tcPr>
          <w:p w:rsidR="005E1665" w:rsidRPr="00E57BA7" w:rsidRDefault="005E1665" w:rsidP="007F56F7">
            <w:pPr>
              <w:pStyle w:val="Tabletext"/>
              <w:rPr>
                <w:rFonts w:ascii="Arial Narrow" w:hAnsi="Arial Narrow"/>
                <w:sz w:val="18"/>
                <w:szCs w:val="18"/>
              </w:rPr>
            </w:pPr>
            <w:r w:rsidRPr="00E57BA7">
              <w:rPr>
                <w:rFonts w:ascii="Arial Narrow" w:hAnsi="Arial Narrow"/>
                <w:sz w:val="18"/>
                <w:szCs w:val="18"/>
              </w:rPr>
              <w:t xml:space="preserve">Median age at </w:t>
            </w:r>
            <w:r w:rsidR="007F56F7">
              <w:rPr>
                <w:rFonts w:ascii="Arial Narrow" w:hAnsi="Arial Narrow"/>
                <w:sz w:val="18"/>
                <w:szCs w:val="18"/>
              </w:rPr>
              <w:t>diagnosis</w:t>
            </w:r>
            <w:r w:rsidRPr="00E57BA7">
              <w:rPr>
                <w:rFonts w:ascii="Arial Narrow" w:hAnsi="Arial Narrow"/>
                <w:sz w:val="18"/>
                <w:szCs w:val="18"/>
              </w:rPr>
              <w:t>, years</w:t>
            </w:r>
          </w:p>
        </w:tc>
        <w:tc>
          <w:tcPr>
            <w:tcW w:w="0" w:type="auto"/>
          </w:tcPr>
          <w:p w:rsidR="007F56F7" w:rsidRPr="00023580" w:rsidRDefault="007F56F7" w:rsidP="005E1665">
            <w:pPr>
              <w:jc w:val="center"/>
              <w:rPr>
                <w:rFonts w:ascii="Arial Narrow" w:hAnsi="Arial Narrow"/>
                <w:sz w:val="18"/>
                <w:szCs w:val="18"/>
              </w:rPr>
            </w:pPr>
            <w:r w:rsidRPr="00023580">
              <w:rPr>
                <w:rFonts w:ascii="Arial Narrow" w:hAnsi="Arial Narrow"/>
                <w:sz w:val="18"/>
                <w:szCs w:val="18"/>
              </w:rPr>
              <w:t>13.2</w:t>
            </w:r>
          </w:p>
          <w:p w:rsidR="005E1665" w:rsidRPr="00023580" w:rsidRDefault="007F56F7" w:rsidP="005E1665">
            <w:pPr>
              <w:jc w:val="center"/>
              <w:rPr>
                <w:rFonts w:ascii="Arial Narrow" w:hAnsi="Arial Narrow"/>
                <w:sz w:val="18"/>
                <w:szCs w:val="18"/>
              </w:rPr>
            </w:pPr>
            <w:r w:rsidRPr="00023580">
              <w:rPr>
                <w:rFonts w:ascii="Arial Narrow" w:hAnsi="Arial Narrow"/>
                <w:sz w:val="18"/>
                <w:szCs w:val="18"/>
              </w:rPr>
              <w:t>(3.3–176.6</w:t>
            </w:r>
          </w:p>
        </w:tc>
        <w:tc>
          <w:tcPr>
            <w:tcW w:w="0" w:type="auto"/>
          </w:tcPr>
          <w:p w:rsidR="005E1665" w:rsidRPr="00023580" w:rsidRDefault="00875B97" w:rsidP="005E1665">
            <w:pPr>
              <w:jc w:val="center"/>
              <w:rPr>
                <w:rFonts w:ascii="Arial Narrow" w:hAnsi="Arial Narrow"/>
                <w:sz w:val="18"/>
                <w:szCs w:val="18"/>
              </w:rPr>
            </w:pPr>
            <w:r w:rsidRPr="00023580">
              <w:rPr>
                <w:rFonts w:ascii="Arial Narrow" w:hAnsi="Arial Narrow"/>
                <w:sz w:val="18"/>
                <w:szCs w:val="18"/>
              </w:rPr>
              <w:t>4.9</w:t>
            </w:r>
          </w:p>
          <w:p w:rsidR="00875B97" w:rsidRPr="00023580" w:rsidRDefault="00875B97" w:rsidP="005E1665">
            <w:pPr>
              <w:jc w:val="center"/>
              <w:rPr>
                <w:rFonts w:ascii="Arial Narrow" w:hAnsi="Arial Narrow"/>
                <w:sz w:val="18"/>
                <w:szCs w:val="18"/>
              </w:rPr>
            </w:pPr>
            <w:r w:rsidRPr="00023580">
              <w:rPr>
                <w:rFonts w:ascii="Arial Narrow" w:hAnsi="Arial Narrow"/>
                <w:sz w:val="18"/>
                <w:szCs w:val="18"/>
              </w:rPr>
              <w:t>(3 days – 13.8 years)</w:t>
            </w:r>
          </w:p>
        </w:tc>
        <w:tc>
          <w:tcPr>
            <w:tcW w:w="0" w:type="auto"/>
          </w:tcPr>
          <w:p w:rsidR="005E1665" w:rsidRPr="00E57BA7" w:rsidRDefault="00023580" w:rsidP="005E1665">
            <w:pPr>
              <w:jc w:val="center"/>
              <w:rPr>
                <w:rFonts w:ascii="Arial Narrow" w:hAnsi="Arial Narrow"/>
                <w:sz w:val="18"/>
                <w:szCs w:val="18"/>
              </w:rPr>
            </w:pPr>
            <w:r>
              <w:rPr>
                <w:rFonts w:ascii="Arial Narrow" w:hAnsi="Arial Narrow"/>
                <w:sz w:val="18"/>
                <w:szCs w:val="18"/>
              </w:rPr>
              <w:t>NR</w:t>
            </w:r>
          </w:p>
        </w:tc>
        <w:tc>
          <w:tcPr>
            <w:tcW w:w="0" w:type="auto"/>
          </w:tcPr>
          <w:p w:rsidR="005E1665" w:rsidRPr="00E57BA7" w:rsidRDefault="008C1F6E" w:rsidP="005E1665">
            <w:pPr>
              <w:jc w:val="center"/>
              <w:rPr>
                <w:rFonts w:ascii="Arial Narrow" w:hAnsi="Arial Narrow"/>
                <w:sz w:val="18"/>
                <w:szCs w:val="18"/>
              </w:rPr>
            </w:pPr>
            <w:r>
              <w:rPr>
                <w:rFonts w:ascii="Arial Narrow" w:hAnsi="Arial Narrow"/>
                <w:sz w:val="18"/>
                <w:szCs w:val="18"/>
              </w:rPr>
              <w:t>48±18</w:t>
            </w:r>
          </w:p>
        </w:tc>
        <w:tc>
          <w:tcPr>
            <w:tcW w:w="1759" w:type="dxa"/>
          </w:tcPr>
          <w:p w:rsidR="005E1665" w:rsidRPr="00E57BA7" w:rsidRDefault="008C1F6E" w:rsidP="005E1665">
            <w:pPr>
              <w:jc w:val="center"/>
              <w:rPr>
                <w:rFonts w:ascii="Arial Narrow" w:hAnsi="Arial Narrow"/>
                <w:sz w:val="18"/>
                <w:szCs w:val="18"/>
              </w:rPr>
            </w:pPr>
            <w:r>
              <w:rPr>
                <w:rFonts w:ascii="Arial Narrow" w:hAnsi="Arial Narrow"/>
                <w:sz w:val="18"/>
                <w:szCs w:val="18"/>
              </w:rPr>
              <w:t>48±16</w:t>
            </w:r>
          </w:p>
        </w:tc>
        <w:tc>
          <w:tcPr>
            <w:tcW w:w="1470" w:type="dxa"/>
          </w:tcPr>
          <w:p w:rsidR="005E1665" w:rsidRPr="00E57BA7" w:rsidRDefault="00771659" w:rsidP="005E1665">
            <w:pPr>
              <w:jc w:val="center"/>
              <w:rPr>
                <w:rFonts w:ascii="Arial Narrow" w:hAnsi="Arial Narrow"/>
                <w:sz w:val="18"/>
                <w:szCs w:val="18"/>
              </w:rPr>
            </w:pPr>
            <w:r>
              <w:rPr>
                <w:rFonts w:ascii="Arial Narrow" w:hAnsi="Arial Narrow"/>
                <w:sz w:val="18"/>
                <w:szCs w:val="18"/>
              </w:rPr>
              <w:t>NR</w:t>
            </w:r>
          </w:p>
        </w:tc>
        <w:tc>
          <w:tcPr>
            <w:tcW w:w="0" w:type="auto"/>
          </w:tcPr>
          <w:p w:rsidR="005E1665" w:rsidRPr="00E57BA7" w:rsidRDefault="00D57FA7" w:rsidP="00D57FA7">
            <w:pPr>
              <w:jc w:val="center"/>
              <w:rPr>
                <w:rFonts w:ascii="Arial Narrow" w:hAnsi="Arial Narrow"/>
                <w:sz w:val="18"/>
                <w:szCs w:val="18"/>
              </w:rPr>
            </w:pPr>
            <w:r>
              <w:rPr>
                <w:rFonts w:ascii="Arial Narrow" w:hAnsi="Arial Narrow"/>
                <w:sz w:val="18"/>
                <w:szCs w:val="18"/>
              </w:rPr>
              <w:t>6 and 17 months</w:t>
            </w:r>
          </w:p>
        </w:tc>
      </w:tr>
      <w:tr w:rsidR="005E1665" w:rsidRPr="00E57BA7" w:rsidTr="00023580">
        <w:tc>
          <w:tcPr>
            <w:tcW w:w="0" w:type="auto"/>
          </w:tcPr>
          <w:p w:rsidR="005E1665" w:rsidRPr="00E57BA7" w:rsidRDefault="005E1665" w:rsidP="005E1665">
            <w:pPr>
              <w:pStyle w:val="Tabletext"/>
              <w:rPr>
                <w:rFonts w:ascii="Arial Narrow" w:hAnsi="Arial Narrow"/>
                <w:sz w:val="18"/>
                <w:szCs w:val="18"/>
              </w:rPr>
            </w:pPr>
            <w:r w:rsidRPr="00E57BA7">
              <w:rPr>
                <w:rFonts w:ascii="Arial Narrow" w:hAnsi="Arial Narrow"/>
                <w:sz w:val="18"/>
                <w:szCs w:val="18"/>
              </w:rPr>
              <w:t xml:space="preserve">Family history of </w:t>
            </w:r>
            <w:proofErr w:type="spellStart"/>
            <w:r w:rsidRPr="00E57BA7">
              <w:rPr>
                <w:rFonts w:ascii="Arial Narrow" w:hAnsi="Arial Narrow"/>
                <w:sz w:val="18"/>
                <w:szCs w:val="18"/>
              </w:rPr>
              <w:t>aHUS</w:t>
            </w:r>
            <w:proofErr w:type="spellEnd"/>
            <w:r w:rsidRPr="00E57BA7">
              <w:rPr>
                <w:rFonts w:ascii="Arial Narrow" w:hAnsi="Arial Narrow"/>
                <w:sz w:val="18"/>
                <w:szCs w:val="18"/>
              </w:rPr>
              <w:t xml:space="preserve"> N (%)</w:t>
            </w:r>
          </w:p>
          <w:p w:rsidR="005E1665" w:rsidRPr="00E57BA7" w:rsidRDefault="005E1665" w:rsidP="005E1665">
            <w:pPr>
              <w:pStyle w:val="Tabletext"/>
              <w:rPr>
                <w:rFonts w:ascii="Arial Narrow" w:hAnsi="Arial Narrow"/>
                <w:sz w:val="18"/>
                <w:szCs w:val="18"/>
              </w:rPr>
            </w:pPr>
            <w:r w:rsidRPr="00E57BA7">
              <w:rPr>
                <w:rFonts w:ascii="Arial Narrow" w:hAnsi="Arial Narrow"/>
                <w:sz w:val="18"/>
                <w:szCs w:val="18"/>
              </w:rPr>
              <w:t>CFH mutation detected N (%)</w:t>
            </w:r>
          </w:p>
        </w:tc>
        <w:tc>
          <w:tcPr>
            <w:tcW w:w="0" w:type="auto"/>
          </w:tcPr>
          <w:p w:rsidR="005E1665" w:rsidRPr="00023580" w:rsidRDefault="007F56F7" w:rsidP="005E1665">
            <w:pPr>
              <w:jc w:val="center"/>
              <w:rPr>
                <w:rFonts w:ascii="Arial Narrow" w:hAnsi="Arial Narrow"/>
                <w:sz w:val="18"/>
                <w:szCs w:val="18"/>
              </w:rPr>
            </w:pPr>
            <w:r w:rsidRPr="00023580">
              <w:rPr>
                <w:rFonts w:ascii="Arial Narrow" w:hAnsi="Arial Narrow"/>
                <w:sz w:val="18"/>
                <w:szCs w:val="18"/>
              </w:rPr>
              <w:t>4</w:t>
            </w:r>
            <w:r w:rsidR="005E1665" w:rsidRPr="00023580">
              <w:rPr>
                <w:rFonts w:ascii="Arial Narrow" w:hAnsi="Arial Narrow"/>
                <w:sz w:val="18"/>
                <w:szCs w:val="18"/>
              </w:rPr>
              <w:t xml:space="preserve"> (</w:t>
            </w:r>
            <w:r w:rsidRPr="00023580">
              <w:rPr>
                <w:rFonts w:ascii="Arial Narrow" w:hAnsi="Arial Narrow"/>
                <w:sz w:val="18"/>
                <w:szCs w:val="18"/>
              </w:rPr>
              <w:t>29</w:t>
            </w:r>
            <w:r w:rsidR="005E1665" w:rsidRPr="00023580">
              <w:rPr>
                <w:rFonts w:ascii="Arial Narrow" w:hAnsi="Arial Narrow"/>
                <w:sz w:val="18"/>
                <w:szCs w:val="18"/>
              </w:rPr>
              <w:t>%)</w:t>
            </w:r>
          </w:p>
          <w:p w:rsidR="005E1665" w:rsidRPr="00023580" w:rsidRDefault="005E1665" w:rsidP="005E1665">
            <w:pPr>
              <w:jc w:val="center"/>
              <w:rPr>
                <w:rFonts w:ascii="Arial Narrow" w:hAnsi="Arial Narrow"/>
                <w:sz w:val="18"/>
                <w:szCs w:val="18"/>
              </w:rPr>
            </w:pPr>
          </w:p>
          <w:p w:rsidR="005E1665" w:rsidRPr="00023580" w:rsidRDefault="007F56F7" w:rsidP="007F56F7">
            <w:pPr>
              <w:jc w:val="center"/>
              <w:rPr>
                <w:rFonts w:ascii="Arial Narrow" w:hAnsi="Arial Narrow"/>
                <w:sz w:val="18"/>
                <w:szCs w:val="18"/>
              </w:rPr>
            </w:pPr>
            <w:r w:rsidRPr="00023580">
              <w:rPr>
                <w:rFonts w:ascii="Arial Narrow" w:hAnsi="Arial Narrow"/>
                <w:sz w:val="18"/>
                <w:szCs w:val="18"/>
              </w:rPr>
              <w:t>3/7</w:t>
            </w:r>
          </w:p>
        </w:tc>
        <w:tc>
          <w:tcPr>
            <w:tcW w:w="0" w:type="auto"/>
          </w:tcPr>
          <w:p w:rsidR="005E1665" w:rsidRPr="00023580" w:rsidRDefault="005E1665" w:rsidP="005E1665">
            <w:pPr>
              <w:jc w:val="center"/>
              <w:rPr>
                <w:rFonts w:ascii="Arial Narrow" w:hAnsi="Arial Narrow"/>
                <w:sz w:val="18"/>
                <w:szCs w:val="18"/>
              </w:rPr>
            </w:pPr>
            <w:r w:rsidRPr="00023580">
              <w:rPr>
                <w:rFonts w:ascii="Arial Narrow" w:hAnsi="Arial Narrow"/>
                <w:sz w:val="18"/>
                <w:szCs w:val="18"/>
              </w:rPr>
              <w:t>NR</w:t>
            </w:r>
          </w:p>
          <w:p w:rsidR="005E1665" w:rsidRPr="00023580" w:rsidRDefault="005E1665" w:rsidP="005E1665">
            <w:pPr>
              <w:jc w:val="center"/>
              <w:rPr>
                <w:rFonts w:ascii="Arial Narrow" w:hAnsi="Arial Narrow"/>
                <w:sz w:val="18"/>
                <w:szCs w:val="18"/>
              </w:rPr>
            </w:pPr>
          </w:p>
          <w:p w:rsidR="005E1665" w:rsidRPr="00023580" w:rsidRDefault="00C74BD9" w:rsidP="005E1665">
            <w:pPr>
              <w:jc w:val="center"/>
              <w:rPr>
                <w:rFonts w:ascii="Arial Narrow" w:hAnsi="Arial Narrow"/>
                <w:sz w:val="18"/>
                <w:szCs w:val="18"/>
              </w:rPr>
            </w:pPr>
            <w:r w:rsidRPr="00023580">
              <w:rPr>
                <w:rFonts w:ascii="Arial Narrow" w:hAnsi="Arial Narrow"/>
                <w:sz w:val="18"/>
                <w:szCs w:val="18"/>
              </w:rPr>
              <w:t>NR</w:t>
            </w:r>
          </w:p>
        </w:tc>
        <w:tc>
          <w:tcPr>
            <w:tcW w:w="0" w:type="auto"/>
          </w:tcPr>
          <w:p w:rsidR="005E1665" w:rsidRDefault="008530F3" w:rsidP="005E1665">
            <w:pPr>
              <w:jc w:val="center"/>
              <w:rPr>
                <w:rFonts w:ascii="Arial Narrow" w:hAnsi="Arial Narrow"/>
                <w:sz w:val="18"/>
                <w:szCs w:val="18"/>
              </w:rPr>
            </w:pPr>
            <w:r>
              <w:rPr>
                <w:rFonts w:ascii="Arial Narrow" w:hAnsi="Arial Narrow"/>
                <w:sz w:val="18"/>
                <w:szCs w:val="18"/>
              </w:rPr>
              <w:t>NR</w:t>
            </w:r>
          </w:p>
          <w:p w:rsidR="008530F3" w:rsidRDefault="008530F3" w:rsidP="005E1665">
            <w:pPr>
              <w:jc w:val="center"/>
              <w:rPr>
                <w:rFonts w:ascii="Arial Narrow" w:hAnsi="Arial Narrow"/>
                <w:sz w:val="18"/>
                <w:szCs w:val="18"/>
              </w:rPr>
            </w:pPr>
          </w:p>
          <w:p w:rsidR="008530F3" w:rsidRPr="00E57BA7" w:rsidRDefault="008530F3" w:rsidP="005E1665">
            <w:pPr>
              <w:jc w:val="center"/>
              <w:rPr>
                <w:rFonts w:ascii="Arial Narrow" w:hAnsi="Arial Narrow"/>
                <w:sz w:val="18"/>
                <w:szCs w:val="18"/>
              </w:rPr>
            </w:pPr>
            <w:r>
              <w:rPr>
                <w:rFonts w:ascii="Arial Narrow" w:hAnsi="Arial Narrow"/>
                <w:sz w:val="18"/>
                <w:szCs w:val="18"/>
              </w:rPr>
              <w:t>NR</w:t>
            </w:r>
          </w:p>
        </w:tc>
        <w:tc>
          <w:tcPr>
            <w:tcW w:w="0" w:type="auto"/>
          </w:tcPr>
          <w:p w:rsidR="008C1F6E" w:rsidRDefault="008C1F6E" w:rsidP="005E1665">
            <w:pPr>
              <w:jc w:val="center"/>
              <w:rPr>
                <w:rFonts w:ascii="Arial Narrow" w:hAnsi="Arial Narrow"/>
                <w:sz w:val="18"/>
                <w:szCs w:val="18"/>
              </w:rPr>
            </w:pPr>
            <w:r>
              <w:rPr>
                <w:rFonts w:ascii="Arial Narrow" w:hAnsi="Arial Narrow"/>
                <w:sz w:val="18"/>
                <w:szCs w:val="18"/>
              </w:rPr>
              <w:t xml:space="preserve">HUS not specific to </w:t>
            </w:r>
            <w:proofErr w:type="spellStart"/>
            <w:r>
              <w:rPr>
                <w:rFonts w:ascii="Arial Narrow" w:hAnsi="Arial Narrow"/>
                <w:sz w:val="18"/>
                <w:szCs w:val="18"/>
              </w:rPr>
              <w:t>aHUS</w:t>
            </w:r>
            <w:proofErr w:type="spellEnd"/>
          </w:p>
          <w:p w:rsidR="008C1F6E" w:rsidRPr="00E57BA7" w:rsidRDefault="008C1F6E" w:rsidP="005E1665">
            <w:pPr>
              <w:jc w:val="center"/>
              <w:rPr>
                <w:rFonts w:ascii="Arial Narrow" w:hAnsi="Arial Narrow"/>
                <w:sz w:val="18"/>
                <w:szCs w:val="18"/>
              </w:rPr>
            </w:pPr>
            <w:r>
              <w:rPr>
                <w:rFonts w:ascii="Arial Narrow" w:hAnsi="Arial Narrow"/>
                <w:sz w:val="18"/>
                <w:szCs w:val="18"/>
              </w:rPr>
              <w:t>With ESRD</w:t>
            </w:r>
          </w:p>
        </w:tc>
        <w:tc>
          <w:tcPr>
            <w:tcW w:w="1759" w:type="dxa"/>
          </w:tcPr>
          <w:p w:rsidR="005E1665" w:rsidRPr="00E57BA7" w:rsidRDefault="008C1F6E" w:rsidP="005E1665">
            <w:pPr>
              <w:jc w:val="center"/>
              <w:rPr>
                <w:rFonts w:ascii="Arial Narrow" w:hAnsi="Arial Narrow"/>
                <w:sz w:val="18"/>
                <w:szCs w:val="18"/>
              </w:rPr>
            </w:pPr>
            <w:r>
              <w:rPr>
                <w:rFonts w:ascii="Arial Narrow" w:hAnsi="Arial Narrow"/>
                <w:sz w:val="18"/>
                <w:szCs w:val="18"/>
              </w:rPr>
              <w:t>Matched cohort with ESRD</w:t>
            </w:r>
          </w:p>
        </w:tc>
        <w:tc>
          <w:tcPr>
            <w:tcW w:w="1470" w:type="dxa"/>
          </w:tcPr>
          <w:p w:rsidR="004735B8" w:rsidRPr="004735B8" w:rsidRDefault="004735B8" w:rsidP="004735B8">
            <w:pPr>
              <w:jc w:val="center"/>
              <w:rPr>
                <w:rFonts w:ascii="Arial Narrow" w:hAnsi="Arial Narrow"/>
                <w:sz w:val="18"/>
                <w:szCs w:val="18"/>
              </w:rPr>
            </w:pPr>
            <w:r w:rsidRPr="004735B8">
              <w:rPr>
                <w:rFonts w:ascii="Arial Narrow" w:hAnsi="Arial Narrow"/>
                <w:sz w:val="18"/>
                <w:szCs w:val="18"/>
              </w:rPr>
              <w:t xml:space="preserve">HUS not specific to </w:t>
            </w:r>
            <w:proofErr w:type="spellStart"/>
            <w:r w:rsidRPr="004735B8">
              <w:rPr>
                <w:rFonts w:ascii="Arial Narrow" w:hAnsi="Arial Narrow"/>
                <w:sz w:val="18"/>
                <w:szCs w:val="18"/>
              </w:rPr>
              <w:t>aHUS</w:t>
            </w:r>
            <w:proofErr w:type="spellEnd"/>
          </w:p>
          <w:p w:rsidR="005E1665" w:rsidRPr="00E57BA7" w:rsidRDefault="004735B8" w:rsidP="004735B8">
            <w:pPr>
              <w:jc w:val="center"/>
              <w:rPr>
                <w:rFonts w:ascii="Arial Narrow" w:hAnsi="Arial Narrow"/>
                <w:sz w:val="18"/>
                <w:szCs w:val="18"/>
              </w:rPr>
            </w:pPr>
            <w:r w:rsidRPr="004735B8">
              <w:rPr>
                <w:rFonts w:ascii="Arial Narrow" w:hAnsi="Arial Narrow"/>
                <w:sz w:val="18"/>
                <w:szCs w:val="18"/>
              </w:rPr>
              <w:t>With ESRD</w:t>
            </w:r>
          </w:p>
        </w:tc>
        <w:tc>
          <w:tcPr>
            <w:tcW w:w="0" w:type="auto"/>
          </w:tcPr>
          <w:p w:rsidR="005E1665" w:rsidRDefault="00DE5014" w:rsidP="005E1665">
            <w:pPr>
              <w:jc w:val="center"/>
              <w:rPr>
                <w:rFonts w:ascii="Arial Narrow" w:hAnsi="Arial Narrow"/>
                <w:sz w:val="18"/>
                <w:szCs w:val="18"/>
              </w:rPr>
            </w:pPr>
            <w:r>
              <w:rPr>
                <w:rFonts w:ascii="Arial Narrow" w:hAnsi="Arial Narrow"/>
                <w:sz w:val="18"/>
                <w:szCs w:val="18"/>
              </w:rPr>
              <w:t>NR</w:t>
            </w:r>
          </w:p>
          <w:p w:rsidR="00DE5014" w:rsidRDefault="00DE5014" w:rsidP="005E1665">
            <w:pPr>
              <w:jc w:val="center"/>
              <w:rPr>
                <w:rFonts w:ascii="Arial Narrow" w:hAnsi="Arial Narrow"/>
                <w:sz w:val="18"/>
                <w:szCs w:val="18"/>
              </w:rPr>
            </w:pPr>
          </w:p>
          <w:p w:rsidR="00DE5014" w:rsidRPr="00E57BA7" w:rsidRDefault="00DE5014" w:rsidP="005E1665">
            <w:pPr>
              <w:jc w:val="center"/>
              <w:rPr>
                <w:rFonts w:ascii="Arial Narrow" w:hAnsi="Arial Narrow"/>
                <w:sz w:val="18"/>
                <w:szCs w:val="18"/>
              </w:rPr>
            </w:pPr>
            <w:r>
              <w:rPr>
                <w:rFonts w:ascii="Arial Narrow" w:hAnsi="Arial Narrow"/>
                <w:sz w:val="18"/>
                <w:szCs w:val="18"/>
              </w:rPr>
              <w:t>1</w:t>
            </w:r>
          </w:p>
        </w:tc>
      </w:tr>
      <w:tr w:rsidR="00D46A68" w:rsidRPr="00E57BA7" w:rsidTr="00023580">
        <w:tc>
          <w:tcPr>
            <w:tcW w:w="0" w:type="auto"/>
            <w:tcBorders>
              <w:bottom w:val="single" w:sz="4" w:space="0" w:color="auto"/>
            </w:tcBorders>
          </w:tcPr>
          <w:p w:rsidR="00D46A68" w:rsidRPr="00E57BA7" w:rsidRDefault="00D46A68" w:rsidP="005E1665">
            <w:pPr>
              <w:pStyle w:val="Tabletext"/>
              <w:rPr>
                <w:rFonts w:ascii="Arial Narrow" w:hAnsi="Arial Narrow"/>
                <w:sz w:val="18"/>
                <w:szCs w:val="18"/>
              </w:rPr>
            </w:pPr>
            <w:r>
              <w:rPr>
                <w:rFonts w:ascii="Arial Narrow" w:hAnsi="Arial Narrow"/>
                <w:sz w:val="18"/>
                <w:szCs w:val="18"/>
              </w:rPr>
              <w:t>Dialysis required 1 year follow-up</w:t>
            </w:r>
          </w:p>
        </w:tc>
        <w:tc>
          <w:tcPr>
            <w:tcW w:w="0" w:type="auto"/>
            <w:tcBorders>
              <w:bottom w:val="single" w:sz="4" w:space="0" w:color="auto"/>
            </w:tcBorders>
          </w:tcPr>
          <w:p w:rsidR="00D46A68" w:rsidRPr="00023580" w:rsidRDefault="00D46A68" w:rsidP="005E1665">
            <w:pPr>
              <w:jc w:val="center"/>
              <w:rPr>
                <w:rFonts w:ascii="Arial Narrow" w:hAnsi="Arial Narrow"/>
                <w:sz w:val="18"/>
                <w:szCs w:val="18"/>
              </w:rPr>
            </w:pPr>
            <w:r w:rsidRPr="00023580">
              <w:rPr>
                <w:rFonts w:ascii="Arial Narrow" w:hAnsi="Arial Narrow"/>
                <w:sz w:val="18"/>
                <w:szCs w:val="18"/>
              </w:rPr>
              <w:t>9/11</w:t>
            </w:r>
          </w:p>
        </w:tc>
        <w:tc>
          <w:tcPr>
            <w:tcW w:w="0" w:type="auto"/>
            <w:tcBorders>
              <w:bottom w:val="single" w:sz="4" w:space="0" w:color="auto"/>
            </w:tcBorders>
          </w:tcPr>
          <w:p w:rsidR="00D46A68" w:rsidRPr="00023580" w:rsidRDefault="00D46A68" w:rsidP="005E1665">
            <w:pPr>
              <w:jc w:val="center"/>
              <w:rPr>
                <w:rFonts w:ascii="Arial Narrow" w:hAnsi="Arial Narrow"/>
                <w:sz w:val="18"/>
                <w:szCs w:val="18"/>
              </w:rPr>
            </w:pPr>
          </w:p>
        </w:tc>
        <w:tc>
          <w:tcPr>
            <w:tcW w:w="0" w:type="auto"/>
            <w:tcBorders>
              <w:bottom w:val="single" w:sz="4" w:space="0" w:color="auto"/>
            </w:tcBorders>
          </w:tcPr>
          <w:p w:rsidR="00D46A68" w:rsidRPr="00E57BA7" w:rsidRDefault="00DE5014" w:rsidP="005E1665">
            <w:pPr>
              <w:jc w:val="center"/>
              <w:rPr>
                <w:rFonts w:ascii="Arial Narrow" w:hAnsi="Arial Narrow"/>
                <w:sz w:val="18"/>
                <w:szCs w:val="18"/>
              </w:rPr>
            </w:pPr>
            <w:r>
              <w:rPr>
                <w:rFonts w:ascii="Arial Narrow" w:hAnsi="Arial Narrow"/>
                <w:sz w:val="18"/>
                <w:szCs w:val="18"/>
              </w:rPr>
              <w:t>NR</w:t>
            </w:r>
          </w:p>
        </w:tc>
        <w:tc>
          <w:tcPr>
            <w:tcW w:w="0" w:type="auto"/>
            <w:tcBorders>
              <w:bottom w:val="single" w:sz="4" w:space="0" w:color="auto"/>
            </w:tcBorders>
          </w:tcPr>
          <w:p w:rsidR="00D46A68" w:rsidRDefault="00F0352E" w:rsidP="005E1665">
            <w:pPr>
              <w:jc w:val="center"/>
              <w:rPr>
                <w:rFonts w:ascii="Arial Narrow" w:hAnsi="Arial Narrow"/>
                <w:sz w:val="18"/>
                <w:szCs w:val="18"/>
              </w:rPr>
            </w:pPr>
            <w:r>
              <w:rPr>
                <w:rFonts w:ascii="Arial Narrow" w:hAnsi="Arial Narrow"/>
                <w:sz w:val="18"/>
                <w:szCs w:val="18"/>
              </w:rPr>
              <w:t>NR</w:t>
            </w:r>
          </w:p>
        </w:tc>
        <w:tc>
          <w:tcPr>
            <w:tcW w:w="1759" w:type="dxa"/>
            <w:tcBorders>
              <w:bottom w:val="single" w:sz="4" w:space="0" w:color="auto"/>
            </w:tcBorders>
          </w:tcPr>
          <w:p w:rsidR="00D46A68" w:rsidRPr="00E57BA7" w:rsidRDefault="00F0352E" w:rsidP="005E1665">
            <w:pPr>
              <w:jc w:val="center"/>
              <w:rPr>
                <w:rFonts w:ascii="Arial Narrow" w:hAnsi="Arial Narrow"/>
                <w:sz w:val="18"/>
                <w:szCs w:val="18"/>
              </w:rPr>
            </w:pPr>
            <w:r>
              <w:rPr>
                <w:rFonts w:ascii="Arial Narrow" w:hAnsi="Arial Narrow"/>
                <w:sz w:val="18"/>
                <w:szCs w:val="18"/>
              </w:rPr>
              <w:t>NR</w:t>
            </w:r>
          </w:p>
        </w:tc>
        <w:tc>
          <w:tcPr>
            <w:tcW w:w="1470" w:type="dxa"/>
            <w:tcBorders>
              <w:bottom w:val="single" w:sz="4" w:space="0" w:color="auto"/>
            </w:tcBorders>
          </w:tcPr>
          <w:p w:rsidR="00D46A68" w:rsidRPr="00E57BA7" w:rsidRDefault="00D57FA7" w:rsidP="005E1665">
            <w:pPr>
              <w:jc w:val="center"/>
              <w:rPr>
                <w:rFonts w:ascii="Arial Narrow" w:hAnsi="Arial Narrow"/>
                <w:sz w:val="18"/>
                <w:szCs w:val="18"/>
              </w:rPr>
            </w:pPr>
            <w:r>
              <w:rPr>
                <w:rFonts w:ascii="Arial Narrow" w:hAnsi="Arial Narrow"/>
                <w:sz w:val="18"/>
                <w:szCs w:val="18"/>
              </w:rPr>
              <w:t>NR</w:t>
            </w:r>
          </w:p>
        </w:tc>
        <w:tc>
          <w:tcPr>
            <w:tcW w:w="0" w:type="auto"/>
            <w:tcBorders>
              <w:bottom w:val="single" w:sz="4" w:space="0" w:color="auto"/>
            </w:tcBorders>
          </w:tcPr>
          <w:p w:rsidR="00D46A68" w:rsidRPr="00E57BA7" w:rsidRDefault="00DE5014" w:rsidP="005E1665">
            <w:pPr>
              <w:jc w:val="center"/>
              <w:rPr>
                <w:rFonts w:ascii="Arial Narrow" w:hAnsi="Arial Narrow"/>
                <w:sz w:val="18"/>
                <w:szCs w:val="18"/>
              </w:rPr>
            </w:pPr>
            <w:r>
              <w:rPr>
                <w:rFonts w:ascii="Arial Narrow" w:hAnsi="Arial Narrow"/>
                <w:sz w:val="18"/>
                <w:szCs w:val="18"/>
              </w:rPr>
              <w:t>2</w:t>
            </w:r>
          </w:p>
        </w:tc>
      </w:tr>
      <w:tr w:rsidR="005E1665" w:rsidRPr="00E57BA7" w:rsidTr="00023580">
        <w:tc>
          <w:tcPr>
            <w:tcW w:w="0" w:type="auto"/>
          </w:tcPr>
          <w:p w:rsidR="005E1665" w:rsidRPr="00E57BA7" w:rsidRDefault="005E1665" w:rsidP="005E1665">
            <w:pPr>
              <w:pStyle w:val="Tabletext"/>
              <w:rPr>
                <w:rFonts w:ascii="Arial Narrow" w:hAnsi="Arial Narrow"/>
                <w:sz w:val="18"/>
                <w:szCs w:val="18"/>
              </w:rPr>
            </w:pPr>
            <w:r w:rsidRPr="00E57BA7">
              <w:rPr>
                <w:rFonts w:ascii="Arial Narrow" w:hAnsi="Arial Narrow"/>
                <w:sz w:val="18"/>
                <w:szCs w:val="18"/>
              </w:rPr>
              <w:t>Duration of follow-</w:t>
            </w:r>
            <w:proofErr w:type="spellStart"/>
            <w:r w:rsidRPr="00E57BA7">
              <w:rPr>
                <w:rFonts w:ascii="Arial Narrow" w:hAnsi="Arial Narrow"/>
                <w:sz w:val="18"/>
                <w:szCs w:val="18"/>
              </w:rPr>
              <w:t>up</w:t>
            </w:r>
            <w:r>
              <w:rPr>
                <w:rFonts w:ascii="Arial Narrow" w:hAnsi="Arial Narrow"/>
                <w:sz w:val="18"/>
                <w:szCs w:val="18"/>
                <w:vertAlign w:val="superscript"/>
              </w:rPr>
              <w:t>c</w:t>
            </w:r>
            <w:proofErr w:type="spellEnd"/>
            <w:r w:rsidRPr="00E57BA7">
              <w:rPr>
                <w:rFonts w:ascii="Arial Narrow" w:hAnsi="Arial Narrow"/>
                <w:sz w:val="18"/>
                <w:szCs w:val="18"/>
              </w:rPr>
              <w:t xml:space="preserve">, </w:t>
            </w:r>
            <w:r w:rsidR="00D46A68" w:rsidRPr="00E57BA7">
              <w:rPr>
                <w:rFonts w:ascii="Arial Narrow" w:hAnsi="Arial Narrow"/>
                <w:sz w:val="18"/>
                <w:szCs w:val="18"/>
              </w:rPr>
              <w:t>median (range)</w:t>
            </w:r>
            <w:r w:rsidR="00875B97">
              <w:rPr>
                <w:rFonts w:ascii="Arial Narrow" w:hAnsi="Arial Narrow"/>
                <w:sz w:val="18"/>
                <w:szCs w:val="18"/>
              </w:rPr>
              <w:t>, years</w:t>
            </w:r>
          </w:p>
        </w:tc>
        <w:tc>
          <w:tcPr>
            <w:tcW w:w="0" w:type="auto"/>
          </w:tcPr>
          <w:p w:rsidR="00D46A68" w:rsidRPr="00023580" w:rsidRDefault="00D46A68" w:rsidP="00D46A68">
            <w:pPr>
              <w:jc w:val="center"/>
              <w:rPr>
                <w:rFonts w:ascii="Arial Narrow" w:hAnsi="Arial Narrow"/>
                <w:sz w:val="18"/>
                <w:szCs w:val="18"/>
              </w:rPr>
            </w:pPr>
            <w:r w:rsidRPr="00023580">
              <w:rPr>
                <w:rFonts w:ascii="Arial Narrow" w:hAnsi="Arial Narrow"/>
                <w:sz w:val="18"/>
                <w:szCs w:val="18"/>
              </w:rPr>
              <w:t xml:space="preserve">16.1 </w:t>
            </w:r>
          </w:p>
          <w:p w:rsidR="005E1665" w:rsidRPr="00023580" w:rsidRDefault="00D46A68" w:rsidP="00D46A68">
            <w:pPr>
              <w:jc w:val="center"/>
              <w:rPr>
                <w:rFonts w:ascii="Arial Narrow" w:hAnsi="Arial Narrow"/>
                <w:sz w:val="18"/>
                <w:szCs w:val="18"/>
              </w:rPr>
            </w:pPr>
            <w:r w:rsidRPr="00023580">
              <w:rPr>
                <w:rFonts w:ascii="Arial Narrow" w:hAnsi="Arial Narrow"/>
                <w:sz w:val="18"/>
                <w:szCs w:val="18"/>
              </w:rPr>
              <w:t>(1.7 – 19.1)</w:t>
            </w:r>
          </w:p>
        </w:tc>
        <w:tc>
          <w:tcPr>
            <w:tcW w:w="0" w:type="auto"/>
          </w:tcPr>
          <w:p w:rsidR="005E1665" w:rsidRPr="00023580" w:rsidRDefault="00875B97" w:rsidP="005E1665">
            <w:pPr>
              <w:jc w:val="center"/>
              <w:rPr>
                <w:rFonts w:ascii="Arial Narrow" w:hAnsi="Arial Narrow"/>
                <w:sz w:val="18"/>
                <w:szCs w:val="18"/>
              </w:rPr>
            </w:pPr>
            <w:r w:rsidRPr="00023580">
              <w:rPr>
                <w:rFonts w:ascii="Arial Narrow" w:hAnsi="Arial Narrow"/>
                <w:sz w:val="18"/>
                <w:szCs w:val="18"/>
              </w:rPr>
              <w:t>5.5</w:t>
            </w:r>
          </w:p>
          <w:p w:rsidR="00875B97" w:rsidRPr="00023580" w:rsidRDefault="00875B97" w:rsidP="005E1665">
            <w:pPr>
              <w:jc w:val="center"/>
              <w:rPr>
                <w:rFonts w:ascii="Arial Narrow" w:hAnsi="Arial Narrow"/>
                <w:sz w:val="18"/>
                <w:szCs w:val="18"/>
              </w:rPr>
            </w:pPr>
            <w:r w:rsidRPr="00023580">
              <w:rPr>
                <w:rFonts w:ascii="Arial Narrow" w:hAnsi="Arial Narrow"/>
                <w:sz w:val="18"/>
                <w:szCs w:val="18"/>
              </w:rPr>
              <w:t>(0.5 – 23.4)</w:t>
            </w:r>
          </w:p>
        </w:tc>
        <w:tc>
          <w:tcPr>
            <w:tcW w:w="0" w:type="auto"/>
          </w:tcPr>
          <w:p w:rsidR="005E1665" w:rsidRPr="00E57BA7" w:rsidRDefault="004E0316" w:rsidP="005E1665">
            <w:pPr>
              <w:jc w:val="center"/>
              <w:rPr>
                <w:rFonts w:ascii="Arial Narrow" w:hAnsi="Arial Narrow"/>
                <w:sz w:val="18"/>
                <w:szCs w:val="18"/>
              </w:rPr>
            </w:pPr>
            <w:r>
              <w:rPr>
                <w:rFonts w:ascii="Arial Narrow" w:hAnsi="Arial Narrow"/>
                <w:sz w:val="18"/>
                <w:szCs w:val="18"/>
              </w:rPr>
              <w:t>1.7</w:t>
            </w:r>
          </w:p>
        </w:tc>
        <w:tc>
          <w:tcPr>
            <w:tcW w:w="0" w:type="auto"/>
          </w:tcPr>
          <w:p w:rsidR="005E1665" w:rsidRPr="00F0352E" w:rsidRDefault="00F0352E" w:rsidP="00F0352E">
            <w:pPr>
              <w:jc w:val="center"/>
              <w:rPr>
                <w:rFonts w:ascii="Arial Narrow" w:hAnsi="Arial Narrow"/>
                <w:sz w:val="18"/>
                <w:szCs w:val="18"/>
                <w:vertAlign w:val="superscript"/>
              </w:rPr>
            </w:pPr>
            <w:r>
              <w:rPr>
                <w:rFonts w:ascii="Arial Narrow" w:hAnsi="Arial Narrow"/>
                <w:sz w:val="18"/>
                <w:szCs w:val="18"/>
              </w:rPr>
              <w:t>1.5</w:t>
            </w:r>
            <w:r w:rsidR="004E2D74">
              <w:rPr>
                <w:rFonts w:ascii="Arial Narrow" w:hAnsi="Arial Narrow"/>
                <w:sz w:val="18"/>
                <w:szCs w:val="18"/>
                <w:vertAlign w:val="superscript"/>
              </w:rPr>
              <w:t>d</w:t>
            </w:r>
          </w:p>
        </w:tc>
        <w:tc>
          <w:tcPr>
            <w:tcW w:w="1759" w:type="dxa"/>
          </w:tcPr>
          <w:p w:rsidR="005E1665" w:rsidRPr="006D748E" w:rsidRDefault="00F0352E" w:rsidP="005E1665">
            <w:pPr>
              <w:jc w:val="center"/>
              <w:rPr>
                <w:rFonts w:ascii="Arial Narrow" w:hAnsi="Arial Narrow"/>
                <w:sz w:val="18"/>
                <w:szCs w:val="18"/>
                <w:vertAlign w:val="superscript"/>
              </w:rPr>
            </w:pPr>
            <w:r>
              <w:rPr>
                <w:rFonts w:ascii="Arial Narrow" w:hAnsi="Arial Narrow"/>
                <w:sz w:val="18"/>
                <w:szCs w:val="18"/>
              </w:rPr>
              <w:t>1.7</w:t>
            </w:r>
            <w:r w:rsidR="004E2D74">
              <w:rPr>
                <w:rFonts w:ascii="Arial Narrow" w:hAnsi="Arial Narrow"/>
                <w:sz w:val="18"/>
                <w:szCs w:val="18"/>
                <w:vertAlign w:val="superscript"/>
              </w:rPr>
              <w:t>d</w:t>
            </w:r>
          </w:p>
        </w:tc>
        <w:tc>
          <w:tcPr>
            <w:tcW w:w="1470" w:type="dxa"/>
          </w:tcPr>
          <w:p w:rsidR="005E1665" w:rsidRDefault="00D57FA7" w:rsidP="005E1665">
            <w:pPr>
              <w:jc w:val="center"/>
              <w:rPr>
                <w:rFonts w:ascii="Arial Narrow" w:hAnsi="Arial Narrow"/>
                <w:sz w:val="18"/>
                <w:szCs w:val="18"/>
              </w:rPr>
            </w:pPr>
            <w:r>
              <w:rPr>
                <w:rFonts w:ascii="Arial Narrow" w:hAnsi="Arial Narrow"/>
                <w:sz w:val="18"/>
                <w:szCs w:val="18"/>
              </w:rPr>
              <w:t>3.7 (listed for transplant)</w:t>
            </w:r>
          </w:p>
          <w:p w:rsidR="00D57FA7" w:rsidRDefault="00D57FA7" w:rsidP="005E1665">
            <w:pPr>
              <w:jc w:val="center"/>
              <w:rPr>
                <w:rFonts w:ascii="Arial Narrow" w:hAnsi="Arial Narrow"/>
                <w:sz w:val="18"/>
                <w:szCs w:val="18"/>
              </w:rPr>
            </w:pPr>
            <w:r>
              <w:rPr>
                <w:rFonts w:ascii="Arial Narrow" w:hAnsi="Arial Narrow"/>
                <w:sz w:val="18"/>
                <w:szCs w:val="18"/>
              </w:rPr>
              <w:t>3.8 (</w:t>
            </w:r>
            <w:proofErr w:type="spellStart"/>
            <w:r>
              <w:rPr>
                <w:rFonts w:ascii="Arial Narrow" w:hAnsi="Arial Narrow"/>
                <w:sz w:val="18"/>
                <w:szCs w:val="18"/>
              </w:rPr>
              <w:t>post transplant</w:t>
            </w:r>
            <w:proofErr w:type="spellEnd"/>
            <w:r>
              <w:rPr>
                <w:rFonts w:ascii="Arial Narrow" w:hAnsi="Arial Narrow"/>
                <w:sz w:val="18"/>
                <w:szCs w:val="18"/>
              </w:rPr>
              <w:t>)</w:t>
            </w:r>
          </w:p>
          <w:p w:rsidR="00D57FA7" w:rsidRPr="00E57BA7" w:rsidRDefault="00D57FA7" w:rsidP="005E1665">
            <w:pPr>
              <w:jc w:val="center"/>
              <w:rPr>
                <w:rFonts w:ascii="Arial Narrow" w:hAnsi="Arial Narrow"/>
                <w:sz w:val="18"/>
                <w:szCs w:val="18"/>
              </w:rPr>
            </w:pPr>
            <w:r>
              <w:rPr>
                <w:rFonts w:ascii="Arial Narrow" w:hAnsi="Arial Narrow"/>
                <w:sz w:val="18"/>
                <w:szCs w:val="18"/>
              </w:rPr>
              <w:t>5.4 (to death)</w:t>
            </w:r>
          </w:p>
        </w:tc>
        <w:tc>
          <w:tcPr>
            <w:tcW w:w="0" w:type="auto"/>
          </w:tcPr>
          <w:p w:rsidR="005E1665" w:rsidRDefault="00DE5014" w:rsidP="005E1665">
            <w:pPr>
              <w:jc w:val="center"/>
              <w:rPr>
                <w:rFonts w:ascii="Arial Narrow" w:hAnsi="Arial Narrow"/>
                <w:sz w:val="18"/>
                <w:szCs w:val="18"/>
              </w:rPr>
            </w:pPr>
            <w:r>
              <w:rPr>
                <w:rFonts w:ascii="Arial Narrow" w:hAnsi="Arial Narrow"/>
                <w:sz w:val="18"/>
                <w:szCs w:val="18"/>
              </w:rPr>
              <w:t>1</w:t>
            </w:r>
          </w:p>
          <w:p w:rsidR="00DE5014" w:rsidRPr="00E57BA7" w:rsidRDefault="00DE5014" w:rsidP="005E1665">
            <w:pPr>
              <w:jc w:val="center"/>
              <w:rPr>
                <w:rFonts w:ascii="Arial Narrow" w:hAnsi="Arial Narrow"/>
                <w:sz w:val="18"/>
                <w:szCs w:val="18"/>
              </w:rPr>
            </w:pPr>
            <w:r>
              <w:rPr>
                <w:rFonts w:ascii="Arial Narrow" w:hAnsi="Arial Narrow"/>
                <w:sz w:val="18"/>
                <w:szCs w:val="18"/>
              </w:rPr>
              <w:t>15 (no transplant)</w:t>
            </w:r>
          </w:p>
        </w:tc>
      </w:tr>
      <w:tr w:rsidR="005E1665" w:rsidRPr="00E57BA7" w:rsidTr="00023580">
        <w:tc>
          <w:tcPr>
            <w:tcW w:w="0" w:type="auto"/>
          </w:tcPr>
          <w:p w:rsidR="005E1665" w:rsidRPr="00E57BA7" w:rsidRDefault="005E1665" w:rsidP="005E1665">
            <w:pPr>
              <w:pStyle w:val="Tabletext"/>
              <w:rPr>
                <w:rFonts w:ascii="Arial Narrow" w:hAnsi="Arial Narrow"/>
                <w:sz w:val="18"/>
                <w:szCs w:val="18"/>
                <w:vertAlign w:val="superscript"/>
              </w:rPr>
            </w:pPr>
            <w:r w:rsidRPr="00E57BA7">
              <w:rPr>
                <w:rFonts w:ascii="Arial Narrow" w:hAnsi="Arial Narrow"/>
                <w:sz w:val="18"/>
                <w:szCs w:val="18"/>
              </w:rPr>
              <w:t>Serum creatinine, mean (SD), µ</w:t>
            </w:r>
            <w:proofErr w:type="spellStart"/>
            <w:r w:rsidRPr="00E57BA7">
              <w:rPr>
                <w:rFonts w:ascii="Arial Narrow" w:hAnsi="Arial Narrow"/>
                <w:sz w:val="18"/>
                <w:szCs w:val="18"/>
              </w:rPr>
              <w:t>mol</w:t>
            </w:r>
            <w:proofErr w:type="spellEnd"/>
            <w:r w:rsidRPr="00E57BA7">
              <w:rPr>
                <w:rFonts w:ascii="Arial Narrow" w:hAnsi="Arial Narrow"/>
                <w:sz w:val="18"/>
                <w:szCs w:val="18"/>
              </w:rPr>
              <w:t>/L</w:t>
            </w:r>
            <w:r w:rsidR="004E2D74">
              <w:rPr>
                <w:rFonts w:ascii="Arial Narrow" w:hAnsi="Arial Narrow"/>
                <w:sz w:val="18"/>
                <w:szCs w:val="18"/>
                <w:vertAlign w:val="superscript"/>
              </w:rPr>
              <w:t>e</w:t>
            </w:r>
          </w:p>
        </w:tc>
        <w:tc>
          <w:tcPr>
            <w:tcW w:w="0" w:type="auto"/>
          </w:tcPr>
          <w:p w:rsidR="00061AD2" w:rsidRPr="00023580" w:rsidRDefault="00061AD2" w:rsidP="005E1665">
            <w:pPr>
              <w:jc w:val="center"/>
              <w:rPr>
                <w:rFonts w:ascii="Arial Narrow" w:hAnsi="Arial Narrow"/>
                <w:sz w:val="18"/>
                <w:szCs w:val="18"/>
                <w:vertAlign w:val="superscript"/>
              </w:rPr>
            </w:pPr>
            <w:r w:rsidRPr="00023580">
              <w:rPr>
                <w:rFonts w:ascii="Arial Narrow" w:hAnsi="Arial Narrow"/>
                <w:sz w:val="18"/>
                <w:szCs w:val="18"/>
              </w:rPr>
              <w:t>219</w:t>
            </w:r>
            <w:r w:rsidR="004E2D74">
              <w:rPr>
                <w:rFonts w:ascii="Arial Narrow" w:hAnsi="Arial Narrow"/>
                <w:sz w:val="18"/>
                <w:szCs w:val="18"/>
                <w:vertAlign w:val="superscript"/>
              </w:rPr>
              <w:t>f</w:t>
            </w:r>
          </w:p>
          <w:p w:rsidR="005E1665" w:rsidRPr="00023580" w:rsidRDefault="00061AD2" w:rsidP="005E1665">
            <w:pPr>
              <w:jc w:val="center"/>
              <w:rPr>
                <w:rFonts w:ascii="Arial Narrow" w:hAnsi="Arial Narrow"/>
                <w:sz w:val="18"/>
                <w:szCs w:val="18"/>
              </w:rPr>
            </w:pPr>
            <w:r w:rsidRPr="00023580">
              <w:rPr>
                <w:rFonts w:ascii="Arial Narrow" w:hAnsi="Arial Narrow"/>
                <w:sz w:val="18"/>
                <w:szCs w:val="18"/>
              </w:rPr>
              <w:t>(99–1253)</w:t>
            </w:r>
          </w:p>
        </w:tc>
        <w:tc>
          <w:tcPr>
            <w:tcW w:w="0" w:type="auto"/>
          </w:tcPr>
          <w:p w:rsidR="005E1665" w:rsidRPr="00023580" w:rsidRDefault="004E0316" w:rsidP="005E1665">
            <w:pPr>
              <w:jc w:val="center"/>
              <w:rPr>
                <w:rFonts w:ascii="Arial Narrow" w:hAnsi="Arial Narrow"/>
                <w:sz w:val="18"/>
                <w:szCs w:val="18"/>
              </w:rPr>
            </w:pPr>
            <w:r w:rsidRPr="00023580">
              <w:rPr>
                <w:rFonts w:ascii="Arial Narrow" w:hAnsi="Arial Narrow"/>
                <w:sz w:val="18"/>
                <w:szCs w:val="18"/>
              </w:rPr>
              <w:t>566</w:t>
            </w:r>
          </w:p>
          <w:p w:rsidR="004E0316" w:rsidRPr="00023580" w:rsidRDefault="004E0316" w:rsidP="005E1665">
            <w:pPr>
              <w:jc w:val="center"/>
              <w:rPr>
                <w:rFonts w:ascii="Arial Narrow" w:hAnsi="Arial Narrow"/>
                <w:sz w:val="18"/>
                <w:szCs w:val="18"/>
              </w:rPr>
            </w:pPr>
            <w:r w:rsidRPr="00023580">
              <w:rPr>
                <w:rFonts w:ascii="Arial Narrow" w:hAnsi="Arial Narrow"/>
                <w:sz w:val="18"/>
                <w:szCs w:val="18"/>
              </w:rPr>
              <w:t>(Median at admission)</w:t>
            </w:r>
          </w:p>
        </w:tc>
        <w:tc>
          <w:tcPr>
            <w:tcW w:w="0" w:type="auto"/>
          </w:tcPr>
          <w:p w:rsidR="005E1665" w:rsidRPr="004735B8" w:rsidRDefault="008530F3" w:rsidP="005E1665">
            <w:pPr>
              <w:jc w:val="center"/>
              <w:rPr>
                <w:rFonts w:ascii="Arial Narrow" w:hAnsi="Arial Narrow"/>
                <w:sz w:val="18"/>
                <w:szCs w:val="18"/>
              </w:rPr>
            </w:pPr>
            <w:r w:rsidRPr="004735B8">
              <w:rPr>
                <w:rFonts w:ascii="Arial Narrow" w:hAnsi="Arial Narrow"/>
                <w:sz w:val="18"/>
                <w:szCs w:val="18"/>
              </w:rPr>
              <w:t>NR</w:t>
            </w:r>
          </w:p>
        </w:tc>
        <w:tc>
          <w:tcPr>
            <w:tcW w:w="0" w:type="auto"/>
          </w:tcPr>
          <w:p w:rsidR="005E1665" w:rsidRPr="00E57BA7" w:rsidRDefault="004735B8" w:rsidP="005E1665">
            <w:pPr>
              <w:jc w:val="center"/>
              <w:rPr>
                <w:rFonts w:ascii="Arial Narrow" w:hAnsi="Arial Narrow"/>
                <w:sz w:val="18"/>
                <w:szCs w:val="18"/>
              </w:rPr>
            </w:pPr>
            <w:r>
              <w:rPr>
                <w:rFonts w:ascii="Arial Narrow" w:hAnsi="Arial Narrow"/>
                <w:sz w:val="18"/>
                <w:szCs w:val="18"/>
              </w:rPr>
              <w:t>NR</w:t>
            </w:r>
          </w:p>
        </w:tc>
        <w:tc>
          <w:tcPr>
            <w:tcW w:w="1759" w:type="dxa"/>
          </w:tcPr>
          <w:p w:rsidR="005E1665" w:rsidRPr="00E57BA7" w:rsidRDefault="004735B8" w:rsidP="005E1665">
            <w:pPr>
              <w:jc w:val="center"/>
              <w:rPr>
                <w:rFonts w:ascii="Arial Narrow" w:hAnsi="Arial Narrow"/>
                <w:sz w:val="18"/>
                <w:szCs w:val="18"/>
              </w:rPr>
            </w:pPr>
            <w:r>
              <w:rPr>
                <w:rFonts w:ascii="Arial Narrow" w:hAnsi="Arial Narrow"/>
                <w:sz w:val="18"/>
                <w:szCs w:val="18"/>
              </w:rPr>
              <w:t>NR</w:t>
            </w:r>
          </w:p>
        </w:tc>
        <w:tc>
          <w:tcPr>
            <w:tcW w:w="1470" w:type="dxa"/>
          </w:tcPr>
          <w:p w:rsidR="005E1665" w:rsidRPr="00E57BA7" w:rsidRDefault="00771659" w:rsidP="005E1665">
            <w:pPr>
              <w:jc w:val="center"/>
              <w:rPr>
                <w:rFonts w:ascii="Arial Narrow" w:hAnsi="Arial Narrow"/>
                <w:sz w:val="18"/>
                <w:szCs w:val="18"/>
              </w:rPr>
            </w:pPr>
            <w:r>
              <w:rPr>
                <w:rFonts w:ascii="Arial Narrow" w:hAnsi="Arial Narrow"/>
                <w:sz w:val="18"/>
                <w:szCs w:val="18"/>
              </w:rPr>
              <w:t>NR</w:t>
            </w:r>
          </w:p>
        </w:tc>
        <w:tc>
          <w:tcPr>
            <w:tcW w:w="0" w:type="auto"/>
          </w:tcPr>
          <w:p w:rsidR="005E1665" w:rsidRDefault="0098528E" w:rsidP="005E1665">
            <w:pPr>
              <w:jc w:val="center"/>
              <w:rPr>
                <w:rFonts w:ascii="Arial Narrow" w:hAnsi="Arial Narrow"/>
                <w:sz w:val="18"/>
                <w:szCs w:val="18"/>
              </w:rPr>
            </w:pPr>
            <w:r>
              <w:rPr>
                <w:rFonts w:ascii="Arial Narrow" w:hAnsi="Arial Narrow"/>
                <w:sz w:val="18"/>
                <w:szCs w:val="18"/>
              </w:rPr>
              <w:t>147</w:t>
            </w:r>
            <w:r w:rsidR="004E2D74">
              <w:rPr>
                <w:rFonts w:ascii="Arial Narrow" w:hAnsi="Arial Narrow"/>
                <w:sz w:val="18"/>
                <w:szCs w:val="18"/>
                <w:vertAlign w:val="superscript"/>
              </w:rPr>
              <w:t>f</w:t>
            </w:r>
          </w:p>
          <w:p w:rsidR="0098528E" w:rsidRPr="0098528E" w:rsidRDefault="0098528E" w:rsidP="0098528E">
            <w:pPr>
              <w:jc w:val="center"/>
              <w:rPr>
                <w:rFonts w:ascii="Arial Narrow" w:hAnsi="Arial Narrow"/>
                <w:sz w:val="18"/>
                <w:szCs w:val="18"/>
                <w:vertAlign w:val="superscript"/>
              </w:rPr>
            </w:pPr>
            <w:r>
              <w:rPr>
                <w:rFonts w:ascii="Arial Narrow" w:hAnsi="Arial Narrow"/>
                <w:sz w:val="18"/>
                <w:szCs w:val="18"/>
              </w:rPr>
              <w:t>NR</w:t>
            </w:r>
          </w:p>
        </w:tc>
      </w:tr>
      <w:tr w:rsidR="005E1665" w:rsidRPr="00E57BA7" w:rsidTr="00023580">
        <w:tc>
          <w:tcPr>
            <w:tcW w:w="0" w:type="auto"/>
          </w:tcPr>
          <w:p w:rsidR="005E1665" w:rsidRPr="00E57BA7" w:rsidRDefault="005E1665" w:rsidP="005E1665">
            <w:pPr>
              <w:pStyle w:val="Tabletext"/>
              <w:rPr>
                <w:rFonts w:ascii="Arial Narrow" w:hAnsi="Arial Narrow"/>
                <w:sz w:val="18"/>
                <w:szCs w:val="18"/>
              </w:rPr>
            </w:pPr>
            <w:r w:rsidRPr="00E57BA7">
              <w:rPr>
                <w:rFonts w:ascii="Arial Narrow" w:hAnsi="Arial Narrow"/>
                <w:sz w:val="18"/>
                <w:szCs w:val="18"/>
              </w:rPr>
              <w:t xml:space="preserve">Recurrence of TMA in patients N </w:t>
            </w:r>
          </w:p>
        </w:tc>
        <w:tc>
          <w:tcPr>
            <w:tcW w:w="0" w:type="auto"/>
          </w:tcPr>
          <w:p w:rsidR="005E1665" w:rsidRPr="00023580" w:rsidRDefault="00D46A68" w:rsidP="005E1665">
            <w:pPr>
              <w:jc w:val="center"/>
              <w:rPr>
                <w:rFonts w:ascii="Arial Narrow" w:hAnsi="Arial Narrow"/>
                <w:sz w:val="18"/>
                <w:szCs w:val="18"/>
              </w:rPr>
            </w:pPr>
            <w:r w:rsidRPr="00023580">
              <w:rPr>
                <w:rFonts w:ascii="Arial Narrow" w:hAnsi="Arial Narrow"/>
                <w:sz w:val="18"/>
                <w:szCs w:val="18"/>
              </w:rPr>
              <w:t>9</w:t>
            </w:r>
          </w:p>
        </w:tc>
        <w:tc>
          <w:tcPr>
            <w:tcW w:w="0" w:type="auto"/>
          </w:tcPr>
          <w:p w:rsidR="005E1665" w:rsidRPr="00023580" w:rsidRDefault="00C74BD9" w:rsidP="005E1665">
            <w:pPr>
              <w:jc w:val="center"/>
              <w:rPr>
                <w:rFonts w:ascii="Arial Narrow" w:hAnsi="Arial Narrow"/>
                <w:sz w:val="18"/>
                <w:szCs w:val="18"/>
                <w:vertAlign w:val="superscript"/>
              </w:rPr>
            </w:pPr>
            <w:r w:rsidRPr="00023580">
              <w:rPr>
                <w:rFonts w:ascii="Arial Narrow" w:hAnsi="Arial Narrow"/>
                <w:sz w:val="18"/>
                <w:szCs w:val="18"/>
              </w:rPr>
              <w:t>6/19 (36%)</w:t>
            </w:r>
            <w:r w:rsidR="004E2D74">
              <w:rPr>
                <w:rFonts w:ascii="Arial Narrow" w:hAnsi="Arial Narrow"/>
                <w:sz w:val="18"/>
                <w:szCs w:val="18"/>
                <w:vertAlign w:val="superscript"/>
              </w:rPr>
              <w:t>g</w:t>
            </w:r>
          </w:p>
        </w:tc>
        <w:tc>
          <w:tcPr>
            <w:tcW w:w="0" w:type="auto"/>
          </w:tcPr>
          <w:p w:rsidR="005E1665" w:rsidRPr="008530F3" w:rsidRDefault="008530F3" w:rsidP="005E1665">
            <w:pPr>
              <w:jc w:val="center"/>
              <w:rPr>
                <w:rFonts w:ascii="Arial Narrow" w:hAnsi="Arial Narrow"/>
                <w:sz w:val="18"/>
                <w:szCs w:val="18"/>
              </w:rPr>
            </w:pPr>
            <w:r>
              <w:rPr>
                <w:rFonts w:ascii="Arial Narrow" w:hAnsi="Arial Narrow"/>
                <w:sz w:val="18"/>
                <w:szCs w:val="18"/>
              </w:rPr>
              <w:t>NR</w:t>
            </w:r>
          </w:p>
        </w:tc>
        <w:tc>
          <w:tcPr>
            <w:tcW w:w="0" w:type="auto"/>
          </w:tcPr>
          <w:p w:rsidR="004735B8" w:rsidRDefault="004735B8" w:rsidP="005E1665">
            <w:pPr>
              <w:jc w:val="center"/>
              <w:rPr>
                <w:rFonts w:ascii="Arial Narrow" w:hAnsi="Arial Narrow"/>
                <w:sz w:val="18"/>
                <w:szCs w:val="18"/>
              </w:rPr>
            </w:pPr>
            <w:r>
              <w:rPr>
                <w:rFonts w:ascii="Arial Narrow" w:hAnsi="Arial Narrow"/>
                <w:sz w:val="18"/>
                <w:szCs w:val="18"/>
              </w:rPr>
              <w:t>176 (81%)</w:t>
            </w:r>
          </w:p>
          <w:p w:rsidR="004735B8" w:rsidRPr="00E57BA7" w:rsidRDefault="004735B8" w:rsidP="004735B8">
            <w:pPr>
              <w:jc w:val="center"/>
              <w:rPr>
                <w:rFonts w:ascii="Arial Narrow" w:hAnsi="Arial Narrow"/>
                <w:sz w:val="18"/>
                <w:szCs w:val="18"/>
              </w:rPr>
            </w:pPr>
            <w:r>
              <w:rPr>
                <w:rFonts w:ascii="Arial Narrow" w:hAnsi="Arial Narrow"/>
                <w:sz w:val="18"/>
                <w:szCs w:val="18"/>
              </w:rPr>
              <w:t>All hospitalisations</w:t>
            </w:r>
          </w:p>
        </w:tc>
        <w:tc>
          <w:tcPr>
            <w:tcW w:w="1759" w:type="dxa"/>
          </w:tcPr>
          <w:p w:rsidR="004735B8" w:rsidRDefault="004735B8" w:rsidP="004735B8">
            <w:pPr>
              <w:jc w:val="center"/>
              <w:rPr>
                <w:rFonts w:ascii="Arial Narrow" w:hAnsi="Arial Narrow"/>
                <w:sz w:val="18"/>
                <w:szCs w:val="18"/>
              </w:rPr>
            </w:pPr>
            <w:r>
              <w:rPr>
                <w:rFonts w:ascii="Arial Narrow" w:hAnsi="Arial Narrow"/>
                <w:sz w:val="18"/>
                <w:szCs w:val="18"/>
              </w:rPr>
              <w:t>719 (66%)</w:t>
            </w:r>
          </w:p>
          <w:p w:rsidR="005E1665" w:rsidRPr="00E57BA7" w:rsidRDefault="004735B8" w:rsidP="004735B8">
            <w:pPr>
              <w:jc w:val="center"/>
              <w:rPr>
                <w:rFonts w:ascii="Arial Narrow" w:hAnsi="Arial Narrow"/>
                <w:sz w:val="18"/>
                <w:szCs w:val="18"/>
              </w:rPr>
            </w:pPr>
            <w:r>
              <w:rPr>
                <w:rFonts w:ascii="Arial Narrow" w:hAnsi="Arial Narrow"/>
                <w:sz w:val="18"/>
                <w:szCs w:val="18"/>
              </w:rPr>
              <w:t>All hospitalisations</w:t>
            </w:r>
          </w:p>
        </w:tc>
        <w:tc>
          <w:tcPr>
            <w:tcW w:w="1470" w:type="dxa"/>
          </w:tcPr>
          <w:p w:rsidR="005E1665" w:rsidRPr="00E57BA7" w:rsidRDefault="00D57FA7" w:rsidP="005E1665">
            <w:pPr>
              <w:jc w:val="center"/>
              <w:rPr>
                <w:rFonts w:ascii="Arial Narrow" w:hAnsi="Arial Narrow"/>
                <w:sz w:val="18"/>
                <w:szCs w:val="18"/>
              </w:rPr>
            </w:pPr>
            <w:r>
              <w:rPr>
                <w:rFonts w:ascii="Arial Narrow" w:hAnsi="Arial Narrow"/>
                <w:sz w:val="18"/>
                <w:szCs w:val="18"/>
              </w:rPr>
              <w:t>NR</w:t>
            </w:r>
          </w:p>
        </w:tc>
        <w:tc>
          <w:tcPr>
            <w:tcW w:w="0" w:type="auto"/>
          </w:tcPr>
          <w:p w:rsidR="005E1665" w:rsidRPr="00E57BA7" w:rsidRDefault="0098528E" w:rsidP="005E1665">
            <w:pPr>
              <w:jc w:val="center"/>
              <w:rPr>
                <w:rFonts w:ascii="Arial Narrow" w:hAnsi="Arial Narrow"/>
                <w:sz w:val="18"/>
                <w:szCs w:val="18"/>
              </w:rPr>
            </w:pPr>
            <w:r>
              <w:rPr>
                <w:rFonts w:ascii="Arial Narrow" w:hAnsi="Arial Narrow"/>
                <w:sz w:val="18"/>
                <w:szCs w:val="18"/>
              </w:rPr>
              <w:t>0 (transplant)</w:t>
            </w:r>
          </w:p>
        </w:tc>
      </w:tr>
      <w:tr w:rsidR="005E1665" w:rsidRPr="00E57BA7" w:rsidTr="00023580">
        <w:tc>
          <w:tcPr>
            <w:tcW w:w="0" w:type="auto"/>
            <w:tcBorders>
              <w:bottom w:val="single" w:sz="4" w:space="0" w:color="auto"/>
            </w:tcBorders>
          </w:tcPr>
          <w:p w:rsidR="005E1665" w:rsidRPr="00E57BA7" w:rsidRDefault="005E1665" w:rsidP="005E1665">
            <w:pPr>
              <w:pStyle w:val="Tabletext"/>
              <w:rPr>
                <w:rFonts w:ascii="Arial Narrow" w:hAnsi="Arial Narrow"/>
                <w:sz w:val="18"/>
                <w:szCs w:val="18"/>
                <w:vertAlign w:val="superscript"/>
              </w:rPr>
            </w:pPr>
            <w:r w:rsidRPr="00E57BA7">
              <w:rPr>
                <w:rFonts w:ascii="Arial Narrow" w:hAnsi="Arial Narrow"/>
                <w:sz w:val="18"/>
                <w:szCs w:val="18"/>
              </w:rPr>
              <w:t>Duration of time to TMA, median (range), months</w:t>
            </w:r>
          </w:p>
        </w:tc>
        <w:tc>
          <w:tcPr>
            <w:tcW w:w="0" w:type="auto"/>
            <w:tcBorders>
              <w:bottom w:val="single" w:sz="4" w:space="0" w:color="auto"/>
            </w:tcBorders>
          </w:tcPr>
          <w:p w:rsidR="005E1665" w:rsidRPr="00023580" w:rsidRDefault="005E1665" w:rsidP="005E1665">
            <w:pPr>
              <w:jc w:val="center"/>
              <w:rPr>
                <w:rFonts w:ascii="Arial Narrow" w:hAnsi="Arial Narrow"/>
                <w:sz w:val="18"/>
                <w:szCs w:val="18"/>
              </w:rPr>
            </w:pPr>
            <w:r w:rsidRPr="00023580">
              <w:rPr>
                <w:rFonts w:ascii="Arial Narrow" w:hAnsi="Arial Narrow"/>
                <w:sz w:val="18"/>
                <w:szCs w:val="18"/>
              </w:rPr>
              <w:t>11.4</w:t>
            </w:r>
          </w:p>
          <w:p w:rsidR="005E1665" w:rsidRPr="00023580" w:rsidRDefault="005E1665" w:rsidP="005E1665">
            <w:pPr>
              <w:jc w:val="center"/>
              <w:rPr>
                <w:rFonts w:ascii="Arial Narrow" w:hAnsi="Arial Narrow"/>
                <w:sz w:val="18"/>
                <w:szCs w:val="18"/>
              </w:rPr>
            </w:pPr>
            <w:r w:rsidRPr="00023580">
              <w:rPr>
                <w:rFonts w:ascii="Arial Narrow" w:hAnsi="Arial Narrow"/>
                <w:sz w:val="18"/>
                <w:szCs w:val="18"/>
              </w:rPr>
              <w:t>(4.3 – 21.5)</w:t>
            </w:r>
          </w:p>
        </w:tc>
        <w:tc>
          <w:tcPr>
            <w:tcW w:w="0" w:type="auto"/>
            <w:tcBorders>
              <w:bottom w:val="single" w:sz="4" w:space="0" w:color="auto"/>
            </w:tcBorders>
          </w:tcPr>
          <w:p w:rsidR="005E1665" w:rsidRPr="00023580" w:rsidRDefault="00C74BD9" w:rsidP="005E1665">
            <w:pPr>
              <w:jc w:val="center"/>
              <w:rPr>
                <w:rFonts w:ascii="Arial Narrow" w:hAnsi="Arial Narrow"/>
                <w:sz w:val="18"/>
                <w:szCs w:val="18"/>
              </w:rPr>
            </w:pPr>
            <w:r w:rsidRPr="00023580">
              <w:rPr>
                <w:rFonts w:ascii="Arial Narrow" w:hAnsi="Arial Narrow"/>
                <w:sz w:val="18"/>
                <w:szCs w:val="18"/>
              </w:rPr>
              <w:t>NR</w:t>
            </w:r>
          </w:p>
        </w:tc>
        <w:tc>
          <w:tcPr>
            <w:tcW w:w="0" w:type="auto"/>
            <w:tcBorders>
              <w:bottom w:val="single" w:sz="4" w:space="0" w:color="auto"/>
            </w:tcBorders>
          </w:tcPr>
          <w:p w:rsidR="005E1665" w:rsidRPr="00E57BA7" w:rsidRDefault="008530F3" w:rsidP="005E1665">
            <w:pPr>
              <w:jc w:val="center"/>
              <w:rPr>
                <w:rFonts w:ascii="Arial Narrow" w:hAnsi="Arial Narrow"/>
                <w:sz w:val="18"/>
                <w:szCs w:val="18"/>
              </w:rPr>
            </w:pPr>
            <w:r>
              <w:rPr>
                <w:rFonts w:ascii="Arial Narrow" w:hAnsi="Arial Narrow"/>
                <w:sz w:val="18"/>
                <w:szCs w:val="18"/>
              </w:rPr>
              <w:t>NR</w:t>
            </w:r>
          </w:p>
        </w:tc>
        <w:tc>
          <w:tcPr>
            <w:tcW w:w="0" w:type="auto"/>
            <w:tcBorders>
              <w:bottom w:val="single" w:sz="4" w:space="0" w:color="auto"/>
            </w:tcBorders>
          </w:tcPr>
          <w:p w:rsidR="005E1665" w:rsidRPr="00E57BA7" w:rsidRDefault="004735B8" w:rsidP="005E1665">
            <w:pPr>
              <w:jc w:val="center"/>
              <w:rPr>
                <w:rFonts w:ascii="Arial Narrow" w:hAnsi="Arial Narrow"/>
                <w:sz w:val="18"/>
                <w:szCs w:val="18"/>
              </w:rPr>
            </w:pPr>
            <w:r>
              <w:rPr>
                <w:rFonts w:ascii="Arial Narrow" w:hAnsi="Arial Narrow"/>
                <w:sz w:val="18"/>
                <w:szCs w:val="18"/>
              </w:rPr>
              <w:t>NR</w:t>
            </w:r>
          </w:p>
        </w:tc>
        <w:tc>
          <w:tcPr>
            <w:tcW w:w="1759" w:type="dxa"/>
            <w:tcBorders>
              <w:bottom w:val="single" w:sz="4" w:space="0" w:color="auto"/>
            </w:tcBorders>
          </w:tcPr>
          <w:p w:rsidR="005E1665" w:rsidRPr="00E57BA7" w:rsidRDefault="00D57FA7" w:rsidP="005E1665">
            <w:pPr>
              <w:jc w:val="center"/>
              <w:rPr>
                <w:rFonts w:ascii="Arial Narrow" w:hAnsi="Arial Narrow"/>
                <w:sz w:val="18"/>
                <w:szCs w:val="18"/>
              </w:rPr>
            </w:pPr>
            <w:r>
              <w:rPr>
                <w:rFonts w:ascii="Arial Narrow" w:hAnsi="Arial Narrow"/>
                <w:sz w:val="18"/>
                <w:szCs w:val="18"/>
              </w:rPr>
              <w:t>NR</w:t>
            </w:r>
          </w:p>
        </w:tc>
        <w:tc>
          <w:tcPr>
            <w:tcW w:w="1470" w:type="dxa"/>
            <w:tcBorders>
              <w:bottom w:val="single" w:sz="4" w:space="0" w:color="auto"/>
            </w:tcBorders>
          </w:tcPr>
          <w:p w:rsidR="005E1665" w:rsidRPr="00E57BA7" w:rsidRDefault="00D57FA7" w:rsidP="005E1665">
            <w:pPr>
              <w:jc w:val="center"/>
              <w:rPr>
                <w:rFonts w:ascii="Arial Narrow" w:hAnsi="Arial Narrow"/>
                <w:sz w:val="18"/>
                <w:szCs w:val="18"/>
              </w:rPr>
            </w:pPr>
            <w:r>
              <w:rPr>
                <w:rFonts w:ascii="Arial Narrow" w:hAnsi="Arial Narrow"/>
                <w:sz w:val="18"/>
                <w:szCs w:val="18"/>
              </w:rPr>
              <w:t>NR</w:t>
            </w:r>
          </w:p>
        </w:tc>
        <w:tc>
          <w:tcPr>
            <w:tcW w:w="0" w:type="auto"/>
            <w:tcBorders>
              <w:bottom w:val="single" w:sz="4" w:space="0" w:color="auto"/>
            </w:tcBorders>
          </w:tcPr>
          <w:p w:rsidR="005E1665" w:rsidRPr="00E57BA7" w:rsidRDefault="0098528E" w:rsidP="005E1665">
            <w:pPr>
              <w:jc w:val="center"/>
              <w:rPr>
                <w:rFonts w:ascii="Arial Narrow" w:hAnsi="Arial Narrow"/>
                <w:sz w:val="18"/>
                <w:szCs w:val="18"/>
              </w:rPr>
            </w:pPr>
            <w:r>
              <w:rPr>
                <w:rFonts w:ascii="Arial Narrow" w:hAnsi="Arial Narrow"/>
                <w:sz w:val="18"/>
                <w:szCs w:val="18"/>
              </w:rPr>
              <w:t>NR</w:t>
            </w:r>
          </w:p>
        </w:tc>
      </w:tr>
      <w:tr w:rsidR="008530F3" w:rsidRPr="00E57BA7" w:rsidTr="00023580">
        <w:tc>
          <w:tcPr>
            <w:tcW w:w="0" w:type="auto"/>
            <w:tcBorders>
              <w:bottom w:val="single" w:sz="4" w:space="0" w:color="auto"/>
            </w:tcBorders>
          </w:tcPr>
          <w:p w:rsidR="00023580" w:rsidRPr="00E57BA7" w:rsidRDefault="00023580" w:rsidP="00023580">
            <w:pPr>
              <w:pStyle w:val="Tabletext"/>
              <w:rPr>
                <w:rFonts w:ascii="Arial Narrow" w:hAnsi="Arial Narrow"/>
                <w:sz w:val="18"/>
                <w:szCs w:val="18"/>
              </w:rPr>
            </w:pPr>
            <w:r w:rsidRPr="00E57BA7">
              <w:rPr>
                <w:rFonts w:ascii="Arial Narrow" w:hAnsi="Arial Narrow"/>
                <w:sz w:val="18"/>
                <w:szCs w:val="18"/>
              </w:rPr>
              <w:t xml:space="preserve">Dialysis </w:t>
            </w:r>
            <w:r>
              <w:rPr>
                <w:rFonts w:ascii="Arial Narrow" w:hAnsi="Arial Narrow"/>
                <w:sz w:val="18"/>
                <w:szCs w:val="18"/>
              </w:rPr>
              <w:t>continuing</w:t>
            </w:r>
            <w:r w:rsidRPr="00E57BA7">
              <w:rPr>
                <w:rFonts w:ascii="Arial Narrow" w:hAnsi="Arial Narrow"/>
                <w:sz w:val="18"/>
                <w:szCs w:val="18"/>
              </w:rPr>
              <w:t xml:space="preserve"> </w:t>
            </w:r>
            <w:r>
              <w:rPr>
                <w:rFonts w:ascii="Arial Narrow" w:hAnsi="Arial Narrow"/>
                <w:sz w:val="18"/>
                <w:szCs w:val="18"/>
              </w:rPr>
              <w:t xml:space="preserve">at last follow-up </w:t>
            </w:r>
            <w:r w:rsidRPr="00E57BA7">
              <w:rPr>
                <w:rFonts w:ascii="Arial Narrow" w:hAnsi="Arial Narrow"/>
                <w:sz w:val="18"/>
                <w:szCs w:val="18"/>
              </w:rPr>
              <w:t>N (%)</w:t>
            </w:r>
          </w:p>
        </w:tc>
        <w:tc>
          <w:tcPr>
            <w:tcW w:w="0" w:type="auto"/>
            <w:tcBorders>
              <w:bottom w:val="single" w:sz="4" w:space="0" w:color="auto"/>
            </w:tcBorders>
          </w:tcPr>
          <w:p w:rsidR="00023580" w:rsidRPr="00023580" w:rsidRDefault="00023580" w:rsidP="004B4070">
            <w:pPr>
              <w:jc w:val="center"/>
              <w:rPr>
                <w:rFonts w:ascii="Arial Narrow" w:hAnsi="Arial Narrow"/>
                <w:sz w:val="18"/>
                <w:szCs w:val="18"/>
              </w:rPr>
            </w:pPr>
            <w:r w:rsidRPr="00023580">
              <w:rPr>
                <w:rFonts w:ascii="Arial Narrow" w:hAnsi="Arial Narrow"/>
                <w:sz w:val="18"/>
                <w:szCs w:val="18"/>
              </w:rPr>
              <w:t>1</w:t>
            </w:r>
          </w:p>
        </w:tc>
        <w:tc>
          <w:tcPr>
            <w:tcW w:w="0" w:type="auto"/>
            <w:tcBorders>
              <w:bottom w:val="single" w:sz="4" w:space="0" w:color="auto"/>
            </w:tcBorders>
          </w:tcPr>
          <w:p w:rsidR="00023580" w:rsidRPr="00023580" w:rsidRDefault="00023580" w:rsidP="004B4070">
            <w:pPr>
              <w:jc w:val="center"/>
              <w:rPr>
                <w:rFonts w:ascii="Arial Narrow" w:hAnsi="Arial Narrow"/>
                <w:sz w:val="18"/>
                <w:szCs w:val="18"/>
              </w:rPr>
            </w:pPr>
            <w:r>
              <w:rPr>
                <w:rFonts w:ascii="Arial Narrow" w:hAnsi="Arial Narrow"/>
                <w:sz w:val="18"/>
                <w:szCs w:val="18"/>
              </w:rPr>
              <w:t>2</w:t>
            </w:r>
          </w:p>
        </w:tc>
        <w:tc>
          <w:tcPr>
            <w:tcW w:w="0" w:type="auto"/>
            <w:tcBorders>
              <w:bottom w:val="single" w:sz="4" w:space="0" w:color="auto"/>
            </w:tcBorders>
          </w:tcPr>
          <w:p w:rsidR="00023580" w:rsidRPr="00E57BA7" w:rsidRDefault="008530F3" w:rsidP="004B4070">
            <w:pPr>
              <w:jc w:val="center"/>
              <w:rPr>
                <w:rFonts w:ascii="Arial Narrow" w:hAnsi="Arial Narrow"/>
                <w:sz w:val="18"/>
                <w:szCs w:val="18"/>
              </w:rPr>
            </w:pPr>
            <w:r>
              <w:rPr>
                <w:rFonts w:ascii="Arial Narrow" w:hAnsi="Arial Narrow"/>
                <w:sz w:val="18"/>
                <w:szCs w:val="18"/>
              </w:rPr>
              <w:t>1</w:t>
            </w:r>
          </w:p>
        </w:tc>
        <w:tc>
          <w:tcPr>
            <w:tcW w:w="0" w:type="auto"/>
            <w:tcBorders>
              <w:bottom w:val="single" w:sz="4" w:space="0" w:color="auto"/>
            </w:tcBorders>
          </w:tcPr>
          <w:p w:rsidR="00023580" w:rsidRPr="00E57BA7" w:rsidRDefault="004735B8" w:rsidP="004B4070">
            <w:pPr>
              <w:jc w:val="center"/>
              <w:rPr>
                <w:rFonts w:ascii="Arial Narrow" w:hAnsi="Arial Narrow"/>
                <w:sz w:val="18"/>
                <w:szCs w:val="18"/>
              </w:rPr>
            </w:pPr>
            <w:r>
              <w:rPr>
                <w:rFonts w:ascii="Arial Narrow" w:hAnsi="Arial Narrow"/>
                <w:sz w:val="18"/>
                <w:szCs w:val="18"/>
              </w:rPr>
              <w:t>217 (100%)</w:t>
            </w:r>
          </w:p>
        </w:tc>
        <w:tc>
          <w:tcPr>
            <w:tcW w:w="1759" w:type="dxa"/>
            <w:tcBorders>
              <w:bottom w:val="single" w:sz="4" w:space="0" w:color="auto"/>
            </w:tcBorders>
          </w:tcPr>
          <w:p w:rsidR="00023580" w:rsidRPr="00E57BA7" w:rsidRDefault="004735B8" w:rsidP="004B4070">
            <w:pPr>
              <w:jc w:val="center"/>
              <w:rPr>
                <w:rFonts w:ascii="Arial Narrow" w:hAnsi="Arial Narrow"/>
                <w:sz w:val="18"/>
                <w:szCs w:val="18"/>
              </w:rPr>
            </w:pPr>
            <w:r>
              <w:rPr>
                <w:rFonts w:ascii="Arial Narrow" w:hAnsi="Arial Narrow"/>
                <w:sz w:val="18"/>
                <w:szCs w:val="18"/>
              </w:rPr>
              <w:t>1085 (100%)</w:t>
            </w:r>
          </w:p>
        </w:tc>
        <w:tc>
          <w:tcPr>
            <w:tcW w:w="1470" w:type="dxa"/>
            <w:tcBorders>
              <w:bottom w:val="single" w:sz="4" w:space="0" w:color="auto"/>
            </w:tcBorders>
          </w:tcPr>
          <w:p w:rsidR="00023580" w:rsidRPr="00E57BA7" w:rsidRDefault="00D57FA7" w:rsidP="004B4070">
            <w:pPr>
              <w:jc w:val="center"/>
              <w:rPr>
                <w:rFonts w:ascii="Arial Narrow" w:hAnsi="Arial Narrow"/>
                <w:sz w:val="18"/>
                <w:szCs w:val="18"/>
              </w:rPr>
            </w:pPr>
            <w:r>
              <w:rPr>
                <w:rFonts w:ascii="Arial Narrow" w:hAnsi="Arial Narrow"/>
                <w:sz w:val="18"/>
                <w:szCs w:val="18"/>
              </w:rPr>
              <w:t>NR</w:t>
            </w:r>
          </w:p>
        </w:tc>
        <w:tc>
          <w:tcPr>
            <w:tcW w:w="0" w:type="auto"/>
            <w:tcBorders>
              <w:bottom w:val="single" w:sz="4" w:space="0" w:color="auto"/>
            </w:tcBorders>
          </w:tcPr>
          <w:p w:rsidR="00023580" w:rsidRPr="00E57BA7" w:rsidRDefault="0098528E" w:rsidP="004B4070">
            <w:pPr>
              <w:jc w:val="center"/>
              <w:rPr>
                <w:rFonts w:ascii="Arial Narrow" w:hAnsi="Arial Narrow"/>
                <w:sz w:val="18"/>
                <w:szCs w:val="18"/>
              </w:rPr>
            </w:pPr>
            <w:r>
              <w:rPr>
                <w:rFonts w:ascii="Arial Narrow" w:hAnsi="Arial Narrow"/>
                <w:sz w:val="18"/>
                <w:szCs w:val="18"/>
              </w:rPr>
              <w:t>1</w:t>
            </w:r>
          </w:p>
        </w:tc>
      </w:tr>
      <w:tr w:rsidR="005E1665" w:rsidRPr="00E57BA7" w:rsidTr="00023580">
        <w:tc>
          <w:tcPr>
            <w:tcW w:w="0" w:type="auto"/>
          </w:tcPr>
          <w:p w:rsidR="005E1665" w:rsidRPr="00E57BA7" w:rsidRDefault="005E1665" w:rsidP="005E1665">
            <w:pPr>
              <w:pStyle w:val="Tabletext"/>
              <w:rPr>
                <w:rFonts w:ascii="Arial Narrow" w:hAnsi="Arial Narrow"/>
                <w:sz w:val="18"/>
                <w:szCs w:val="18"/>
              </w:rPr>
            </w:pPr>
            <w:r w:rsidRPr="00E57BA7">
              <w:rPr>
                <w:rFonts w:ascii="Arial Narrow" w:hAnsi="Arial Narrow"/>
                <w:sz w:val="18"/>
                <w:szCs w:val="18"/>
              </w:rPr>
              <w:t>Satisfactory allograft function at last follow-up, N (%)</w:t>
            </w:r>
          </w:p>
        </w:tc>
        <w:tc>
          <w:tcPr>
            <w:tcW w:w="0" w:type="auto"/>
          </w:tcPr>
          <w:p w:rsidR="005E1665" w:rsidRPr="00023580" w:rsidRDefault="00D46A68" w:rsidP="005E1665">
            <w:pPr>
              <w:jc w:val="center"/>
              <w:rPr>
                <w:rFonts w:ascii="Arial Narrow" w:hAnsi="Arial Narrow"/>
                <w:sz w:val="18"/>
                <w:szCs w:val="18"/>
              </w:rPr>
            </w:pPr>
            <w:r w:rsidRPr="00023580">
              <w:rPr>
                <w:rFonts w:ascii="Arial Narrow" w:hAnsi="Arial Narrow"/>
                <w:sz w:val="18"/>
                <w:szCs w:val="18"/>
              </w:rPr>
              <w:t>5 (36%)</w:t>
            </w:r>
          </w:p>
          <w:p w:rsidR="00D46A68" w:rsidRPr="00023580" w:rsidRDefault="00D46A68" w:rsidP="005E1665">
            <w:pPr>
              <w:jc w:val="center"/>
              <w:rPr>
                <w:rFonts w:ascii="Arial Narrow" w:hAnsi="Arial Narrow"/>
                <w:sz w:val="18"/>
                <w:szCs w:val="18"/>
              </w:rPr>
            </w:pPr>
            <w:r w:rsidRPr="00023580">
              <w:rPr>
                <w:rFonts w:ascii="Arial Narrow" w:hAnsi="Arial Narrow"/>
                <w:sz w:val="18"/>
                <w:szCs w:val="18"/>
              </w:rPr>
              <w:t>2 NRF</w:t>
            </w:r>
          </w:p>
        </w:tc>
        <w:tc>
          <w:tcPr>
            <w:tcW w:w="0" w:type="auto"/>
          </w:tcPr>
          <w:p w:rsidR="005E1665" w:rsidRPr="00023580" w:rsidRDefault="00C74BD9" w:rsidP="005E1665">
            <w:pPr>
              <w:jc w:val="center"/>
              <w:rPr>
                <w:rFonts w:ascii="Arial Narrow" w:hAnsi="Arial Narrow"/>
                <w:sz w:val="18"/>
                <w:szCs w:val="18"/>
              </w:rPr>
            </w:pPr>
            <w:r w:rsidRPr="00023580">
              <w:rPr>
                <w:rFonts w:ascii="Arial Narrow" w:hAnsi="Arial Narrow"/>
                <w:sz w:val="18"/>
                <w:szCs w:val="18"/>
              </w:rPr>
              <w:t>NR</w:t>
            </w:r>
          </w:p>
        </w:tc>
        <w:tc>
          <w:tcPr>
            <w:tcW w:w="0" w:type="auto"/>
          </w:tcPr>
          <w:p w:rsidR="005E1665" w:rsidRDefault="004E0316" w:rsidP="005E1665">
            <w:pPr>
              <w:jc w:val="center"/>
              <w:rPr>
                <w:rFonts w:ascii="Arial Narrow" w:hAnsi="Arial Narrow"/>
                <w:sz w:val="18"/>
                <w:szCs w:val="18"/>
              </w:rPr>
            </w:pPr>
            <w:r>
              <w:rPr>
                <w:rFonts w:ascii="Arial Narrow" w:hAnsi="Arial Narrow"/>
                <w:sz w:val="18"/>
                <w:szCs w:val="18"/>
              </w:rPr>
              <w:t>7</w:t>
            </w:r>
          </w:p>
          <w:p w:rsidR="008530F3" w:rsidRPr="00E57BA7" w:rsidRDefault="008530F3" w:rsidP="005E1665">
            <w:pPr>
              <w:jc w:val="center"/>
              <w:rPr>
                <w:rFonts w:ascii="Arial Narrow" w:hAnsi="Arial Narrow"/>
                <w:sz w:val="18"/>
                <w:szCs w:val="18"/>
              </w:rPr>
            </w:pPr>
            <w:r>
              <w:rPr>
                <w:rFonts w:ascii="Arial Narrow" w:hAnsi="Arial Narrow"/>
                <w:sz w:val="18"/>
                <w:szCs w:val="18"/>
              </w:rPr>
              <w:t>(1 renal transplant)</w:t>
            </w:r>
          </w:p>
        </w:tc>
        <w:tc>
          <w:tcPr>
            <w:tcW w:w="0" w:type="auto"/>
          </w:tcPr>
          <w:p w:rsidR="005E1665" w:rsidRPr="00E57BA7" w:rsidRDefault="004735B8" w:rsidP="005E1665">
            <w:pPr>
              <w:jc w:val="center"/>
              <w:rPr>
                <w:rFonts w:ascii="Arial Narrow" w:hAnsi="Arial Narrow"/>
                <w:sz w:val="18"/>
                <w:szCs w:val="18"/>
              </w:rPr>
            </w:pPr>
            <w:r>
              <w:rPr>
                <w:rFonts w:ascii="Arial Narrow" w:hAnsi="Arial Narrow"/>
                <w:sz w:val="18"/>
                <w:szCs w:val="18"/>
              </w:rPr>
              <w:t>NA</w:t>
            </w:r>
          </w:p>
        </w:tc>
        <w:tc>
          <w:tcPr>
            <w:tcW w:w="1759" w:type="dxa"/>
          </w:tcPr>
          <w:p w:rsidR="005E1665" w:rsidRPr="00E57BA7" w:rsidRDefault="004735B8" w:rsidP="005E1665">
            <w:pPr>
              <w:jc w:val="center"/>
              <w:rPr>
                <w:rFonts w:ascii="Arial Narrow" w:hAnsi="Arial Narrow"/>
                <w:sz w:val="18"/>
                <w:szCs w:val="18"/>
              </w:rPr>
            </w:pPr>
            <w:r>
              <w:rPr>
                <w:rFonts w:ascii="Arial Narrow" w:hAnsi="Arial Narrow"/>
                <w:sz w:val="18"/>
                <w:szCs w:val="18"/>
              </w:rPr>
              <w:t>NA</w:t>
            </w:r>
          </w:p>
        </w:tc>
        <w:tc>
          <w:tcPr>
            <w:tcW w:w="1470" w:type="dxa"/>
          </w:tcPr>
          <w:p w:rsidR="005E1665" w:rsidRPr="00E57BA7" w:rsidRDefault="00D57FA7" w:rsidP="005E1665">
            <w:pPr>
              <w:jc w:val="center"/>
              <w:rPr>
                <w:rFonts w:ascii="Arial Narrow" w:hAnsi="Arial Narrow"/>
                <w:sz w:val="18"/>
                <w:szCs w:val="18"/>
              </w:rPr>
            </w:pPr>
            <w:r>
              <w:rPr>
                <w:rFonts w:ascii="Arial Narrow" w:hAnsi="Arial Narrow"/>
                <w:sz w:val="18"/>
                <w:szCs w:val="18"/>
              </w:rPr>
              <w:t>24.2% (received transplant)</w:t>
            </w:r>
          </w:p>
        </w:tc>
        <w:tc>
          <w:tcPr>
            <w:tcW w:w="0" w:type="auto"/>
          </w:tcPr>
          <w:p w:rsidR="005E1665" w:rsidRPr="00E57BA7" w:rsidRDefault="0098528E" w:rsidP="005E1665">
            <w:pPr>
              <w:jc w:val="center"/>
              <w:rPr>
                <w:rFonts w:ascii="Arial Narrow" w:hAnsi="Arial Narrow"/>
                <w:sz w:val="18"/>
                <w:szCs w:val="18"/>
              </w:rPr>
            </w:pPr>
            <w:r>
              <w:rPr>
                <w:rFonts w:ascii="Arial Narrow" w:hAnsi="Arial Narrow"/>
                <w:sz w:val="18"/>
                <w:szCs w:val="18"/>
              </w:rPr>
              <w:t>1/1</w:t>
            </w:r>
          </w:p>
        </w:tc>
      </w:tr>
      <w:tr w:rsidR="005E1665" w:rsidRPr="008C1F6E" w:rsidTr="00023580">
        <w:tc>
          <w:tcPr>
            <w:tcW w:w="0" w:type="auto"/>
          </w:tcPr>
          <w:p w:rsidR="005E1665" w:rsidRPr="008C1F6E" w:rsidRDefault="005E1665" w:rsidP="005E1665">
            <w:pPr>
              <w:pStyle w:val="Tabletext"/>
              <w:rPr>
                <w:rFonts w:ascii="Arial Narrow" w:hAnsi="Arial Narrow"/>
                <w:sz w:val="18"/>
                <w:szCs w:val="18"/>
              </w:rPr>
            </w:pPr>
            <w:r w:rsidRPr="008C1F6E">
              <w:rPr>
                <w:rFonts w:ascii="Arial Narrow" w:hAnsi="Arial Narrow"/>
                <w:sz w:val="18"/>
                <w:szCs w:val="18"/>
              </w:rPr>
              <w:t>Death (all causes) N (%)</w:t>
            </w:r>
          </w:p>
        </w:tc>
        <w:tc>
          <w:tcPr>
            <w:tcW w:w="0" w:type="auto"/>
          </w:tcPr>
          <w:p w:rsidR="005E1665" w:rsidRPr="008C1F6E" w:rsidRDefault="007F56F7" w:rsidP="007F56F7">
            <w:pPr>
              <w:jc w:val="center"/>
              <w:rPr>
                <w:rFonts w:ascii="Arial Narrow" w:hAnsi="Arial Narrow"/>
                <w:sz w:val="18"/>
                <w:szCs w:val="18"/>
              </w:rPr>
            </w:pPr>
            <w:r w:rsidRPr="008C1F6E">
              <w:rPr>
                <w:rFonts w:ascii="Arial Narrow" w:hAnsi="Arial Narrow"/>
                <w:sz w:val="18"/>
                <w:szCs w:val="18"/>
              </w:rPr>
              <w:t>5</w:t>
            </w:r>
            <w:r w:rsidR="005E1665" w:rsidRPr="008C1F6E">
              <w:rPr>
                <w:rFonts w:ascii="Arial Narrow" w:hAnsi="Arial Narrow"/>
                <w:sz w:val="18"/>
                <w:szCs w:val="18"/>
              </w:rPr>
              <w:t xml:space="preserve"> (</w:t>
            </w:r>
            <w:r w:rsidRPr="008C1F6E">
              <w:rPr>
                <w:rFonts w:ascii="Arial Narrow" w:hAnsi="Arial Narrow"/>
                <w:sz w:val="18"/>
                <w:szCs w:val="18"/>
              </w:rPr>
              <w:t>36</w:t>
            </w:r>
            <w:r w:rsidR="005E1665" w:rsidRPr="008C1F6E">
              <w:rPr>
                <w:rFonts w:ascii="Arial Narrow" w:hAnsi="Arial Narrow"/>
                <w:sz w:val="18"/>
                <w:szCs w:val="18"/>
              </w:rPr>
              <w:t>%)</w:t>
            </w:r>
          </w:p>
        </w:tc>
        <w:tc>
          <w:tcPr>
            <w:tcW w:w="0" w:type="auto"/>
          </w:tcPr>
          <w:p w:rsidR="005E1665" w:rsidRPr="008C1F6E" w:rsidRDefault="00875B97" w:rsidP="005E1665">
            <w:pPr>
              <w:jc w:val="center"/>
              <w:rPr>
                <w:rFonts w:ascii="Arial Narrow" w:hAnsi="Arial Narrow"/>
                <w:sz w:val="18"/>
                <w:szCs w:val="18"/>
              </w:rPr>
            </w:pPr>
            <w:r w:rsidRPr="008C1F6E">
              <w:rPr>
                <w:rFonts w:ascii="Arial Narrow" w:hAnsi="Arial Narrow"/>
                <w:sz w:val="18"/>
                <w:szCs w:val="18"/>
              </w:rPr>
              <w:t>2</w:t>
            </w:r>
            <w:r w:rsidR="00C74BD9" w:rsidRPr="008C1F6E">
              <w:rPr>
                <w:rFonts w:ascii="Arial Narrow" w:hAnsi="Arial Narrow"/>
                <w:sz w:val="18"/>
                <w:szCs w:val="18"/>
              </w:rPr>
              <w:t xml:space="preserve"> (29</w:t>
            </w:r>
            <w:r w:rsidRPr="008C1F6E">
              <w:rPr>
                <w:rFonts w:ascii="Arial Narrow" w:hAnsi="Arial Narrow"/>
                <w:sz w:val="18"/>
                <w:szCs w:val="18"/>
              </w:rPr>
              <w:t>%)</w:t>
            </w:r>
          </w:p>
        </w:tc>
        <w:tc>
          <w:tcPr>
            <w:tcW w:w="0" w:type="auto"/>
          </w:tcPr>
          <w:p w:rsidR="005E1665" w:rsidRPr="008C1F6E" w:rsidRDefault="005E1665" w:rsidP="005E1665">
            <w:pPr>
              <w:jc w:val="center"/>
              <w:rPr>
                <w:rFonts w:ascii="Arial Narrow" w:hAnsi="Arial Narrow"/>
                <w:sz w:val="18"/>
                <w:szCs w:val="18"/>
              </w:rPr>
            </w:pPr>
            <w:r w:rsidRPr="008C1F6E">
              <w:rPr>
                <w:rFonts w:ascii="Arial Narrow" w:hAnsi="Arial Narrow"/>
                <w:sz w:val="18"/>
                <w:szCs w:val="18"/>
              </w:rPr>
              <w:t>0</w:t>
            </w:r>
          </w:p>
        </w:tc>
        <w:tc>
          <w:tcPr>
            <w:tcW w:w="0" w:type="auto"/>
          </w:tcPr>
          <w:p w:rsidR="005E1665" w:rsidRDefault="008C1F6E" w:rsidP="005E1665">
            <w:pPr>
              <w:jc w:val="center"/>
              <w:rPr>
                <w:rFonts w:ascii="Arial Narrow" w:hAnsi="Arial Narrow"/>
                <w:sz w:val="18"/>
                <w:szCs w:val="18"/>
              </w:rPr>
            </w:pPr>
            <w:r w:rsidRPr="008C1F6E">
              <w:rPr>
                <w:rFonts w:ascii="Arial Narrow" w:hAnsi="Arial Narrow"/>
                <w:sz w:val="18"/>
                <w:szCs w:val="18"/>
              </w:rPr>
              <w:t>39</w:t>
            </w:r>
            <w:r>
              <w:rPr>
                <w:rFonts w:ascii="Arial Narrow" w:hAnsi="Arial Narrow"/>
                <w:sz w:val="18"/>
                <w:szCs w:val="18"/>
              </w:rPr>
              <w:t xml:space="preserve"> (18%)</w:t>
            </w:r>
          </w:p>
          <w:p w:rsidR="008C1F6E" w:rsidRPr="008C1F6E" w:rsidRDefault="008C1F6E" w:rsidP="005E1665">
            <w:pPr>
              <w:jc w:val="center"/>
              <w:rPr>
                <w:rFonts w:ascii="Arial Narrow" w:hAnsi="Arial Narrow"/>
                <w:sz w:val="18"/>
                <w:szCs w:val="18"/>
                <w:vertAlign w:val="superscript"/>
              </w:rPr>
            </w:pPr>
            <w:r>
              <w:rPr>
                <w:rFonts w:ascii="Arial Narrow" w:hAnsi="Arial Narrow"/>
                <w:sz w:val="18"/>
                <w:szCs w:val="18"/>
              </w:rPr>
              <w:t>12.4</w:t>
            </w:r>
            <w:r w:rsidR="004E2D74">
              <w:rPr>
                <w:rFonts w:ascii="Arial Narrow" w:hAnsi="Arial Narrow"/>
                <w:sz w:val="18"/>
                <w:szCs w:val="18"/>
                <w:vertAlign w:val="superscript"/>
              </w:rPr>
              <w:t>h</w:t>
            </w:r>
          </w:p>
        </w:tc>
        <w:tc>
          <w:tcPr>
            <w:tcW w:w="1759" w:type="dxa"/>
          </w:tcPr>
          <w:p w:rsidR="005E1665" w:rsidRDefault="008C1F6E" w:rsidP="005E1665">
            <w:pPr>
              <w:jc w:val="center"/>
              <w:rPr>
                <w:rFonts w:ascii="Arial Narrow" w:hAnsi="Arial Narrow"/>
                <w:sz w:val="18"/>
                <w:szCs w:val="18"/>
              </w:rPr>
            </w:pPr>
            <w:r>
              <w:rPr>
                <w:rFonts w:ascii="Arial Narrow" w:hAnsi="Arial Narrow"/>
                <w:sz w:val="18"/>
                <w:szCs w:val="18"/>
              </w:rPr>
              <w:t>204 (19%)</w:t>
            </w:r>
          </w:p>
          <w:p w:rsidR="008C1F6E" w:rsidRPr="008C1F6E" w:rsidRDefault="008C1F6E" w:rsidP="005E1665">
            <w:pPr>
              <w:jc w:val="center"/>
              <w:rPr>
                <w:rFonts w:ascii="Arial Narrow" w:hAnsi="Arial Narrow"/>
                <w:sz w:val="18"/>
                <w:szCs w:val="18"/>
                <w:vertAlign w:val="superscript"/>
              </w:rPr>
            </w:pPr>
            <w:r>
              <w:rPr>
                <w:rFonts w:ascii="Arial Narrow" w:hAnsi="Arial Narrow"/>
                <w:sz w:val="18"/>
                <w:szCs w:val="18"/>
              </w:rPr>
              <w:t>11.0</w:t>
            </w:r>
            <w:r w:rsidR="004E2D74">
              <w:rPr>
                <w:rFonts w:ascii="Arial Narrow" w:hAnsi="Arial Narrow"/>
                <w:sz w:val="18"/>
                <w:szCs w:val="18"/>
                <w:vertAlign w:val="superscript"/>
              </w:rPr>
              <w:t>h</w:t>
            </w:r>
          </w:p>
        </w:tc>
        <w:tc>
          <w:tcPr>
            <w:tcW w:w="1470" w:type="dxa"/>
          </w:tcPr>
          <w:p w:rsidR="005E1665" w:rsidRPr="008C1F6E" w:rsidRDefault="00771659" w:rsidP="005E1665">
            <w:pPr>
              <w:jc w:val="center"/>
              <w:rPr>
                <w:rFonts w:ascii="Arial Narrow" w:hAnsi="Arial Narrow"/>
                <w:sz w:val="18"/>
                <w:szCs w:val="18"/>
              </w:rPr>
            </w:pPr>
            <w:r>
              <w:rPr>
                <w:rFonts w:ascii="Arial Narrow" w:hAnsi="Arial Narrow"/>
                <w:sz w:val="18"/>
                <w:szCs w:val="18"/>
              </w:rPr>
              <w:t>44.8%</w:t>
            </w:r>
          </w:p>
        </w:tc>
        <w:tc>
          <w:tcPr>
            <w:tcW w:w="0" w:type="auto"/>
          </w:tcPr>
          <w:p w:rsidR="005E1665" w:rsidRPr="008C1F6E" w:rsidRDefault="0098528E" w:rsidP="005E1665">
            <w:pPr>
              <w:jc w:val="center"/>
              <w:rPr>
                <w:rFonts w:ascii="Arial Narrow" w:hAnsi="Arial Narrow"/>
                <w:sz w:val="18"/>
                <w:szCs w:val="18"/>
              </w:rPr>
            </w:pPr>
            <w:r>
              <w:rPr>
                <w:rFonts w:ascii="Arial Narrow" w:hAnsi="Arial Narrow"/>
                <w:sz w:val="18"/>
                <w:szCs w:val="18"/>
              </w:rPr>
              <w:t>0</w:t>
            </w:r>
          </w:p>
        </w:tc>
      </w:tr>
    </w:tbl>
    <w:p w:rsidR="005E1665" w:rsidRDefault="005E1665" w:rsidP="005E1665">
      <w:pPr>
        <w:pStyle w:val="TableFooter"/>
        <w:ind w:left="709"/>
        <w:rPr>
          <w:sz w:val="16"/>
          <w:szCs w:val="16"/>
        </w:rPr>
        <w:sectPr w:rsidR="005E1665" w:rsidSect="00C6047C">
          <w:pgSz w:w="16838" w:h="11906" w:orient="landscape" w:code="9"/>
          <w:pgMar w:top="1440" w:right="1440" w:bottom="1440" w:left="1440" w:header="1440" w:footer="1440" w:gutter="0"/>
          <w:cols w:space="708"/>
          <w:docGrid w:linePitch="360"/>
        </w:sectPr>
      </w:pPr>
    </w:p>
    <w:p w:rsidR="005E1665" w:rsidRPr="00E57BA7" w:rsidRDefault="005E1665" w:rsidP="00FD55AD">
      <w:pPr>
        <w:pStyle w:val="TableFooter"/>
        <w:rPr>
          <w:sz w:val="16"/>
          <w:szCs w:val="16"/>
        </w:rPr>
      </w:pPr>
      <w:r w:rsidRPr="00E57BA7">
        <w:rPr>
          <w:sz w:val="16"/>
          <w:szCs w:val="16"/>
        </w:rPr>
        <w:t xml:space="preserve">NA = not applicable; NR = not reported; SD = standard deviation; TMA = thrombotic </w:t>
      </w:r>
      <w:proofErr w:type="spellStart"/>
      <w:r w:rsidRPr="00E57BA7">
        <w:rPr>
          <w:sz w:val="16"/>
          <w:szCs w:val="16"/>
        </w:rPr>
        <w:t>microangiopathy</w:t>
      </w:r>
      <w:proofErr w:type="spellEnd"/>
      <w:r w:rsidRPr="00E57BA7">
        <w:rPr>
          <w:sz w:val="16"/>
          <w:szCs w:val="16"/>
        </w:rPr>
        <w:t xml:space="preserve">; </w:t>
      </w:r>
      <w:proofErr w:type="spellStart"/>
      <w:r w:rsidRPr="00E57BA7">
        <w:rPr>
          <w:sz w:val="16"/>
          <w:szCs w:val="16"/>
        </w:rPr>
        <w:t>Ec</w:t>
      </w:r>
      <w:proofErr w:type="spellEnd"/>
      <w:r w:rsidRPr="00E57BA7">
        <w:rPr>
          <w:sz w:val="16"/>
          <w:szCs w:val="16"/>
        </w:rPr>
        <w:t xml:space="preserve"> = </w:t>
      </w:r>
      <w:proofErr w:type="spellStart"/>
      <w:r w:rsidRPr="00E57BA7">
        <w:rPr>
          <w:sz w:val="16"/>
          <w:szCs w:val="16"/>
        </w:rPr>
        <w:t>eculizumab</w:t>
      </w:r>
      <w:proofErr w:type="spellEnd"/>
      <w:r w:rsidR="00D46A68">
        <w:rPr>
          <w:sz w:val="16"/>
          <w:szCs w:val="16"/>
        </w:rPr>
        <w:t>; NRF = normal native renal function</w:t>
      </w:r>
    </w:p>
    <w:p w:rsidR="005E1665" w:rsidRPr="00E57BA7" w:rsidRDefault="005E1665" w:rsidP="00FD55AD">
      <w:pPr>
        <w:pStyle w:val="TableFooter"/>
        <w:rPr>
          <w:sz w:val="16"/>
          <w:szCs w:val="16"/>
        </w:rPr>
      </w:pPr>
      <w:proofErr w:type="spellStart"/>
      <w:proofErr w:type="gramStart"/>
      <w:r w:rsidRPr="00E57BA7">
        <w:rPr>
          <w:sz w:val="16"/>
          <w:szCs w:val="16"/>
          <w:vertAlign w:val="superscript"/>
        </w:rPr>
        <w:t>a</w:t>
      </w:r>
      <w:proofErr w:type="spellEnd"/>
      <w:proofErr w:type="gramEnd"/>
      <w:r w:rsidR="008530F3">
        <w:rPr>
          <w:sz w:val="16"/>
          <w:szCs w:val="16"/>
        </w:rPr>
        <w:t xml:space="preserve"> The study did not provide enough information to derive ESRD patients individually</w:t>
      </w:r>
      <w:r w:rsidRPr="00E57BA7">
        <w:rPr>
          <w:sz w:val="16"/>
          <w:szCs w:val="16"/>
        </w:rPr>
        <w:t>.</w:t>
      </w:r>
    </w:p>
    <w:p w:rsidR="005E1665" w:rsidRPr="00E57BA7" w:rsidRDefault="005E1665" w:rsidP="00FD55AD">
      <w:pPr>
        <w:pStyle w:val="TableFooter"/>
        <w:rPr>
          <w:sz w:val="16"/>
          <w:szCs w:val="16"/>
        </w:rPr>
      </w:pPr>
      <w:proofErr w:type="gramStart"/>
      <w:r>
        <w:rPr>
          <w:sz w:val="16"/>
          <w:szCs w:val="16"/>
          <w:vertAlign w:val="superscript"/>
        </w:rPr>
        <w:t>b</w:t>
      </w:r>
      <w:proofErr w:type="gramEnd"/>
      <w:r w:rsidRPr="00E57BA7">
        <w:rPr>
          <w:sz w:val="16"/>
          <w:szCs w:val="16"/>
        </w:rPr>
        <w:t xml:space="preserve"> Only patients receiving </w:t>
      </w:r>
      <w:proofErr w:type="spellStart"/>
      <w:r w:rsidRPr="00E57BA7">
        <w:rPr>
          <w:sz w:val="16"/>
          <w:szCs w:val="16"/>
        </w:rPr>
        <w:t>eculizumab</w:t>
      </w:r>
      <w:proofErr w:type="spellEnd"/>
      <w:r w:rsidRPr="00E57BA7">
        <w:rPr>
          <w:sz w:val="16"/>
          <w:szCs w:val="16"/>
        </w:rPr>
        <w:t xml:space="preserve"> peri-transplant were included in the data presented.</w:t>
      </w:r>
    </w:p>
    <w:p w:rsidR="005E1665" w:rsidRPr="00E57BA7" w:rsidRDefault="005E1665" w:rsidP="00FD55AD">
      <w:pPr>
        <w:pStyle w:val="TableFooter"/>
        <w:rPr>
          <w:sz w:val="16"/>
          <w:szCs w:val="16"/>
        </w:rPr>
      </w:pPr>
      <w:proofErr w:type="gramStart"/>
      <w:r>
        <w:rPr>
          <w:sz w:val="16"/>
          <w:szCs w:val="16"/>
          <w:vertAlign w:val="superscript"/>
        </w:rPr>
        <w:t>c</w:t>
      </w:r>
      <w:proofErr w:type="gramEnd"/>
      <w:r w:rsidRPr="00E57BA7">
        <w:rPr>
          <w:sz w:val="16"/>
          <w:szCs w:val="16"/>
        </w:rPr>
        <w:t xml:space="preserve"> Duration of follow-up </w:t>
      </w:r>
      <w:proofErr w:type="spellStart"/>
      <w:r w:rsidRPr="00E57BA7">
        <w:rPr>
          <w:sz w:val="16"/>
          <w:szCs w:val="16"/>
        </w:rPr>
        <w:t>post transplant</w:t>
      </w:r>
      <w:proofErr w:type="spellEnd"/>
      <w:r w:rsidRPr="00E57BA7">
        <w:rPr>
          <w:sz w:val="16"/>
          <w:szCs w:val="16"/>
        </w:rPr>
        <w:t>.</w:t>
      </w:r>
    </w:p>
    <w:p w:rsidR="004E2D74" w:rsidRDefault="004E2D74" w:rsidP="00FD55AD">
      <w:pPr>
        <w:pStyle w:val="TableFooter"/>
        <w:rPr>
          <w:sz w:val="16"/>
          <w:szCs w:val="16"/>
          <w:vertAlign w:val="superscript"/>
        </w:rPr>
      </w:pPr>
      <w:proofErr w:type="gramStart"/>
      <w:r>
        <w:rPr>
          <w:sz w:val="16"/>
          <w:szCs w:val="16"/>
          <w:vertAlign w:val="superscript"/>
        </w:rPr>
        <w:t>d</w:t>
      </w:r>
      <w:proofErr w:type="gramEnd"/>
      <w:r>
        <w:rPr>
          <w:sz w:val="16"/>
          <w:szCs w:val="16"/>
        </w:rPr>
        <w:t xml:space="preserve"> Mean follow-up time on dialysis</w:t>
      </w:r>
      <w:r>
        <w:rPr>
          <w:sz w:val="16"/>
          <w:szCs w:val="16"/>
          <w:vertAlign w:val="superscript"/>
        </w:rPr>
        <w:t xml:space="preserve"> </w:t>
      </w:r>
    </w:p>
    <w:p w:rsidR="005E1665" w:rsidRDefault="004E2D74" w:rsidP="00FD55AD">
      <w:pPr>
        <w:pStyle w:val="TableFooter"/>
        <w:rPr>
          <w:sz w:val="16"/>
          <w:szCs w:val="16"/>
        </w:rPr>
      </w:pPr>
      <w:proofErr w:type="gramStart"/>
      <w:r>
        <w:rPr>
          <w:sz w:val="16"/>
          <w:szCs w:val="16"/>
          <w:vertAlign w:val="superscript"/>
        </w:rPr>
        <w:t>e</w:t>
      </w:r>
      <w:proofErr w:type="gramEnd"/>
      <w:r w:rsidR="005E1665" w:rsidRPr="00E57BA7">
        <w:rPr>
          <w:sz w:val="16"/>
          <w:szCs w:val="16"/>
          <w:vertAlign w:val="superscript"/>
        </w:rPr>
        <w:t xml:space="preserve"> </w:t>
      </w:r>
      <w:r w:rsidR="005E1665" w:rsidRPr="00E57BA7">
        <w:rPr>
          <w:sz w:val="16"/>
          <w:szCs w:val="16"/>
        </w:rPr>
        <w:t>At last reported follow-up.</w:t>
      </w:r>
    </w:p>
    <w:p w:rsidR="00061AD2" w:rsidRDefault="004E2D74" w:rsidP="00FD55AD">
      <w:pPr>
        <w:pStyle w:val="TableFooter"/>
        <w:rPr>
          <w:sz w:val="16"/>
          <w:szCs w:val="16"/>
        </w:rPr>
      </w:pPr>
      <w:proofErr w:type="gramStart"/>
      <w:r>
        <w:rPr>
          <w:sz w:val="16"/>
          <w:szCs w:val="16"/>
          <w:vertAlign w:val="superscript"/>
        </w:rPr>
        <w:t>f</w:t>
      </w:r>
      <w:proofErr w:type="gramEnd"/>
      <w:r w:rsidR="00061AD2">
        <w:rPr>
          <w:sz w:val="16"/>
          <w:szCs w:val="16"/>
        </w:rPr>
        <w:t xml:space="preserve"> Highest level</w:t>
      </w:r>
      <w:r w:rsidR="00C74BD9">
        <w:rPr>
          <w:sz w:val="16"/>
          <w:szCs w:val="16"/>
        </w:rPr>
        <w:t xml:space="preserve"> recorded</w:t>
      </w:r>
      <w:r w:rsidR="00F0352E">
        <w:rPr>
          <w:sz w:val="16"/>
          <w:szCs w:val="16"/>
        </w:rPr>
        <w:t>.</w:t>
      </w:r>
    </w:p>
    <w:p w:rsidR="00C74BD9" w:rsidRDefault="004E2D74" w:rsidP="00FD55AD">
      <w:pPr>
        <w:pStyle w:val="TableFooter"/>
        <w:rPr>
          <w:sz w:val="16"/>
          <w:szCs w:val="16"/>
        </w:rPr>
      </w:pPr>
      <w:proofErr w:type="gramStart"/>
      <w:r>
        <w:rPr>
          <w:sz w:val="16"/>
          <w:szCs w:val="16"/>
          <w:vertAlign w:val="superscript"/>
        </w:rPr>
        <w:t>g</w:t>
      </w:r>
      <w:proofErr w:type="gramEnd"/>
      <w:r w:rsidR="00C41767">
        <w:rPr>
          <w:sz w:val="16"/>
          <w:szCs w:val="16"/>
          <w:vertAlign w:val="superscript"/>
        </w:rPr>
        <w:t xml:space="preserve"> </w:t>
      </w:r>
      <w:r w:rsidR="00C41767">
        <w:rPr>
          <w:sz w:val="16"/>
          <w:szCs w:val="16"/>
        </w:rPr>
        <w:t>All surviving patients not ESRD</w:t>
      </w:r>
      <w:r w:rsidR="00F0352E">
        <w:rPr>
          <w:sz w:val="16"/>
          <w:szCs w:val="16"/>
        </w:rPr>
        <w:t>.</w:t>
      </w:r>
    </w:p>
    <w:p w:rsidR="008C1F6E" w:rsidRPr="008C1F6E" w:rsidRDefault="004E2D74" w:rsidP="00FD55AD">
      <w:pPr>
        <w:pStyle w:val="TableFooter"/>
        <w:rPr>
          <w:sz w:val="16"/>
          <w:szCs w:val="16"/>
        </w:rPr>
      </w:pPr>
      <w:proofErr w:type="gramStart"/>
      <w:r>
        <w:rPr>
          <w:sz w:val="16"/>
          <w:szCs w:val="16"/>
          <w:vertAlign w:val="superscript"/>
        </w:rPr>
        <w:t>h</w:t>
      </w:r>
      <w:proofErr w:type="gramEnd"/>
      <w:r w:rsidR="008C1F6E">
        <w:rPr>
          <w:sz w:val="16"/>
          <w:szCs w:val="16"/>
        </w:rPr>
        <w:t xml:space="preserve"> Mortality rate per 100 patient years at risk.</w:t>
      </w:r>
    </w:p>
    <w:p w:rsidR="005E1665" w:rsidRPr="00E57BA7" w:rsidRDefault="005E1665" w:rsidP="00FD55AD">
      <w:pPr>
        <w:pStyle w:val="TableFooter"/>
        <w:rPr>
          <w:i/>
          <w:sz w:val="16"/>
          <w:szCs w:val="16"/>
        </w:rPr>
      </w:pPr>
      <w:r w:rsidRPr="00E57BA7">
        <w:rPr>
          <w:i/>
          <w:sz w:val="16"/>
          <w:szCs w:val="16"/>
        </w:rPr>
        <w:t>Source: Table constructed during the evaluation.</w:t>
      </w:r>
    </w:p>
    <w:p w:rsidR="005E1665" w:rsidRDefault="005E1665" w:rsidP="005E1665">
      <w:pPr>
        <w:pStyle w:val="ListParagraph"/>
        <w:ind w:left="709"/>
        <w:rPr>
          <w:rFonts w:asciiTheme="minorHAnsi" w:hAnsiTheme="minorHAnsi"/>
          <w:szCs w:val="22"/>
        </w:rPr>
        <w:sectPr w:rsidR="005E1665" w:rsidSect="00E57BA7">
          <w:type w:val="continuous"/>
          <w:pgSz w:w="16838" w:h="11906" w:orient="landscape" w:code="9"/>
          <w:pgMar w:top="1440" w:right="1440" w:bottom="1440" w:left="1440" w:header="1440" w:footer="1440" w:gutter="0"/>
          <w:pgNumType w:start="1"/>
          <w:cols w:num="2" w:space="110"/>
          <w:docGrid w:linePitch="360"/>
        </w:sectPr>
      </w:pPr>
    </w:p>
    <w:p w:rsidR="00EB2CA1" w:rsidRPr="00617D5D" w:rsidRDefault="00EB2CA1" w:rsidP="00EE3E37">
      <w:pPr>
        <w:pStyle w:val="ListParagraph"/>
        <w:numPr>
          <w:ilvl w:val="1"/>
          <w:numId w:val="5"/>
        </w:numPr>
        <w:ind w:left="709" w:hanging="709"/>
        <w:rPr>
          <w:rFonts w:asciiTheme="minorHAnsi" w:hAnsiTheme="minorHAnsi"/>
          <w:sz w:val="24"/>
          <w:szCs w:val="24"/>
        </w:rPr>
      </w:pPr>
      <w:r w:rsidRPr="00617D5D">
        <w:rPr>
          <w:rFonts w:asciiTheme="minorHAnsi" w:hAnsiTheme="minorHAnsi"/>
          <w:sz w:val="24"/>
          <w:szCs w:val="24"/>
        </w:rPr>
        <w:t xml:space="preserve">From the use of long term dialysis in ESRD in HUS </w:t>
      </w:r>
      <w:r w:rsidR="008D2931" w:rsidRPr="00617D5D">
        <w:rPr>
          <w:rFonts w:asciiTheme="minorHAnsi" w:hAnsiTheme="minorHAnsi"/>
          <w:sz w:val="24"/>
          <w:szCs w:val="24"/>
        </w:rPr>
        <w:t>dialysis was stopped in several patients that had received renal transplants with successfully functioning allografts at last follow</w:t>
      </w:r>
      <w:r w:rsidR="0098270C" w:rsidRPr="00617D5D">
        <w:rPr>
          <w:rFonts w:asciiTheme="minorHAnsi" w:hAnsiTheme="minorHAnsi"/>
          <w:sz w:val="24"/>
          <w:szCs w:val="24"/>
        </w:rPr>
        <w:t>-</w:t>
      </w:r>
      <w:r w:rsidR="008D2931" w:rsidRPr="00617D5D">
        <w:rPr>
          <w:rFonts w:asciiTheme="minorHAnsi" w:hAnsiTheme="minorHAnsi"/>
          <w:sz w:val="24"/>
          <w:szCs w:val="24"/>
        </w:rPr>
        <w:t xml:space="preserve">up. </w:t>
      </w:r>
      <w:r w:rsidR="003A068D">
        <w:rPr>
          <w:rFonts w:asciiTheme="minorHAnsi" w:hAnsiTheme="minorHAnsi"/>
          <w:sz w:val="24"/>
          <w:szCs w:val="24"/>
        </w:rPr>
        <w:t xml:space="preserve"> </w:t>
      </w:r>
      <w:r w:rsidR="008D2931" w:rsidRPr="00617D5D">
        <w:rPr>
          <w:rFonts w:asciiTheme="minorHAnsi" w:hAnsiTheme="minorHAnsi"/>
          <w:sz w:val="24"/>
          <w:szCs w:val="24"/>
        </w:rPr>
        <w:t>Overall deaths from all causes ranged from 18% to 44.8%</w:t>
      </w:r>
      <w:r w:rsidR="00F349B2" w:rsidRPr="00617D5D">
        <w:rPr>
          <w:rFonts w:asciiTheme="minorHAnsi" w:hAnsiTheme="minorHAnsi"/>
          <w:sz w:val="24"/>
          <w:szCs w:val="24"/>
        </w:rPr>
        <w:t>.</w:t>
      </w:r>
      <w:r w:rsidR="008D2931" w:rsidRPr="00617D5D">
        <w:rPr>
          <w:rFonts w:asciiTheme="minorHAnsi" w:hAnsiTheme="minorHAnsi"/>
          <w:sz w:val="24"/>
          <w:szCs w:val="24"/>
        </w:rPr>
        <w:t xml:space="preserve"> </w:t>
      </w:r>
      <w:r w:rsidR="003A068D">
        <w:rPr>
          <w:rFonts w:asciiTheme="minorHAnsi" w:hAnsiTheme="minorHAnsi"/>
          <w:sz w:val="24"/>
          <w:szCs w:val="24"/>
        </w:rPr>
        <w:t xml:space="preserve"> </w:t>
      </w:r>
      <w:r w:rsidR="00F349B2" w:rsidRPr="00617D5D">
        <w:rPr>
          <w:rFonts w:asciiTheme="minorHAnsi" w:hAnsiTheme="minorHAnsi"/>
          <w:sz w:val="24"/>
          <w:szCs w:val="24"/>
        </w:rPr>
        <w:t>H</w:t>
      </w:r>
      <w:r w:rsidR="008D2931" w:rsidRPr="00617D5D">
        <w:rPr>
          <w:rFonts w:asciiTheme="minorHAnsi" w:hAnsiTheme="minorHAnsi"/>
          <w:sz w:val="24"/>
          <w:szCs w:val="24"/>
        </w:rPr>
        <w:t xml:space="preserve">owever, </w:t>
      </w:r>
      <w:r w:rsidR="00F349B2" w:rsidRPr="00617D5D">
        <w:rPr>
          <w:rFonts w:asciiTheme="minorHAnsi" w:hAnsiTheme="minorHAnsi"/>
          <w:sz w:val="24"/>
          <w:szCs w:val="24"/>
        </w:rPr>
        <w:t>the number of</w:t>
      </w:r>
      <w:r w:rsidR="00787DF7" w:rsidRPr="00617D5D">
        <w:rPr>
          <w:rFonts w:asciiTheme="minorHAnsi" w:hAnsiTheme="minorHAnsi"/>
          <w:sz w:val="24"/>
          <w:szCs w:val="24"/>
        </w:rPr>
        <w:t xml:space="preserve"> </w:t>
      </w:r>
      <w:r w:rsidR="0061730C" w:rsidRPr="00617D5D">
        <w:rPr>
          <w:rFonts w:asciiTheme="minorHAnsi" w:hAnsiTheme="minorHAnsi"/>
          <w:sz w:val="24"/>
          <w:szCs w:val="24"/>
        </w:rPr>
        <w:t>deaths</w:t>
      </w:r>
      <w:r w:rsidR="00787DF7" w:rsidRPr="00617D5D">
        <w:rPr>
          <w:rFonts w:asciiTheme="minorHAnsi" w:hAnsiTheme="minorHAnsi"/>
          <w:sz w:val="24"/>
          <w:szCs w:val="24"/>
        </w:rPr>
        <w:t xml:space="preserve"> </w:t>
      </w:r>
      <w:r w:rsidR="0061730C" w:rsidRPr="00617D5D">
        <w:rPr>
          <w:rFonts w:asciiTheme="minorHAnsi" w:hAnsiTheme="minorHAnsi"/>
          <w:sz w:val="24"/>
          <w:szCs w:val="24"/>
        </w:rPr>
        <w:t>specifically related</w:t>
      </w:r>
      <w:r w:rsidR="008D2931" w:rsidRPr="00617D5D">
        <w:rPr>
          <w:rFonts w:asciiTheme="minorHAnsi" w:hAnsiTheme="minorHAnsi"/>
          <w:sz w:val="24"/>
          <w:szCs w:val="24"/>
        </w:rPr>
        <w:t xml:space="preserve"> to complications due to </w:t>
      </w:r>
      <w:proofErr w:type="spellStart"/>
      <w:r w:rsidR="008D2931" w:rsidRPr="00617D5D">
        <w:rPr>
          <w:rFonts w:asciiTheme="minorHAnsi" w:hAnsiTheme="minorHAnsi"/>
          <w:sz w:val="24"/>
          <w:szCs w:val="24"/>
        </w:rPr>
        <w:t>aHUS</w:t>
      </w:r>
      <w:proofErr w:type="spellEnd"/>
      <w:r w:rsidR="008D2931" w:rsidRPr="00617D5D">
        <w:rPr>
          <w:rFonts w:asciiTheme="minorHAnsi" w:hAnsiTheme="minorHAnsi"/>
          <w:sz w:val="24"/>
          <w:szCs w:val="24"/>
        </w:rPr>
        <w:t xml:space="preserve"> could not</w:t>
      </w:r>
      <w:r w:rsidR="0061730C" w:rsidRPr="00617D5D">
        <w:rPr>
          <w:rFonts w:asciiTheme="minorHAnsi" w:hAnsiTheme="minorHAnsi"/>
          <w:sz w:val="24"/>
          <w:szCs w:val="24"/>
        </w:rPr>
        <w:t xml:space="preserve"> be</w:t>
      </w:r>
      <w:r w:rsidR="008D2931" w:rsidRPr="00617D5D">
        <w:rPr>
          <w:rFonts w:asciiTheme="minorHAnsi" w:hAnsiTheme="minorHAnsi"/>
          <w:sz w:val="24"/>
          <w:szCs w:val="24"/>
        </w:rPr>
        <w:t xml:space="preserve"> quantified.</w:t>
      </w:r>
    </w:p>
    <w:p w:rsidR="00EB2CA1" w:rsidRPr="00617D5D" w:rsidRDefault="00EB2CA1" w:rsidP="005E1665">
      <w:pPr>
        <w:pStyle w:val="ListParagraph"/>
        <w:ind w:left="709"/>
        <w:rPr>
          <w:rFonts w:asciiTheme="minorHAnsi" w:hAnsiTheme="minorHAnsi"/>
          <w:sz w:val="24"/>
          <w:szCs w:val="24"/>
        </w:rPr>
      </w:pPr>
    </w:p>
    <w:p w:rsidR="004E2D74" w:rsidRPr="00617D5D" w:rsidRDefault="004E2D74" w:rsidP="0064358C">
      <w:pPr>
        <w:pStyle w:val="PBACHeading1"/>
        <w:numPr>
          <w:ilvl w:val="0"/>
          <w:numId w:val="0"/>
        </w:numPr>
        <w:ind w:left="720"/>
        <w:outlineLvl w:val="2"/>
        <w:rPr>
          <w:rFonts w:asciiTheme="minorHAnsi" w:hAnsiTheme="minorHAnsi"/>
          <w:sz w:val="24"/>
          <w:szCs w:val="24"/>
        </w:rPr>
      </w:pPr>
      <w:proofErr w:type="gramStart"/>
      <w:r w:rsidRPr="00617D5D">
        <w:rPr>
          <w:rFonts w:asciiTheme="minorHAnsi" w:hAnsiTheme="minorHAnsi"/>
          <w:sz w:val="24"/>
          <w:szCs w:val="24"/>
        </w:rPr>
        <w:t>iv) Prophylactic</w:t>
      </w:r>
      <w:proofErr w:type="gramEnd"/>
      <w:r w:rsidRPr="00617D5D">
        <w:rPr>
          <w:rFonts w:asciiTheme="minorHAnsi" w:hAnsiTheme="minorHAnsi"/>
          <w:sz w:val="24"/>
          <w:szCs w:val="24"/>
        </w:rPr>
        <w:t xml:space="preserve"> plasma exchange/plasma infusion in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patients</w:t>
      </w:r>
      <w:r w:rsidR="00EF4BA9" w:rsidRPr="00617D5D">
        <w:rPr>
          <w:rFonts w:asciiTheme="minorHAnsi" w:hAnsiTheme="minorHAnsi"/>
          <w:sz w:val="24"/>
          <w:szCs w:val="24"/>
        </w:rPr>
        <w:t xml:space="preserve"> undergoing renal transplant</w:t>
      </w:r>
    </w:p>
    <w:p w:rsidR="005A7CE1" w:rsidRPr="00617D5D" w:rsidRDefault="005A7CE1" w:rsidP="005A7CE1">
      <w:pPr>
        <w:pStyle w:val="ListParagraph"/>
        <w:rPr>
          <w:rFonts w:asciiTheme="minorHAnsi" w:hAnsiTheme="minorHAnsi"/>
          <w:sz w:val="24"/>
          <w:szCs w:val="24"/>
        </w:rPr>
      </w:pPr>
    </w:p>
    <w:p w:rsidR="005A7CE1" w:rsidRPr="00617D5D" w:rsidRDefault="005A7CE1" w:rsidP="00EE3E37">
      <w:pPr>
        <w:pStyle w:val="ListParagraph"/>
        <w:numPr>
          <w:ilvl w:val="1"/>
          <w:numId w:val="5"/>
        </w:numPr>
        <w:ind w:left="709"/>
        <w:rPr>
          <w:rFonts w:asciiTheme="minorHAnsi" w:hAnsiTheme="minorHAnsi"/>
          <w:sz w:val="24"/>
          <w:szCs w:val="24"/>
        </w:rPr>
      </w:pPr>
      <w:r w:rsidRPr="00617D5D">
        <w:rPr>
          <w:rFonts w:asciiTheme="minorHAnsi" w:hAnsiTheme="minorHAnsi"/>
          <w:sz w:val="24"/>
          <w:szCs w:val="24"/>
        </w:rPr>
        <w:t xml:space="preserve">The outcomes for the use of prophylactic plasma exchange/plasma infusion in </w:t>
      </w:r>
      <w:proofErr w:type="spellStart"/>
      <w:r w:rsidRPr="00617D5D">
        <w:rPr>
          <w:rFonts w:asciiTheme="minorHAnsi" w:hAnsiTheme="minorHAnsi"/>
          <w:sz w:val="24"/>
          <w:szCs w:val="24"/>
        </w:rPr>
        <w:t>aHUS</w:t>
      </w:r>
      <w:proofErr w:type="spellEnd"/>
      <w:r w:rsidRPr="00617D5D">
        <w:rPr>
          <w:rFonts w:asciiTheme="minorHAnsi" w:hAnsiTheme="minorHAnsi"/>
          <w:sz w:val="24"/>
          <w:szCs w:val="24"/>
        </w:rPr>
        <w:t xml:space="preserve"> patients undergoing renal transplant are summarised in Table </w:t>
      </w:r>
      <w:r w:rsidR="00740FEE" w:rsidRPr="00617D5D">
        <w:rPr>
          <w:rFonts w:asciiTheme="minorHAnsi" w:hAnsiTheme="minorHAnsi"/>
          <w:sz w:val="24"/>
          <w:szCs w:val="24"/>
        </w:rPr>
        <w:t>8</w:t>
      </w:r>
      <w:r w:rsidRPr="00617D5D">
        <w:rPr>
          <w:rFonts w:asciiTheme="minorHAnsi" w:hAnsiTheme="minorHAnsi"/>
          <w:sz w:val="24"/>
          <w:szCs w:val="24"/>
        </w:rPr>
        <w:t>.</w:t>
      </w:r>
      <w:r w:rsidR="00A752AF" w:rsidRPr="00617D5D">
        <w:rPr>
          <w:rFonts w:asciiTheme="minorHAnsi" w:hAnsiTheme="minorHAnsi"/>
          <w:sz w:val="24"/>
          <w:szCs w:val="24"/>
        </w:rPr>
        <w:t xml:space="preserve"> </w:t>
      </w:r>
      <w:r w:rsidR="00AE17EB">
        <w:rPr>
          <w:rFonts w:asciiTheme="minorHAnsi" w:hAnsiTheme="minorHAnsi"/>
          <w:sz w:val="24"/>
          <w:szCs w:val="24"/>
        </w:rPr>
        <w:t xml:space="preserve"> </w:t>
      </w:r>
      <w:r w:rsidR="00A752AF" w:rsidRPr="00617D5D">
        <w:rPr>
          <w:rFonts w:asciiTheme="minorHAnsi" w:hAnsiTheme="minorHAnsi"/>
          <w:sz w:val="24"/>
          <w:szCs w:val="24"/>
        </w:rPr>
        <w:t xml:space="preserve">A </w:t>
      </w:r>
      <w:r w:rsidR="003A068D">
        <w:rPr>
          <w:rFonts w:asciiTheme="minorHAnsi" w:hAnsiTheme="minorHAnsi"/>
          <w:sz w:val="24"/>
          <w:szCs w:val="24"/>
        </w:rPr>
        <w:t>total of 28 new cases which had</w:t>
      </w:r>
      <w:r w:rsidR="00A752AF" w:rsidRPr="00617D5D">
        <w:rPr>
          <w:rFonts w:asciiTheme="minorHAnsi" w:hAnsiTheme="minorHAnsi"/>
          <w:sz w:val="24"/>
          <w:szCs w:val="24"/>
        </w:rPr>
        <w:t xml:space="preserve"> not previously been presented to the PBAC were submitted.</w:t>
      </w:r>
    </w:p>
    <w:p w:rsidR="000477B1" w:rsidRPr="00617D5D" w:rsidRDefault="000477B1" w:rsidP="006649BF"/>
    <w:p w:rsidR="00FD55AD" w:rsidRPr="00617D5D" w:rsidRDefault="00FD55AD">
      <w:pPr>
        <w:rPr>
          <w:rFonts w:ascii="Arial Narrow" w:hAnsi="Arial Narrow" w:cs="Arial"/>
          <w:b/>
          <w:snapToGrid w:val="0"/>
          <w:lang w:eastAsia="en-US"/>
        </w:rPr>
      </w:pPr>
      <w:r w:rsidRPr="00617D5D">
        <w:rPr>
          <w:rFonts w:ascii="Arial Narrow" w:hAnsi="Arial Narrow"/>
        </w:rPr>
        <w:br w:type="page"/>
      </w:r>
    </w:p>
    <w:p w:rsidR="0017451F" w:rsidRPr="00787DF7" w:rsidRDefault="000477B1" w:rsidP="0064358C">
      <w:pPr>
        <w:pStyle w:val="PBACHeading1"/>
        <w:numPr>
          <w:ilvl w:val="0"/>
          <w:numId w:val="0"/>
        </w:numPr>
        <w:ind w:firstLine="720"/>
        <w:outlineLvl w:val="9"/>
        <w:rPr>
          <w:rFonts w:ascii="Arial Narrow" w:hAnsi="Arial Narrow"/>
          <w:sz w:val="20"/>
          <w:szCs w:val="20"/>
        </w:rPr>
      </w:pPr>
      <w:r w:rsidRPr="00787DF7">
        <w:rPr>
          <w:rFonts w:ascii="Arial Narrow" w:hAnsi="Arial Narrow"/>
          <w:sz w:val="20"/>
          <w:szCs w:val="20"/>
        </w:rPr>
        <w:t>.</w:t>
      </w:r>
    </w:p>
    <w:p w:rsidR="004A6028" w:rsidRDefault="004A6028" w:rsidP="004A6028">
      <w:pPr>
        <w:pStyle w:val="Caption"/>
        <w:ind w:left="709"/>
      </w:pPr>
      <w:proofErr w:type="gramStart"/>
      <w:r>
        <w:t xml:space="preserve">Table </w:t>
      </w:r>
      <w:proofErr w:type="gramEnd"/>
      <w:r>
        <w:fldChar w:fldCharType="begin"/>
      </w:r>
      <w:r>
        <w:instrText xml:space="preserve"> SEQ Table \* ARABIC </w:instrText>
      </w:r>
      <w:r>
        <w:fldChar w:fldCharType="separate"/>
      </w:r>
      <w:r>
        <w:rPr>
          <w:noProof/>
        </w:rPr>
        <w:t>8</w:t>
      </w:r>
      <w:r>
        <w:fldChar w:fldCharType="end"/>
      </w:r>
      <w:proofErr w:type="gramStart"/>
      <w:r>
        <w:t xml:space="preserve">: </w:t>
      </w:r>
      <w:r w:rsidRPr="00EE7454">
        <w:t xml:space="preserve">Summary Prophylactic plasma exchange/plasma infusion in </w:t>
      </w:r>
      <w:proofErr w:type="spellStart"/>
      <w:r w:rsidRPr="00EE7454">
        <w:t>aHUS</w:t>
      </w:r>
      <w:proofErr w:type="spellEnd"/>
      <w:r w:rsidRPr="00EE7454">
        <w:t>.</w:t>
      </w:r>
      <w:proofErr w:type="gramEnd"/>
    </w:p>
    <w:tbl>
      <w:tblPr>
        <w:tblStyle w:val="TableGrid"/>
        <w:tblW w:w="4558" w:type="pct"/>
        <w:tblInd w:w="817" w:type="dxa"/>
        <w:tblLook w:val="04A0" w:firstRow="1" w:lastRow="0" w:firstColumn="1" w:lastColumn="0" w:noHBand="0" w:noVBand="1"/>
        <w:tblCaption w:val="Summary Prophylactic plasma exchange/plasma infusion in aHUS."/>
      </w:tblPr>
      <w:tblGrid>
        <w:gridCol w:w="988"/>
        <w:gridCol w:w="1072"/>
        <w:gridCol w:w="1316"/>
        <w:gridCol w:w="939"/>
        <w:gridCol w:w="1736"/>
        <w:gridCol w:w="2374"/>
      </w:tblGrid>
      <w:tr w:rsidR="00765133" w:rsidRPr="0017451F" w:rsidTr="004A6028">
        <w:trPr>
          <w:tblHeader/>
        </w:trPr>
        <w:tc>
          <w:tcPr>
            <w:tcW w:w="586" w:type="pct"/>
            <w:vAlign w:val="center"/>
          </w:tcPr>
          <w:p w:rsidR="00765133" w:rsidRPr="0017451F" w:rsidRDefault="00765133" w:rsidP="00EF4BA9">
            <w:pPr>
              <w:pStyle w:val="ListParagraph"/>
              <w:ind w:left="0"/>
              <w:jc w:val="center"/>
              <w:rPr>
                <w:rFonts w:ascii="Arial Narrow" w:hAnsi="Arial Narrow"/>
                <w:sz w:val="18"/>
                <w:szCs w:val="18"/>
              </w:rPr>
            </w:pPr>
          </w:p>
        </w:tc>
        <w:tc>
          <w:tcPr>
            <w:tcW w:w="636" w:type="pct"/>
            <w:vAlign w:val="center"/>
          </w:tcPr>
          <w:p w:rsidR="00765133" w:rsidRDefault="00765133" w:rsidP="00EF4BA9">
            <w:pPr>
              <w:pStyle w:val="ListParagraph"/>
              <w:ind w:left="0"/>
              <w:jc w:val="center"/>
              <w:rPr>
                <w:rFonts w:ascii="Arial Narrow" w:hAnsi="Arial Narrow"/>
                <w:b/>
                <w:sz w:val="18"/>
                <w:szCs w:val="18"/>
              </w:rPr>
            </w:pPr>
            <w:r w:rsidRPr="00386E8D">
              <w:rPr>
                <w:rFonts w:ascii="Arial Narrow" w:hAnsi="Arial Narrow"/>
                <w:b/>
                <w:sz w:val="18"/>
                <w:szCs w:val="18"/>
              </w:rPr>
              <w:t>Le</w:t>
            </w:r>
            <w:r>
              <w:rPr>
                <w:rFonts w:ascii="Arial Narrow" w:hAnsi="Arial Narrow"/>
                <w:b/>
                <w:sz w:val="18"/>
                <w:szCs w:val="18"/>
              </w:rPr>
              <w:t xml:space="preserve"> </w:t>
            </w:r>
            <w:proofErr w:type="spellStart"/>
            <w:r>
              <w:rPr>
                <w:rFonts w:ascii="Arial Narrow" w:hAnsi="Arial Narrow"/>
                <w:b/>
                <w:sz w:val="18"/>
                <w:szCs w:val="18"/>
              </w:rPr>
              <w:t>Q</w:t>
            </w:r>
            <w:r w:rsidRPr="00386E8D">
              <w:rPr>
                <w:rFonts w:ascii="Arial Narrow" w:hAnsi="Arial Narrow"/>
                <w:b/>
                <w:sz w:val="18"/>
                <w:szCs w:val="18"/>
              </w:rPr>
              <w:t>uintrec</w:t>
            </w:r>
            <w:proofErr w:type="spellEnd"/>
            <w:r w:rsidRPr="00386E8D">
              <w:rPr>
                <w:rFonts w:ascii="Arial Narrow" w:hAnsi="Arial Narrow"/>
                <w:b/>
                <w:sz w:val="18"/>
                <w:szCs w:val="18"/>
              </w:rPr>
              <w:t xml:space="preserve"> 2013</w:t>
            </w:r>
          </w:p>
          <w:p w:rsidR="00765133" w:rsidRPr="00386E8D" w:rsidRDefault="00765133" w:rsidP="00EF4BA9">
            <w:pPr>
              <w:pStyle w:val="ListParagraph"/>
              <w:ind w:left="0"/>
              <w:jc w:val="center"/>
              <w:rPr>
                <w:rFonts w:ascii="Arial Narrow" w:hAnsi="Arial Narrow"/>
                <w:b/>
                <w:sz w:val="18"/>
                <w:szCs w:val="18"/>
              </w:rPr>
            </w:pPr>
            <w:r>
              <w:rPr>
                <w:rFonts w:ascii="Arial Narrow" w:hAnsi="Arial Narrow"/>
                <w:b/>
                <w:sz w:val="18"/>
                <w:szCs w:val="18"/>
              </w:rPr>
              <w:t>N = 9</w:t>
            </w:r>
          </w:p>
        </w:tc>
        <w:tc>
          <w:tcPr>
            <w:tcW w:w="781" w:type="pct"/>
            <w:vAlign w:val="center"/>
          </w:tcPr>
          <w:p w:rsidR="00765133" w:rsidRDefault="00765133" w:rsidP="00EF4BA9">
            <w:pPr>
              <w:pStyle w:val="ListParagraph"/>
              <w:ind w:left="0"/>
              <w:jc w:val="center"/>
              <w:rPr>
                <w:rFonts w:ascii="Arial Narrow" w:hAnsi="Arial Narrow"/>
                <w:b/>
                <w:sz w:val="18"/>
                <w:szCs w:val="18"/>
              </w:rPr>
            </w:pPr>
            <w:proofErr w:type="spellStart"/>
            <w:r w:rsidRPr="003F508F">
              <w:rPr>
                <w:rFonts w:ascii="Arial Narrow" w:hAnsi="Arial Narrow"/>
                <w:b/>
                <w:sz w:val="18"/>
                <w:szCs w:val="18"/>
              </w:rPr>
              <w:t>Ardissino</w:t>
            </w:r>
            <w:proofErr w:type="spellEnd"/>
            <w:r w:rsidRPr="003F508F">
              <w:rPr>
                <w:rFonts w:ascii="Arial Narrow" w:hAnsi="Arial Narrow"/>
                <w:b/>
                <w:sz w:val="18"/>
                <w:szCs w:val="18"/>
              </w:rPr>
              <w:t xml:space="preserve"> 2016</w:t>
            </w:r>
          </w:p>
          <w:p w:rsidR="00765133" w:rsidRPr="00FE55FA" w:rsidRDefault="00765133" w:rsidP="00EF4BA9">
            <w:pPr>
              <w:pStyle w:val="ListParagraph"/>
              <w:ind w:left="0"/>
              <w:jc w:val="center"/>
              <w:rPr>
                <w:rFonts w:ascii="Arial Narrow" w:hAnsi="Arial Narrow"/>
                <w:b/>
                <w:sz w:val="18"/>
                <w:szCs w:val="18"/>
                <w:vertAlign w:val="superscript"/>
              </w:rPr>
            </w:pPr>
            <w:r>
              <w:rPr>
                <w:rFonts w:ascii="Arial Narrow" w:hAnsi="Arial Narrow"/>
                <w:b/>
                <w:sz w:val="18"/>
                <w:szCs w:val="18"/>
              </w:rPr>
              <w:t>N = 5</w:t>
            </w:r>
            <w:r>
              <w:rPr>
                <w:rFonts w:ascii="Arial Narrow" w:hAnsi="Arial Narrow"/>
                <w:b/>
                <w:sz w:val="18"/>
                <w:szCs w:val="18"/>
                <w:vertAlign w:val="superscript"/>
              </w:rPr>
              <w:t>a</w:t>
            </w:r>
          </w:p>
        </w:tc>
        <w:tc>
          <w:tcPr>
            <w:tcW w:w="557" w:type="pct"/>
            <w:vAlign w:val="center"/>
          </w:tcPr>
          <w:p w:rsidR="00765133" w:rsidRDefault="00765133" w:rsidP="00EF4BA9">
            <w:pPr>
              <w:pStyle w:val="ListParagraph"/>
              <w:ind w:left="0"/>
              <w:jc w:val="center"/>
              <w:rPr>
                <w:rFonts w:ascii="Arial Narrow" w:hAnsi="Arial Narrow"/>
                <w:b/>
                <w:sz w:val="18"/>
                <w:szCs w:val="18"/>
              </w:rPr>
            </w:pPr>
            <w:proofErr w:type="spellStart"/>
            <w:r>
              <w:rPr>
                <w:rFonts w:ascii="Arial Narrow" w:hAnsi="Arial Narrow"/>
                <w:b/>
                <w:sz w:val="18"/>
                <w:szCs w:val="18"/>
              </w:rPr>
              <w:t>Jananko</w:t>
            </w:r>
            <w:proofErr w:type="spellEnd"/>
            <w:r>
              <w:rPr>
                <w:rFonts w:ascii="Arial Narrow" w:hAnsi="Arial Narrow"/>
                <w:b/>
                <w:sz w:val="18"/>
                <w:szCs w:val="18"/>
              </w:rPr>
              <w:t xml:space="preserve"> 2008</w:t>
            </w:r>
          </w:p>
          <w:p w:rsidR="00765133" w:rsidRPr="00386E8D" w:rsidRDefault="00765133" w:rsidP="00EF4BA9">
            <w:pPr>
              <w:pStyle w:val="ListParagraph"/>
              <w:ind w:left="0"/>
              <w:jc w:val="center"/>
              <w:rPr>
                <w:rFonts w:ascii="Arial Narrow" w:hAnsi="Arial Narrow"/>
                <w:b/>
                <w:sz w:val="18"/>
                <w:szCs w:val="18"/>
              </w:rPr>
            </w:pPr>
            <w:r>
              <w:rPr>
                <w:rFonts w:ascii="Arial Narrow" w:hAnsi="Arial Narrow"/>
                <w:b/>
                <w:sz w:val="18"/>
                <w:szCs w:val="18"/>
              </w:rPr>
              <w:t>N = 2</w:t>
            </w:r>
          </w:p>
        </w:tc>
        <w:tc>
          <w:tcPr>
            <w:tcW w:w="1030" w:type="pct"/>
            <w:vAlign w:val="center"/>
          </w:tcPr>
          <w:p w:rsidR="00765133" w:rsidRDefault="00765133" w:rsidP="00EF4BA9">
            <w:pPr>
              <w:pStyle w:val="ListParagraph"/>
              <w:ind w:left="0"/>
              <w:jc w:val="center"/>
              <w:rPr>
                <w:rFonts w:ascii="Arial Narrow" w:hAnsi="Arial Narrow"/>
                <w:b/>
                <w:sz w:val="18"/>
                <w:szCs w:val="18"/>
              </w:rPr>
            </w:pPr>
            <w:r>
              <w:rPr>
                <w:rFonts w:ascii="Arial Narrow" w:hAnsi="Arial Narrow"/>
                <w:b/>
                <w:sz w:val="18"/>
                <w:szCs w:val="18"/>
              </w:rPr>
              <w:t>Davin 2008</w:t>
            </w:r>
          </w:p>
          <w:p w:rsidR="00765133" w:rsidRDefault="00765133" w:rsidP="00EF4BA9">
            <w:pPr>
              <w:pStyle w:val="ListParagraph"/>
              <w:ind w:left="0"/>
              <w:jc w:val="center"/>
              <w:rPr>
                <w:rFonts w:ascii="Arial Narrow" w:hAnsi="Arial Narrow"/>
                <w:b/>
                <w:sz w:val="18"/>
                <w:szCs w:val="18"/>
              </w:rPr>
            </w:pPr>
            <w:r>
              <w:rPr>
                <w:rFonts w:ascii="Arial Narrow" w:hAnsi="Arial Narrow"/>
                <w:b/>
                <w:sz w:val="18"/>
                <w:szCs w:val="18"/>
              </w:rPr>
              <w:t>N=2</w:t>
            </w:r>
          </w:p>
        </w:tc>
        <w:tc>
          <w:tcPr>
            <w:tcW w:w="1409" w:type="pct"/>
            <w:vAlign w:val="center"/>
          </w:tcPr>
          <w:p w:rsidR="00765133" w:rsidRDefault="00765133" w:rsidP="00EF4BA9">
            <w:pPr>
              <w:pStyle w:val="ListParagraph"/>
              <w:ind w:left="0"/>
              <w:jc w:val="center"/>
              <w:rPr>
                <w:rFonts w:ascii="Arial Narrow" w:hAnsi="Arial Narrow"/>
                <w:b/>
                <w:sz w:val="18"/>
                <w:szCs w:val="18"/>
              </w:rPr>
            </w:pPr>
            <w:r>
              <w:rPr>
                <w:rFonts w:ascii="Arial Narrow" w:hAnsi="Arial Narrow"/>
                <w:b/>
                <w:sz w:val="18"/>
                <w:szCs w:val="18"/>
              </w:rPr>
              <w:t>Case reports</w:t>
            </w:r>
          </w:p>
          <w:p w:rsidR="00765133" w:rsidRPr="00386E8D" w:rsidRDefault="00765133" w:rsidP="00EF4BA9">
            <w:pPr>
              <w:pStyle w:val="ListParagraph"/>
              <w:tabs>
                <w:tab w:val="left" w:pos="188"/>
                <w:tab w:val="center" w:pos="697"/>
              </w:tabs>
              <w:ind w:left="0"/>
              <w:jc w:val="center"/>
              <w:rPr>
                <w:rFonts w:ascii="Arial Narrow" w:hAnsi="Arial Narrow"/>
                <w:b/>
                <w:sz w:val="18"/>
                <w:szCs w:val="18"/>
              </w:rPr>
            </w:pPr>
            <w:r>
              <w:rPr>
                <w:rFonts w:ascii="Arial Narrow" w:hAnsi="Arial Narrow"/>
                <w:b/>
                <w:sz w:val="18"/>
                <w:szCs w:val="18"/>
              </w:rPr>
              <w:t xml:space="preserve">N-= </w:t>
            </w:r>
            <w:r w:rsidR="00EF4BA9">
              <w:rPr>
                <w:rFonts w:ascii="Arial Narrow" w:hAnsi="Arial Narrow"/>
                <w:b/>
                <w:sz w:val="18"/>
                <w:szCs w:val="18"/>
              </w:rPr>
              <w:t>10</w:t>
            </w:r>
          </w:p>
        </w:tc>
      </w:tr>
      <w:tr w:rsidR="00765133" w:rsidRPr="0017451F" w:rsidTr="004A6028">
        <w:trPr>
          <w:tblHeader/>
        </w:trPr>
        <w:tc>
          <w:tcPr>
            <w:tcW w:w="586" w:type="pct"/>
            <w:vAlign w:val="center"/>
          </w:tcPr>
          <w:p w:rsidR="00765133" w:rsidRPr="0017451F" w:rsidRDefault="00765133" w:rsidP="00EF4BA9">
            <w:pPr>
              <w:pStyle w:val="ListParagraph"/>
              <w:ind w:left="0"/>
              <w:jc w:val="center"/>
              <w:rPr>
                <w:rFonts w:ascii="Arial Narrow" w:hAnsi="Arial Narrow"/>
                <w:sz w:val="18"/>
                <w:szCs w:val="18"/>
              </w:rPr>
            </w:pPr>
            <w:r w:rsidRPr="0017451F">
              <w:rPr>
                <w:rFonts w:ascii="Arial Narrow" w:hAnsi="Arial Narrow"/>
                <w:sz w:val="18"/>
                <w:szCs w:val="18"/>
              </w:rPr>
              <w:t>Median age at diagnosis, years</w:t>
            </w:r>
          </w:p>
        </w:tc>
        <w:tc>
          <w:tcPr>
            <w:tcW w:w="636"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32</w:t>
            </w:r>
          </w:p>
        </w:tc>
        <w:tc>
          <w:tcPr>
            <w:tcW w:w="781"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557"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1 and 16</w:t>
            </w:r>
          </w:p>
        </w:tc>
        <w:tc>
          <w:tcPr>
            <w:tcW w:w="1030"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3 and 4</w:t>
            </w:r>
          </w:p>
        </w:tc>
        <w:tc>
          <w:tcPr>
            <w:tcW w:w="1409" w:type="pct"/>
            <w:vAlign w:val="center"/>
          </w:tcPr>
          <w:p w:rsidR="00765133" w:rsidRDefault="00EF4BA9" w:rsidP="00EF4BA9">
            <w:pPr>
              <w:pStyle w:val="ListParagraph"/>
              <w:ind w:left="0"/>
              <w:jc w:val="center"/>
              <w:rPr>
                <w:rFonts w:ascii="Arial Narrow" w:hAnsi="Arial Narrow"/>
                <w:sz w:val="18"/>
                <w:szCs w:val="18"/>
              </w:rPr>
            </w:pPr>
            <w:r>
              <w:rPr>
                <w:rFonts w:ascii="Arial Narrow" w:hAnsi="Arial Narrow"/>
                <w:sz w:val="18"/>
                <w:szCs w:val="18"/>
              </w:rPr>
              <w:t>8.1</w:t>
            </w:r>
          </w:p>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w:t>
            </w:r>
            <w:r w:rsidR="00EF4BA9">
              <w:rPr>
                <w:rFonts w:ascii="Arial Narrow" w:hAnsi="Arial Narrow"/>
                <w:sz w:val="18"/>
                <w:szCs w:val="18"/>
              </w:rPr>
              <w:t>6</w:t>
            </w:r>
            <w:r>
              <w:rPr>
                <w:rFonts w:ascii="Arial Narrow" w:hAnsi="Arial Narrow"/>
                <w:sz w:val="18"/>
                <w:szCs w:val="18"/>
              </w:rPr>
              <w:t xml:space="preserve"> months-31)</w:t>
            </w:r>
          </w:p>
        </w:tc>
      </w:tr>
      <w:tr w:rsidR="00765133" w:rsidRPr="0017451F" w:rsidTr="004A6028">
        <w:trPr>
          <w:tblHeader/>
        </w:trPr>
        <w:tc>
          <w:tcPr>
            <w:tcW w:w="586" w:type="pct"/>
            <w:vAlign w:val="center"/>
          </w:tcPr>
          <w:p w:rsidR="00765133" w:rsidRPr="00E57BA7" w:rsidRDefault="00765133" w:rsidP="00EF4BA9">
            <w:pPr>
              <w:pStyle w:val="Tabletext"/>
              <w:jc w:val="center"/>
              <w:rPr>
                <w:rFonts w:ascii="Arial Narrow" w:hAnsi="Arial Narrow"/>
                <w:sz w:val="18"/>
                <w:szCs w:val="18"/>
              </w:rPr>
            </w:pPr>
            <w:r w:rsidRPr="00E57BA7">
              <w:rPr>
                <w:rFonts w:ascii="Arial Narrow" w:hAnsi="Arial Narrow"/>
                <w:sz w:val="18"/>
                <w:szCs w:val="18"/>
              </w:rPr>
              <w:t xml:space="preserve">Family history of </w:t>
            </w:r>
            <w:proofErr w:type="spellStart"/>
            <w:r w:rsidRPr="00E57BA7">
              <w:rPr>
                <w:rFonts w:ascii="Arial Narrow" w:hAnsi="Arial Narrow"/>
                <w:sz w:val="18"/>
                <w:szCs w:val="18"/>
              </w:rPr>
              <w:t>aHUS</w:t>
            </w:r>
            <w:proofErr w:type="spellEnd"/>
            <w:r w:rsidRPr="00E57BA7">
              <w:rPr>
                <w:rFonts w:ascii="Arial Narrow" w:hAnsi="Arial Narrow"/>
                <w:sz w:val="18"/>
                <w:szCs w:val="18"/>
              </w:rPr>
              <w:t xml:space="preserve"> N (%)</w:t>
            </w:r>
          </w:p>
          <w:p w:rsidR="00765133" w:rsidRDefault="00765133" w:rsidP="00EF4BA9">
            <w:pPr>
              <w:pStyle w:val="ListParagraph"/>
              <w:ind w:left="0"/>
              <w:jc w:val="center"/>
              <w:rPr>
                <w:rFonts w:ascii="Arial Narrow" w:hAnsi="Arial Narrow"/>
                <w:sz w:val="18"/>
                <w:szCs w:val="18"/>
              </w:rPr>
            </w:pPr>
            <w:r w:rsidRPr="00E57BA7">
              <w:rPr>
                <w:rFonts w:ascii="Arial Narrow" w:hAnsi="Arial Narrow"/>
                <w:sz w:val="18"/>
                <w:szCs w:val="18"/>
              </w:rPr>
              <w:t>CFH mutation detected N (%)</w:t>
            </w:r>
          </w:p>
        </w:tc>
        <w:tc>
          <w:tcPr>
            <w:tcW w:w="636"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9/57 (16%)</w:t>
            </w:r>
          </w:p>
          <w:p w:rsidR="00765133" w:rsidRDefault="00765133" w:rsidP="00EF4BA9">
            <w:pPr>
              <w:pStyle w:val="ListParagraph"/>
              <w:ind w:left="0"/>
              <w:jc w:val="center"/>
              <w:rPr>
                <w:rFonts w:ascii="Arial Narrow" w:hAnsi="Arial Narrow"/>
                <w:sz w:val="18"/>
                <w:szCs w:val="18"/>
              </w:rPr>
            </w:pPr>
          </w:p>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18/57 (32%)</w:t>
            </w:r>
          </w:p>
        </w:tc>
        <w:tc>
          <w:tcPr>
            <w:tcW w:w="781"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557"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Related patients</w:t>
            </w:r>
          </w:p>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2 (100%)</w:t>
            </w:r>
          </w:p>
        </w:tc>
        <w:tc>
          <w:tcPr>
            <w:tcW w:w="1030"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Sisters</w:t>
            </w:r>
          </w:p>
          <w:p w:rsidR="00765133" w:rsidRDefault="00765133" w:rsidP="00EF4BA9">
            <w:pPr>
              <w:pStyle w:val="ListParagraph"/>
              <w:ind w:left="0"/>
              <w:jc w:val="center"/>
              <w:rPr>
                <w:rFonts w:ascii="Arial Narrow" w:hAnsi="Arial Narrow"/>
                <w:sz w:val="18"/>
                <w:szCs w:val="18"/>
              </w:rPr>
            </w:pPr>
          </w:p>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2</w:t>
            </w:r>
          </w:p>
        </w:tc>
        <w:tc>
          <w:tcPr>
            <w:tcW w:w="1409" w:type="pct"/>
            <w:vAlign w:val="center"/>
          </w:tcPr>
          <w:p w:rsidR="00765133" w:rsidRDefault="00EF4BA9" w:rsidP="00EF4BA9">
            <w:pPr>
              <w:pStyle w:val="ListParagraph"/>
              <w:ind w:left="0"/>
              <w:jc w:val="center"/>
              <w:rPr>
                <w:rFonts w:ascii="Arial Narrow" w:hAnsi="Arial Narrow"/>
                <w:sz w:val="18"/>
                <w:szCs w:val="18"/>
              </w:rPr>
            </w:pPr>
            <w:r>
              <w:rPr>
                <w:rFonts w:ascii="Arial Narrow" w:hAnsi="Arial Narrow"/>
                <w:sz w:val="18"/>
                <w:szCs w:val="18"/>
              </w:rPr>
              <w:t>4</w:t>
            </w:r>
            <w:r w:rsidR="00765133">
              <w:rPr>
                <w:rFonts w:ascii="Arial Narrow" w:hAnsi="Arial Narrow"/>
                <w:sz w:val="18"/>
                <w:szCs w:val="18"/>
              </w:rPr>
              <w:t xml:space="preserve"> (</w:t>
            </w:r>
            <w:r>
              <w:rPr>
                <w:rFonts w:ascii="Arial Narrow" w:hAnsi="Arial Narrow"/>
                <w:sz w:val="18"/>
                <w:szCs w:val="18"/>
              </w:rPr>
              <w:t>40</w:t>
            </w:r>
            <w:r w:rsidR="00765133">
              <w:rPr>
                <w:rFonts w:ascii="Arial Narrow" w:hAnsi="Arial Narrow"/>
                <w:sz w:val="18"/>
                <w:szCs w:val="18"/>
              </w:rPr>
              <w:t>%)</w:t>
            </w:r>
          </w:p>
          <w:p w:rsidR="00765133" w:rsidRDefault="00765133" w:rsidP="00EF4BA9">
            <w:pPr>
              <w:pStyle w:val="ListParagraph"/>
              <w:ind w:left="0"/>
              <w:jc w:val="center"/>
              <w:rPr>
                <w:rFonts w:ascii="Arial Narrow" w:hAnsi="Arial Narrow"/>
                <w:sz w:val="18"/>
                <w:szCs w:val="18"/>
              </w:rPr>
            </w:pPr>
          </w:p>
          <w:p w:rsidR="00765133" w:rsidRPr="0017451F" w:rsidRDefault="00EF4BA9" w:rsidP="00EF4BA9">
            <w:pPr>
              <w:pStyle w:val="ListParagraph"/>
              <w:ind w:left="0"/>
              <w:jc w:val="center"/>
              <w:rPr>
                <w:rFonts w:ascii="Arial Narrow" w:hAnsi="Arial Narrow"/>
                <w:sz w:val="18"/>
                <w:szCs w:val="18"/>
              </w:rPr>
            </w:pPr>
            <w:r>
              <w:rPr>
                <w:rFonts w:ascii="Arial Narrow" w:hAnsi="Arial Narrow"/>
                <w:sz w:val="18"/>
                <w:szCs w:val="18"/>
              </w:rPr>
              <w:t>6</w:t>
            </w:r>
            <w:r w:rsidR="00765133">
              <w:rPr>
                <w:rFonts w:ascii="Arial Narrow" w:hAnsi="Arial Narrow"/>
                <w:sz w:val="18"/>
                <w:szCs w:val="18"/>
              </w:rPr>
              <w:t xml:space="preserve"> (6</w:t>
            </w:r>
            <w:r>
              <w:rPr>
                <w:rFonts w:ascii="Arial Narrow" w:hAnsi="Arial Narrow"/>
                <w:sz w:val="18"/>
                <w:szCs w:val="18"/>
              </w:rPr>
              <w:t>0</w:t>
            </w:r>
            <w:r w:rsidR="00765133">
              <w:rPr>
                <w:rFonts w:ascii="Arial Narrow" w:hAnsi="Arial Narrow"/>
                <w:sz w:val="18"/>
                <w:szCs w:val="18"/>
              </w:rPr>
              <w:t>%)</w:t>
            </w:r>
          </w:p>
        </w:tc>
      </w:tr>
      <w:tr w:rsidR="00765133" w:rsidRPr="0017451F" w:rsidTr="004A6028">
        <w:trPr>
          <w:tblHeader/>
        </w:trPr>
        <w:tc>
          <w:tcPr>
            <w:tcW w:w="586"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Duration of PE/PI peri-transplant</w:t>
            </w:r>
          </w:p>
        </w:tc>
        <w:tc>
          <w:tcPr>
            <w:tcW w:w="636"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781"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557"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6 months (both)</w:t>
            </w:r>
          </w:p>
        </w:tc>
        <w:tc>
          <w:tcPr>
            <w:tcW w:w="1030" w:type="pct"/>
            <w:vAlign w:val="center"/>
          </w:tcPr>
          <w:p w:rsidR="00765133" w:rsidRDefault="0043148C" w:rsidP="00EF4BA9">
            <w:pPr>
              <w:pStyle w:val="ListParagraph"/>
              <w:ind w:left="0"/>
              <w:jc w:val="center"/>
              <w:rPr>
                <w:rFonts w:ascii="Arial Narrow" w:hAnsi="Arial Narrow"/>
                <w:sz w:val="18"/>
                <w:szCs w:val="18"/>
              </w:rPr>
            </w:pPr>
            <w:r>
              <w:rPr>
                <w:rFonts w:ascii="Arial Narrow" w:hAnsi="Arial Narrow"/>
                <w:sz w:val="18"/>
                <w:szCs w:val="18"/>
              </w:rPr>
              <w:t>1 day</w:t>
            </w:r>
          </w:p>
        </w:tc>
        <w:tc>
          <w:tcPr>
            <w:tcW w:w="1409"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1 day</w:t>
            </w:r>
          </w:p>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(1 no per</w:t>
            </w:r>
            <w:r w:rsidR="00EF4BA9">
              <w:rPr>
                <w:rFonts w:ascii="Arial Narrow" w:hAnsi="Arial Narrow"/>
                <w:sz w:val="18"/>
                <w:szCs w:val="18"/>
              </w:rPr>
              <w:t>/1 3 years</w:t>
            </w:r>
            <w:r>
              <w:rPr>
                <w:rFonts w:ascii="Arial Narrow" w:hAnsi="Arial Narrow"/>
                <w:sz w:val="18"/>
                <w:szCs w:val="18"/>
              </w:rPr>
              <w:t>)</w:t>
            </w:r>
          </w:p>
        </w:tc>
      </w:tr>
      <w:tr w:rsidR="00765133" w:rsidRPr="0017451F" w:rsidTr="004A6028">
        <w:trPr>
          <w:tblHeader/>
        </w:trPr>
        <w:tc>
          <w:tcPr>
            <w:tcW w:w="586"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 xml:space="preserve">Duration of PE/PI </w:t>
            </w:r>
            <w:proofErr w:type="spellStart"/>
            <w:r>
              <w:rPr>
                <w:rFonts w:ascii="Arial Narrow" w:hAnsi="Arial Narrow"/>
                <w:sz w:val="18"/>
                <w:szCs w:val="18"/>
              </w:rPr>
              <w:t>post transplant</w:t>
            </w:r>
            <w:proofErr w:type="spellEnd"/>
          </w:p>
        </w:tc>
        <w:tc>
          <w:tcPr>
            <w:tcW w:w="636"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781"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557"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1030" w:type="pct"/>
            <w:vAlign w:val="center"/>
          </w:tcPr>
          <w:p w:rsidR="00765133" w:rsidRDefault="00FB0547" w:rsidP="00EF4BA9">
            <w:pPr>
              <w:pStyle w:val="ListParagraph"/>
              <w:ind w:left="0"/>
              <w:jc w:val="center"/>
              <w:rPr>
                <w:rFonts w:ascii="Arial Narrow" w:hAnsi="Arial Narrow"/>
                <w:sz w:val="18"/>
                <w:szCs w:val="18"/>
              </w:rPr>
            </w:pPr>
            <w:r>
              <w:rPr>
                <w:rFonts w:ascii="Arial Narrow" w:hAnsi="Arial Narrow"/>
                <w:sz w:val="18"/>
                <w:szCs w:val="18"/>
              </w:rPr>
              <w:t xml:space="preserve">2 </w:t>
            </w:r>
            <w:r>
              <w:rPr>
                <w:rFonts w:ascii="Arial Narrow" w:hAnsi="Arial Narrow"/>
                <w:sz w:val="18"/>
                <w:szCs w:val="18"/>
              </w:rPr>
              <w:sym w:font="Wingdings 2" w:char="F0CD"/>
            </w:r>
            <w:r>
              <w:rPr>
                <w:rFonts w:ascii="Arial Narrow" w:hAnsi="Arial Narrow"/>
                <w:sz w:val="18"/>
                <w:szCs w:val="18"/>
              </w:rPr>
              <w:t>daily for 7 days</w:t>
            </w:r>
          </w:p>
          <w:p w:rsidR="00FB0547" w:rsidRDefault="00FB0547" w:rsidP="00EF4BA9">
            <w:pPr>
              <w:pStyle w:val="ListParagraph"/>
              <w:ind w:left="0"/>
              <w:jc w:val="center"/>
              <w:rPr>
                <w:rFonts w:ascii="Arial Narrow" w:hAnsi="Arial Narrow"/>
                <w:sz w:val="18"/>
                <w:szCs w:val="18"/>
              </w:rPr>
            </w:pPr>
            <w:r>
              <w:rPr>
                <w:rFonts w:ascii="Arial Narrow" w:hAnsi="Arial Narrow"/>
                <w:sz w:val="18"/>
                <w:szCs w:val="18"/>
              </w:rPr>
              <w:t xml:space="preserve">1 </w:t>
            </w:r>
            <w:r>
              <w:rPr>
                <w:rFonts w:ascii="Arial Narrow" w:hAnsi="Arial Narrow"/>
                <w:sz w:val="18"/>
                <w:szCs w:val="18"/>
              </w:rPr>
              <w:sym w:font="Wingdings 2" w:char="F0CD"/>
            </w:r>
            <w:r>
              <w:rPr>
                <w:rFonts w:ascii="Arial Narrow" w:hAnsi="Arial Narrow"/>
                <w:sz w:val="18"/>
                <w:szCs w:val="18"/>
              </w:rPr>
              <w:t xml:space="preserve"> </w:t>
            </w:r>
            <w:r w:rsidR="00380A2D">
              <w:rPr>
                <w:rFonts w:ascii="Arial Narrow" w:hAnsi="Arial Narrow"/>
                <w:sz w:val="18"/>
                <w:szCs w:val="18"/>
              </w:rPr>
              <w:t>weekly 2months then bi weekly</w:t>
            </w:r>
          </w:p>
          <w:p w:rsidR="00380A2D" w:rsidRDefault="00380A2D" w:rsidP="00EF4BA9">
            <w:pPr>
              <w:pStyle w:val="ListParagraph"/>
              <w:ind w:left="0"/>
              <w:jc w:val="center"/>
              <w:rPr>
                <w:rFonts w:ascii="Arial Narrow" w:hAnsi="Arial Narrow"/>
                <w:sz w:val="18"/>
                <w:szCs w:val="18"/>
              </w:rPr>
            </w:pPr>
            <w:r>
              <w:rPr>
                <w:rFonts w:ascii="Arial Narrow" w:hAnsi="Arial Narrow"/>
                <w:sz w:val="18"/>
                <w:szCs w:val="18"/>
              </w:rPr>
              <w:t xml:space="preserve">1 </w:t>
            </w:r>
            <w:r>
              <w:rPr>
                <w:rFonts w:ascii="Arial Narrow" w:hAnsi="Arial Narrow"/>
                <w:sz w:val="18"/>
                <w:szCs w:val="18"/>
              </w:rPr>
              <w:sym w:font="Wingdings 2" w:char="F0CD"/>
            </w:r>
            <w:r>
              <w:rPr>
                <w:rFonts w:ascii="Arial Narrow" w:hAnsi="Arial Narrow"/>
                <w:sz w:val="18"/>
                <w:szCs w:val="18"/>
              </w:rPr>
              <w:t xml:space="preserve"> weekly</w:t>
            </w:r>
          </w:p>
        </w:tc>
        <w:tc>
          <w:tcPr>
            <w:tcW w:w="1409"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17 days</w:t>
            </w:r>
            <w:r w:rsidR="00787DF7">
              <w:rPr>
                <w:rFonts w:ascii="Arial Narrow" w:hAnsi="Arial Narrow"/>
                <w:sz w:val="18"/>
                <w:szCs w:val="18"/>
              </w:rPr>
              <w:t xml:space="preserve"> </w:t>
            </w:r>
            <w:r>
              <w:rPr>
                <w:rFonts w:ascii="Arial Narrow" w:hAnsi="Arial Narrow"/>
                <w:sz w:val="18"/>
                <w:szCs w:val="18"/>
              </w:rPr>
              <w:t>-36 months</w:t>
            </w:r>
          </w:p>
        </w:tc>
      </w:tr>
      <w:tr w:rsidR="00765133" w:rsidRPr="0017451F" w:rsidTr="004A6028">
        <w:trPr>
          <w:tblHeader/>
        </w:trPr>
        <w:tc>
          <w:tcPr>
            <w:tcW w:w="586"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 xml:space="preserve">Dialysis required </w:t>
            </w:r>
            <w:proofErr w:type="spellStart"/>
            <w:r>
              <w:rPr>
                <w:rFonts w:ascii="Arial Narrow" w:hAnsi="Arial Narrow"/>
                <w:sz w:val="18"/>
                <w:szCs w:val="18"/>
              </w:rPr>
              <w:t>post transplant</w:t>
            </w:r>
            <w:proofErr w:type="spellEnd"/>
            <w:r>
              <w:rPr>
                <w:rFonts w:ascii="Arial Narrow" w:hAnsi="Arial Narrow"/>
                <w:sz w:val="18"/>
                <w:szCs w:val="18"/>
              </w:rPr>
              <w:t>, N</w:t>
            </w:r>
          </w:p>
        </w:tc>
        <w:tc>
          <w:tcPr>
            <w:tcW w:w="636"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781"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NR</w:t>
            </w:r>
          </w:p>
        </w:tc>
        <w:tc>
          <w:tcPr>
            <w:tcW w:w="557" w:type="pct"/>
            <w:vAlign w:val="center"/>
          </w:tcPr>
          <w:p w:rsidR="00765133" w:rsidRPr="00EF4BA9" w:rsidRDefault="00EF4BA9" w:rsidP="00EF4BA9">
            <w:pPr>
              <w:pStyle w:val="ListParagraph"/>
              <w:ind w:left="0"/>
              <w:jc w:val="center"/>
              <w:rPr>
                <w:rFonts w:ascii="Arial Narrow" w:hAnsi="Arial Narrow"/>
                <w:sz w:val="18"/>
                <w:szCs w:val="18"/>
              </w:rPr>
            </w:pPr>
            <w:r>
              <w:rPr>
                <w:rFonts w:ascii="Arial Narrow" w:hAnsi="Arial Narrow"/>
                <w:sz w:val="18"/>
                <w:szCs w:val="18"/>
              </w:rPr>
              <w:t>0</w:t>
            </w:r>
          </w:p>
        </w:tc>
        <w:tc>
          <w:tcPr>
            <w:tcW w:w="1030" w:type="pct"/>
            <w:vAlign w:val="center"/>
          </w:tcPr>
          <w:p w:rsidR="00765133" w:rsidRDefault="00380A2D" w:rsidP="00EF4BA9">
            <w:pPr>
              <w:pStyle w:val="ListParagraph"/>
              <w:ind w:left="0"/>
              <w:jc w:val="center"/>
              <w:rPr>
                <w:rFonts w:ascii="Arial Narrow" w:hAnsi="Arial Narrow"/>
                <w:sz w:val="18"/>
                <w:szCs w:val="18"/>
              </w:rPr>
            </w:pPr>
            <w:r>
              <w:rPr>
                <w:rFonts w:ascii="Arial Narrow" w:hAnsi="Arial Narrow"/>
                <w:sz w:val="18"/>
                <w:szCs w:val="18"/>
              </w:rPr>
              <w:t>0</w:t>
            </w:r>
          </w:p>
        </w:tc>
        <w:tc>
          <w:tcPr>
            <w:tcW w:w="1409" w:type="pct"/>
            <w:vAlign w:val="center"/>
          </w:tcPr>
          <w:p w:rsidR="00765133" w:rsidRPr="0017451F" w:rsidRDefault="00EF4BA9" w:rsidP="00EF4BA9">
            <w:pPr>
              <w:pStyle w:val="ListParagraph"/>
              <w:ind w:left="0"/>
              <w:jc w:val="center"/>
              <w:rPr>
                <w:rFonts w:ascii="Arial Narrow" w:hAnsi="Arial Narrow"/>
                <w:sz w:val="18"/>
                <w:szCs w:val="18"/>
              </w:rPr>
            </w:pPr>
            <w:r>
              <w:rPr>
                <w:rFonts w:ascii="Arial Narrow" w:hAnsi="Arial Narrow"/>
                <w:sz w:val="18"/>
                <w:szCs w:val="18"/>
              </w:rPr>
              <w:t>2</w:t>
            </w:r>
            <w:r w:rsidR="00765133">
              <w:rPr>
                <w:rFonts w:ascii="Arial Narrow" w:hAnsi="Arial Narrow"/>
                <w:sz w:val="18"/>
                <w:szCs w:val="18"/>
              </w:rPr>
              <w:t xml:space="preserve"> (</w:t>
            </w:r>
            <w:r>
              <w:rPr>
                <w:rFonts w:ascii="Arial Narrow" w:hAnsi="Arial Narrow"/>
                <w:sz w:val="18"/>
                <w:szCs w:val="18"/>
              </w:rPr>
              <w:t>20</w:t>
            </w:r>
            <w:r w:rsidR="00765133">
              <w:rPr>
                <w:rFonts w:ascii="Arial Narrow" w:hAnsi="Arial Narrow"/>
                <w:sz w:val="18"/>
                <w:szCs w:val="18"/>
              </w:rPr>
              <w:t>%)</w:t>
            </w:r>
          </w:p>
        </w:tc>
      </w:tr>
      <w:tr w:rsidR="00765133" w:rsidRPr="0017451F" w:rsidTr="004A6028">
        <w:trPr>
          <w:tblHeader/>
        </w:trPr>
        <w:tc>
          <w:tcPr>
            <w:tcW w:w="586" w:type="pct"/>
            <w:vAlign w:val="center"/>
          </w:tcPr>
          <w:p w:rsidR="00765133" w:rsidRPr="00E57BA7" w:rsidRDefault="00765133" w:rsidP="00EF4BA9">
            <w:pPr>
              <w:pStyle w:val="Tabletext"/>
              <w:jc w:val="center"/>
              <w:rPr>
                <w:rFonts w:ascii="Arial Narrow" w:hAnsi="Arial Narrow"/>
                <w:sz w:val="18"/>
                <w:szCs w:val="18"/>
              </w:rPr>
            </w:pPr>
            <w:r w:rsidRPr="0031168A">
              <w:rPr>
                <w:rFonts w:ascii="Arial Narrow" w:hAnsi="Arial Narrow"/>
                <w:sz w:val="18"/>
                <w:szCs w:val="18"/>
              </w:rPr>
              <w:t>Recurrence of TMA in patients N</w:t>
            </w:r>
          </w:p>
        </w:tc>
        <w:tc>
          <w:tcPr>
            <w:tcW w:w="636"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3 (33%)</w:t>
            </w:r>
          </w:p>
        </w:tc>
        <w:tc>
          <w:tcPr>
            <w:tcW w:w="781"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1.4</w:t>
            </w:r>
          </w:p>
          <w:p w:rsidR="00765133" w:rsidRPr="0017451F" w:rsidRDefault="00765133" w:rsidP="00EF4BA9">
            <w:pPr>
              <w:pStyle w:val="ListParagraph"/>
              <w:ind w:left="0"/>
              <w:jc w:val="center"/>
              <w:rPr>
                <w:rFonts w:ascii="Arial Narrow" w:hAnsi="Arial Narrow"/>
                <w:sz w:val="18"/>
                <w:szCs w:val="18"/>
              </w:rPr>
            </w:pPr>
            <w:r w:rsidRPr="003F508F">
              <w:rPr>
                <w:rFonts w:ascii="Arial Narrow" w:hAnsi="Arial Narrow"/>
                <w:sz w:val="18"/>
                <w:szCs w:val="18"/>
              </w:rPr>
              <w:t xml:space="preserve">(event/patient/10 </w:t>
            </w:r>
            <w:proofErr w:type="spellStart"/>
            <w:r w:rsidRPr="003F508F">
              <w:rPr>
                <w:rFonts w:ascii="Arial Narrow" w:hAnsi="Arial Narrow"/>
                <w:sz w:val="18"/>
                <w:szCs w:val="18"/>
              </w:rPr>
              <w:t>yrs</w:t>
            </w:r>
            <w:proofErr w:type="spellEnd"/>
            <w:r w:rsidRPr="003F508F">
              <w:rPr>
                <w:rFonts w:ascii="Arial Narrow" w:hAnsi="Arial Narrow"/>
                <w:sz w:val="18"/>
                <w:szCs w:val="18"/>
              </w:rPr>
              <w:t>)</w:t>
            </w:r>
          </w:p>
        </w:tc>
        <w:tc>
          <w:tcPr>
            <w:tcW w:w="557"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0</w:t>
            </w:r>
          </w:p>
        </w:tc>
        <w:tc>
          <w:tcPr>
            <w:tcW w:w="1030" w:type="pct"/>
            <w:vAlign w:val="center"/>
          </w:tcPr>
          <w:p w:rsidR="00765133" w:rsidRDefault="0043148C" w:rsidP="00EF4BA9">
            <w:pPr>
              <w:pStyle w:val="ListParagraph"/>
              <w:ind w:left="0"/>
              <w:jc w:val="center"/>
              <w:rPr>
                <w:rFonts w:ascii="Arial Narrow" w:hAnsi="Arial Narrow"/>
                <w:sz w:val="18"/>
                <w:szCs w:val="18"/>
              </w:rPr>
            </w:pPr>
            <w:r>
              <w:rPr>
                <w:rFonts w:ascii="Arial Narrow" w:hAnsi="Arial Narrow"/>
                <w:sz w:val="18"/>
                <w:szCs w:val="18"/>
              </w:rPr>
              <w:t>2</w:t>
            </w:r>
          </w:p>
        </w:tc>
        <w:tc>
          <w:tcPr>
            <w:tcW w:w="1409" w:type="pct"/>
            <w:vAlign w:val="center"/>
          </w:tcPr>
          <w:p w:rsidR="00765133" w:rsidRPr="0017451F" w:rsidRDefault="00EF4BA9" w:rsidP="00EF4BA9">
            <w:pPr>
              <w:pStyle w:val="ListParagraph"/>
              <w:ind w:left="0"/>
              <w:jc w:val="center"/>
              <w:rPr>
                <w:rFonts w:ascii="Arial Narrow" w:hAnsi="Arial Narrow"/>
                <w:sz w:val="18"/>
                <w:szCs w:val="18"/>
              </w:rPr>
            </w:pPr>
            <w:r>
              <w:rPr>
                <w:rFonts w:ascii="Arial Narrow" w:hAnsi="Arial Narrow"/>
                <w:sz w:val="18"/>
                <w:szCs w:val="18"/>
              </w:rPr>
              <w:t>4</w:t>
            </w:r>
            <w:r w:rsidR="00765133">
              <w:rPr>
                <w:rFonts w:ascii="Arial Narrow" w:hAnsi="Arial Narrow"/>
                <w:sz w:val="18"/>
                <w:szCs w:val="18"/>
              </w:rPr>
              <w:t xml:space="preserve"> (</w:t>
            </w:r>
            <w:r>
              <w:rPr>
                <w:rFonts w:ascii="Arial Narrow" w:hAnsi="Arial Narrow"/>
                <w:sz w:val="18"/>
                <w:szCs w:val="18"/>
              </w:rPr>
              <w:t>40</w:t>
            </w:r>
            <w:r w:rsidR="00765133">
              <w:rPr>
                <w:rFonts w:ascii="Arial Narrow" w:hAnsi="Arial Narrow"/>
                <w:sz w:val="18"/>
                <w:szCs w:val="18"/>
              </w:rPr>
              <w:t>%)</w:t>
            </w:r>
          </w:p>
        </w:tc>
      </w:tr>
      <w:tr w:rsidR="00765133" w:rsidRPr="0017451F" w:rsidTr="004A6028">
        <w:trPr>
          <w:tblHeader/>
        </w:trPr>
        <w:tc>
          <w:tcPr>
            <w:tcW w:w="586" w:type="pct"/>
            <w:vAlign w:val="center"/>
          </w:tcPr>
          <w:p w:rsidR="00765133" w:rsidRPr="00E57BA7" w:rsidRDefault="00765133" w:rsidP="00EF4BA9">
            <w:pPr>
              <w:pStyle w:val="Tabletext"/>
              <w:jc w:val="center"/>
              <w:rPr>
                <w:rFonts w:ascii="Arial Narrow" w:hAnsi="Arial Narrow"/>
                <w:sz w:val="18"/>
                <w:szCs w:val="18"/>
              </w:rPr>
            </w:pPr>
            <w:r w:rsidRPr="00E57BA7">
              <w:rPr>
                <w:rFonts w:ascii="Arial Narrow" w:hAnsi="Arial Narrow"/>
                <w:sz w:val="18"/>
                <w:szCs w:val="18"/>
              </w:rPr>
              <w:t>Satisfactory allograft function at last follow-up, N (%)</w:t>
            </w:r>
          </w:p>
        </w:tc>
        <w:tc>
          <w:tcPr>
            <w:tcW w:w="636"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9</w:t>
            </w:r>
          </w:p>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 xml:space="preserve">(3 rescued with </w:t>
            </w:r>
            <w:proofErr w:type="spellStart"/>
            <w:r>
              <w:rPr>
                <w:rFonts w:ascii="Arial Narrow" w:hAnsi="Arial Narrow"/>
                <w:sz w:val="18"/>
                <w:szCs w:val="18"/>
              </w:rPr>
              <w:t>Ec</w:t>
            </w:r>
            <w:proofErr w:type="spellEnd"/>
            <w:r>
              <w:rPr>
                <w:rFonts w:ascii="Arial Narrow" w:hAnsi="Arial Narrow"/>
                <w:sz w:val="18"/>
                <w:szCs w:val="18"/>
              </w:rPr>
              <w:t xml:space="preserve"> post TMA)</w:t>
            </w:r>
          </w:p>
        </w:tc>
        <w:tc>
          <w:tcPr>
            <w:tcW w:w="781"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4</w:t>
            </w:r>
          </w:p>
        </w:tc>
        <w:tc>
          <w:tcPr>
            <w:tcW w:w="557"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2</w:t>
            </w:r>
          </w:p>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(15 and 9 months follow-up)</w:t>
            </w:r>
          </w:p>
        </w:tc>
        <w:tc>
          <w:tcPr>
            <w:tcW w:w="1030" w:type="pct"/>
            <w:vAlign w:val="center"/>
          </w:tcPr>
          <w:p w:rsidR="00765133" w:rsidRDefault="00380A2D" w:rsidP="00EF4BA9">
            <w:pPr>
              <w:pStyle w:val="ListParagraph"/>
              <w:ind w:left="0"/>
              <w:jc w:val="center"/>
              <w:rPr>
                <w:rFonts w:ascii="Arial Narrow" w:hAnsi="Arial Narrow"/>
                <w:sz w:val="18"/>
                <w:szCs w:val="18"/>
              </w:rPr>
            </w:pPr>
            <w:r>
              <w:rPr>
                <w:rFonts w:ascii="Arial Narrow" w:hAnsi="Arial Narrow"/>
                <w:sz w:val="18"/>
                <w:szCs w:val="18"/>
              </w:rPr>
              <w:t>1</w:t>
            </w:r>
          </w:p>
        </w:tc>
        <w:tc>
          <w:tcPr>
            <w:tcW w:w="1409" w:type="pct"/>
            <w:vAlign w:val="center"/>
          </w:tcPr>
          <w:p w:rsidR="00765133" w:rsidRDefault="00EF4BA9" w:rsidP="00EF4BA9">
            <w:pPr>
              <w:pStyle w:val="ListParagraph"/>
              <w:ind w:left="0"/>
              <w:jc w:val="center"/>
              <w:rPr>
                <w:rFonts w:ascii="Arial Narrow" w:hAnsi="Arial Narrow"/>
                <w:sz w:val="18"/>
                <w:szCs w:val="18"/>
              </w:rPr>
            </w:pPr>
            <w:r>
              <w:rPr>
                <w:rFonts w:ascii="Arial Narrow" w:hAnsi="Arial Narrow"/>
                <w:sz w:val="18"/>
                <w:szCs w:val="18"/>
              </w:rPr>
              <w:t>8</w:t>
            </w:r>
          </w:p>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w:t>
            </w:r>
            <w:r w:rsidR="00EF4BA9">
              <w:rPr>
                <w:rFonts w:ascii="Arial Narrow" w:hAnsi="Arial Narrow"/>
                <w:sz w:val="18"/>
                <w:szCs w:val="18"/>
              </w:rPr>
              <w:t>2</w:t>
            </w:r>
            <w:r>
              <w:rPr>
                <w:rFonts w:ascii="Arial Narrow" w:hAnsi="Arial Narrow"/>
                <w:sz w:val="18"/>
                <w:szCs w:val="18"/>
              </w:rPr>
              <w:t xml:space="preserve"> rescued with EC post TMA)</w:t>
            </w:r>
          </w:p>
          <w:p w:rsidR="00EF4BA9" w:rsidRPr="0017451F" w:rsidRDefault="00EF4BA9" w:rsidP="00EF4BA9">
            <w:pPr>
              <w:pStyle w:val="ListParagraph"/>
              <w:ind w:left="0"/>
              <w:jc w:val="center"/>
              <w:rPr>
                <w:rFonts w:ascii="Arial Narrow" w:hAnsi="Arial Narrow"/>
                <w:sz w:val="18"/>
                <w:szCs w:val="18"/>
              </w:rPr>
            </w:pPr>
            <w:r>
              <w:rPr>
                <w:rFonts w:ascii="Arial Narrow" w:hAnsi="Arial Narrow"/>
                <w:sz w:val="18"/>
                <w:szCs w:val="18"/>
              </w:rPr>
              <w:t xml:space="preserve">(1 was not able to be </w:t>
            </w:r>
            <w:r w:rsidR="00A752AF">
              <w:rPr>
                <w:rFonts w:ascii="Arial Narrow" w:hAnsi="Arial Narrow"/>
                <w:sz w:val="18"/>
                <w:szCs w:val="18"/>
              </w:rPr>
              <w:t>stabilised</w:t>
            </w:r>
            <w:r>
              <w:rPr>
                <w:rFonts w:ascii="Arial Narrow" w:hAnsi="Arial Narrow"/>
                <w:sz w:val="18"/>
                <w:szCs w:val="18"/>
              </w:rPr>
              <w:t xml:space="preserve"> with </w:t>
            </w:r>
            <w:proofErr w:type="spellStart"/>
            <w:r>
              <w:rPr>
                <w:rFonts w:ascii="Arial Narrow" w:hAnsi="Arial Narrow"/>
                <w:sz w:val="18"/>
                <w:szCs w:val="18"/>
              </w:rPr>
              <w:t>Ec</w:t>
            </w:r>
            <w:proofErr w:type="spellEnd"/>
            <w:r>
              <w:rPr>
                <w:rFonts w:ascii="Arial Narrow" w:hAnsi="Arial Narrow"/>
                <w:sz w:val="18"/>
                <w:szCs w:val="18"/>
              </w:rPr>
              <w:t xml:space="preserve"> after TMA)</w:t>
            </w:r>
          </w:p>
        </w:tc>
      </w:tr>
      <w:tr w:rsidR="00765133" w:rsidRPr="0017451F" w:rsidTr="004A6028">
        <w:trPr>
          <w:tblHeader/>
        </w:trPr>
        <w:tc>
          <w:tcPr>
            <w:tcW w:w="586" w:type="pct"/>
            <w:vAlign w:val="center"/>
          </w:tcPr>
          <w:p w:rsidR="00765133" w:rsidRPr="008C1F6E" w:rsidRDefault="00765133" w:rsidP="00EF4BA9">
            <w:pPr>
              <w:pStyle w:val="Tabletext"/>
              <w:jc w:val="center"/>
              <w:rPr>
                <w:rFonts w:ascii="Arial Narrow" w:hAnsi="Arial Narrow"/>
                <w:sz w:val="18"/>
                <w:szCs w:val="18"/>
              </w:rPr>
            </w:pPr>
            <w:r w:rsidRPr="008C1F6E">
              <w:rPr>
                <w:rFonts w:ascii="Arial Narrow" w:hAnsi="Arial Narrow"/>
                <w:sz w:val="18"/>
                <w:szCs w:val="18"/>
              </w:rPr>
              <w:t>Death (all causes) N (%)</w:t>
            </w:r>
          </w:p>
        </w:tc>
        <w:tc>
          <w:tcPr>
            <w:tcW w:w="636"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0</w:t>
            </w:r>
          </w:p>
        </w:tc>
        <w:tc>
          <w:tcPr>
            <w:tcW w:w="781"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0</w:t>
            </w:r>
          </w:p>
        </w:tc>
        <w:tc>
          <w:tcPr>
            <w:tcW w:w="557"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0</w:t>
            </w:r>
          </w:p>
        </w:tc>
        <w:tc>
          <w:tcPr>
            <w:tcW w:w="1030" w:type="pct"/>
            <w:vAlign w:val="center"/>
          </w:tcPr>
          <w:p w:rsidR="00765133" w:rsidRDefault="00380A2D" w:rsidP="00EF4BA9">
            <w:pPr>
              <w:pStyle w:val="ListParagraph"/>
              <w:ind w:left="0"/>
              <w:jc w:val="center"/>
              <w:rPr>
                <w:rFonts w:ascii="Arial Narrow" w:hAnsi="Arial Narrow"/>
                <w:sz w:val="18"/>
                <w:szCs w:val="18"/>
              </w:rPr>
            </w:pPr>
            <w:r>
              <w:rPr>
                <w:rFonts w:ascii="Arial Narrow" w:hAnsi="Arial Narrow"/>
                <w:sz w:val="18"/>
                <w:szCs w:val="18"/>
              </w:rPr>
              <w:t>0</w:t>
            </w:r>
          </w:p>
        </w:tc>
        <w:tc>
          <w:tcPr>
            <w:tcW w:w="1409"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0</w:t>
            </w:r>
          </w:p>
        </w:tc>
      </w:tr>
      <w:tr w:rsidR="00765133" w:rsidRPr="0017451F" w:rsidTr="004A6028">
        <w:trPr>
          <w:tblHeader/>
        </w:trPr>
        <w:tc>
          <w:tcPr>
            <w:tcW w:w="586" w:type="pct"/>
            <w:vAlign w:val="center"/>
          </w:tcPr>
          <w:p w:rsidR="00765133" w:rsidRPr="008C1F6E" w:rsidRDefault="00765133" w:rsidP="00EF4BA9">
            <w:pPr>
              <w:pStyle w:val="Tabletext"/>
              <w:jc w:val="center"/>
              <w:rPr>
                <w:rFonts w:ascii="Arial Narrow" w:hAnsi="Arial Narrow"/>
                <w:sz w:val="18"/>
                <w:szCs w:val="18"/>
              </w:rPr>
            </w:pPr>
            <w:r>
              <w:rPr>
                <w:rFonts w:ascii="Arial Narrow" w:hAnsi="Arial Narrow"/>
                <w:sz w:val="18"/>
                <w:szCs w:val="18"/>
              </w:rPr>
              <w:t>Other related information</w:t>
            </w:r>
          </w:p>
        </w:tc>
        <w:tc>
          <w:tcPr>
            <w:tcW w:w="636" w:type="pct"/>
            <w:vAlign w:val="center"/>
          </w:tcPr>
          <w:p w:rsidR="00765133" w:rsidRPr="003F508F" w:rsidRDefault="00765133" w:rsidP="00EF4BA9">
            <w:pPr>
              <w:pStyle w:val="ListParagraph"/>
              <w:ind w:left="-114"/>
              <w:jc w:val="center"/>
              <w:rPr>
                <w:rFonts w:ascii="Arial Narrow" w:hAnsi="Arial Narrow"/>
                <w:sz w:val="18"/>
                <w:szCs w:val="18"/>
              </w:rPr>
            </w:pPr>
            <w:r>
              <w:rPr>
                <w:rFonts w:ascii="Arial Narrow" w:hAnsi="Arial Narrow"/>
                <w:sz w:val="18"/>
                <w:szCs w:val="18"/>
              </w:rPr>
              <w:t>pre-</w:t>
            </w:r>
            <w:r w:rsidRPr="003F508F">
              <w:rPr>
                <w:rFonts w:ascii="Arial Narrow" w:hAnsi="Arial Narrow"/>
                <w:sz w:val="18"/>
                <w:szCs w:val="18"/>
              </w:rPr>
              <w:t xml:space="preserve">emptive </w:t>
            </w:r>
            <w:proofErr w:type="spellStart"/>
            <w:r w:rsidRPr="003F508F">
              <w:rPr>
                <w:rFonts w:ascii="Arial Narrow" w:hAnsi="Arial Narrow"/>
                <w:sz w:val="18"/>
                <w:szCs w:val="18"/>
              </w:rPr>
              <w:t>plasmatherapy</w:t>
            </w:r>
            <w:proofErr w:type="spellEnd"/>
            <w:r w:rsidRPr="003F508F">
              <w:rPr>
                <w:rFonts w:ascii="Arial Narrow" w:hAnsi="Arial Narrow"/>
                <w:sz w:val="18"/>
                <w:szCs w:val="18"/>
              </w:rPr>
              <w:t xml:space="preserve"> decreased graft loss RR = 0.11</w:t>
            </w:r>
          </w:p>
          <w:p w:rsidR="00765133" w:rsidRDefault="00765133" w:rsidP="00EF4BA9">
            <w:pPr>
              <w:pStyle w:val="ListParagraph"/>
              <w:ind w:left="-114"/>
              <w:jc w:val="center"/>
              <w:rPr>
                <w:rFonts w:ascii="Arial Narrow" w:hAnsi="Arial Narrow"/>
                <w:sz w:val="18"/>
                <w:szCs w:val="18"/>
              </w:rPr>
            </w:pPr>
            <w:r w:rsidRPr="003F508F">
              <w:rPr>
                <w:rFonts w:ascii="Arial Narrow" w:hAnsi="Arial Narrow"/>
                <w:sz w:val="18"/>
                <w:szCs w:val="18"/>
              </w:rPr>
              <w:t>[0.01–0.84]</w:t>
            </w:r>
          </w:p>
          <w:p w:rsidR="00765133" w:rsidRDefault="00765133" w:rsidP="00EF4BA9">
            <w:pPr>
              <w:pStyle w:val="ListParagraph"/>
              <w:ind w:left="-114"/>
              <w:jc w:val="center"/>
              <w:rPr>
                <w:rFonts w:ascii="Arial Narrow" w:hAnsi="Arial Narrow"/>
                <w:sz w:val="18"/>
                <w:szCs w:val="18"/>
              </w:rPr>
            </w:pPr>
            <w:r>
              <w:rPr>
                <w:rFonts w:ascii="Arial Narrow" w:hAnsi="Arial Narrow"/>
                <w:sz w:val="18"/>
                <w:szCs w:val="18"/>
              </w:rPr>
              <w:t>p = 0.035</w:t>
            </w:r>
          </w:p>
          <w:p w:rsidR="00765133" w:rsidRDefault="00765133" w:rsidP="00EF4BA9">
            <w:pPr>
              <w:pStyle w:val="ListParagraph"/>
              <w:ind w:left="-114"/>
              <w:jc w:val="center"/>
              <w:rPr>
                <w:rFonts w:ascii="Arial Narrow" w:hAnsi="Arial Narrow"/>
                <w:sz w:val="18"/>
                <w:szCs w:val="18"/>
              </w:rPr>
            </w:pPr>
            <w:proofErr w:type="gramStart"/>
            <w:r>
              <w:rPr>
                <w:rFonts w:ascii="Arial Narrow" w:hAnsi="Arial Narrow"/>
                <w:sz w:val="18"/>
                <w:szCs w:val="18"/>
              </w:rPr>
              <w:t>decreased</w:t>
            </w:r>
            <w:proofErr w:type="gramEnd"/>
            <w:r>
              <w:rPr>
                <w:rFonts w:ascii="Arial Narrow" w:hAnsi="Arial Narrow"/>
                <w:sz w:val="18"/>
                <w:szCs w:val="18"/>
              </w:rPr>
              <w:t xml:space="preserve"> </w:t>
            </w:r>
            <w:r w:rsidRPr="003F508F">
              <w:rPr>
                <w:rFonts w:ascii="Arial Narrow" w:hAnsi="Arial Narrow"/>
                <w:sz w:val="18"/>
                <w:szCs w:val="18"/>
              </w:rPr>
              <w:t>disease recurrence RR = 0.34 [0.10–1.13] p =0.078.</w:t>
            </w:r>
          </w:p>
        </w:tc>
        <w:tc>
          <w:tcPr>
            <w:tcW w:w="781"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 xml:space="preserve">All patients received </w:t>
            </w:r>
            <w:proofErr w:type="spellStart"/>
            <w:r>
              <w:rPr>
                <w:rFonts w:ascii="Arial Narrow" w:hAnsi="Arial Narrow"/>
                <w:sz w:val="18"/>
                <w:szCs w:val="18"/>
              </w:rPr>
              <w:t>Ec</w:t>
            </w:r>
            <w:proofErr w:type="spellEnd"/>
            <w:r>
              <w:rPr>
                <w:rFonts w:ascii="Arial Narrow" w:hAnsi="Arial Narrow"/>
                <w:sz w:val="18"/>
                <w:szCs w:val="18"/>
              </w:rPr>
              <w:t xml:space="preserve"> when it became available.</w:t>
            </w:r>
          </w:p>
        </w:tc>
        <w:tc>
          <w:tcPr>
            <w:tcW w:w="557" w:type="pct"/>
            <w:vAlign w:val="center"/>
          </w:tcPr>
          <w:p w:rsidR="00765133" w:rsidRPr="0017451F" w:rsidRDefault="00765133" w:rsidP="00EF4BA9">
            <w:pPr>
              <w:pStyle w:val="ListParagraph"/>
              <w:ind w:left="0"/>
              <w:jc w:val="center"/>
              <w:rPr>
                <w:rFonts w:ascii="Arial Narrow" w:hAnsi="Arial Narrow"/>
                <w:sz w:val="18"/>
                <w:szCs w:val="18"/>
              </w:rPr>
            </w:pPr>
            <w:r>
              <w:rPr>
                <w:rFonts w:ascii="Arial Narrow" w:hAnsi="Arial Narrow"/>
                <w:sz w:val="18"/>
                <w:szCs w:val="18"/>
              </w:rPr>
              <w:t>Both patients received liver-kidney transplants</w:t>
            </w:r>
          </w:p>
        </w:tc>
        <w:tc>
          <w:tcPr>
            <w:tcW w:w="1030"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 xml:space="preserve">A second monozygotic twin did not </w:t>
            </w:r>
            <w:r w:rsidR="0043148C">
              <w:rPr>
                <w:rFonts w:ascii="Arial Narrow" w:hAnsi="Arial Narrow"/>
                <w:sz w:val="18"/>
                <w:szCs w:val="18"/>
              </w:rPr>
              <w:t>require a transplant after native kidney was rescued by</w:t>
            </w:r>
            <w:r w:rsidR="00FB0547">
              <w:rPr>
                <w:rFonts w:ascii="Arial Narrow" w:hAnsi="Arial Narrow"/>
                <w:sz w:val="18"/>
                <w:szCs w:val="18"/>
              </w:rPr>
              <w:t xml:space="preserve"> weekly and then biweekly </w:t>
            </w:r>
            <w:r w:rsidR="0043148C">
              <w:rPr>
                <w:rFonts w:ascii="Arial Narrow" w:hAnsi="Arial Narrow"/>
                <w:sz w:val="18"/>
                <w:szCs w:val="18"/>
              </w:rPr>
              <w:t>PE</w:t>
            </w:r>
            <w:r w:rsidR="00FB0547">
              <w:rPr>
                <w:rFonts w:ascii="Arial Narrow" w:hAnsi="Arial Narrow"/>
                <w:sz w:val="18"/>
                <w:szCs w:val="18"/>
              </w:rPr>
              <w:t xml:space="preserve"> indefinitely </w:t>
            </w:r>
            <w:r w:rsidR="0043148C">
              <w:rPr>
                <w:rFonts w:ascii="Arial Narrow" w:hAnsi="Arial Narrow"/>
                <w:sz w:val="18"/>
                <w:szCs w:val="18"/>
              </w:rPr>
              <w:t>with 6 years follow up.</w:t>
            </w:r>
          </w:p>
          <w:p w:rsidR="00B3397A" w:rsidRDefault="00B3397A" w:rsidP="00EF4BA9">
            <w:pPr>
              <w:pStyle w:val="ListParagraph"/>
              <w:ind w:left="0"/>
              <w:jc w:val="center"/>
              <w:rPr>
                <w:rFonts w:ascii="Arial Narrow" w:hAnsi="Arial Narrow"/>
                <w:sz w:val="18"/>
                <w:szCs w:val="18"/>
              </w:rPr>
            </w:pPr>
            <w:r>
              <w:rPr>
                <w:rFonts w:ascii="Arial Narrow" w:hAnsi="Arial Narrow"/>
                <w:sz w:val="18"/>
                <w:szCs w:val="18"/>
              </w:rPr>
              <w:t>Twin one had PE intensified to daily during two TMA recurrences with functionality restored</w:t>
            </w:r>
          </w:p>
        </w:tc>
        <w:tc>
          <w:tcPr>
            <w:tcW w:w="1409" w:type="pct"/>
            <w:vAlign w:val="center"/>
          </w:tcPr>
          <w:p w:rsidR="00765133" w:rsidRDefault="00765133" w:rsidP="00EF4BA9">
            <w:pPr>
              <w:pStyle w:val="ListParagraph"/>
              <w:ind w:left="0"/>
              <w:jc w:val="center"/>
              <w:rPr>
                <w:rFonts w:ascii="Arial Narrow" w:hAnsi="Arial Narrow"/>
                <w:sz w:val="18"/>
                <w:szCs w:val="18"/>
              </w:rPr>
            </w:pPr>
            <w:r>
              <w:rPr>
                <w:rFonts w:ascii="Arial Narrow" w:hAnsi="Arial Narrow"/>
                <w:sz w:val="18"/>
                <w:szCs w:val="18"/>
              </w:rPr>
              <w:t xml:space="preserve">Length of </w:t>
            </w:r>
            <w:proofErr w:type="spellStart"/>
            <w:r>
              <w:rPr>
                <w:rFonts w:ascii="Arial Narrow" w:hAnsi="Arial Narrow"/>
                <w:sz w:val="18"/>
                <w:szCs w:val="18"/>
              </w:rPr>
              <w:t>post transplant</w:t>
            </w:r>
            <w:proofErr w:type="spellEnd"/>
            <w:r>
              <w:rPr>
                <w:rFonts w:ascii="Arial Narrow" w:hAnsi="Arial Narrow"/>
                <w:sz w:val="18"/>
                <w:szCs w:val="18"/>
              </w:rPr>
              <w:t xml:space="preserve"> PE/PI very variable.</w:t>
            </w:r>
          </w:p>
          <w:p w:rsidR="00B3397A" w:rsidRDefault="00B3397A" w:rsidP="00EF4BA9">
            <w:pPr>
              <w:pStyle w:val="ListParagraph"/>
              <w:ind w:left="0"/>
              <w:jc w:val="center"/>
              <w:rPr>
                <w:rFonts w:ascii="Arial Narrow" w:hAnsi="Arial Narrow"/>
                <w:sz w:val="18"/>
                <w:szCs w:val="18"/>
              </w:rPr>
            </w:pPr>
            <w:r>
              <w:rPr>
                <w:rFonts w:ascii="Arial Narrow" w:hAnsi="Arial Narrow"/>
                <w:sz w:val="18"/>
                <w:szCs w:val="18"/>
              </w:rPr>
              <w:t xml:space="preserve">One case report was a follow up </w:t>
            </w:r>
            <w:r w:rsidR="00A13719">
              <w:rPr>
                <w:rFonts w:ascii="Arial Narrow" w:hAnsi="Arial Narrow"/>
                <w:sz w:val="18"/>
                <w:szCs w:val="18"/>
              </w:rPr>
              <w:t>3</w:t>
            </w:r>
            <w:r w:rsidR="00A13719" w:rsidRPr="00A13719">
              <w:rPr>
                <w:rFonts w:ascii="Arial Narrow" w:hAnsi="Arial Narrow"/>
                <w:sz w:val="18"/>
                <w:szCs w:val="18"/>
                <w:vertAlign w:val="superscript"/>
              </w:rPr>
              <w:t>rd</w:t>
            </w:r>
            <w:r w:rsidR="00A13719">
              <w:rPr>
                <w:rFonts w:ascii="Arial Narrow" w:hAnsi="Arial Narrow"/>
                <w:sz w:val="18"/>
                <w:szCs w:val="18"/>
              </w:rPr>
              <w:t xml:space="preserve"> transplant </w:t>
            </w:r>
            <w:r>
              <w:rPr>
                <w:rFonts w:ascii="Arial Narrow" w:hAnsi="Arial Narrow"/>
                <w:sz w:val="18"/>
                <w:szCs w:val="18"/>
              </w:rPr>
              <w:t>on 1 patient in Davin 2008.</w:t>
            </w:r>
          </w:p>
          <w:p w:rsidR="00EF4BA9" w:rsidRPr="0017451F" w:rsidRDefault="00EF4BA9" w:rsidP="00EF4BA9">
            <w:pPr>
              <w:pStyle w:val="ListParagraph"/>
              <w:ind w:left="0"/>
              <w:jc w:val="center"/>
              <w:rPr>
                <w:rFonts w:ascii="Arial Narrow" w:hAnsi="Arial Narrow"/>
                <w:sz w:val="18"/>
                <w:szCs w:val="18"/>
              </w:rPr>
            </w:pPr>
            <w:r>
              <w:rPr>
                <w:rFonts w:ascii="Arial Narrow" w:hAnsi="Arial Narrow"/>
                <w:sz w:val="18"/>
                <w:szCs w:val="18"/>
              </w:rPr>
              <w:t>Follow up varied from not reported up to 5 years</w:t>
            </w:r>
          </w:p>
        </w:tc>
      </w:tr>
    </w:tbl>
    <w:p w:rsidR="00EF4BA9" w:rsidRPr="00EF4BA9" w:rsidRDefault="00EF4BA9" w:rsidP="00FD55AD">
      <w:pPr>
        <w:ind w:firstLine="720"/>
        <w:jc w:val="both"/>
        <w:rPr>
          <w:rFonts w:ascii="Arial Narrow" w:hAnsi="Arial Narrow" w:cs="Arial"/>
          <w:sz w:val="18"/>
          <w:szCs w:val="18"/>
        </w:rPr>
      </w:pPr>
      <w:r w:rsidRPr="00EF4BA9">
        <w:rPr>
          <w:rFonts w:ascii="Arial Narrow" w:hAnsi="Arial Narrow" w:cs="Arial"/>
          <w:sz w:val="18"/>
          <w:szCs w:val="18"/>
        </w:rPr>
        <w:t xml:space="preserve">NA = not applicable; NR = not reported; TMA = thrombotic </w:t>
      </w:r>
      <w:proofErr w:type="spellStart"/>
      <w:r w:rsidRPr="00EF4BA9">
        <w:rPr>
          <w:rFonts w:ascii="Arial Narrow" w:hAnsi="Arial Narrow" w:cs="Arial"/>
          <w:sz w:val="18"/>
          <w:szCs w:val="18"/>
        </w:rPr>
        <w:t>mi</w:t>
      </w:r>
      <w:r>
        <w:rPr>
          <w:rFonts w:ascii="Arial Narrow" w:hAnsi="Arial Narrow" w:cs="Arial"/>
          <w:sz w:val="18"/>
          <w:szCs w:val="18"/>
        </w:rPr>
        <w:t>croangiopathy</w:t>
      </w:r>
      <w:proofErr w:type="spellEnd"/>
      <w:r>
        <w:rPr>
          <w:rFonts w:ascii="Arial Narrow" w:hAnsi="Arial Narrow" w:cs="Arial"/>
          <w:sz w:val="18"/>
          <w:szCs w:val="18"/>
        </w:rPr>
        <w:t xml:space="preserve">; </w:t>
      </w:r>
      <w:proofErr w:type="spellStart"/>
      <w:r>
        <w:rPr>
          <w:rFonts w:ascii="Arial Narrow" w:hAnsi="Arial Narrow" w:cs="Arial"/>
          <w:sz w:val="18"/>
          <w:szCs w:val="18"/>
        </w:rPr>
        <w:t>Ec</w:t>
      </w:r>
      <w:proofErr w:type="spellEnd"/>
      <w:r>
        <w:rPr>
          <w:rFonts w:ascii="Arial Narrow" w:hAnsi="Arial Narrow" w:cs="Arial"/>
          <w:sz w:val="18"/>
          <w:szCs w:val="18"/>
        </w:rPr>
        <w:t xml:space="preserve"> = </w:t>
      </w:r>
      <w:proofErr w:type="spellStart"/>
      <w:r>
        <w:rPr>
          <w:rFonts w:ascii="Arial Narrow" w:hAnsi="Arial Narrow" w:cs="Arial"/>
          <w:sz w:val="18"/>
          <w:szCs w:val="18"/>
        </w:rPr>
        <w:t>eculizumab</w:t>
      </w:r>
      <w:proofErr w:type="spellEnd"/>
    </w:p>
    <w:p w:rsidR="005E1665" w:rsidRDefault="00FE55FA" w:rsidP="00FD55AD">
      <w:pPr>
        <w:ind w:firstLine="720"/>
        <w:jc w:val="both"/>
        <w:rPr>
          <w:rFonts w:ascii="Arial Narrow" w:hAnsi="Arial Narrow" w:cs="Arial"/>
          <w:sz w:val="18"/>
          <w:szCs w:val="18"/>
        </w:rPr>
      </w:pPr>
      <w:proofErr w:type="spellStart"/>
      <w:proofErr w:type="gramStart"/>
      <w:r>
        <w:rPr>
          <w:rFonts w:ascii="Arial Narrow" w:hAnsi="Arial Narrow" w:cs="Arial"/>
          <w:sz w:val="18"/>
          <w:szCs w:val="18"/>
          <w:vertAlign w:val="superscript"/>
        </w:rPr>
        <w:t>a</w:t>
      </w:r>
      <w:proofErr w:type="spellEnd"/>
      <w:proofErr w:type="gramEnd"/>
      <w:r>
        <w:rPr>
          <w:rFonts w:ascii="Arial Narrow" w:hAnsi="Arial Narrow" w:cs="Arial"/>
          <w:sz w:val="18"/>
          <w:szCs w:val="18"/>
        </w:rPr>
        <w:t xml:space="preserve"> Abstract only </w:t>
      </w:r>
      <w:r w:rsidR="005B7BB5">
        <w:rPr>
          <w:rFonts w:ascii="Arial Narrow" w:hAnsi="Arial Narrow" w:cs="Arial"/>
          <w:sz w:val="18"/>
          <w:szCs w:val="18"/>
        </w:rPr>
        <w:t>available</w:t>
      </w:r>
      <w:r>
        <w:rPr>
          <w:rFonts w:ascii="Arial Narrow" w:hAnsi="Arial Narrow" w:cs="Arial"/>
          <w:sz w:val="18"/>
          <w:szCs w:val="18"/>
        </w:rPr>
        <w:t>.</w:t>
      </w:r>
    </w:p>
    <w:p w:rsidR="00F349B2" w:rsidRDefault="009816F5" w:rsidP="00FE55FA">
      <w:pPr>
        <w:ind w:left="720"/>
        <w:jc w:val="both"/>
        <w:rPr>
          <w:rFonts w:ascii="Arial Narrow" w:hAnsi="Arial Narrow" w:cs="Arial"/>
          <w:sz w:val="18"/>
          <w:szCs w:val="18"/>
        </w:rPr>
      </w:pPr>
      <w:r w:rsidRPr="009816F5">
        <w:rPr>
          <w:rFonts w:ascii="Arial Narrow" w:hAnsi="Arial Narrow" w:cs="Arial"/>
          <w:sz w:val="18"/>
          <w:szCs w:val="18"/>
        </w:rPr>
        <w:t>Source: Table constructed during the evaluation.</w:t>
      </w:r>
    </w:p>
    <w:p w:rsidR="00F349B2" w:rsidRPr="00FE55FA" w:rsidRDefault="00F349B2" w:rsidP="00FE55FA">
      <w:pPr>
        <w:ind w:left="720"/>
        <w:jc w:val="both"/>
        <w:rPr>
          <w:rFonts w:ascii="Arial Narrow" w:hAnsi="Arial Narrow" w:cs="Arial"/>
          <w:sz w:val="18"/>
          <w:szCs w:val="18"/>
        </w:rPr>
      </w:pPr>
    </w:p>
    <w:p w:rsidR="00A752AF" w:rsidRPr="003E461A" w:rsidRDefault="00A752AF" w:rsidP="00EE3E37">
      <w:pPr>
        <w:pStyle w:val="ListParagraph"/>
        <w:numPr>
          <w:ilvl w:val="1"/>
          <w:numId w:val="5"/>
        </w:numPr>
        <w:ind w:left="709" w:hanging="709"/>
        <w:rPr>
          <w:rFonts w:asciiTheme="minorHAnsi" w:hAnsiTheme="minorHAnsi"/>
          <w:sz w:val="24"/>
          <w:szCs w:val="24"/>
        </w:rPr>
      </w:pPr>
      <w:r w:rsidRPr="003E461A">
        <w:rPr>
          <w:rFonts w:asciiTheme="minorHAnsi" w:hAnsiTheme="minorHAnsi"/>
          <w:sz w:val="24"/>
          <w:szCs w:val="24"/>
        </w:rPr>
        <w:t xml:space="preserve">The outcomes for the use of PE/PI in </w:t>
      </w:r>
      <w:proofErr w:type="spellStart"/>
      <w:r w:rsidRPr="003E461A">
        <w:rPr>
          <w:rFonts w:asciiTheme="minorHAnsi" w:hAnsiTheme="minorHAnsi"/>
          <w:sz w:val="24"/>
          <w:szCs w:val="24"/>
        </w:rPr>
        <w:t>aHUS</w:t>
      </w:r>
      <w:proofErr w:type="spellEnd"/>
      <w:r w:rsidRPr="003E461A">
        <w:rPr>
          <w:rFonts w:asciiTheme="minorHAnsi" w:hAnsiTheme="minorHAnsi"/>
          <w:sz w:val="24"/>
          <w:szCs w:val="24"/>
        </w:rPr>
        <w:t xml:space="preserve"> patients receiving a renal transplant </w:t>
      </w:r>
      <w:proofErr w:type="gramStart"/>
      <w:r w:rsidRPr="003E461A">
        <w:rPr>
          <w:rFonts w:asciiTheme="minorHAnsi" w:hAnsiTheme="minorHAnsi"/>
          <w:sz w:val="24"/>
          <w:szCs w:val="24"/>
        </w:rPr>
        <w:t>above</w:t>
      </w:r>
      <w:r w:rsidR="00F349B2" w:rsidRPr="003E461A">
        <w:rPr>
          <w:rFonts w:asciiTheme="minorHAnsi" w:hAnsiTheme="minorHAnsi"/>
          <w:sz w:val="24"/>
          <w:szCs w:val="24"/>
        </w:rPr>
        <w:t>,</w:t>
      </w:r>
      <w:proofErr w:type="gramEnd"/>
      <w:r w:rsidRPr="003E461A">
        <w:rPr>
          <w:rFonts w:asciiTheme="minorHAnsi" w:hAnsiTheme="minorHAnsi"/>
          <w:sz w:val="24"/>
          <w:szCs w:val="24"/>
        </w:rPr>
        <w:t xml:space="preserve"> did not include any </w:t>
      </w:r>
      <w:r w:rsidR="0061730C" w:rsidRPr="003E461A">
        <w:rPr>
          <w:rFonts w:asciiTheme="minorHAnsi" w:hAnsiTheme="minorHAnsi"/>
          <w:sz w:val="24"/>
          <w:szCs w:val="24"/>
        </w:rPr>
        <w:t>deaths</w:t>
      </w:r>
      <w:r w:rsidRPr="003E461A">
        <w:rPr>
          <w:rFonts w:asciiTheme="minorHAnsi" w:hAnsiTheme="minorHAnsi"/>
          <w:sz w:val="24"/>
          <w:szCs w:val="24"/>
        </w:rPr>
        <w:t xml:space="preserve"> during the reporting period of the individual studies. </w:t>
      </w:r>
      <w:r w:rsidR="00AE17EB">
        <w:rPr>
          <w:rFonts w:asciiTheme="minorHAnsi" w:hAnsiTheme="minorHAnsi"/>
          <w:sz w:val="24"/>
          <w:szCs w:val="24"/>
        </w:rPr>
        <w:t xml:space="preserve"> </w:t>
      </w:r>
      <w:r w:rsidRPr="003E461A">
        <w:rPr>
          <w:rFonts w:asciiTheme="minorHAnsi" w:hAnsiTheme="minorHAnsi"/>
          <w:sz w:val="24"/>
          <w:szCs w:val="24"/>
        </w:rPr>
        <w:t xml:space="preserve">There was significant use of </w:t>
      </w:r>
      <w:proofErr w:type="spellStart"/>
      <w:r w:rsidRPr="003E461A">
        <w:rPr>
          <w:rFonts w:asciiTheme="minorHAnsi" w:hAnsiTheme="minorHAnsi"/>
          <w:sz w:val="24"/>
          <w:szCs w:val="24"/>
        </w:rPr>
        <w:t>eculizumab</w:t>
      </w:r>
      <w:proofErr w:type="spellEnd"/>
      <w:r w:rsidRPr="003E461A">
        <w:rPr>
          <w:rFonts w:asciiTheme="minorHAnsi" w:hAnsiTheme="minorHAnsi"/>
          <w:sz w:val="24"/>
          <w:szCs w:val="24"/>
        </w:rPr>
        <w:t xml:space="preserve"> post PE/PI (separate to those reported in Ta</w:t>
      </w:r>
      <w:r w:rsidR="006B5261" w:rsidRPr="003E461A">
        <w:rPr>
          <w:rFonts w:asciiTheme="minorHAnsi" w:hAnsiTheme="minorHAnsi"/>
          <w:sz w:val="24"/>
          <w:szCs w:val="24"/>
        </w:rPr>
        <w:t>b</w:t>
      </w:r>
      <w:r w:rsidRPr="003E461A">
        <w:rPr>
          <w:rFonts w:asciiTheme="minorHAnsi" w:hAnsiTheme="minorHAnsi"/>
          <w:sz w:val="24"/>
          <w:szCs w:val="24"/>
        </w:rPr>
        <w:t xml:space="preserve">le </w:t>
      </w:r>
      <w:r w:rsidR="00740FEE" w:rsidRPr="003E461A">
        <w:rPr>
          <w:rFonts w:asciiTheme="minorHAnsi" w:hAnsiTheme="minorHAnsi"/>
          <w:sz w:val="24"/>
          <w:szCs w:val="24"/>
        </w:rPr>
        <w:t>9</w:t>
      </w:r>
      <w:r w:rsidRPr="003E461A">
        <w:rPr>
          <w:rFonts w:asciiTheme="minorHAnsi" w:hAnsiTheme="minorHAnsi"/>
          <w:sz w:val="24"/>
          <w:szCs w:val="24"/>
        </w:rPr>
        <w:t xml:space="preserve"> below)</w:t>
      </w:r>
      <w:r w:rsidR="006B5261" w:rsidRPr="003E461A">
        <w:rPr>
          <w:rFonts w:asciiTheme="minorHAnsi" w:hAnsiTheme="minorHAnsi"/>
          <w:sz w:val="24"/>
          <w:szCs w:val="24"/>
        </w:rPr>
        <w:t xml:space="preserve"> which ha</w:t>
      </w:r>
      <w:r w:rsidR="00AE17EB">
        <w:rPr>
          <w:rFonts w:asciiTheme="minorHAnsi" w:hAnsiTheme="minorHAnsi"/>
          <w:sz w:val="24"/>
          <w:szCs w:val="24"/>
        </w:rPr>
        <w:t>d</w:t>
      </w:r>
      <w:r w:rsidR="006B5261" w:rsidRPr="003E461A">
        <w:rPr>
          <w:rFonts w:asciiTheme="minorHAnsi" w:hAnsiTheme="minorHAnsi"/>
          <w:sz w:val="24"/>
          <w:szCs w:val="24"/>
        </w:rPr>
        <w:t xml:space="preserve"> a confounding effect on</w:t>
      </w:r>
      <w:r w:rsidR="0061730C" w:rsidRPr="003E461A">
        <w:rPr>
          <w:rFonts w:asciiTheme="minorHAnsi" w:hAnsiTheme="minorHAnsi"/>
          <w:sz w:val="24"/>
          <w:szCs w:val="24"/>
        </w:rPr>
        <w:t xml:space="preserve"> the</w:t>
      </w:r>
      <w:r w:rsidR="006B5261" w:rsidRPr="003E461A">
        <w:rPr>
          <w:rFonts w:asciiTheme="minorHAnsi" w:hAnsiTheme="minorHAnsi"/>
          <w:sz w:val="24"/>
          <w:szCs w:val="24"/>
        </w:rPr>
        <w:t xml:space="preserve"> applicability of the outcomes of survival and allograft function.</w:t>
      </w:r>
    </w:p>
    <w:p w:rsidR="00A752AF" w:rsidRPr="003E461A" w:rsidRDefault="00A752AF" w:rsidP="006649BF"/>
    <w:p w:rsidR="00182374" w:rsidRPr="003E461A" w:rsidRDefault="00182374" w:rsidP="0064358C">
      <w:pPr>
        <w:pStyle w:val="PBACHeading1"/>
        <w:numPr>
          <w:ilvl w:val="0"/>
          <w:numId w:val="0"/>
        </w:numPr>
        <w:ind w:left="720"/>
        <w:outlineLvl w:val="2"/>
        <w:rPr>
          <w:rFonts w:asciiTheme="minorHAnsi" w:hAnsiTheme="minorHAnsi"/>
          <w:sz w:val="24"/>
          <w:szCs w:val="24"/>
        </w:rPr>
      </w:pPr>
      <w:r w:rsidRPr="003E461A">
        <w:rPr>
          <w:rFonts w:asciiTheme="minorHAnsi" w:hAnsiTheme="minorHAnsi"/>
          <w:sz w:val="24"/>
          <w:szCs w:val="24"/>
        </w:rPr>
        <w:t xml:space="preserve">v) Post TMA initiation of </w:t>
      </w:r>
      <w:proofErr w:type="spellStart"/>
      <w:r w:rsidRPr="003E461A">
        <w:rPr>
          <w:rFonts w:asciiTheme="minorHAnsi" w:hAnsiTheme="minorHAnsi"/>
          <w:sz w:val="24"/>
          <w:szCs w:val="24"/>
        </w:rPr>
        <w:t>eculizumab</w:t>
      </w:r>
      <w:proofErr w:type="spellEnd"/>
      <w:r w:rsidRPr="003E461A">
        <w:rPr>
          <w:rFonts w:asciiTheme="minorHAnsi" w:hAnsiTheme="minorHAnsi"/>
          <w:sz w:val="24"/>
          <w:szCs w:val="24"/>
        </w:rPr>
        <w:t xml:space="preserve"> in </w:t>
      </w:r>
      <w:proofErr w:type="spellStart"/>
      <w:r w:rsidRPr="003E461A">
        <w:rPr>
          <w:rFonts w:asciiTheme="minorHAnsi" w:hAnsiTheme="minorHAnsi"/>
          <w:sz w:val="24"/>
          <w:szCs w:val="24"/>
        </w:rPr>
        <w:t>aHUS</w:t>
      </w:r>
      <w:proofErr w:type="spellEnd"/>
      <w:r w:rsidRPr="003E461A">
        <w:rPr>
          <w:rFonts w:asciiTheme="minorHAnsi" w:hAnsiTheme="minorHAnsi"/>
          <w:sz w:val="24"/>
          <w:szCs w:val="24"/>
        </w:rPr>
        <w:t xml:space="preserve"> patients who have undergone a renal transplant</w:t>
      </w:r>
    </w:p>
    <w:p w:rsidR="00182374" w:rsidRPr="003E461A" w:rsidRDefault="00182374" w:rsidP="00182374">
      <w:pPr>
        <w:pStyle w:val="ListParagraph"/>
        <w:rPr>
          <w:rFonts w:asciiTheme="minorHAnsi" w:hAnsiTheme="minorHAnsi"/>
          <w:sz w:val="24"/>
          <w:szCs w:val="24"/>
        </w:rPr>
      </w:pPr>
    </w:p>
    <w:p w:rsidR="00182374" w:rsidRPr="003E461A" w:rsidRDefault="00182374" w:rsidP="00EE3E37">
      <w:pPr>
        <w:pStyle w:val="ListParagraph"/>
        <w:numPr>
          <w:ilvl w:val="1"/>
          <w:numId w:val="5"/>
        </w:numPr>
        <w:ind w:left="709" w:hanging="709"/>
        <w:rPr>
          <w:rFonts w:asciiTheme="minorHAnsi" w:hAnsiTheme="minorHAnsi"/>
          <w:sz w:val="24"/>
          <w:szCs w:val="24"/>
        </w:rPr>
      </w:pPr>
      <w:r w:rsidRPr="003E461A">
        <w:rPr>
          <w:rFonts w:asciiTheme="minorHAnsi" w:hAnsiTheme="minorHAnsi"/>
          <w:sz w:val="24"/>
          <w:szCs w:val="24"/>
        </w:rPr>
        <w:t xml:space="preserve">The outcomes for the use of post TMA event </w:t>
      </w:r>
      <w:proofErr w:type="spellStart"/>
      <w:r w:rsidRPr="003E461A">
        <w:rPr>
          <w:rFonts w:asciiTheme="minorHAnsi" w:hAnsiTheme="minorHAnsi"/>
          <w:sz w:val="24"/>
          <w:szCs w:val="24"/>
        </w:rPr>
        <w:t>eculizumab</w:t>
      </w:r>
      <w:proofErr w:type="spellEnd"/>
      <w:r w:rsidRPr="003E461A">
        <w:rPr>
          <w:rFonts w:asciiTheme="minorHAnsi" w:hAnsiTheme="minorHAnsi"/>
          <w:sz w:val="24"/>
          <w:szCs w:val="24"/>
        </w:rPr>
        <w:t xml:space="preserve"> in </w:t>
      </w:r>
      <w:proofErr w:type="spellStart"/>
      <w:r w:rsidRPr="003E461A">
        <w:rPr>
          <w:rFonts w:asciiTheme="minorHAnsi" w:hAnsiTheme="minorHAnsi"/>
          <w:sz w:val="24"/>
          <w:szCs w:val="24"/>
        </w:rPr>
        <w:t>aHUS</w:t>
      </w:r>
      <w:proofErr w:type="spellEnd"/>
      <w:r w:rsidRPr="003E461A">
        <w:rPr>
          <w:rFonts w:asciiTheme="minorHAnsi" w:hAnsiTheme="minorHAnsi"/>
          <w:sz w:val="24"/>
          <w:szCs w:val="24"/>
        </w:rPr>
        <w:t xml:space="preserve"> patients after renal tran</w:t>
      </w:r>
      <w:r w:rsidR="00740FEE" w:rsidRPr="003E461A">
        <w:rPr>
          <w:rFonts w:asciiTheme="minorHAnsi" w:hAnsiTheme="minorHAnsi"/>
          <w:sz w:val="24"/>
          <w:szCs w:val="24"/>
        </w:rPr>
        <w:t>splant are summarised in Table 9</w:t>
      </w:r>
      <w:r w:rsidRPr="003E461A">
        <w:rPr>
          <w:rFonts w:asciiTheme="minorHAnsi" w:hAnsiTheme="minorHAnsi"/>
          <w:sz w:val="24"/>
          <w:szCs w:val="24"/>
        </w:rPr>
        <w:t xml:space="preserve">. </w:t>
      </w:r>
      <w:r w:rsidR="006B5261" w:rsidRPr="003E461A">
        <w:rPr>
          <w:rFonts w:asciiTheme="minorHAnsi" w:hAnsiTheme="minorHAnsi"/>
          <w:sz w:val="24"/>
          <w:szCs w:val="24"/>
        </w:rPr>
        <w:t>Patients included in p</w:t>
      </w:r>
      <w:r w:rsidRPr="003E461A">
        <w:rPr>
          <w:rFonts w:asciiTheme="minorHAnsi" w:hAnsiTheme="minorHAnsi"/>
          <w:sz w:val="24"/>
          <w:szCs w:val="24"/>
        </w:rPr>
        <w:t xml:space="preserve">reviously submitted studies from the March 2016 submission were </w:t>
      </w:r>
      <w:r w:rsidR="00740FEE" w:rsidRPr="003E461A">
        <w:rPr>
          <w:rFonts w:asciiTheme="minorHAnsi" w:hAnsiTheme="minorHAnsi"/>
          <w:sz w:val="24"/>
          <w:szCs w:val="24"/>
        </w:rPr>
        <w:t>excluded from</w:t>
      </w:r>
      <w:r w:rsidRPr="003E461A">
        <w:rPr>
          <w:rFonts w:asciiTheme="minorHAnsi" w:hAnsiTheme="minorHAnsi"/>
          <w:sz w:val="24"/>
          <w:szCs w:val="24"/>
        </w:rPr>
        <w:t xml:space="preserve"> the below table.</w:t>
      </w:r>
    </w:p>
    <w:p w:rsidR="005E1665" w:rsidRPr="003E461A" w:rsidRDefault="005E1665" w:rsidP="00882085">
      <w:pPr>
        <w:jc w:val="both"/>
        <w:rPr>
          <w:rFonts w:asciiTheme="minorHAnsi" w:hAnsiTheme="minorHAnsi" w:cs="Arial"/>
        </w:rPr>
      </w:pPr>
    </w:p>
    <w:p w:rsidR="004A6028" w:rsidRDefault="004A6028" w:rsidP="004A6028">
      <w:pPr>
        <w:pStyle w:val="Caption"/>
        <w:ind w:left="709"/>
      </w:pPr>
      <w:r>
        <w:t xml:space="preserve">Table </w:t>
      </w:r>
      <w:fldSimple w:instr=" SEQ Table \* ARABIC ">
        <w:r>
          <w:rPr>
            <w:noProof/>
          </w:rPr>
          <w:t>9</w:t>
        </w:r>
      </w:fldSimple>
      <w:r>
        <w:t>:</w:t>
      </w:r>
      <w:r w:rsidRPr="00040821">
        <w:t xml:space="preserve"> Summary </w:t>
      </w:r>
      <w:proofErr w:type="spellStart"/>
      <w:r w:rsidRPr="00040821">
        <w:t>eculizumab</w:t>
      </w:r>
      <w:proofErr w:type="spellEnd"/>
      <w:r w:rsidRPr="00040821">
        <w:t xml:space="preserve"> treatment post TMA in renal transplant patients.</w:t>
      </w:r>
    </w:p>
    <w:tbl>
      <w:tblPr>
        <w:tblStyle w:val="TableGrid"/>
        <w:tblW w:w="4558" w:type="pct"/>
        <w:tblInd w:w="817" w:type="dxa"/>
        <w:tblLook w:val="04A0" w:firstRow="1" w:lastRow="0" w:firstColumn="1" w:lastColumn="0" w:noHBand="0" w:noVBand="1"/>
        <w:tblCaption w:val="Summary eculizumab treatment post TMA in renal transplant patients."/>
      </w:tblPr>
      <w:tblGrid>
        <w:gridCol w:w="1287"/>
        <w:gridCol w:w="1564"/>
        <w:gridCol w:w="1924"/>
        <w:gridCol w:w="3650"/>
      </w:tblGrid>
      <w:tr w:rsidR="00CA69EE" w:rsidRPr="0017451F" w:rsidTr="00FB2347">
        <w:trPr>
          <w:tblHeader/>
        </w:trPr>
        <w:tc>
          <w:tcPr>
            <w:tcW w:w="764" w:type="pct"/>
            <w:vAlign w:val="center"/>
          </w:tcPr>
          <w:p w:rsidR="00CA69EE" w:rsidRPr="0017451F" w:rsidRDefault="00CA69EE" w:rsidP="004F2EE3">
            <w:pPr>
              <w:pStyle w:val="ListParagraph"/>
              <w:ind w:left="0"/>
              <w:jc w:val="center"/>
              <w:rPr>
                <w:rFonts w:ascii="Arial Narrow" w:hAnsi="Arial Narrow"/>
                <w:sz w:val="18"/>
                <w:szCs w:val="18"/>
              </w:rPr>
            </w:pPr>
          </w:p>
        </w:tc>
        <w:tc>
          <w:tcPr>
            <w:tcW w:w="928" w:type="pct"/>
            <w:vAlign w:val="center"/>
          </w:tcPr>
          <w:p w:rsidR="00CA69EE" w:rsidRDefault="00CA69EE" w:rsidP="004F2EE3">
            <w:pPr>
              <w:pStyle w:val="ListParagraph"/>
              <w:ind w:left="0"/>
              <w:jc w:val="center"/>
              <w:rPr>
                <w:rFonts w:ascii="Arial Narrow" w:hAnsi="Arial Narrow"/>
                <w:b/>
                <w:sz w:val="18"/>
                <w:szCs w:val="18"/>
              </w:rPr>
            </w:pPr>
            <w:r>
              <w:rPr>
                <w:rFonts w:ascii="Arial Narrow" w:hAnsi="Arial Narrow"/>
                <w:b/>
                <w:sz w:val="18"/>
                <w:szCs w:val="18"/>
              </w:rPr>
              <w:t>Sheerin 2015</w:t>
            </w:r>
          </w:p>
          <w:p w:rsidR="00CA69EE" w:rsidRPr="00386E8D" w:rsidRDefault="00CA69EE" w:rsidP="004F2EE3">
            <w:pPr>
              <w:pStyle w:val="ListParagraph"/>
              <w:ind w:left="0"/>
              <w:jc w:val="center"/>
              <w:rPr>
                <w:rFonts w:ascii="Arial Narrow" w:hAnsi="Arial Narrow"/>
                <w:b/>
                <w:sz w:val="18"/>
                <w:szCs w:val="18"/>
              </w:rPr>
            </w:pPr>
            <w:r>
              <w:rPr>
                <w:rFonts w:ascii="Arial Narrow" w:hAnsi="Arial Narrow"/>
                <w:b/>
                <w:sz w:val="18"/>
                <w:szCs w:val="18"/>
              </w:rPr>
              <w:t>N=1</w:t>
            </w:r>
          </w:p>
        </w:tc>
        <w:tc>
          <w:tcPr>
            <w:tcW w:w="1142" w:type="pct"/>
            <w:vAlign w:val="center"/>
          </w:tcPr>
          <w:p w:rsidR="00CA69EE" w:rsidRDefault="00CA69EE" w:rsidP="004F2EE3">
            <w:pPr>
              <w:pStyle w:val="ListParagraph"/>
              <w:ind w:left="0"/>
              <w:jc w:val="center"/>
              <w:rPr>
                <w:rFonts w:ascii="Arial Narrow" w:hAnsi="Arial Narrow"/>
                <w:b/>
                <w:sz w:val="18"/>
                <w:szCs w:val="18"/>
              </w:rPr>
            </w:pPr>
            <w:r>
              <w:rPr>
                <w:rFonts w:ascii="Arial Narrow" w:hAnsi="Arial Narrow"/>
                <w:b/>
                <w:sz w:val="18"/>
                <w:szCs w:val="18"/>
              </w:rPr>
              <w:t>Zuber 2012</w:t>
            </w:r>
          </w:p>
          <w:p w:rsidR="00CA69EE" w:rsidRPr="00017BDE" w:rsidRDefault="00CA69EE" w:rsidP="004F2EE3">
            <w:pPr>
              <w:pStyle w:val="ListParagraph"/>
              <w:ind w:left="0"/>
              <w:jc w:val="center"/>
              <w:rPr>
                <w:rFonts w:ascii="Arial Narrow" w:hAnsi="Arial Narrow"/>
                <w:b/>
                <w:sz w:val="18"/>
                <w:szCs w:val="18"/>
                <w:vertAlign w:val="superscript"/>
              </w:rPr>
            </w:pPr>
            <w:r>
              <w:rPr>
                <w:rFonts w:ascii="Arial Narrow" w:hAnsi="Arial Narrow"/>
                <w:b/>
                <w:sz w:val="18"/>
                <w:szCs w:val="18"/>
              </w:rPr>
              <w:t>N=11</w:t>
            </w:r>
            <w:r>
              <w:rPr>
                <w:rFonts w:ascii="Arial Narrow" w:hAnsi="Arial Narrow"/>
                <w:b/>
                <w:sz w:val="18"/>
                <w:szCs w:val="18"/>
                <w:vertAlign w:val="superscript"/>
              </w:rPr>
              <w:t>a</w:t>
            </w:r>
          </w:p>
        </w:tc>
        <w:tc>
          <w:tcPr>
            <w:tcW w:w="2166" w:type="pct"/>
            <w:vAlign w:val="center"/>
          </w:tcPr>
          <w:p w:rsidR="00CA69EE" w:rsidRDefault="00CA69EE" w:rsidP="004F2EE3">
            <w:pPr>
              <w:pStyle w:val="ListParagraph"/>
              <w:ind w:left="0"/>
              <w:jc w:val="center"/>
              <w:rPr>
                <w:rFonts w:ascii="Arial Narrow" w:hAnsi="Arial Narrow"/>
                <w:b/>
                <w:sz w:val="18"/>
                <w:szCs w:val="18"/>
              </w:rPr>
            </w:pPr>
            <w:r>
              <w:rPr>
                <w:rFonts w:ascii="Arial Narrow" w:hAnsi="Arial Narrow"/>
                <w:b/>
                <w:sz w:val="18"/>
                <w:szCs w:val="18"/>
              </w:rPr>
              <w:t>Case reports</w:t>
            </w:r>
          </w:p>
          <w:p w:rsidR="00CA69EE" w:rsidRPr="00386E8D" w:rsidRDefault="00CA69EE" w:rsidP="004F2EE3">
            <w:pPr>
              <w:pStyle w:val="ListParagraph"/>
              <w:tabs>
                <w:tab w:val="left" w:pos="188"/>
                <w:tab w:val="center" w:pos="697"/>
              </w:tabs>
              <w:ind w:left="0"/>
              <w:jc w:val="center"/>
              <w:rPr>
                <w:rFonts w:ascii="Arial Narrow" w:hAnsi="Arial Narrow"/>
                <w:b/>
                <w:sz w:val="18"/>
                <w:szCs w:val="18"/>
              </w:rPr>
            </w:pPr>
            <w:r>
              <w:rPr>
                <w:rFonts w:ascii="Arial Narrow" w:hAnsi="Arial Narrow"/>
                <w:b/>
                <w:sz w:val="18"/>
                <w:szCs w:val="18"/>
              </w:rPr>
              <w:t xml:space="preserve">N-= </w:t>
            </w:r>
            <w:r w:rsidR="004F2EE3">
              <w:rPr>
                <w:rFonts w:ascii="Arial Narrow" w:hAnsi="Arial Narrow"/>
                <w:b/>
                <w:sz w:val="18"/>
                <w:szCs w:val="18"/>
              </w:rPr>
              <w:t>6</w:t>
            </w:r>
          </w:p>
        </w:tc>
      </w:tr>
      <w:tr w:rsidR="00CA69EE" w:rsidRPr="0017451F" w:rsidTr="00FD55AD">
        <w:tc>
          <w:tcPr>
            <w:tcW w:w="764" w:type="pct"/>
            <w:vAlign w:val="center"/>
          </w:tcPr>
          <w:p w:rsidR="00CA69EE" w:rsidRPr="0017451F" w:rsidRDefault="00CA69EE" w:rsidP="00041D1E">
            <w:pPr>
              <w:pStyle w:val="ListParagraph"/>
              <w:ind w:left="0"/>
              <w:jc w:val="center"/>
              <w:rPr>
                <w:rFonts w:ascii="Arial Narrow" w:hAnsi="Arial Narrow"/>
                <w:sz w:val="18"/>
                <w:szCs w:val="18"/>
              </w:rPr>
            </w:pPr>
            <w:r w:rsidRPr="0017451F">
              <w:rPr>
                <w:rFonts w:ascii="Arial Narrow" w:hAnsi="Arial Narrow"/>
                <w:sz w:val="18"/>
                <w:szCs w:val="18"/>
              </w:rPr>
              <w:t>Me</w:t>
            </w:r>
            <w:r>
              <w:rPr>
                <w:rFonts w:ascii="Arial Narrow" w:hAnsi="Arial Narrow"/>
                <w:sz w:val="18"/>
                <w:szCs w:val="18"/>
              </w:rPr>
              <w:t>an</w:t>
            </w:r>
            <w:r w:rsidRPr="0017451F">
              <w:rPr>
                <w:rFonts w:ascii="Arial Narrow" w:hAnsi="Arial Narrow"/>
                <w:sz w:val="18"/>
                <w:szCs w:val="18"/>
              </w:rPr>
              <w:t xml:space="preserve"> age at diagnosis, years</w:t>
            </w:r>
          </w:p>
        </w:tc>
        <w:tc>
          <w:tcPr>
            <w:tcW w:w="928"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NR</w:t>
            </w:r>
          </w:p>
        </w:tc>
        <w:tc>
          <w:tcPr>
            <w:tcW w:w="1142" w:type="pct"/>
            <w:vAlign w:val="center"/>
          </w:tcPr>
          <w:p w:rsidR="00CA69EE" w:rsidRDefault="00CA69EE" w:rsidP="004F2EE3">
            <w:pPr>
              <w:pStyle w:val="ListParagraph"/>
              <w:ind w:left="0"/>
              <w:jc w:val="center"/>
              <w:rPr>
                <w:rFonts w:ascii="Arial Narrow" w:hAnsi="Arial Narrow"/>
                <w:sz w:val="18"/>
                <w:szCs w:val="18"/>
              </w:rPr>
            </w:pPr>
            <w:r>
              <w:rPr>
                <w:rFonts w:ascii="Arial Narrow" w:hAnsi="Arial Narrow"/>
                <w:sz w:val="18"/>
                <w:szCs w:val="18"/>
              </w:rPr>
              <w:t>15.4</w:t>
            </w:r>
          </w:p>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(1day – 34years)</w:t>
            </w:r>
          </w:p>
        </w:tc>
        <w:tc>
          <w:tcPr>
            <w:tcW w:w="2166" w:type="pct"/>
            <w:vAlign w:val="center"/>
          </w:tcPr>
          <w:p w:rsidR="00CA69EE" w:rsidRDefault="004F2EE3" w:rsidP="004F2EE3">
            <w:pPr>
              <w:pStyle w:val="ListParagraph"/>
              <w:ind w:left="0"/>
              <w:jc w:val="center"/>
              <w:rPr>
                <w:rFonts w:ascii="Arial Narrow" w:hAnsi="Arial Narrow"/>
                <w:sz w:val="18"/>
                <w:szCs w:val="18"/>
              </w:rPr>
            </w:pPr>
            <w:r>
              <w:rPr>
                <w:rFonts w:ascii="Arial Narrow" w:hAnsi="Arial Narrow"/>
                <w:sz w:val="18"/>
                <w:szCs w:val="18"/>
              </w:rPr>
              <w:t>23</w:t>
            </w:r>
          </w:p>
          <w:p w:rsidR="004F2EE3" w:rsidRPr="0017451F" w:rsidRDefault="004F2EE3" w:rsidP="004F2EE3">
            <w:pPr>
              <w:pStyle w:val="ListParagraph"/>
              <w:ind w:left="0"/>
              <w:jc w:val="center"/>
              <w:rPr>
                <w:rFonts w:ascii="Arial Narrow" w:hAnsi="Arial Narrow"/>
                <w:sz w:val="18"/>
                <w:szCs w:val="18"/>
              </w:rPr>
            </w:pPr>
            <w:r>
              <w:rPr>
                <w:rFonts w:ascii="Arial Narrow" w:hAnsi="Arial Narrow"/>
                <w:sz w:val="18"/>
                <w:szCs w:val="18"/>
              </w:rPr>
              <w:t>(1 – 48 years)</w:t>
            </w:r>
          </w:p>
        </w:tc>
      </w:tr>
      <w:tr w:rsidR="00CA69EE" w:rsidRPr="0017451F" w:rsidTr="00FD55AD">
        <w:tc>
          <w:tcPr>
            <w:tcW w:w="764" w:type="pct"/>
            <w:vAlign w:val="center"/>
          </w:tcPr>
          <w:p w:rsidR="00CA69EE" w:rsidRPr="00E57BA7" w:rsidRDefault="00CA69EE" w:rsidP="004F2EE3">
            <w:pPr>
              <w:pStyle w:val="Tabletext"/>
              <w:jc w:val="center"/>
              <w:rPr>
                <w:rFonts w:ascii="Arial Narrow" w:hAnsi="Arial Narrow"/>
                <w:sz w:val="18"/>
                <w:szCs w:val="18"/>
              </w:rPr>
            </w:pPr>
            <w:r w:rsidRPr="00E57BA7">
              <w:rPr>
                <w:rFonts w:ascii="Arial Narrow" w:hAnsi="Arial Narrow"/>
                <w:sz w:val="18"/>
                <w:szCs w:val="18"/>
              </w:rPr>
              <w:t xml:space="preserve">Family history of </w:t>
            </w:r>
            <w:proofErr w:type="spellStart"/>
            <w:r w:rsidRPr="00E57BA7">
              <w:rPr>
                <w:rFonts w:ascii="Arial Narrow" w:hAnsi="Arial Narrow"/>
                <w:sz w:val="18"/>
                <w:szCs w:val="18"/>
              </w:rPr>
              <w:t>aHUS</w:t>
            </w:r>
            <w:proofErr w:type="spellEnd"/>
            <w:r w:rsidRPr="00E57BA7">
              <w:rPr>
                <w:rFonts w:ascii="Arial Narrow" w:hAnsi="Arial Narrow"/>
                <w:sz w:val="18"/>
                <w:szCs w:val="18"/>
              </w:rPr>
              <w:t xml:space="preserve"> N (%)</w:t>
            </w:r>
          </w:p>
          <w:p w:rsidR="00CA69EE" w:rsidRDefault="00CA69EE" w:rsidP="004F2EE3">
            <w:pPr>
              <w:pStyle w:val="ListParagraph"/>
              <w:ind w:left="0"/>
              <w:jc w:val="center"/>
              <w:rPr>
                <w:rFonts w:ascii="Arial Narrow" w:hAnsi="Arial Narrow"/>
                <w:sz w:val="18"/>
                <w:szCs w:val="18"/>
              </w:rPr>
            </w:pPr>
            <w:r w:rsidRPr="00E57BA7">
              <w:rPr>
                <w:rFonts w:ascii="Arial Narrow" w:hAnsi="Arial Narrow"/>
                <w:sz w:val="18"/>
                <w:szCs w:val="18"/>
              </w:rPr>
              <w:t>CFH mutation detected N (%)</w:t>
            </w:r>
          </w:p>
        </w:tc>
        <w:tc>
          <w:tcPr>
            <w:tcW w:w="928" w:type="pct"/>
            <w:vAlign w:val="center"/>
          </w:tcPr>
          <w:p w:rsidR="00CA69EE" w:rsidRDefault="00CA69EE" w:rsidP="004F2EE3">
            <w:pPr>
              <w:pStyle w:val="ListParagraph"/>
              <w:ind w:left="0"/>
              <w:jc w:val="center"/>
              <w:rPr>
                <w:rFonts w:ascii="Arial Narrow" w:hAnsi="Arial Narrow"/>
                <w:sz w:val="18"/>
                <w:szCs w:val="18"/>
              </w:rPr>
            </w:pPr>
            <w:r>
              <w:rPr>
                <w:rFonts w:ascii="Arial Narrow" w:hAnsi="Arial Narrow"/>
                <w:sz w:val="18"/>
                <w:szCs w:val="18"/>
              </w:rPr>
              <w:t>NR</w:t>
            </w:r>
          </w:p>
          <w:p w:rsidR="00CA69EE" w:rsidRDefault="00CA69EE" w:rsidP="004F2EE3">
            <w:pPr>
              <w:pStyle w:val="ListParagraph"/>
              <w:ind w:left="0"/>
              <w:jc w:val="center"/>
              <w:rPr>
                <w:rFonts w:ascii="Arial Narrow" w:hAnsi="Arial Narrow"/>
                <w:sz w:val="18"/>
                <w:szCs w:val="18"/>
              </w:rPr>
            </w:pPr>
          </w:p>
          <w:p w:rsidR="00CA69EE" w:rsidRDefault="00CA69EE" w:rsidP="004F2EE3">
            <w:pPr>
              <w:pStyle w:val="ListParagraph"/>
              <w:ind w:left="0"/>
              <w:jc w:val="center"/>
              <w:rPr>
                <w:rFonts w:ascii="Arial Narrow" w:hAnsi="Arial Narrow"/>
                <w:sz w:val="18"/>
                <w:szCs w:val="18"/>
              </w:rPr>
            </w:pPr>
            <w:r>
              <w:rPr>
                <w:rFonts w:ascii="Arial Narrow" w:hAnsi="Arial Narrow"/>
                <w:sz w:val="18"/>
                <w:szCs w:val="18"/>
              </w:rPr>
              <w:t>NR</w:t>
            </w:r>
          </w:p>
          <w:p w:rsidR="00CA69EE" w:rsidRPr="0017451F" w:rsidRDefault="00CA69EE" w:rsidP="004F2EE3">
            <w:pPr>
              <w:pStyle w:val="ListParagraph"/>
              <w:ind w:left="0"/>
              <w:jc w:val="center"/>
              <w:rPr>
                <w:rFonts w:ascii="Arial Narrow" w:hAnsi="Arial Narrow"/>
                <w:sz w:val="18"/>
                <w:szCs w:val="18"/>
              </w:rPr>
            </w:pPr>
          </w:p>
        </w:tc>
        <w:tc>
          <w:tcPr>
            <w:tcW w:w="1142" w:type="pct"/>
            <w:vAlign w:val="center"/>
          </w:tcPr>
          <w:p w:rsidR="00CA69EE" w:rsidRDefault="00CA69EE" w:rsidP="004F2EE3">
            <w:pPr>
              <w:pStyle w:val="ListParagraph"/>
              <w:ind w:left="0"/>
              <w:jc w:val="center"/>
              <w:rPr>
                <w:rFonts w:ascii="Arial Narrow" w:hAnsi="Arial Narrow"/>
                <w:sz w:val="18"/>
                <w:szCs w:val="18"/>
              </w:rPr>
            </w:pPr>
            <w:r>
              <w:rPr>
                <w:rFonts w:ascii="Arial Narrow" w:hAnsi="Arial Narrow"/>
                <w:sz w:val="18"/>
                <w:szCs w:val="18"/>
              </w:rPr>
              <w:t>NR</w:t>
            </w:r>
          </w:p>
          <w:p w:rsidR="00CA69EE" w:rsidRDefault="00CA69EE" w:rsidP="004F2EE3">
            <w:pPr>
              <w:pStyle w:val="ListParagraph"/>
              <w:ind w:left="0"/>
              <w:jc w:val="center"/>
              <w:rPr>
                <w:rFonts w:ascii="Arial Narrow" w:hAnsi="Arial Narrow"/>
                <w:sz w:val="18"/>
                <w:szCs w:val="18"/>
              </w:rPr>
            </w:pPr>
          </w:p>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5 (45%)</w:t>
            </w:r>
          </w:p>
        </w:tc>
        <w:tc>
          <w:tcPr>
            <w:tcW w:w="2166" w:type="pct"/>
            <w:vAlign w:val="center"/>
          </w:tcPr>
          <w:p w:rsidR="00CA69EE" w:rsidRDefault="004F2EE3" w:rsidP="004F2EE3">
            <w:pPr>
              <w:pStyle w:val="ListParagraph"/>
              <w:ind w:left="0"/>
              <w:jc w:val="center"/>
              <w:rPr>
                <w:rFonts w:ascii="Arial Narrow" w:hAnsi="Arial Narrow"/>
                <w:sz w:val="18"/>
                <w:szCs w:val="18"/>
              </w:rPr>
            </w:pPr>
            <w:r>
              <w:rPr>
                <w:rFonts w:ascii="Arial Narrow" w:hAnsi="Arial Narrow"/>
                <w:sz w:val="18"/>
                <w:szCs w:val="18"/>
              </w:rPr>
              <w:t>2 (33%)</w:t>
            </w:r>
          </w:p>
          <w:p w:rsidR="004F2EE3" w:rsidRDefault="004F2EE3" w:rsidP="004F2EE3">
            <w:pPr>
              <w:pStyle w:val="ListParagraph"/>
              <w:ind w:left="0"/>
              <w:jc w:val="center"/>
              <w:rPr>
                <w:rFonts w:ascii="Arial Narrow" w:hAnsi="Arial Narrow"/>
                <w:sz w:val="18"/>
                <w:szCs w:val="18"/>
              </w:rPr>
            </w:pPr>
          </w:p>
          <w:p w:rsidR="004F2EE3" w:rsidRPr="0017451F" w:rsidRDefault="004F2EE3" w:rsidP="004F2EE3">
            <w:pPr>
              <w:pStyle w:val="ListParagraph"/>
              <w:ind w:left="0"/>
              <w:jc w:val="center"/>
              <w:rPr>
                <w:rFonts w:ascii="Arial Narrow" w:hAnsi="Arial Narrow"/>
                <w:sz w:val="18"/>
                <w:szCs w:val="18"/>
              </w:rPr>
            </w:pPr>
            <w:r>
              <w:rPr>
                <w:rFonts w:ascii="Arial Narrow" w:hAnsi="Arial Narrow"/>
                <w:sz w:val="18"/>
                <w:szCs w:val="18"/>
              </w:rPr>
              <w:t>2 (33%)</w:t>
            </w:r>
          </w:p>
        </w:tc>
      </w:tr>
      <w:tr w:rsidR="00CA69EE" w:rsidRPr="0017451F" w:rsidTr="00FD55AD">
        <w:tc>
          <w:tcPr>
            <w:tcW w:w="764"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 xml:space="preserve">Time to TMA </w:t>
            </w:r>
            <w:proofErr w:type="spellStart"/>
            <w:r>
              <w:rPr>
                <w:rFonts w:ascii="Arial Narrow" w:hAnsi="Arial Narrow"/>
                <w:sz w:val="18"/>
                <w:szCs w:val="18"/>
              </w:rPr>
              <w:t>post transplant</w:t>
            </w:r>
            <w:proofErr w:type="spellEnd"/>
          </w:p>
        </w:tc>
        <w:tc>
          <w:tcPr>
            <w:tcW w:w="928"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NR</w:t>
            </w:r>
          </w:p>
        </w:tc>
        <w:tc>
          <w:tcPr>
            <w:tcW w:w="1142"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3 days – 5 years</w:t>
            </w:r>
          </w:p>
        </w:tc>
        <w:tc>
          <w:tcPr>
            <w:tcW w:w="2166" w:type="pct"/>
            <w:vAlign w:val="center"/>
          </w:tcPr>
          <w:p w:rsidR="00CA69EE" w:rsidRPr="0017451F" w:rsidRDefault="004F2EE3" w:rsidP="004F2EE3">
            <w:pPr>
              <w:pStyle w:val="ListParagraph"/>
              <w:ind w:left="0"/>
              <w:jc w:val="center"/>
              <w:rPr>
                <w:rFonts w:ascii="Arial Narrow" w:hAnsi="Arial Narrow"/>
                <w:sz w:val="18"/>
                <w:szCs w:val="18"/>
              </w:rPr>
            </w:pPr>
            <w:r>
              <w:rPr>
                <w:rFonts w:ascii="Arial Narrow" w:hAnsi="Arial Narrow"/>
                <w:sz w:val="18"/>
                <w:szCs w:val="18"/>
              </w:rPr>
              <w:t xml:space="preserve">6 day </w:t>
            </w:r>
            <w:r w:rsidR="00E2035B">
              <w:rPr>
                <w:rFonts w:ascii="Arial Narrow" w:hAnsi="Arial Narrow"/>
                <w:sz w:val="18"/>
                <w:szCs w:val="18"/>
              </w:rPr>
              <w:t>–</w:t>
            </w:r>
            <w:r>
              <w:rPr>
                <w:rFonts w:ascii="Arial Narrow" w:hAnsi="Arial Narrow"/>
                <w:sz w:val="18"/>
                <w:szCs w:val="18"/>
              </w:rPr>
              <w:t xml:space="preserve"> </w:t>
            </w:r>
            <w:r w:rsidR="00E2035B">
              <w:rPr>
                <w:rFonts w:ascii="Arial Narrow" w:hAnsi="Arial Narrow"/>
                <w:sz w:val="18"/>
                <w:szCs w:val="18"/>
              </w:rPr>
              <w:t>4 years</w:t>
            </w:r>
          </w:p>
        </w:tc>
      </w:tr>
      <w:tr w:rsidR="00CA69EE" w:rsidRPr="0017451F" w:rsidTr="00FD55AD">
        <w:tc>
          <w:tcPr>
            <w:tcW w:w="764"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 xml:space="preserve">Other treatments </w:t>
            </w:r>
            <w:proofErr w:type="spellStart"/>
            <w:r>
              <w:rPr>
                <w:rFonts w:ascii="Arial Narrow" w:hAnsi="Arial Narrow"/>
                <w:sz w:val="18"/>
                <w:szCs w:val="18"/>
              </w:rPr>
              <w:t>post transplant</w:t>
            </w:r>
            <w:proofErr w:type="spellEnd"/>
          </w:p>
        </w:tc>
        <w:tc>
          <w:tcPr>
            <w:tcW w:w="928"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NR</w:t>
            </w:r>
          </w:p>
        </w:tc>
        <w:tc>
          <w:tcPr>
            <w:tcW w:w="1142"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10 PE</w:t>
            </w:r>
          </w:p>
        </w:tc>
        <w:tc>
          <w:tcPr>
            <w:tcW w:w="2166" w:type="pct"/>
            <w:vAlign w:val="center"/>
          </w:tcPr>
          <w:p w:rsidR="00CA69EE" w:rsidRPr="0017451F" w:rsidRDefault="00106AF8" w:rsidP="004F2EE3">
            <w:pPr>
              <w:pStyle w:val="ListParagraph"/>
              <w:ind w:left="0"/>
              <w:jc w:val="center"/>
              <w:rPr>
                <w:rFonts w:ascii="Arial Narrow" w:hAnsi="Arial Narrow"/>
                <w:sz w:val="18"/>
                <w:szCs w:val="18"/>
              </w:rPr>
            </w:pPr>
            <w:r>
              <w:rPr>
                <w:rFonts w:ascii="Arial Narrow" w:hAnsi="Arial Narrow"/>
                <w:sz w:val="18"/>
                <w:szCs w:val="18"/>
              </w:rPr>
              <w:t>4 PE</w:t>
            </w:r>
          </w:p>
        </w:tc>
      </w:tr>
      <w:tr w:rsidR="00486AD7" w:rsidRPr="0017451F" w:rsidTr="00FD55AD">
        <w:tc>
          <w:tcPr>
            <w:tcW w:w="764" w:type="pct"/>
            <w:vAlign w:val="center"/>
          </w:tcPr>
          <w:p w:rsidR="00486AD7" w:rsidRDefault="00486AD7" w:rsidP="004F2EE3">
            <w:pPr>
              <w:pStyle w:val="ListParagraph"/>
              <w:ind w:left="0"/>
              <w:jc w:val="center"/>
              <w:rPr>
                <w:rFonts w:ascii="Arial Narrow" w:hAnsi="Arial Narrow"/>
                <w:sz w:val="18"/>
                <w:szCs w:val="18"/>
              </w:rPr>
            </w:pPr>
            <w:r>
              <w:rPr>
                <w:rFonts w:ascii="Arial Narrow" w:hAnsi="Arial Narrow"/>
                <w:sz w:val="18"/>
                <w:szCs w:val="18"/>
              </w:rPr>
              <w:t xml:space="preserve">Time from TMA to </w:t>
            </w:r>
            <w:proofErr w:type="spellStart"/>
            <w:r>
              <w:rPr>
                <w:rFonts w:ascii="Arial Narrow" w:hAnsi="Arial Narrow"/>
                <w:sz w:val="18"/>
                <w:szCs w:val="18"/>
              </w:rPr>
              <w:t>Ec</w:t>
            </w:r>
            <w:proofErr w:type="spellEnd"/>
          </w:p>
        </w:tc>
        <w:tc>
          <w:tcPr>
            <w:tcW w:w="928" w:type="pct"/>
            <w:vAlign w:val="center"/>
          </w:tcPr>
          <w:p w:rsidR="00486AD7" w:rsidRDefault="00486AD7" w:rsidP="004F2EE3">
            <w:pPr>
              <w:pStyle w:val="ListParagraph"/>
              <w:ind w:left="0"/>
              <w:jc w:val="center"/>
              <w:rPr>
                <w:rFonts w:ascii="Arial Narrow" w:hAnsi="Arial Narrow"/>
                <w:sz w:val="18"/>
                <w:szCs w:val="18"/>
              </w:rPr>
            </w:pPr>
            <w:r>
              <w:rPr>
                <w:rFonts w:ascii="Arial Narrow" w:hAnsi="Arial Narrow"/>
                <w:sz w:val="18"/>
                <w:szCs w:val="18"/>
              </w:rPr>
              <w:t>NR</w:t>
            </w:r>
          </w:p>
        </w:tc>
        <w:tc>
          <w:tcPr>
            <w:tcW w:w="1142" w:type="pct"/>
            <w:vAlign w:val="center"/>
          </w:tcPr>
          <w:p w:rsidR="00486AD7" w:rsidRDefault="00486AD7" w:rsidP="00106AF8">
            <w:pPr>
              <w:pStyle w:val="ListParagraph"/>
              <w:ind w:left="0"/>
              <w:jc w:val="center"/>
              <w:rPr>
                <w:rFonts w:ascii="Arial Narrow" w:hAnsi="Arial Narrow"/>
                <w:sz w:val="18"/>
                <w:szCs w:val="18"/>
              </w:rPr>
            </w:pPr>
            <w:r>
              <w:rPr>
                <w:rFonts w:ascii="Arial Narrow" w:hAnsi="Arial Narrow"/>
                <w:sz w:val="18"/>
                <w:szCs w:val="18"/>
              </w:rPr>
              <w:t>1 day – 8 months</w:t>
            </w:r>
          </w:p>
        </w:tc>
        <w:tc>
          <w:tcPr>
            <w:tcW w:w="2166" w:type="pct"/>
            <w:vAlign w:val="center"/>
          </w:tcPr>
          <w:p w:rsidR="00486AD7" w:rsidRPr="0017451F" w:rsidRDefault="00106AF8" w:rsidP="00106AF8">
            <w:pPr>
              <w:pStyle w:val="ListParagraph"/>
              <w:ind w:left="0"/>
              <w:jc w:val="center"/>
              <w:rPr>
                <w:rFonts w:ascii="Arial Narrow" w:hAnsi="Arial Narrow"/>
                <w:sz w:val="18"/>
                <w:szCs w:val="18"/>
              </w:rPr>
            </w:pPr>
            <w:r>
              <w:rPr>
                <w:rFonts w:ascii="Arial Narrow" w:hAnsi="Arial Narrow"/>
                <w:sz w:val="18"/>
                <w:szCs w:val="18"/>
              </w:rPr>
              <w:t>4 days - 5 weeks</w:t>
            </w:r>
          </w:p>
        </w:tc>
      </w:tr>
      <w:tr w:rsidR="00CA69EE" w:rsidRPr="0017451F" w:rsidTr="00FD55AD">
        <w:tc>
          <w:tcPr>
            <w:tcW w:w="764"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 xml:space="preserve">Dialysis required </w:t>
            </w:r>
            <w:proofErr w:type="spellStart"/>
            <w:r>
              <w:rPr>
                <w:rFonts w:ascii="Arial Narrow" w:hAnsi="Arial Narrow"/>
                <w:sz w:val="18"/>
                <w:szCs w:val="18"/>
              </w:rPr>
              <w:t>post transplant</w:t>
            </w:r>
            <w:proofErr w:type="spellEnd"/>
            <w:r>
              <w:rPr>
                <w:rFonts w:ascii="Arial Narrow" w:hAnsi="Arial Narrow"/>
                <w:sz w:val="18"/>
                <w:szCs w:val="18"/>
              </w:rPr>
              <w:t>, N</w:t>
            </w:r>
          </w:p>
        </w:tc>
        <w:tc>
          <w:tcPr>
            <w:tcW w:w="928"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0</w:t>
            </w:r>
          </w:p>
        </w:tc>
        <w:tc>
          <w:tcPr>
            <w:tcW w:w="1142"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2</w:t>
            </w:r>
          </w:p>
        </w:tc>
        <w:tc>
          <w:tcPr>
            <w:tcW w:w="2166" w:type="pct"/>
            <w:vAlign w:val="center"/>
          </w:tcPr>
          <w:p w:rsidR="00CA69EE" w:rsidRPr="0017451F" w:rsidRDefault="00106AF8" w:rsidP="004F2EE3">
            <w:pPr>
              <w:pStyle w:val="ListParagraph"/>
              <w:ind w:left="0"/>
              <w:jc w:val="center"/>
              <w:rPr>
                <w:rFonts w:ascii="Arial Narrow" w:hAnsi="Arial Narrow"/>
                <w:sz w:val="18"/>
                <w:szCs w:val="18"/>
              </w:rPr>
            </w:pPr>
            <w:r>
              <w:rPr>
                <w:rFonts w:ascii="Arial Narrow" w:hAnsi="Arial Narrow"/>
                <w:sz w:val="18"/>
                <w:szCs w:val="18"/>
              </w:rPr>
              <w:t>0</w:t>
            </w:r>
          </w:p>
        </w:tc>
      </w:tr>
      <w:tr w:rsidR="00CA69EE" w:rsidRPr="00CC59EB" w:rsidTr="00FD55AD">
        <w:tc>
          <w:tcPr>
            <w:tcW w:w="764" w:type="pct"/>
            <w:vAlign w:val="center"/>
          </w:tcPr>
          <w:p w:rsidR="00CA69EE" w:rsidRPr="00CC59EB" w:rsidRDefault="00CA69EE" w:rsidP="00041D1E">
            <w:pPr>
              <w:pStyle w:val="Tabletext"/>
              <w:jc w:val="center"/>
              <w:rPr>
                <w:rFonts w:ascii="Arial Narrow" w:hAnsi="Arial Narrow"/>
                <w:sz w:val="18"/>
                <w:szCs w:val="18"/>
              </w:rPr>
            </w:pPr>
            <w:r>
              <w:rPr>
                <w:rFonts w:ascii="Arial Narrow" w:hAnsi="Arial Narrow"/>
                <w:sz w:val="18"/>
                <w:szCs w:val="18"/>
              </w:rPr>
              <w:t xml:space="preserve">Mean duration of </w:t>
            </w:r>
            <w:proofErr w:type="spellStart"/>
            <w:r>
              <w:rPr>
                <w:rFonts w:ascii="Arial Narrow" w:hAnsi="Arial Narrow"/>
                <w:sz w:val="18"/>
                <w:szCs w:val="18"/>
              </w:rPr>
              <w:t>Ec</w:t>
            </w:r>
            <w:proofErr w:type="spellEnd"/>
            <w:r>
              <w:rPr>
                <w:rFonts w:ascii="Arial Narrow" w:hAnsi="Arial Narrow"/>
                <w:sz w:val="18"/>
                <w:szCs w:val="18"/>
              </w:rPr>
              <w:t xml:space="preserve"> treatment</w:t>
            </w:r>
          </w:p>
        </w:tc>
        <w:tc>
          <w:tcPr>
            <w:tcW w:w="928" w:type="pct"/>
            <w:vAlign w:val="center"/>
          </w:tcPr>
          <w:p w:rsidR="00CA69EE" w:rsidRPr="00CC59EB" w:rsidRDefault="00CA69EE" w:rsidP="004F2EE3">
            <w:pPr>
              <w:pStyle w:val="ListParagraph"/>
              <w:ind w:left="0"/>
              <w:jc w:val="center"/>
              <w:rPr>
                <w:rFonts w:ascii="Arial Narrow" w:hAnsi="Arial Narrow"/>
                <w:sz w:val="18"/>
                <w:szCs w:val="18"/>
              </w:rPr>
            </w:pPr>
            <w:r>
              <w:rPr>
                <w:rFonts w:ascii="Arial Narrow" w:hAnsi="Arial Narrow"/>
                <w:sz w:val="18"/>
                <w:szCs w:val="18"/>
              </w:rPr>
              <w:t>Ongoing</w:t>
            </w:r>
          </w:p>
        </w:tc>
        <w:tc>
          <w:tcPr>
            <w:tcW w:w="1142" w:type="pct"/>
            <w:vAlign w:val="center"/>
          </w:tcPr>
          <w:p w:rsidR="00CA69EE" w:rsidRDefault="00CA69EE" w:rsidP="004F2EE3">
            <w:pPr>
              <w:pStyle w:val="ListParagraph"/>
              <w:ind w:left="0"/>
              <w:jc w:val="center"/>
              <w:rPr>
                <w:rFonts w:ascii="Arial Narrow" w:hAnsi="Arial Narrow"/>
                <w:sz w:val="18"/>
                <w:szCs w:val="18"/>
              </w:rPr>
            </w:pPr>
            <w:r>
              <w:rPr>
                <w:rFonts w:ascii="Arial Narrow" w:hAnsi="Arial Narrow"/>
                <w:sz w:val="18"/>
                <w:szCs w:val="18"/>
              </w:rPr>
              <w:t>13.9 months</w:t>
            </w:r>
          </w:p>
          <w:p w:rsidR="00CA69EE" w:rsidRPr="00CC59EB" w:rsidRDefault="00CA69EE" w:rsidP="004F2EE3">
            <w:pPr>
              <w:pStyle w:val="ListParagraph"/>
              <w:ind w:left="0"/>
              <w:jc w:val="center"/>
              <w:rPr>
                <w:rFonts w:ascii="Arial Narrow" w:hAnsi="Arial Narrow"/>
                <w:sz w:val="18"/>
                <w:szCs w:val="18"/>
              </w:rPr>
            </w:pPr>
            <w:r>
              <w:rPr>
                <w:rFonts w:ascii="Arial Narrow" w:hAnsi="Arial Narrow"/>
                <w:sz w:val="18"/>
                <w:szCs w:val="18"/>
              </w:rPr>
              <w:t>(1day – 43 months)</w:t>
            </w:r>
          </w:p>
        </w:tc>
        <w:tc>
          <w:tcPr>
            <w:tcW w:w="2166" w:type="pct"/>
            <w:vAlign w:val="center"/>
          </w:tcPr>
          <w:p w:rsidR="00CA69EE" w:rsidRDefault="00106AF8" w:rsidP="004F2EE3">
            <w:pPr>
              <w:pStyle w:val="ListParagraph"/>
              <w:ind w:left="0"/>
              <w:jc w:val="center"/>
              <w:rPr>
                <w:rFonts w:ascii="Arial Narrow" w:hAnsi="Arial Narrow"/>
                <w:sz w:val="18"/>
                <w:szCs w:val="18"/>
              </w:rPr>
            </w:pPr>
            <w:r>
              <w:rPr>
                <w:rFonts w:ascii="Arial Narrow" w:hAnsi="Arial Narrow"/>
                <w:sz w:val="18"/>
                <w:szCs w:val="18"/>
              </w:rPr>
              <w:t>20.5 months</w:t>
            </w:r>
          </w:p>
          <w:p w:rsidR="00106AF8" w:rsidRPr="00CC59EB" w:rsidRDefault="00106AF8" w:rsidP="004F2EE3">
            <w:pPr>
              <w:pStyle w:val="ListParagraph"/>
              <w:ind w:left="0"/>
              <w:jc w:val="center"/>
              <w:rPr>
                <w:rFonts w:ascii="Arial Narrow" w:hAnsi="Arial Narrow"/>
                <w:sz w:val="18"/>
                <w:szCs w:val="18"/>
              </w:rPr>
            </w:pPr>
            <w:r>
              <w:rPr>
                <w:rFonts w:ascii="Arial Narrow" w:hAnsi="Arial Narrow"/>
                <w:sz w:val="18"/>
                <w:szCs w:val="18"/>
              </w:rPr>
              <w:t>(7 months – 3 years)</w:t>
            </w:r>
          </w:p>
        </w:tc>
      </w:tr>
      <w:tr w:rsidR="00CA69EE" w:rsidRPr="0017451F" w:rsidTr="00FD55AD">
        <w:tc>
          <w:tcPr>
            <w:tcW w:w="764" w:type="pct"/>
            <w:vAlign w:val="center"/>
          </w:tcPr>
          <w:p w:rsidR="00CA69EE" w:rsidRPr="00E57BA7" w:rsidRDefault="00CA69EE" w:rsidP="004F2EE3">
            <w:pPr>
              <w:pStyle w:val="Tabletext"/>
              <w:jc w:val="center"/>
              <w:rPr>
                <w:rFonts w:ascii="Arial Narrow" w:hAnsi="Arial Narrow"/>
                <w:sz w:val="18"/>
                <w:szCs w:val="18"/>
              </w:rPr>
            </w:pPr>
            <w:r w:rsidRPr="00E57BA7">
              <w:rPr>
                <w:rFonts w:ascii="Arial Narrow" w:hAnsi="Arial Narrow"/>
                <w:sz w:val="18"/>
                <w:szCs w:val="18"/>
              </w:rPr>
              <w:t>Satisfactory allograft function at last follow-up, N (%)</w:t>
            </w:r>
          </w:p>
        </w:tc>
        <w:tc>
          <w:tcPr>
            <w:tcW w:w="928"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1</w:t>
            </w:r>
          </w:p>
        </w:tc>
        <w:tc>
          <w:tcPr>
            <w:tcW w:w="1142"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10</w:t>
            </w:r>
          </w:p>
        </w:tc>
        <w:tc>
          <w:tcPr>
            <w:tcW w:w="2166" w:type="pct"/>
            <w:vAlign w:val="center"/>
          </w:tcPr>
          <w:p w:rsidR="00CA69EE" w:rsidRPr="0017451F" w:rsidRDefault="00106AF8" w:rsidP="004F2EE3">
            <w:pPr>
              <w:pStyle w:val="ListParagraph"/>
              <w:ind w:left="0"/>
              <w:jc w:val="center"/>
              <w:rPr>
                <w:rFonts w:ascii="Arial Narrow" w:hAnsi="Arial Narrow"/>
                <w:sz w:val="18"/>
                <w:szCs w:val="18"/>
              </w:rPr>
            </w:pPr>
            <w:r>
              <w:rPr>
                <w:rFonts w:ascii="Arial Narrow" w:hAnsi="Arial Narrow"/>
                <w:sz w:val="18"/>
                <w:szCs w:val="18"/>
              </w:rPr>
              <w:t>6</w:t>
            </w:r>
          </w:p>
        </w:tc>
      </w:tr>
      <w:tr w:rsidR="00CA69EE" w:rsidRPr="0017451F" w:rsidTr="00FD55AD">
        <w:tc>
          <w:tcPr>
            <w:tcW w:w="764" w:type="pct"/>
            <w:vAlign w:val="center"/>
          </w:tcPr>
          <w:p w:rsidR="00CA69EE" w:rsidRPr="008C1F6E" w:rsidRDefault="00CA69EE" w:rsidP="004F2EE3">
            <w:pPr>
              <w:pStyle w:val="Tabletext"/>
              <w:jc w:val="center"/>
              <w:rPr>
                <w:rFonts w:ascii="Arial Narrow" w:hAnsi="Arial Narrow"/>
                <w:sz w:val="18"/>
                <w:szCs w:val="18"/>
              </w:rPr>
            </w:pPr>
            <w:r w:rsidRPr="008C1F6E">
              <w:rPr>
                <w:rFonts w:ascii="Arial Narrow" w:hAnsi="Arial Narrow"/>
                <w:sz w:val="18"/>
                <w:szCs w:val="18"/>
              </w:rPr>
              <w:t>Death (all causes) N (%)</w:t>
            </w:r>
          </w:p>
        </w:tc>
        <w:tc>
          <w:tcPr>
            <w:tcW w:w="928"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0</w:t>
            </w:r>
          </w:p>
        </w:tc>
        <w:tc>
          <w:tcPr>
            <w:tcW w:w="1142" w:type="pct"/>
            <w:vAlign w:val="center"/>
          </w:tcPr>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0</w:t>
            </w:r>
          </w:p>
        </w:tc>
        <w:tc>
          <w:tcPr>
            <w:tcW w:w="2166" w:type="pct"/>
            <w:vAlign w:val="center"/>
          </w:tcPr>
          <w:p w:rsidR="00CA69EE" w:rsidRPr="0017451F" w:rsidRDefault="00106AF8" w:rsidP="004F2EE3">
            <w:pPr>
              <w:pStyle w:val="ListParagraph"/>
              <w:ind w:left="0"/>
              <w:jc w:val="center"/>
              <w:rPr>
                <w:rFonts w:ascii="Arial Narrow" w:hAnsi="Arial Narrow"/>
                <w:sz w:val="18"/>
                <w:szCs w:val="18"/>
              </w:rPr>
            </w:pPr>
            <w:r>
              <w:rPr>
                <w:rFonts w:ascii="Arial Narrow" w:hAnsi="Arial Narrow"/>
                <w:sz w:val="18"/>
                <w:szCs w:val="18"/>
              </w:rPr>
              <w:t>0</w:t>
            </w:r>
          </w:p>
        </w:tc>
      </w:tr>
      <w:tr w:rsidR="00CA69EE" w:rsidRPr="0017451F" w:rsidTr="00FD55AD">
        <w:tc>
          <w:tcPr>
            <w:tcW w:w="764" w:type="pct"/>
            <w:vAlign w:val="center"/>
          </w:tcPr>
          <w:p w:rsidR="00CA69EE" w:rsidRPr="008C1F6E" w:rsidRDefault="00CA69EE" w:rsidP="004F2EE3">
            <w:pPr>
              <w:pStyle w:val="Tabletext"/>
              <w:jc w:val="center"/>
              <w:rPr>
                <w:rFonts w:ascii="Arial Narrow" w:hAnsi="Arial Narrow"/>
                <w:sz w:val="18"/>
                <w:szCs w:val="18"/>
              </w:rPr>
            </w:pPr>
            <w:r>
              <w:rPr>
                <w:rFonts w:ascii="Arial Narrow" w:hAnsi="Arial Narrow"/>
                <w:sz w:val="18"/>
                <w:szCs w:val="18"/>
              </w:rPr>
              <w:t>Other related information</w:t>
            </w:r>
          </w:p>
        </w:tc>
        <w:tc>
          <w:tcPr>
            <w:tcW w:w="928" w:type="pct"/>
            <w:vAlign w:val="center"/>
          </w:tcPr>
          <w:p w:rsidR="00CA69EE" w:rsidRDefault="00CA69EE" w:rsidP="004F2EE3">
            <w:pPr>
              <w:pStyle w:val="ListParagraph"/>
              <w:ind w:left="-114"/>
              <w:jc w:val="center"/>
              <w:rPr>
                <w:rFonts w:ascii="Arial Narrow" w:hAnsi="Arial Narrow"/>
                <w:sz w:val="18"/>
                <w:szCs w:val="18"/>
              </w:rPr>
            </w:pPr>
            <w:r>
              <w:rPr>
                <w:rFonts w:ascii="Arial Narrow" w:hAnsi="Arial Narrow"/>
                <w:sz w:val="18"/>
                <w:szCs w:val="18"/>
              </w:rPr>
              <w:t>Single patient form a retrospective cohort study</w:t>
            </w:r>
          </w:p>
        </w:tc>
        <w:tc>
          <w:tcPr>
            <w:tcW w:w="1142" w:type="pct"/>
            <w:vAlign w:val="center"/>
          </w:tcPr>
          <w:p w:rsidR="00CA69EE" w:rsidRDefault="00CA69EE" w:rsidP="004F2EE3">
            <w:pPr>
              <w:pStyle w:val="ListParagraph"/>
              <w:ind w:left="0"/>
              <w:jc w:val="center"/>
              <w:rPr>
                <w:rFonts w:ascii="Arial Narrow" w:hAnsi="Arial Narrow"/>
                <w:sz w:val="18"/>
                <w:szCs w:val="18"/>
              </w:rPr>
            </w:pPr>
            <w:r>
              <w:rPr>
                <w:rFonts w:ascii="Arial Narrow" w:hAnsi="Arial Narrow"/>
                <w:sz w:val="18"/>
                <w:szCs w:val="18"/>
              </w:rPr>
              <w:t>Majority had PE post TMA which either not tolerated or relapsed.</w:t>
            </w:r>
          </w:p>
          <w:p w:rsidR="00CA69EE" w:rsidRPr="0017451F" w:rsidRDefault="00CA69EE" w:rsidP="004F2EE3">
            <w:pPr>
              <w:pStyle w:val="ListParagraph"/>
              <w:ind w:left="0"/>
              <w:jc w:val="center"/>
              <w:rPr>
                <w:rFonts w:ascii="Arial Narrow" w:hAnsi="Arial Narrow"/>
                <w:sz w:val="18"/>
                <w:szCs w:val="18"/>
              </w:rPr>
            </w:pPr>
            <w:r>
              <w:rPr>
                <w:rFonts w:ascii="Arial Narrow" w:hAnsi="Arial Narrow"/>
                <w:sz w:val="18"/>
                <w:szCs w:val="18"/>
              </w:rPr>
              <w:t>1 patient had graft function recovered after HD with Ec.</w:t>
            </w:r>
          </w:p>
        </w:tc>
        <w:tc>
          <w:tcPr>
            <w:tcW w:w="2166" w:type="pct"/>
            <w:vAlign w:val="center"/>
          </w:tcPr>
          <w:p w:rsidR="00CA69EE" w:rsidRPr="0017451F" w:rsidRDefault="00106AF8" w:rsidP="00106AF8">
            <w:pPr>
              <w:pStyle w:val="ListParagraph"/>
              <w:ind w:left="0"/>
              <w:jc w:val="center"/>
              <w:rPr>
                <w:rFonts w:ascii="Arial Narrow" w:hAnsi="Arial Narrow"/>
                <w:sz w:val="18"/>
                <w:szCs w:val="18"/>
              </w:rPr>
            </w:pPr>
            <w:r>
              <w:rPr>
                <w:rFonts w:ascii="Arial Narrow" w:hAnsi="Arial Narrow"/>
                <w:sz w:val="18"/>
                <w:szCs w:val="18"/>
              </w:rPr>
              <w:t xml:space="preserve">Significant heterogeneity in time to TMA </w:t>
            </w:r>
            <w:proofErr w:type="spellStart"/>
            <w:r>
              <w:rPr>
                <w:rFonts w:ascii="Arial Narrow" w:hAnsi="Arial Narrow"/>
                <w:sz w:val="18"/>
                <w:szCs w:val="18"/>
              </w:rPr>
              <w:t>post transplant</w:t>
            </w:r>
            <w:proofErr w:type="spellEnd"/>
            <w:r>
              <w:rPr>
                <w:rFonts w:ascii="Arial Narrow" w:hAnsi="Arial Narrow"/>
                <w:sz w:val="18"/>
                <w:szCs w:val="18"/>
              </w:rPr>
              <w:t xml:space="preserve"> and treatment post TMA.</w:t>
            </w:r>
          </w:p>
        </w:tc>
      </w:tr>
    </w:tbl>
    <w:p w:rsidR="00CC59EB" w:rsidRPr="00EF4BA9" w:rsidRDefault="00CC59EB" w:rsidP="00FD55AD">
      <w:pPr>
        <w:ind w:left="720"/>
        <w:jc w:val="both"/>
        <w:rPr>
          <w:rFonts w:ascii="Arial Narrow" w:hAnsi="Arial Narrow" w:cs="Arial"/>
          <w:sz w:val="18"/>
          <w:szCs w:val="18"/>
        </w:rPr>
      </w:pPr>
      <w:r w:rsidRPr="00EF4BA9">
        <w:rPr>
          <w:rFonts w:ascii="Arial Narrow" w:hAnsi="Arial Narrow" w:cs="Arial"/>
          <w:sz w:val="18"/>
          <w:szCs w:val="18"/>
        </w:rPr>
        <w:t>NA = not applicable; NR = not reported</w:t>
      </w:r>
      <w:proofErr w:type="gramStart"/>
      <w:r w:rsidRPr="00EF4BA9">
        <w:rPr>
          <w:rFonts w:ascii="Arial Narrow" w:hAnsi="Arial Narrow" w:cs="Arial"/>
          <w:sz w:val="18"/>
          <w:szCs w:val="18"/>
        </w:rPr>
        <w:t>; ;</w:t>
      </w:r>
      <w:proofErr w:type="gramEnd"/>
      <w:r w:rsidRPr="00EF4BA9">
        <w:rPr>
          <w:rFonts w:ascii="Arial Narrow" w:hAnsi="Arial Narrow" w:cs="Arial"/>
          <w:sz w:val="18"/>
          <w:szCs w:val="18"/>
        </w:rPr>
        <w:t xml:space="preserve"> TMA = thrombotic </w:t>
      </w:r>
      <w:proofErr w:type="spellStart"/>
      <w:r w:rsidRPr="00EF4BA9">
        <w:rPr>
          <w:rFonts w:ascii="Arial Narrow" w:hAnsi="Arial Narrow" w:cs="Arial"/>
          <w:sz w:val="18"/>
          <w:szCs w:val="18"/>
        </w:rPr>
        <w:t>mi</w:t>
      </w:r>
      <w:r>
        <w:rPr>
          <w:rFonts w:ascii="Arial Narrow" w:hAnsi="Arial Narrow" w:cs="Arial"/>
          <w:sz w:val="18"/>
          <w:szCs w:val="18"/>
        </w:rPr>
        <w:t>croangiopathy</w:t>
      </w:r>
      <w:proofErr w:type="spellEnd"/>
      <w:r>
        <w:rPr>
          <w:rFonts w:ascii="Arial Narrow" w:hAnsi="Arial Narrow" w:cs="Arial"/>
          <w:sz w:val="18"/>
          <w:szCs w:val="18"/>
        </w:rPr>
        <w:t xml:space="preserve">; </w:t>
      </w:r>
      <w:proofErr w:type="spellStart"/>
      <w:r>
        <w:rPr>
          <w:rFonts w:ascii="Arial Narrow" w:hAnsi="Arial Narrow" w:cs="Arial"/>
          <w:sz w:val="18"/>
          <w:szCs w:val="18"/>
        </w:rPr>
        <w:t>Ec</w:t>
      </w:r>
      <w:proofErr w:type="spellEnd"/>
      <w:r>
        <w:rPr>
          <w:rFonts w:ascii="Arial Narrow" w:hAnsi="Arial Narrow" w:cs="Arial"/>
          <w:sz w:val="18"/>
          <w:szCs w:val="18"/>
        </w:rPr>
        <w:t xml:space="preserve"> = </w:t>
      </w:r>
      <w:proofErr w:type="spellStart"/>
      <w:r>
        <w:rPr>
          <w:rFonts w:ascii="Arial Narrow" w:hAnsi="Arial Narrow" w:cs="Arial"/>
          <w:sz w:val="18"/>
          <w:szCs w:val="18"/>
        </w:rPr>
        <w:t>eculizumab</w:t>
      </w:r>
      <w:proofErr w:type="spellEnd"/>
      <w:r w:rsidR="00041D1E">
        <w:rPr>
          <w:rFonts w:ascii="Arial Narrow" w:hAnsi="Arial Narrow" w:cs="Arial"/>
          <w:sz w:val="18"/>
          <w:szCs w:val="18"/>
        </w:rPr>
        <w:t xml:space="preserve">; PE = plasma exchange; HD = haemodialysis </w:t>
      </w:r>
    </w:p>
    <w:p w:rsidR="00FD55AD" w:rsidRDefault="00CC59EB" w:rsidP="00FD55AD">
      <w:pPr>
        <w:ind w:firstLine="720"/>
        <w:rPr>
          <w:rFonts w:ascii="Arial Narrow" w:hAnsi="Arial Narrow" w:cs="Arial"/>
          <w:sz w:val="18"/>
          <w:szCs w:val="18"/>
        </w:rPr>
      </w:pPr>
      <w:proofErr w:type="spellStart"/>
      <w:proofErr w:type="gramStart"/>
      <w:r>
        <w:rPr>
          <w:rFonts w:ascii="Arial Narrow" w:hAnsi="Arial Narrow" w:cs="Arial"/>
          <w:sz w:val="18"/>
          <w:szCs w:val="18"/>
          <w:vertAlign w:val="superscript"/>
        </w:rPr>
        <w:t>a</w:t>
      </w:r>
      <w:proofErr w:type="spellEnd"/>
      <w:proofErr w:type="gramEnd"/>
      <w:r>
        <w:rPr>
          <w:rFonts w:ascii="Arial Narrow" w:hAnsi="Arial Narrow" w:cs="Arial"/>
          <w:sz w:val="18"/>
          <w:szCs w:val="18"/>
        </w:rPr>
        <w:t xml:space="preserve"> </w:t>
      </w:r>
      <w:r w:rsidR="00017BDE">
        <w:rPr>
          <w:rFonts w:ascii="Arial Narrow" w:hAnsi="Arial Narrow" w:cs="Arial"/>
          <w:sz w:val="18"/>
          <w:szCs w:val="18"/>
        </w:rPr>
        <w:t>Includes literature search patient no</w:t>
      </w:r>
      <w:r w:rsidR="00FD55AD">
        <w:rPr>
          <w:rFonts w:ascii="Arial Narrow" w:hAnsi="Arial Narrow" w:cs="Arial"/>
          <w:sz w:val="18"/>
          <w:szCs w:val="18"/>
        </w:rPr>
        <w:t>t previously reported.</w:t>
      </w:r>
    </w:p>
    <w:p w:rsidR="00FD55AD" w:rsidRPr="00FE55FA" w:rsidRDefault="00FD55AD" w:rsidP="00FD55AD">
      <w:pPr>
        <w:ind w:firstLine="720"/>
        <w:jc w:val="both"/>
        <w:rPr>
          <w:rFonts w:ascii="Arial Narrow" w:hAnsi="Arial Narrow" w:cs="Arial"/>
          <w:sz w:val="18"/>
          <w:szCs w:val="18"/>
        </w:rPr>
      </w:pPr>
      <w:r w:rsidRPr="009816F5">
        <w:rPr>
          <w:rFonts w:ascii="Arial Narrow" w:hAnsi="Arial Narrow" w:cs="Arial"/>
          <w:sz w:val="18"/>
          <w:szCs w:val="18"/>
        </w:rPr>
        <w:t>Source: Table constructed during the evaluation.</w:t>
      </w:r>
    </w:p>
    <w:p w:rsidR="00FD55AD" w:rsidRDefault="00FD55AD" w:rsidP="00FD55AD">
      <w:pPr>
        <w:ind w:firstLine="720"/>
        <w:jc w:val="both"/>
        <w:rPr>
          <w:rFonts w:ascii="Arial Narrow" w:hAnsi="Arial Narrow" w:cs="Arial"/>
          <w:sz w:val="18"/>
          <w:szCs w:val="18"/>
        </w:rPr>
      </w:pPr>
    </w:p>
    <w:p w:rsidR="00865E97" w:rsidRPr="00EE3E37" w:rsidRDefault="006B5261" w:rsidP="00EE3E37">
      <w:pPr>
        <w:pStyle w:val="ListParagraph"/>
        <w:widowControl/>
        <w:numPr>
          <w:ilvl w:val="1"/>
          <w:numId w:val="5"/>
        </w:numPr>
        <w:spacing w:after="120"/>
        <w:ind w:left="810" w:hanging="810"/>
        <w:contextualSpacing w:val="0"/>
        <w:rPr>
          <w:rFonts w:asciiTheme="minorHAnsi" w:hAnsiTheme="minorHAnsi"/>
        </w:rPr>
      </w:pPr>
      <w:r w:rsidRPr="00EE3E37">
        <w:rPr>
          <w:rFonts w:asciiTheme="minorHAnsi" w:hAnsiTheme="minorHAnsi"/>
        </w:rPr>
        <w:t xml:space="preserve">From the further 18 patients where </w:t>
      </w:r>
      <w:proofErr w:type="spellStart"/>
      <w:r w:rsidRPr="00EE3E37">
        <w:rPr>
          <w:rFonts w:asciiTheme="minorHAnsi" w:hAnsiTheme="minorHAnsi"/>
        </w:rPr>
        <w:t>eculizumab</w:t>
      </w:r>
      <w:proofErr w:type="spellEnd"/>
      <w:r w:rsidRPr="00EE3E37">
        <w:rPr>
          <w:rFonts w:asciiTheme="minorHAnsi" w:hAnsiTheme="minorHAnsi"/>
        </w:rPr>
        <w:t xml:space="preserve"> was initiated post TMA no deaths were recorded with 2 patients requiring </w:t>
      </w:r>
      <w:proofErr w:type="spellStart"/>
      <w:r w:rsidRPr="00EE3E37">
        <w:rPr>
          <w:rFonts w:asciiTheme="minorHAnsi" w:hAnsiTheme="minorHAnsi"/>
        </w:rPr>
        <w:t>post transplant</w:t>
      </w:r>
      <w:proofErr w:type="spellEnd"/>
      <w:r w:rsidRPr="00EE3E37">
        <w:rPr>
          <w:rFonts w:asciiTheme="minorHAnsi" w:hAnsiTheme="minorHAnsi"/>
        </w:rPr>
        <w:t xml:space="preserve"> dialysis</w:t>
      </w:r>
      <w:r w:rsidR="0061730C" w:rsidRPr="00EE3E37">
        <w:rPr>
          <w:rFonts w:asciiTheme="minorHAnsi" w:hAnsiTheme="minorHAnsi"/>
        </w:rPr>
        <w:t xml:space="preserve"> (1 long term)</w:t>
      </w:r>
      <w:r w:rsidRPr="00EE3E37">
        <w:rPr>
          <w:rFonts w:asciiTheme="minorHAnsi" w:hAnsiTheme="minorHAnsi"/>
        </w:rPr>
        <w:t xml:space="preserve"> and 17 (94%) with satisfactory allograft function at</w:t>
      </w:r>
      <w:r w:rsidR="0061730C" w:rsidRPr="00EE3E37">
        <w:rPr>
          <w:rFonts w:asciiTheme="minorHAnsi" w:hAnsiTheme="minorHAnsi"/>
        </w:rPr>
        <w:t xml:space="preserve"> the</w:t>
      </w:r>
      <w:r w:rsidRPr="00EE3E37">
        <w:rPr>
          <w:rFonts w:asciiTheme="minorHAnsi" w:hAnsiTheme="minorHAnsi"/>
        </w:rPr>
        <w:t xml:space="preserve"> last reported follow-up.</w:t>
      </w:r>
    </w:p>
    <w:p w:rsidR="00A86710" w:rsidRPr="00906C5A" w:rsidRDefault="00A86710" w:rsidP="00EE3E37">
      <w:pPr>
        <w:pStyle w:val="ListParagraph"/>
        <w:widowControl/>
        <w:numPr>
          <w:ilvl w:val="1"/>
          <w:numId w:val="5"/>
        </w:numPr>
        <w:spacing w:after="120"/>
        <w:ind w:left="810" w:hanging="810"/>
        <w:contextualSpacing w:val="0"/>
        <w:rPr>
          <w:rFonts w:asciiTheme="minorHAnsi" w:hAnsiTheme="minorHAnsi"/>
        </w:rPr>
      </w:pPr>
      <w:r w:rsidRPr="00CD0B1F">
        <w:rPr>
          <w:rFonts w:asciiTheme="minorHAnsi" w:hAnsiTheme="minorHAnsi"/>
        </w:rPr>
        <w:t>The PBAC</w:t>
      </w:r>
      <w:r w:rsidR="00D164DA" w:rsidRPr="00CD0B1F">
        <w:rPr>
          <w:rFonts w:asciiTheme="minorHAnsi" w:hAnsiTheme="minorHAnsi"/>
        </w:rPr>
        <w:t xml:space="preserve"> considered that while the data was not robust it did demonstrate</w:t>
      </w:r>
      <w:r w:rsidR="00AE17EB" w:rsidRPr="00CD0B1F">
        <w:rPr>
          <w:rFonts w:asciiTheme="minorHAnsi" w:hAnsiTheme="minorHAnsi"/>
        </w:rPr>
        <w:t xml:space="preserve"> </w:t>
      </w:r>
      <w:r w:rsidR="00004E50" w:rsidRPr="005460B5">
        <w:rPr>
          <w:rFonts w:asciiTheme="minorHAnsi" w:hAnsiTheme="minorHAnsi"/>
        </w:rPr>
        <w:t xml:space="preserve">that </w:t>
      </w:r>
      <w:proofErr w:type="spellStart"/>
      <w:r w:rsidR="00004E50" w:rsidRPr="005460B5">
        <w:rPr>
          <w:rFonts w:asciiTheme="minorHAnsi" w:hAnsiTheme="minorHAnsi"/>
        </w:rPr>
        <w:t>eculizumab</w:t>
      </w:r>
      <w:proofErr w:type="spellEnd"/>
      <w:r w:rsidR="00004E50" w:rsidRPr="005460B5">
        <w:rPr>
          <w:rFonts w:asciiTheme="minorHAnsi" w:hAnsiTheme="minorHAnsi"/>
        </w:rPr>
        <w:t xml:space="preserve"> reduces the risk of recurrence of </w:t>
      </w:r>
      <w:proofErr w:type="spellStart"/>
      <w:r w:rsidR="00004E50" w:rsidRPr="005460B5">
        <w:rPr>
          <w:rFonts w:asciiTheme="minorHAnsi" w:hAnsiTheme="minorHAnsi"/>
        </w:rPr>
        <w:t>aHUS</w:t>
      </w:r>
      <w:proofErr w:type="spellEnd"/>
      <w:r w:rsidR="00004E50" w:rsidRPr="005460B5">
        <w:rPr>
          <w:rFonts w:asciiTheme="minorHAnsi" w:hAnsiTheme="minorHAnsi"/>
        </w:rPr>
        <w:t xml:space="preserve"> following kidney transplantation (and graft loss)</w:t>
      </w:r>
      <w:r w:rsidR="00AE17EB" w:rsidRPr="005460B5">
        <w:rPr>
          <w:rFonts w:asciiTheme="minorHAnsi" w:hAnsiTheme="minorHAnsi"/>
        </w:rPr>
        <w:t xml:space="preserve">. </w:t>
      </w:r>
      <w:r w:rsidR="00AE17EB" w:rsidRPr="00906C5A">
        <w:rPr>
          <w:rFonts w:asciiTheme="minorHAnsi" w:hAnsiTheme="minorHAnsi"/>
        </w:rPr>
        <w:t>However, the PBAC was unable to quantify the incremental benefit</w:t>
      </w:r>
      <w:r w:rsidR="00CD0B1F" w:rsidRPr="00906C5A">
        <w:rPr>
          <w:rFonts w:asciiTheme="minorHAnsi" w:hAnsiTheme="minorHAnsi"/>
        </w:rPr>
        <w:t>s</w:t>
      </w:r>
      <w:r w:rsidR="00AE17EB" w:rsidRPr="00906C5A">
        <w:rPr>
          <w:rFonts w:asciiTheme="minorHAnsi" w:hAnsiTheme="minorHAnsi"/>
        </w:rPr>
        <w:t xml:space="preserve"> of </w:t>
      </w:r>
      <w:proofErr w:type="spellStart"/>
      <w:r w:rsidR="00AE17EB" w:rsidRPr="00906C5A">
        <w:rPr>
          <w:rFonts w:asciiTheme="minorHAnsi" w:hAnsiTheme="minorHAnsi"/>
        </w:rPr>
        <w:t>eculizumab</w:t>
      </w:r>
      <w:proofErr w:type="spellEnd"/>
      <w:r w:rsidR="00AE17EB" w:rsidRPr="00906C5A">
        <w:rPr>
          <w:rFonts w:asciiTheme="minorHAnsi" w:hAnsiTheme="minorHAnsi"/>
        </w:rPr>
        <w:t xml:space="preserve"> treatment over</w:t>
      </w:r>
      <w:r w:rsidR="00CD0B1F" w:rsidRPr="00906C5A">
        <w:rPr>
          <w:rFonts w:asciiTheme="minorHAnsi" w:hAnsiTheme="minorHAnsi"/>
        </w:rPr>
        <w:t xml:space="preserve"> (a) </w:t>
      </w:r>
      <w:r w:rsidR="00AE17EB" w:rsidRPr="00906C5A">
        <w:rPr>
          <w:rFonts w:asciiTheme="minorHAnsi" w:hAnsiTheme="minorHAnsi"/>
        </w:rPr>
        <w:t>best supportive care</w:t>
      </w:r>
      <w:r w:rsidR="00CD0B1F" w:rsidRPr="00906C5A">
        <w:rPr>
          <w:rFonts w:asciiTheme="minorHAnsi" w:hAnsiTheme="minorHAnsi"/>
        </w:rPr>
        <w:t xml:space="preserve"> (b)</w:t>
      </w:r>
      <w:r w:rsidR="00AE17EB" w:rsidRPr="00906C5A">
        <w:rPr>
          <w:rFonts w:asciiTheme="minorHAnsi" w:hAnsiTheme="minorHAnsi"/>
        </w:rPr>
        <w:t xml:space="preserve"> change</w:t>
      </w:r>
      <w:r w:rsidR="00CD0B1F" w:rsidRPr="00906C5A">
        <w:rPr>
          <w:rFonts w:asciiTheme="minorHAnsi" w:hAnsiTheme="minorHAnsi"/>
        </w:rPr>
        <w:t>s</w:t>
      </w:r>
      <w:r w:rsidR="00AE17EB" w:rsidRPr="00906C5A">
        <w:rPr>
          <w:rFonts w:asciiTheme="minorHAnsi" w:hAnsiTheme="minorHAnsi"/>
        </w:rPr>
        <w:t xml:space="preserve"> in the duration of treatment</w:t>
      </w:r>
      <w:r w:rsidR="00CD0B1F" w:rsidRPr="00906C5A">
        <w:rPr>
          <w:rFonts w:asciiTheme="minorHAnsi" w:hAnsiTheme="minorHAnsi"/>
        </w:rPr>
        <w:t>;</w:t>
      </w:r>
      <w:r w:rsidR="00AE17EB" w:rsidRPr="00906C5A">
        <w:rPr>
          <w:rFonts w:asciiTheme="minorHAnsi" w:hAnsiTheme="minorHAnsi"/>
        </w:rPr>
        <w:t xml:space="preserve"> or</w:t>
      </w:r>
      <w:r w:rsidR="00CD0B1F" w:rsidRPr="00906C5A">
        <w:rPr>
          <w:rFonts w:asciiTheme="minorHAnsi" w:hAnsiTheme="minorHAnsi"/>
        </w:rPr>
        <w:t xml:space="preserve"> (c)</w:t>
      </w:r>
      <w:r w:rsidR="00AE17EB" w:rsidRPr="00906C5A">
        <w:rPr>
          <w:rFonts w:asciiTheme="minorHAnsi" w:hAnsiTheme="minorHAnsi"/>
        </w:rPr>
        <w:t xml:space="preserve"> of prophylactic treatment vs treatment upon recurrence.</w:t>
      </w:r>
    </w:p>
    <w:p w:rsidR="00182374" w:rsidRPr="00CD0B1F" w:rsidRDefault="00182374" w:rsidP="00882085">
      <w:pPr>
        <w:jc w:val="both"/>
        <w:rPr>
          <w:rFonts w:asciiTheme="minorHAnsi" w:hAnsiTheme="minorHAnsi" w:cs="Arial"/>
        </w:rPr>
      </w:pPr>
    </w:p>
    <w:p w:rsidR="005A3173" w:rsidRPr="00CD0B1F" w:rsidRDefault="005A3173" w:rsidP="00B1059E">
      <w:pPr>
        <w:pStyle w:val="Heading2"/>
        <w:rPr>
          <w:rFonts w:asciiTheme="minorHAnsi" w:hAnsiTheme="minorHAnsi" w:cs="Arial"/>
          <w:sz w:val="28"/>
          <w:szCs w:val="28"/>
        </w:rPr>
      </w:pPr>
      <w:r w:rsidRPr="00CD0B1F">
        <w:rPr>
          <w:rFonts w:asciiTheme="minorHAnsi" w:hAnsiTheme="minorHAnsi" w:cs="Arial"/>
          <w:sz w:val="28"/>
          <w:szCs w:val="28"/>
        </w:rPr>
        <w:t>Comparative harms</w:t>
      </w:r>
    </w:p>
    <w:p w:rsidR="00865E97" w:rsidRPr="00CD0B1F" w:rsidRDefault="00865E97" w:rsidP="00865E97"/>
    <w:p w:rsidR="005A3173" w:rsidRPr="00EE3E37" w:rsidRDefault="00865E97" w:rsidP="00EE3E37">
      <w:pPr>
        <w:pStyle w:val="ListParagraph"/>
        <w:widowControl/>
        <w:numPr>
          <w:ilvl w:val="1"/>
          <w:numId w:val="5"/>
        </w:numPr>
        <w:spacing w:after="120"/>
        <w:ind w:left="810" w:hanging="810"/>
        <w:contextualSpacing w:val="0"/>
        <w:rPr>
          <w:rFonts w:asciiTheme="minorHAnsi" w:hAnsiTheme="minorHAnsi"/>
        </w:rPr>
      </w:pPr>
      <w:r w:rsidRPr="00CD0B1F">
        <w:rPr>
          <w:rFonts w:asciiTheme="minorHAnsi" w:hAnsiTheme="minorHAnsi"/>
        </w:rPr>
        <w:t xml:space="preserve">The PBAC previously noted that the comparative </w:t>
      </w:r>
      <w:r w:rsidR="0061730C" w:rsidRPr="00CD0B1F">
        <w:rPr>
          <w:rFonts w:asciiTheme="minorHAnsi" w:hAnsiTheme="minorHAnsi"/>
        </w:rPr>
        <w:t xml:space="preserve">safety of long-term </w:t>
      </w:r>
      <w:proofErr w:type="spellStart"/>
      <w:r w:rsidR="0061730C" w:rsidRPr="00CD0B1F">
        <w:rPr>
          <w:rFonts w:asciiTheme="minorHAnsi" w:hAnsiTheme="minorHAnsi"/>
        </w:rPr>
        <w:t>eculizumab</w:t>
      </w:r>
      <w:proofErr w:type="spellEnd"/>
      <w:r w:rsidR="0061730C" w:rsidRPr="00CD0B1F">
        <w:rPr>
          <w:rFonts w:asciiTheme="minorHAnsi" w:hAnsiTheme="minorHAnsi"/>
        </w:rPr>
        <w:t xml:space="preserve"> i</w:t>
      </w:r>
      <w:r w:rsidRPr="00CD0B1F">
        <w:rPr>
          <w:rFonts w:asciiTheme="minorHAnsi" w:hAnsiTheme="minorHAnsi"/>
        </w:rPr>
        <w:t xml:space="preserve">s still to be determined. Further, the PBAC noted that the </w:t>
      </w:r>
      <w:proofErr w:type="gramStart"/>
      <w:r w:rsidRPr="00CD0B1F">
        <w:rPr>
          <w:rFonts w:asciiTheme="minorHAnsi" w:hAnsiTheme="minorHAnsi"/>
        </w:rPr>
        <w:t xml:space="preserve">safety of the long-term use of </w:t>
      </w:r>
      <w:proofErr w:type="spellStart"/>
      <w:r w:rsidRPr="00CD0B1F">
        <w:rPr>
          <w:rFonts w:asciiTheme="minorHAnsi" w:hAnsiTheme="minorHAnsi"/>
        </w:rPr>
        <w:t>eculizumab</w:t>
      </w:r>
      <w:proofErr w:type="spellEnd"/>
      <w:r w:rsidRPr="00CD0B1F">
        <w:rPr>
          <w:rFonts w:asciiTheme="minorHAnsi" w:hAnsiTheme="minorHAnsi"/>
        </w:rPr>
        <w:t xml:space="preserve"> in patients with complete</w:t>
      </w:r>
      <w:proofErr w:type="gramEnd"/>
      <w:r w:rsidRPr="00CD0B1F">
        <w:rPr>
          <w:rFonts w:asciiTheme="minorHAnsi" w:hAnsiTheme="minorHAnsi"/>
        </w:rPr>
        <w:t xml:space="preserve"> remission of TMA and renal function</w:t>
      </w:r>
      <w:r w:rsidRPr="00EE3E37">
        <w:rPr>
          <w:rFonts w:asciiTheme="minorHAnsi" w:hAnsiTheme="minorHAnsi"/>
        </w:rPr>
        <w:t xml:space="preserve"> is also not known (</w:t>
      </w:r>
      <w:proofErr w:type="spellStart"/>
      <w:r w:rsidRPr="00EE3E37">
        <w:rPr>
          <w:rFonts w:asciiTheme="minorHAnsi" w:hAnsiTheme="minorHAnsi"/>
        </w:rPr>
        <w:t>Eculizumab</w:t>
      </w:r>
      <w:proofErr w:type="spellEnd"/>
      <w:r w:rsidRPr="00EE3E37">
        <w:rPr>
          <w:rFonts w:asciiTheme="minorHAnsi" w:hAnsiTheme="minorHAnsi"/>
        </w:rPr>
        <w:t xml:space="preserve"> PSD, March 2014 PBAC Meeting).</w:t>
      </w:r>
      <w:r w:rsidR="0061730C" w:rsidRPr="00EE3E37">
        <w:rPr>
          <w:rFonts w:asciiTheme="minorHAnsi" w:hAnsiTheme="minorHAnsi"/>
        </w:rPr>
        <w:t xml:space="preserve"> No data were submitted to address this issue.</w:t>
      </w:r>
      <w:r w:rsidR="00D164DA" w:rsidRPr="00EE3E37">
        <w:rPr>
          <w:rFonts w:asciiTheme="minorHAnsi" w:hAnsiTheme="minorHAnsi"/>
        </w:rPr>
        <w:t xml:space="preserve"> The PBAC noted that in </w:t>
      </w:r>
      <w:r w:rsidR="004379C8">
        <w:rPr>
          <w:rFonts w:asciiTheme="minorHAnsi" w:hAnsiTheme="minorHAnsi"/>
        </w:rPr>
        <w:t>its</w:t>
      </w:r>
      <w:r w:rsidR="004379C8" w:rsidRPr="00EE3E37">
        <w:rPr>
          <w:rFonts w:asciiTheme="minorHAnsi" w:hAnsiTheme="minorHAnsi"/>
        </w:rPr>
        <w:t xml:space="preserve"> </w:t>
      </w:r>
      <w:r w:rsidR="00D164DA" w:rsidRPr="00EE3E37">
        <w:rPr>
          <w:rFonts w:asciiTheme="minorHAnsi" w:hAnsiTheme="minorHAnsi"/>
        </w:rPr>
        <w:t xml:space="preserve">pre-PBAC response the sponsor claimed that there was up to 10 years of treatment data available for </w:t>
      </w:r>
      <w:proofErr w:type="spellStart"/>
      <w:r w:rsidR="00D164DA" w:rsidRPr="00EE3E37">
        <w:rPr>
          <w:rFonts w:asciiTheme="minorHAnsi" w:hAnsiTheme="minorHAnsi"/>
        </w:rPr>
        <w:t>eculizu</w:t>
      </w:r>
      <w:r w:rsidR="00EC72F9" w:rsidRPr="00EE3E37">
        <w:rPr>
          <w:rFonts w:asciiTheme="minorHAnsi" w:hAnsiTheme="minorHAnsi"/>
        </w:rPr>
        <w:t>mab</w:t>
      </w:r>
      <w:proofErr w:type="spellEnd"/>
      <w:r w:rsidR="00EC72F9" w:rsidRPr="00EE3E37">
        <w:rPr>
          <w:rFonts w:asciiTheme="minorHAnsi" w:hAnsiTheme="minorHAnsi"/>
        </w:rPr>
        <w:t xml:space="preserve"> internationally, however the</w:t>
      </w:r>
      <w:r w:rsidR="00D164DA" w:rsidRPr="00EE3E37">
        <w:rPr>
          <w:rFonts w:asciiTheme="minorHAnsi" w:hAnsiTheme="minorHAnsi"/>
        </w:rPr>
        <w:t>s</w:t>
      </w:r>
      <w:r w:rsidR="00EC72F9" w:rsidRPr="00EE3E37">
        <w:rPr>
          <w:rFonts w:asciiTheme="minorHAnsi" w:hAnsiTheme="minorHAnsi"/>
        </w:rPr>
        <w:t>e</w:t>
      </w:r>
      <w:r w:rsidR="00D164DA" w:rsidRPr="00EE3E37">
        <w:rPr>
          <w:rFonts w:asciiTheme="minorHAnsi" w:hAnsiTheme="minorHAnsi"/>
        </w:rPr>
        <w:t xml:space="preserve"> data w</w:t>
      </w:r>
      <w:r w:rsidR="00EC72F9" w:rsidRPr="00EE3E37">
        <w:rPr>
          <w:rFonts w:asciiTheme="minorHAnsi" w:hAnsiTheme="minorHAnsi"/>
        </w:rPr>
        <w:t>ere</w:t>
      </w:r>
      <w:r w:rsidR="00D164DA" w:rsidRPr="00EE3E37">
        <w:rPr>
          <w:rFonts w:asciiTheme="minorHAnsi" w:hAnsiTheme="minorHAnsi"/>
        </w:rPr>
        <w:t xml:space="preserve"> not presented </w:t>
      </w:r>
      <w:r w:rsidR="004379C8">
        <w:rPr>
          <w:rFonts w:asciiTheme="minorHAnsi" w:hAnsiTheme="minorHAnsi"/>
        </w:rPr>
        <w:t xml:space="preserve">to </w:t>
      </w:r>
      <w:r w:rsidR="00D164DA" w:rsidRPr="00EE3E37">
        <w:rPr>
          <w:rFonts w:asciiTheme="minorHAnsi" w:hAnsiTheme="minorHAnsi"/>
        </w:rPr>
        <w:t>the PBAC for consideration.</w:t>
      </w:r>
    </w:p>
    <w:p w:rsidR="00FA6055" w:rsidRPr="003E461A" w:rsidRDefault="00FA6055" w:rsidP="00B6773F">
      <w:pPr>
        <w:jc w:val="both"/>
        <w:rPr>
          <w:rFonts w:asciiTheme="minorHAnsi" w:hAnsiTheme="minorHAnsi" w:cs="Arial"/>
        </w:rPr>
      </w:pPr>
    </w:p>
    <w:p w:rsidR="005A3173" w:rsidRPr="003E461A" w:rsidRDefault="005A3173" w:rsidP="00B1059E">
      <w:pPr>
        <w:pStyle w:val="Heading2"/>
        <w:rPr>
          <w:rFonts w:asciiTheme="minorHAnsi" w:hAnsiTheme="minorHAnsi" w:cs="Arial"/>
          <w:sz w:val="28"/>
          <w:szCs w:val="28"/>
        </w:rPr>
      </w:pPr>
      <w:r w:rsidRPr="003E461A">
        <w:rPr>
          <w:rFonts w:asciiTheme="minorHAnsi" w:hAnsiTheme="minorHAnsi" w:cs="Arial"/>
          <w:sz w:val="28"/>
          <w:szCs w:val="28"/>
        </w:rPr>
        <w:t>Clinical claim</w:t>
      </w:r>
    </w:p>
    <w:p w:rsidR="005A3173" w:rsidRPr="003E461A" w:rsidRDefault="005A3173" w:rsidP="00882085">
      <w:pPr>
        <w:ind w:left="720" w:hanging="720"/>
        <w:jc w:val="both"/>
        <w:rPr>
          <w:rFonts w:asciiTheme="minorHAnsi" w:hAnsiTheme="minorHAnsi" w:cs="Arial"/>
        </w:rPr>
      </w:pPr>
    </w:p>
    <w:p w:rsidR="00794CD1" w:rsidRPr="00890AC0" w:rsidRDefault="00F92C48" w:rsidP="00890AC0">
      <w:pPr>
        <w:pStyle w:val="ListParagraph"/>
        <w:widowControl/>
        <w:numPr>
          <w:ilvl w:val="1"/>
          <w:numId w:val="5"/>
        </w:numPr>
        <w:spacing w:after="120"/>
        <w:ind w:left="810" w:hanging="810"/>
        <w:contextualSpacing w:val="0"/>
        <w:rPr>
          <w:rFonts w:asciiTheme="minorHAnsi" w:hAnsiTheme="minorHAnsi"/>
        </w:rPr>
      </w:pPr>
      <w:r w:rsidRPr="00890AC0">
        <w:rPr>
          <w:rFonts w:asciiTheme="minorHAnsi" w:hAnsiTheme="minorHAnsi"/>
        </w:rPr>
        <w:t xml:space="preserve">The submission claimed that </w:t>
      </w:r>
      <w:proofErr w:type="spellStart"/>
      <w:r w:rsidRPr="00890AC0">
        <w:rPr>
          <w:rFonts w:asciiTheme="minorHAnsi" w:hAnsiTheme="minorHAnsi"/>
        </w:rPr>
        <w:t>eculizumab</w:t>
      </w:r>
      <w:proofErr w:type="spellEnd"/>
      <w:r w:rsidRPr="00890AC0">
        <w:rPr>
          <w:rFonts w:asciiTheme="minorHAnsi" w:hAnsiTheme="minorHAnsi"/>
        </w:rPr>
        <w:t xml:space="preserve"> is effective in preventing post-transplantation recurrence of TMA and graft loss. </w:t>
      </w:r>
    </w:p>
    <w:p w:rsidR="00F57A6D" w:rsidRPr="00DC6987" w:rsidRDefault="00890AC0" w:rsidP="0052511D">
      <w:pPr>
        <w:pStyle w:val="ListParagraph"/>
        <w:widowControl/>
        <w:numPr>
          <w:ilvl w:val="1"/>
          <w:numId w:val="5"/>
        </w:numPr>
        <w:spacing w:after="120"/>
        <w:ind w:left="810" w:hanging="810"/>
        <w:contextualSpacing w:val="0"/>
        <w:rPr>
          <w:rFonts w:asciiTheme="minorHAnsi" w:hAnsiTheme="minorHAnsi"/>
        </w:rPr>
      </w:pPr>
      <w:r w:rsidRPr="00DC6987">
        <w:rPr>
          <w:rFonts w:asciiTheme="minorHAnsi" w:hAnsiTheme="minorHAnsi"/>
        </w:rPr>
        <w:t>The PBAC considered that the claim of effectiveness</w:t>
      </w:r>
      <w:r w:rsidRPr="00890AC0">
        <w:t xml:space="preserve"> </w:t>
      </w:r>
      <w:r w:rsidRPr="00DC6987">
        <w:rPr>
          <w:rFonts w:asciiTheme="minorHAnsi" w:hAnsiTheme="minorHAnsi"/>
        </w:rPr>
        <w:t xml:space="preserve">in preventing post-transplantation recurrence of TMA and graft loss </w:t>
      </w:r>
      <w:r w:rsidR="00A20DC4">
        <w:rPr>
          <w:rFonts w:asciiTheme="minorHAnsi" w:hAnsiTheme="minorHAnsi"/>
        </w:rPr>
        <w:t xml:space="preserve">due to recurrent </w:t>
      </w:r>
      <w:proofErr w:type="spellStart"/>
      <w:r w:rsidR="00A20DC4">
        <w:rPr>
          <w:rFonts w:asciiTheme="minorHAnsi" w:hAnsiTheme="minorHAnsi"/>
        </w:rPr>
        <w:t>aHUS</w:t>
      </w:r>
      <w:proofErr w:type="spellEnd"/>
      <w:r w:rsidR="00A20DC4">
        <w:rPr>
          <w:rFonts w:asciiTheme="minorHAnsi" w:hAnsiTheme="minorHAnsi"/>
        </w:rPr>
        <w:t xml:space="preserve"> </w:t>
      </w:r>
      <w:r w:rsidRPr="00DC6987">
        <w:rPr>
          <w:rFonts w:asciiTheme="minorHAnsi" w:hAnsiTheme="minorHAnsi"/>
        </w:rPr>
        <w:t>was reasonable.</w:t>
      </w:r>
      <w:r w:rsidR="004379C8" w:rsidRPr="00DC6987">
        <w:rPr>
          <w:rFonts w:asciiTheme="minorHAnsi" w:hAnsiTheme="minorHAnsi"/>
        </w:rPr>
        <w:t xml:space="preserve">  However,</w:t>
      </w:r>
      <w:r w:rsidR="00906C5A" w:rsidRPr="00DC6987">
        <w:rPr>
          <w:rFonts w:asciiTheme="minorHAnsi" w:hAnsiTheme="minorHAnsi"/>
        </w:rPr>
        <w:t xml:space="preserve"> </w:t>
      </w:r>
      <w:r w:rsidR="004379C8" w:rsidRPr="00DC6987">
        <w:rPr>
          <w:rFonts w:asciiTheme="minorHAnsi" w:hAnsiTheme="minorHAnsi"/>
        </w:rPr>
        <w:t xml:space="preserve">given the lack of comparative </w:t>
      </w:r>
      <w:proofErr w:type="gramStart"/>
      <w:r w:rsidR="004379C8" w:rsidRPr="00DC6987">
        <w:rPr>
          <w:rFonts w:asciiTheme="minorHAnsi" w:hAnsiTheme="minorHAnsi"/>
        </w:rPr>
        <w:t>data,</w:t>
      </w:r>
      <w:proofErr w:type="gramEnd"/>
      <w:r w:rsidR="004379C8" w:rsidRPr="00DC6987">
        <w:rPr>
          <w:rFonts w:asciiTheme="minorHAnsi" w:hAnsiTheme="minorHAnsi"/>
        </w:rPr>
        <w:t xml:space="preserve"> and the heterogeneity in the evidence base, the PBAC concluded that it was not possible to </w:t>
      </w:r>
      <w:r w:rsidR="00837E2F">
        <w:rPr>
          <w:rFonts w:asciiTheme="minorHAnsi" w:hAnsiTheme="minorHAnsi"/>
        </w:rPr>
        <w:t>precisely</w:t>
      </w:r>
      <w:r w:rsidR="00A20DC4">
        <w:rPr>
          <w:rFonts w:asciiTheme="minorHAnsi" w:hAnsiTheme="minorHAnsi"/>
        </w:rPr>
        <w:t xml:space="preserve"> </w:t>
      </w:r>
      <w:r w:rsidR="004379C8" w:rsidRPr="00DC6987">
        <w:rPr>
          <w:rFonts w:asciiTheme="minorHAnsi" w:hAnsiTheme="minorHAnsi"/>
        </w:rPr>
        <w:t xml:space="preserve">quantify the comparative benefits and harms of prophylactic </w:t>
      </w:r>
      <w:proofErr w:type="spellStart"/>
      <w:r w:rsidR="004379C8" w:rsidRPr="00DC6987">
        <w:rPr>
          <w:rFonts w:asciiTheme="minorHAnsi" w:hAnsiTheme="minorHAnsi"/>
        </w:rPr>
        <w:t>eculizumab</w:t>
      </w:r>
      <w:proofErr w:type="spellEnd"/>
      <w:r w:rsidR="004379C8" w:rsidRPr="00DC6987">
        <w:rPr>
          <w:rFonts w:asciiTheme="minorHAnsi" w:hAnsiTheme="minorHAnsi"/>
        </w:rPr>
        <w:t xml:space="preserve">, initiated peri-transplantation, compared to either supportive care or the alternative treatment approach of initiating treatment at post-transplantation recurrence of TMA. There was also insufficient evidence to quantify the comparative benefits and harms of long-term prophylactic </w:t>
      </w:r>
      <w:proofErr w:type="spellStart"/>
      <w:r w:rsidR="004379C8" w:rsidRPr="00DC6987">
        <w:rPr>
          <w:rFonts w:asciiTheme="minorHAnsi" w:hAnsiTheme="minorHAnsi"/>
        </w:rPr>
        <w:t>eculizumab</w:t>
      </w:r>
      <w:proofErr w:type="spellEnd"/>
      <w:r w:rsidR="004379C8" w:rsidRPr="00DC6987">
        <w:rPr>
          <w:rFonts w:asciiTheme="minorHAnsi" w:hAnsiTheme="minorHAnsi"/>
        </w:rPr>
        <w:t xml:space="preserve"> therapy, compared to discontinuation of therapy with monitoring for recurrence of TMA, in patients in complete remission post-transplantation. </w:t>
      </w:r>
    </w:p>
    <w:p w:rsidR="005A3173" w:rsidRPr="003E461A" w:rsidRDefault="005A3173" w:rsidP="00B1059E">
      <w:pPr>
        <w:pStyle w:val="Heading2"/>
        <w:rPr>
          <w:rFonts w:asciiTheme="minorHAnsi" w:hAnsiTheme="minorHAnsi" w:cs="Arial"/>
          <w:sz w:val="28"/>
          <w:szCs w:val="28"/>
        </w:rPr>
      </w:pPr>
      <w:r w:rsidRPr="003E461A">
        <w:rPr>
          <w:rFonts w:asciiTheme="minorHAnsi" w:hAnsiTheme="minorHAnsi" w:cs="Arial"/>
          <w:sz w:val="28"/>
          <w:szCs w:val="28"/>
        </w:rPr>
        <w:t>Economic analysis</w:t>
      </w:r>
    </w:p>
    <w:p w:rsidR="005A3173" w:rsidRPr="003E461A" w:rsidRDefault="005A3173" w:rsidP="00EE3E37">
      <w:pPr>
        <w:pStyle w:val="NoSpacing"/>
        <w:ind w:left="709" w:hanging="709"/>
        <w:rPr>
          <w:rFonts w:asciiTheme="minorHAnsi" w:hAnsiTheme="minorHAnsi" w:cs="Arial"/>
          <w:sz w:val="24"/>
          <w:szCs w:val="24"/>
        </w:rPr>
      </w:pPr>
    </w:p>
    <w:p w:rsidR="006B0C6D" w:rsidRPr="003E461A" w:rsidRDefault="006B0C6D" w:rsidP="00EE3E37">
      <w:pPr>
        <w:pStyle w:val="ListParagraph"/>
        <w:numPr>
          <w:ilvl w:val="1"/>
          <w:numId w:val="5"/>
        </w:numPr>
        <w:ind w:left="709" w:hanging="709"/>
        <w:rPr>
          <w:rFonts w:asciiTheme="minorHAnsi" w:hAnsiTheme="minorHAnsi"/>
          <w:sz w:val="24"/>
          <w:szCs w:val="24"/>
        </w:rPr>
      </w:pPr>
      <w:r w:rsidRPr="003E461A">
        <w:rPr>
          <w:rFonts w:asciiTheme="minorHAnsi" w:hAnsiTheme="minorHAnsi"/>
          <w:sz w:val="24"/>
          <w:szCs w:val="24"/>
        </w:rPr>
        <w:t>The submission did not present an economic analysis.</w:t>
      </w:r>
    </w:p>
    <w:p w:rsidR="005963BB" w:rsidRPr="003E461A" w:rsidRDefault="005963BB" w:rsidP="00EE3E37">
      <w:pPr>
        <w:pStyle w:val="ListParagraph"/>
        <w:ind w:left="709" w:hanging="709"/>
        <w:rPr>
          <w:rFonts w:asciiTheme="minorHAnsi" w:hAnsiTheme="minorHAnsi"/>
          <w:sz w:val="24"/>
          <w:szCs w:val="24"/>
        </w:rPr>
      </w:pPr>
    </w:p>
    <w:p w:rsidR="00A55FEE" w:rsidRPr="003E461A" w:rsidRDefault="00A55FEE" w:rsidP="00B1059E">
      <w:pPr>
        <w:pStyle w:val="Heading2"/>
        <w:rPr>
          <w:rFonts w:asciiTheme="minorHAnsi" w:hAnsiTheme="minorHAnsi" w:cs="Arial"/>
          <w:sz w:val="28"/>
          <w:szCs w:val="28"/>
        </w:rPr>
      </w:pPr>
      <w:r w:rsidRPr="003E461A">
        <w:rPr>
          <w:rFonts w:asciiTheme="minorHAnsi" w:hAnsiTheme="minorHAnsi" w:cs="Arial"/>
          <w:sz w:val="28"/>
          <w:szCs w:val="28"/>
        </w:rPr>
        <w:t>Drug cost/patient</w:t>
      </w:r>
      <w:r w:rsidR="00F92C48" w:rsidRPr="003E461A">
        <w:rPr>
          <w:rFonts w:asciiTheme="minorHAnsi" w:hAnsiTheme="minorHAnsi" w:cs="Arial"/>
          <w:sz w:val="28"/>
          <w:szCs w:val="28"/>
        </w:rPr>
        <w:t>/year:</w:t>
      </w:r>
    </w:p>
    <w:p w:rsidR="00A55FEE" w:rsidRPr="003E461A" w:rsidRDefault="00A55FEE" w:rsidP="00EE3E37">
      <w:pPr>
        <w:ind w:left="720" w:hanging="720"/>
        <w:jc w:val="both"/>
        <w:rPr>
          <w:rFonts w:asciiTheme="minorHAnsi" w:hAnsiTheme="minorHAnsi" w:cs="Arial"/>
          <w:b/>
          <w:i/>
        </w:rPr>
      </w:pPr>
    </w:p>
    <w:p w:rsidR="00AE17EB" w:rsidRPr="00EE3E37" w:rsidRDefault="00AE17EB" w:rsidP="00EE3E37">
      <w:pPr>
        <w:pStyle w:val="ListParagraph"/>
        <w:widowControl/>
        <w:numPr>
          <w:ilvl w:val="1"/>
          <w:numId w:val="5"/>
        </w:numPr>
        <w:spacing w:after="120"/>
        <w:ind w:left="720"/>
        <w:contextualSpacing w:val="0"/>
        <w:rPr>
          <w:rFonts w:asciiTheme="minorHAnsi" w:hAnsiTheme="minorHAnsi"/>
          <w:sz w:val="24"/>
          <w:szCs w:val="24"/>
        </w:rPr>
      </w:pPr>
      <w:r w:rsidRPr="00EE3E37">
        <w:rPr>
          <w:rFonts w:asciiTheme="minorHAnsi" w:hAnsiTheme="minorHAnsi"/>
          <w:sz w:val="24"/>
          <w:szCs w:val="24"/>
        </w:rPr>
        <w:t>For an adult patient weighing at least 40kg</w:t>
      </w:r>
      <w:r w:rsidR="00EE3E37">
        <w:rPr>
          <w:rFonts w:asciiTheme="minorHAnsi" w:hAnsiTheme="minorHAnsi"/>
          <w:sz w:val="24"/>
          <w:szCs w:val="24"/>
        </w:rPr>
        <w:t xml:space="preserve"> (assumes inpatient and ongoing maintenance treatment)</w:t>
      </w:r>
      <w:r w:rsidRPr="00EE3E37">
        <w:rPr>
          <w:rFonts w:asciiTheme="minorHAnsi" w:hAnsiTheme="minorHAnsi"/>
          <w:sz w:val="24"/>
          <w:szCs w:val="24"/>
        </w:rPr>
        <w:t>:</w:t>
      </w:r>
    </w:p>
    <w:p w:rsidR="00AE17EB" w:rsidRPr="00EE3E37" w:rsidRDefault="00AE17EB" w:rsidP="00AE17EB">
      <w:pPr>
        <w:pStyle w:val="ListParagraph"/>
        <w:widowControl/>
        <w:numPr>
          <w:ilvl w:val="0"/>
          <w:numId w:val="16"/>
        </w:numPr>
        <w:ind w:left="993" w:hanging="284"/>
        <w:rPr>
          <w:rFonts w:asciiTheme="minorHAnsi" w:hAnsiTheme="minorHAnsi"/>
          <w:sz w:val="24"/>
          <w:szCs w:val="24"/>
        </w:rPr>
      </w:pPr>
      <w:r w:rsidRPr="00EE3E37">
        <w:rPr>
          <w:rFonts w:asciiTheme="minorHAnsi" w:hAnsiTheme="minorHAnsi"/>
          <w:sz w:val="24"/>
          <w:szCs w:val="24"/>
        </w:rPr>
        <w:t>Initial phase: 900mg weekly x 4, $71,250/patient (public), $71,813/patient (private)</w:t>
      </w:r>
    </w:p>
    <w:p w:rsidR="00AE17EB" w:rsidRPr="00EE3E37" w:rsidRDefault="00AE17EB" w:rsidP="00AE17EB">
      <w:pPr>
        <w:pStyle w:val="ListParagraph"/>
        <w:widowControl/>
        <w:numPr>
          <w:ilvl w:val="0"/>
          <w:numId w:val="16"/>
        </w:numPr>
        <w:ind w:left="993" w:hanging="284"/>
        <w:rPr>
          <w:rFonts w:asciiTheme="minorHAnsi" w:hAnsiTheme="minorHAnsi"/>
          <w:sz w:val="24"/>
          <w:szCs w:val="24"/>
        </w:rPr>
      </w:pPr>
      <w:r w:rsidRPr="00EE3E37">
        <w:rPr>
          <w:rFonts w:asciiTheme="minorHAnsi" w:hAnsiTheme="minorHAnsi"/>
          <w:sz w:val="24"/>
          <w:szCs w:val="24"/>
        </w:rPr>
        <w:t>Initial phase with additional dose at graft reperfusion: $89,063/patient (public), $89,766/patient (private)</w:t>
      </w:r>
    </w:p>
    <w:p w:rsidR="00AE17EB" w:rsidRPr="00EE3E37" w:rsidRDefault="00AE17EB" w:rsidP="00AE17EB">
      <w:pPr>
        <w:pStyle w:val="ListParagraph"/>
        <w:widowControl/>
        <w:numPr>
          <w:ilvl w:val="0"/>
          <w:numId w:val="16"/>
        </w:numPr>
        <w:ind w:left="993" w:hanging="284"/>
        <w:rPr>
          <w:rFonts w:asciiTheme="minorHAnsi" w:hAnsiTheme="minorHAnsi"/>
          <w:sz w:val="24"/>
          <w:szCs w:val="24"/>
        </w:rPr>
      </w:pPr>
      <w:r w:rsidRPr="00EE3E37">
        <w:rPr>
          <w:rFonts w:asciiTheme="minorHAnsi" w:hAnsiTheme="minorHAnsi"/>
          <w:sz w:val="24"/>
          <w:szCs w:val="24"/>
        </w:rPr>
        <w:t xml:space="preserve">Maintenance phase: $617,500/patient/year (public), $622,381/patient/year (private) (assuming 1200 mg every 2 weeks = 4 vials </w:t>
      </w:r>
      <w:r w:rsidRPr="00EE3E37">
        <w:rPr>
          <w:rFonts w:asciiTheme="minorHAnsi" w:hAnsiTheme="minorHAnsi"/>
          <w:sz w:val="24"/>
          <w:szCs w:val="24"/>
        </w:rPr>
        <w:sym w:font="Wingdings 2" w:char="F0CD"/>
      </w:r>
      <w:r w:rsidRPr="00EE3E37">
        <w:rPr>
          <w:rFonts w:asciiTheme="minorHAnsi" w:hAnsiTheme="minorHAnsi"/>
          <w:sz w:val="24"/>
          <w:szCs w:val="24"/>
        </w:rPr>
        <w:t>(52 weeks ÷2) = 104 vials per year).</w:t>
      </w:r>
    </w:p>
    <w:p w:rsidR="00AE17EB" w:rsidRDefault="00AE17EB" w:rsidP="00A25D49">
      <w:pPr>
        <w:pStyle w:val="ListParagraph"/>
        <w:widowControl/>
        <w:ind w:left="993"/>
        <w:rPr>
          <w:rFonts w:asciiTheme="minorHAnsi" w:hAnsiTheme="minorHAnsi"/>
          <w:sz w:val="24"/>
          <w:szCs w:val="24"/>
        </w:rPr>
      </w:pPr>
    </w:p>
    <w:p w:rsidR="00890AC0" w:rsidRDefault="00890AC0" w:rsidP="00EE3E37">
      <w:pPr>
        <w:pStyle w:val="ListParagraph"/>
        <w:widowControl/>
        <w:numPr>
          <w:ilvl w:val="1"/>
          <w:numId w:val="5"/>
        </w:numPr>
        <w:ind w:left="709" w:hanging="709"/>
        <w:rPr>
          <w:rFonts w:asciiTheme="minorHAnsi" w:hAnsiTheme="minorHAnsi"/>
          <w:sz w:val="24"/>
          <w:szCs w:val="24"/>
        </w:rPr>
      </w:pPr>
      <w:r w:rsidRPr="00890AC0">
        <w:rPr>
          <w:rFonts w:asciiTheme="minorHAnsi" w:hAnsiTheme="minorHAnsi"/>
          <w:sz w:val="24"/>
          <w:szCs w:val="24"/>
        </w:rPr>
        <w:t xml:space="preserve">Based on the </w:t>
      </w:r>
      <w:r w:rsidR="00A25D49">
        <w:rPr>
          <w:rFonts w:asciiTheme="minorHAnsi" w:hAnsiTheme="minorHAnsi"/>
          <w:sz w:val="24"/>
          <w:szCs w:val="24"/>
        </w:rPr>
        <w:t xml:space="preserve">recommendation proposed by the PBAC the cost per course was </w:t>
      </w:r>
      <w:r w:rsidR="003821E4">
        <w:rPr>
          <w:rFonts w:asciiTheme="minorHAnsi" w:hAnsiTheme="minorHAnsi"/>
          <w:sz w:val="24"/>
          <w:szCs w:val="24"/>
        </w:rPr>
        <w:t>$118,750</w:t>
      </w:r>
      <w:r w:rsidR="003821E4" w:rsidRPr="003E461A">
        <w:rPr>
          <w:rFonts w:asciiTheme="minorHAnsi" w:hAnsiTheme="minorHAnsi"/>
          <w:sz w:val="24"/>
          <w:szCs w:val="24"/>
        </w:rPr>
        <w:t>/patient (public), $</w:t>
      </w:r>
      <w:r w:rsidR="003821E4">
        <w:rPr>
          <w:rFonts w:asciiTheme="minorHAnsi" w:hAnsiTheme="minorHAnsi"/>
          <w:sz w:val="24"/>
          <w:szCs w:val="24"/>
        </w:rPr>
        <w:t>119,690.40</w:t>
      </w:r>
      <w:r w:rsidR="003821E4" w:rsidRPr="003E461A">
        <w:rPr>
          <w:rFonts w:asciiTheme="minorHAnsi" w:hAnsiTheme="minorHAnsi"/>
          <w:sz w:val="24"/>
          <w:szCs w:val="24"/>
        </w:rPr>
        <w:t>/patient (private)</w:t>
      </w:r>
      <w:r w:rsidR="003821E4">
        <w:rPr>
          <w:rFonts w:asciiTheme="minorHAnsi" w:hAnsiTheme="minorHAnsi"/>
          <w:sz w:val="24"/>
          <w:szCs w:val="24"/>
        </w:rPr>
        <w:t>.</w:t>
      </w:r>
    </w:p>
    <w:p w:rsidR="00A25D49" w:rsidRPr="00890AC0" w:rsidRDefault="00A25D49" w:rsidP="00A25D49">
      <w:pPr>
        <w:pStyle w:val="ListParagraph"/>
        <w:widowControl/>
        <w:numPr>
          <w:ilvl w:val="0"/>
          <w:numId w:val="16"/>
        </w:numPr>
        <w:ind w:left="993" w:hanging="284"/>
        <w:rPr>
          <w:rFonts w:asciiTheme="minorHAnsi" w:hAnsiTheme="minorHAnsi"/>
          <w:sz w:val="24"/>
          <w:szCs w:val="24"/>
        </w:rPr>
      </w:pPr>
      <w:proofErr w:type="gramStart"/>
      <w:r w:rsidRPr="003E461A">
        <w:rPr>
          <w:rFonts w:asciiTheme="minorHAnsi" w:hAnsiTheme="minorHAnsi"/>
          <w:sz w:val="24"/>
          <w:szCs w:val="24"/>
        </w:rPr>
        <w:t>assuming</w:t>
      </w:r>
      <w:proofErr w:type="gramEnd"/>
      <w:r w:rsidRPr="003E461A">
        <w:rPr>
          <w:rFonts w:asciiTheme="minorHAnsi" w:hAnsiTheme="minorHAnsi"/>
          <w:sz w:val="24"/>
          <w:szCs w:val="24"/>
        </w:rPr>
        <w:t xml:space="preserve"> 1200 mg every 2 weeks = 4 vials </w:t>
      </w:r>
      <w:r w:rsidRPr="003E461A">
        <w:rPr>
          <w:rFonts w:asciiTheme="minorHAnsi" w:hAnsiTheme="minorHAnsi"/>
          <w:sz w:val="24"/>
          <w:szCs w:val="24"/>
        </w:rPr>
        <w:sym w:font="Wingdings 2" w:char="F0CD"/>
      </w:r>
      <w:r>
        <w:rPr>
          <w:rFonts w:asciiTheme="minorHAnsi" w:hAnsiTheme="minorHAnsi"/>
          <w:sz w:val="24"/>
          <w:szCs w:val="24"/>
        </w:rPr>
        <w:t>(10 weeks ÷2) = 2</w:t>
      </w:r>
      <w:r w:rsidRPr="003E461A">
        <w:rPr>
          <w:rFonts w:asciiTheme="minorHAnsi" w:hAnsiTheme="minorHAnsi"/>
          <w:sz w:val="24"/>
          <w:szCs w:val="24"/>
        </w:rPr>
        <w:t>0</w:t>
      </w:r>
      <w:r w:rsidR="003821E4">
        <w:rPr>
          <w:rFonts w:asciiTheme="minorHAnsi" w:hAnsiTheme="minorHAnsi"/>
          <w:sz w:val="24"/>
          <w:szCs w:val="24"/>
        </w:rPr>
        <w:t xml:space="preserve"> vials per </w:t>
      </w:r>
      <w:r w:rsidR="002F7AA3">
        <w:rPr>
          <w:rFonts w:asciiTheme="minorHAnsi" w:hAnsiTheme="minorHAnsi"/>
          <w:sz w:val="24"/>
          <w:szCs w:val="24"/>
        </w:rPr>
        <w:t>treatment course.</w:t>
      </w:r>
    </w:p>
    <w:p w:rsidR="00A55FEE" w:rsidRPr="003E461A" w:rsidRDefault="00A55FEE" w:rsidP="00F47603">
      <w:pPr>
        <w:jc w:val="both"/>
        <w:rPr>
          <w:rFonts w:asciiTheme="minorHAnsi" w:hAnsiTheme="minorHAnsi" w:cs="Arial"/>
          <w:b/>
          <w:i/>
        </w:rPr>
      </w:pPr>
    </w:p>
    <w:p w:rsidR="005A3173" w:rsidRPr="003E461A" w:rsidRDefault="005A3173" w:rsidP="00B1059E">
      <w:pPr>
        <w:pStyle w:val="Heading2"/>
        <w:rPr>
          <w:rFonts w:asciiTheme="minorHAnsi" w:hAnsiTheme="minorHAnsi" w:cs="Arial"/>
          <w:sz w:val="28"/>
          <w:szCs w:val="28"/>
        </w:rPr>
      </w:pPr>
      <w:r w:rsidRPr="003E461A">
        <w:rPr>
          <w:rFonts w:asciiTheme="minorHAnsi" w:hAnsiTheme="minorHAnsi" w:cs="Arial"/>
          <w:sz w:val="28"/>
          <w:szCs w:val="28"/>
        </w:rPr>
        <w:t>Estimated PBS usage &amp; financial implications</w:t>
      </w:r>
    </w:p>
    <w:p w:rsidR="005A3173" w:rsidRPr="00F77380" w:rsidRDefault="005A3173" w:rsidP="00EE3E37">
      <w:pPr>
        <w:ind w:left="720" w:hanging="720"/>
        <w:jc w:val="both"/>
        <w:rPr>
          <w:rFonts w:asciiTheme="minorHAnsi" w:hAnsiTheme="minorHAnsi" w:cs="Arial"/>
          <w:b/>
          <w:i/>
          <w:sz w:val="22"/>
          <w:szCs w:val="22"/>
        </w:rPr>
      </w:pPr>
    </w:p>
    <w:p w:rsidR="00794CD1" w:rsidRDefault="002634B3" w:rsidP="00EE3E37">
      <w:pPr>
        <w:pStyle w:val="ListParagraph"/>
        <w:widowControl/>
        <w:numPr>
          <w:ilvl w:val="1"/>
          <w:numId w:val="5"/>
        </w:numPr>
        <w:ind w:left="720"/>
        <w:rPr>
          <w:rFonts w:asciiTheme="minorHAnsi" w:hAnsiTheme="minorHAnsi"/>
          <w:szCs w:val="22"/>
        </w:rPr>
      </w:pPr>
      <w:r w:rsidRPr="002634B3">
        <w:rPr>
          <w:rFonts w:asciiTheme="minorHAnsi" w:hAnsiTheme="minorHAnsi"/>
          <w:szCs w:val="22"/>
        </w:rPr>
        <w:t xml:space="preserve">The submission used an </w:t>
      </w:r>
      <w:r>
        <w:rPr>
          <w:rFonts w:asciiTheme="minorHAnsi" w:hAnsiTheme="minorHAnsi"/>
          <w:szCs w:val="22"/>
        </w:rPr>
        <w:t xml:space="preserve">updated </w:t>
      </w:r>
      <w:r w:rsidRPr="002634B3">
        <w:rPr>
          <w:rFonts w:asciiTheme="minorHAnsi" w:hAnsiTheme="minorHAnsi"/>
          <w:szCs w:val="22"/>
        </w:rPr>
        <w:t xml:space="preserve">epidemiological approach to estimate the prevalent number of patients with </w:t>
      </w:r>
      <w:proofErr w:type="spellStart"/>
      <w:r w:rsidRPr="002634B3">
        <w:rPr>
          <w:rFonts w:asciiTheme="minorHAnsi" w:hAnsiTheme="minorHAnsi"/>
          <w:szCs w:val="22"/>
        </w:rPr>
        <w:t>aHUS</w:t>
      </w:r>
      <w:proofErr w:type="spellEnd"/>
      <w:r w:rsidRPr="002634B3">
        <w:rPr>
          <w:rFonts w:asciiTheme="minorHAnsi" w:hAnsiTheme="minorHAnsi"/>
          <w:szCs w:val="22"/>
        </w:rPr>
        <w:t xml:space="preserve"> who have ESRD, who are likely to be treated prophylactically with </w:t>
      </w:r>
      <w:proofErr w:type="spellStart"/>
      <w:r w:rsidRPr="002634B3">
        <w:rPr>
          <w:rFonts w:asciiTheme="minorHAnsi" w:hAnsiTheme="minorHAnsi"/>
          <w:szCs w:val="22"/>
        </w:rPr>
        <w:t>eculizumab</w:t>
      </w:r>
      <w:proofErr w:type="spellEnd"/>
      <w:r w:rsidRPr="002634B3">
        <w:rPr>
          <w:rFonts w:asciiTheme="minorHAnsi" w:hAnsiTheme="minorHAnsi"/>
          <w:szCs w:val="22"/>
        </w:rPr>
        <w:t xml:space="preserve"> when un</w:t>
      </w:r>
      <w:r w:rsidR="00EC72F9">
        <w:rPr>
          <w:rFonts w:asciiTheme="minorHAnsi" w:hAnsiTheme="minorHAnsi"/>
          <w:szCs w:val="22"/>
        </w:rPr>
        <w:t>dergoing renal transplantation.</w:t>
      </w:r>
    </w:p>
    <w:p w:rsidR="00794CD1" w:rsidRDefault="00794CD1" w:rsidP="00EE3E37">
      <w:pPr>
        <w:pStyle w:val="ListParagraph"/>
        <w:widowControl/>
        <w:ind w:hanging="720"/>
        <w:rPr>
          <w:rFonts w:asciiTheme="minorHAnsi" w:hAnsiTheme="minorHAnsi"/>
          <w:szCs w:val="22"/>
        </w:rPr>
      </w:pPr>
    </w:p>
    <w:p w:rsidR="00A63D7A" w:rsidRDefault="00794CD1" w:rsidP="00EE3E37">
      <w:pPr>
        <w:pStyle w:val="ListParagraph"/>
        <w:widowControl/>
        <w:numPr>
          <w:ilvl w:val="1"/>
          <w:numId w:val="5"/>
        </w:numPr>
        <w:ind w:left="720"/>
        <w:rPr>
          <w:rFonts w:asciiTheme="minorHAnsi" w:hAnsiTheme="minorHAnsi"/>
          <w:szCs w:val="22"/>
        </w:rPr>
      </w:pPr>
      <w:r>
        <w:rPr>
          <w:rFonts w:asciiTheme="minorHAnsi" w:hAnsiTheme="minorHAnsi"/>
          <w:szCs w:val="22"/>
        </w:rPr>
        <w:t>The submission applied a transplantation rate of 22.7% (</w:t>
      </w:r>
      <w:r w:rsidRPr="00794CD1">
        <w:rPr>
          <w:rFonts w:asciiTheme="minorHAnsi" w:hAnsiTheme="minorHAnsi"/>
          <w:szCs w:val="22"/>
        </w:rPr>
        <w:t xml:space="preserve">an average transplantation rate across </w:t>
      </w:r>
      <w:r>
        <w:rPr>
          <w:rFonts w:asciiTheme="minorHAnsi" w:hAnsiTheme="minorHAnsi"/>
          <w:szCs w:val="22"/>
        </w:rPr>
        <w:t xml:space="preserve">all age groups from 0-84 years as </w:t>
      </w:r>
      <w:r w:rsidRPr="00794CD1">
        <w:rPr>
          <w:rFonts w:asciiTheme="minorHAnsi" w:hAnsiTheme="minorHAnsi"/>
          <w:szCs w:val="22"/>
        </w:rPr>
        <w:t xml:space="preserve">listed in the ANZDATA report) </w:t>
      </w:r>
      <w:r>
        <w:rPr>
          <w:rFonts w:asciiTheme="minorHAnsi" w:hAnsiTheme="minorHAnsi"/>
          <w:szCs w:val="22"/>
        </w:rPr>
        <w:t xml:space="preserve">to a prevalent pool of ESRD </w:t>
      </w:r>
      <w:r w:rsidR="0061730C">
        <w:rPr>
          <w:rFonts w:asciiTheme="minorHAnsi" w:hAnsiTheme="minorHAnsi"/>
          <w:szCs w:val="22"/>
        </w:rPr>
        <w:t>patients</w:t>
      </w:r>
      <w:r>
        <w:rPr>
          <w:rFonts w:asciiTheme="minorHAnsi" w:hAnsiTheme="minorHAnsi"/>
          <w:szCs w:val="22"/>
        </w:rPr>
        <w:t xml:space="preserve"> with a diagnosis of </w:t>
      </w:r>
      <w:proofErr w:type="spellStart"/>
      <w:r>
        <w:rPr>
          <w:rFonts w:asciiTheme="minorHAnsi" w:hAnsiTheme="minorHAnsi"/>
          <w:szCs w:val="22"/>
        </w:rPr>
        <w:t>aHUS</w:t>
      </w:r>
      <w:proofErr w:type="spellEnd"/>
      <w:r>
        <w:rPr>
          <w:rFonts w:asciiTheme="minorHAnsi" w:hAnsiTheme="minorHAnsi"/>
          <w:szCs w:val="22"/>
        </w:rPr>
        <w:t xml:space="preserve"> of </w:t>
      </w:r>
      <w:r w:rsidR="000671F9">
        <w:rPr>
          <w:rFonts w:asciiTheme="minorHAnsi" w:hAnsiTheme="minorHAnsi"/>
          <w:noProof/>
          <w:color w:val="000000"/>
          <w:szCs w:val="22"/>
          <w:highlight w:val="black"/>
        </w:rPr>
        <w:t>'''''</w:t>
      </w:r>
      <w:r>
        <w:rPr>
          <w:rFonts w:asciiTheme="minorHAnsi" w:hAnsiTheme="minorHAnsi"/>
          <w:szCs w:val="22"/>
        </w:rPr>
        <w:t xml:space="preserve"> to estimate that </w:t>
      </w:r>
      <w:r w:rsidR="000671F9">
        <w:rPr>
          <w:rFonts w:asciiTheme="minorHAnsi" w:hAnsiTheme="minorHAnsi"/>
          <w:noProof/>
          <w:color w:val="000000"/>
          <w:szCs w:val="22"/>
          <w:highlight w:val="black"/>
        </w:rPr>
        <w:t>'''</w:t>
      </w:r>
      <w:r>
        <w:rPr>
          <w:rFonts w:asciiTheme="minorHAnsi" w:hAnsiTheme="minorHAnsi"/>
          <w:szCs w:val="22"/>
        </w:rPr>
        <w:t xml:space="preserve"> patients would initiate treatment under the proposed restriction in the first year of listing.</w:t>
      </w:r>
    </w:p>
    <w:p w:rsidR="00A63D7A" w:rsidRDefault="00A63D7A" w:rsidP="00EE3E37">
      <w:pPr>
        <w:pStyle w:val="ListParagraph"/>
        <w:widowControl/>
        <w:ind w:hanging="720"/>
        <w:rPr>
          <w:rFonts w:asciiTheme="minorHAnsi" w:hAnsiTheme="minorHAnsi"/>
          <w:szCs w:val="22"/>
        </w:rPr>
      </w:pPr>
    </w:p>
    <w:p w:rsidR="00794CD1" w:rsidRPr="00CD0B1F" w:rsidRDefault="00A63D7A" w:rsidP="00EE3E37">
      <w:pPr>
        <w:pStyle w:val="ListParagraph"/>
        <w:widowControl/>
        <w:numPr>
          <w:ilvl w:val="1"/>
          <w:numId w:val="5"/>
        </w:numPr>
        <w:ind w:left="720"/>
        <w:rPr>
          <w:rFonts w:asciiTheme="minorHAnsi" w:hAnsiTheme="minorHAnsi"/>
          <w:szCs w:val="22"/>
        </w:rPr>
      </w:pPr>
      <w:r w:rsidRPr="00CD0B1F">
        <w:rPr>
          <w:rFonts w:asciiTheme="minorHAnsi" w:hAnsiTheme="minorHAnsi"/>
          <w:szCs w:val="22"/>
        </w:rPr>
        <w:t xml:space="preserve">The PBAC did not consider that the use of overall transplantation rates was applicable in this setting as </w:t>
      </w:r>
      <w:proofErr w:type="spellStart"/>
      <w:r w:rsidR="00E87099" w:rsidRPr="00CD0B1F">
        <w:rPr>
          <w:rFonts w:asciiTheme="minorHAnsi" w:hAnsiTheme="minorHAnsi"/>
          <w:szCs w:val="22"/>
        </w:rPr>
        <w:t>aHUS</w:t>
      </w:r>
      <w:proofErr w:type="spellEnd"/>
      <w:r w:rsidRPr="00CD0B1F">
        <w:rPr>
          <w:rFonts w:asciiTheme="minorHAnsi" w:hAnsiTheme="minorHAnsi"/>
          <w:szCs w:val="22"/>
        </w:rPr>
        <w:t xml:space="preserve"> patients</w:t>
      </w:r>
      <w:r w:rsidR="00E87099" w:rsidRPr="00CD0B1F">
        <w:rPr>
          <w:rFonts w:asciiTheme="minorHAnsi" w:hAnsiTheme="minorHAnsi"/>
          <w:szCs w:val="22"/>
        </w:rPr>
        <w:t xml:space="preserve"> with ESRD</w:t>
      </w:r>
      <w:r w:rsidR="00DC6987">
        <w:rPr>
          <w:rFonts w:asciiTheme="minorHAnsi" w:hAnsiTheme="minorHAnsi"/>
          <w:szCs w:val="22"/>
        </w:rPr>
        <w:t xml:space="preserve">, because these data included many who would not be </w:t>
      </w:r>
      <w:proofErr w:type="gramStart"/>
      <w:r w:rsidR="00DC6987">
        <w:rPr>
          <w:rFonts w:asciiTheme="minorHAnsi" w:hAnsiTheme="minorHAnsi"/>
          <w:szCs w:val="22"/>
        </w:rPr>
        <w:t>wait</w:t>
      </w:r>
      <w:proofErr w:type="gramEnd"/>
      <w:r w:rsidR="00DC6987">
        <w:rPr>
          <w:rFonts w:asciiTheme="minorHAnsi" w:hAnsiTheme="minorHAnsi"/>
          <w:szCs w:val="22"/>
        </w:rPr>
        <w:t xml:space="preserve"> listed or be considered for a living related transplant. </w:t>
      </w:r>
      <w:r w:rsidR="005D6ABA">
        <w:rPr>
          <w:rFonts w:asciiTheme="minorHAnsi" w:hAnsiTheme="minorHAnsi"/>
          <w:szCs w:val="22"/>
        </w:rPr>
        <w:t xml:space="preserve"> </w:t>
      </w:r>
      <w:r w:rsidR="00DC6987">
        <w:rPr>
          <w:rFonts w:asciiTheme="minorHAnsi" w:hAnsiTheme="minorHAnsi"/>
          <w:szCs w:val="22"/>
        </w:rPr>
        <w:t xml:space="preserve">The PBAC considered that the rate of transplantation in the </w:t>
      </w:r>
      <w:proofErr w:type="spellStart"/>
      <w:r w:rsidR="00DC6987">
        <w:rPr>
          <w:rFonts w:asciiTheme="minorHAnsi" w:hAnsiTheme="minorHAnsi"/>
          <w:szCs w:val="22"/>
        </w:rPr>
        <w:t>aHUS</w:t>
      </w:r>
      <w:proofErr w:type="spellEnd"/>
      <w:r w:rsidR="00DC6987">
        <w:rPr>
          <w:rFonts w:asciiTheme="minorHAnsi" w:hAnsiTheme="minorHAnsi"/>
          <w:szCs w:val="22"/>
        </w:rPr>
        <w:t xml:space="preserve"> was likely to be considerably higher given their younger age and absence of comorbidities</w:t>
      </w:r>
      <w:r w:rsidRPr="00CD0B1F">
        <w:rPr>
          <w:rFonts w:asciiTheme="minorHAnsi" w:hAnsiTheme="minorHAnsi"/>
          <w:szCs w:val="22"/>
        </w:rPr>
        <w:t>.  The PBAC considered that the prevalent pool was more representative of the probable uptake within the first few years of listing.</w:t>
      </w:r>
    </w:p>
    <w:p w:rsidR="00794CD1" w:rsidRDefault="00794CD1" w:rsidP="00EE3E37">
      <w:pPr>
        <w:pStyle w:val="ListParagraph"/>
        <w:widowControl/>
        <w:ind w:hanging="720"/>
        <w:rPr>
          <w:rFonts w:asciiTheme="minorHAnsi" w:hAnsiTheme="minorHAnsi"/>
          <w:szCs w:val="22"/>
        </w:rPr>
      </w:pPr>
    </w:p>
    <w:p w:rsidR="00794CD1" w:rsidRPr="002C1807" w:rsidRDefault="00794CD1" w:rsidP="00EE3E37">
      <w:pPr>
        <w:pStyle w:val="ListParagraph"/>
        <w:widowControl/>
        <w:numPr>
          <w:ilvl w:val="1"/>
          <w:numId w:val="5"/>
        </w:numPr>
        <w:ind w:left="720"/>
        <w:rPr>
          <w:rFonts w:asciiTheme="minorHAnsi" w:hAnsiTheme="minorHAnsi"/>
          <w:szCs w:val="22"/>
        </w:rPr>
      </w:pPr>
      <w:r w:rsidRPr="002C1807">
        <w:rPr>
          <w:rFonts w:asciiTheme="minorHAnsi" w:hAnsiTheme="minorHAnsi"/>
          <w:szCs w:val="22"/>
        </w:rPr>
        <w:t xml:space="preserve">The submission claimed that with the availability of </w:t>
      </w:r>
      <w:proofErr w:type="spellStart"/>
      <w:r w:rsidRPr="002C1807">
        <w:rPr>
          <w:rFonts w:asciiTheme="minorHAnsi" w:hAnsiTheme="minorHAnsi"/>
          <w:szCs w:val="22"/>
        </w:rPr>
        <w:t>eculizumab</w:t>
      </w:r>
      <w:proofErr w:type="spellEnd"/>
      <w:r w:rsidRPr="002C1807">
        <w:rPr>
          <w:rFonts w:asciiTheme="minorHAnsi" w:hAnsiTheme="minorHAnsi"/>
          <w:szCs w:val="22"/>
        </w:rPr>
        <w:t xml:space="preserve"> for patients with active and progressing TMA, the number of patients progressing to ESRD over time will decrease and hence the number of patients initiating treatment decreased in the financial estimates to 2 by year 5.</w:t>
      </w:r>
      <w:r w:rsidR="00A63D7A" w:rsidRPr="002C1807">
        <w:rPr>
          <w:rFonts w:asciiTheme="minorHAnsi" w:hAnsiTheme="minorHAnsi"/>
          <w:szCs w:val="22"/>
        </w:rPr>
        <w:t xml:space="preserve">  The PBAC considered that </w:t>
      </w:r>
      <w:r w:rsidR="00FF42D3" w:rsidRPr="002C1807">
        <w:rPr>
          <w:rFonts w:asciiTheme="minorHAnsi" w:hAnsiTheme="minorHAnsi"/>
          <w:szCs w:val="22"/>
        </w:rPr>
        <w:t xml:space="preserve">a reduction in </w:t>
      </w:r>
      <w:proofErr w:type="spellStart"/>
      <w:r w:rsidR="00FF42D3" w:rsidRPr="002C1807">
        <w:rPr>
          <w:rFonts w:asciiTheme="minorHAnsi" w:hAnsiTheme="minorHAnsi"/>
          <w:szCs w:val="22"/>
        </w:rPr>
        <w:t>aHUS</w:t>
      </w:r>
      <w:proofErr w:type="spellEnd"/>
      <w:r w:rsidR="00FF42D3" w:rsidRPr="002C1807">
        <w:rPr>
          <w:rFonts w:asciiTheme="minorHAnsi" w:hAnsiTheme="minorHAnsi"/>
          <w:szCs w:val="22"/>
        </w:rPr>
        <w:t xml:space="preserve"> patients reaching ESRD</w:t>
      </w:r>
      <w:r w:rsidR="00A63D7A" w:rsidRPr="002C1807">
        <w:rPr>
          <w:rFonts w:asciiTheme="minorHAnsi" w:hAnsiTheme="minorHAnsi"/>
          <w:szCs w:val="22"/>
        </w:rPr>
        <w:t xml:space="preserve"> was reasonable however the level of reduction </w:t>
      </w:r>
      <w:r w:rsidR="00FF42D3" w:rsidRPr="002C1807">
        <w:rPr>
          <w:rFonts w:asciiTheme="minorHAnsi" w:hAnsiTheme="minorHAnsi"/>
          <w:szCs w:val="22"/>
        </w:rPr>
        <w:t>was uncertain.</w:t>
      </w:r>
    </w:p>
    <w:p w:rsidR="002C1807" w:rsidRDefault="002C1807" w:rsidP="00EE3E37">
      <w:pPr>
        <w:ind w:left="720" w:hanging="720"/>
      </w:pPr>
    </w:p>
    <w:p w:rsidR="005460B5" w:rsidRDefault="002C1807" w:rsidP="00906C5A">
      <w:pPr>
        <w:pStyle w:val="ListParagraph"/>
        <w:widowControl/>
        <w:numPr>
          <w:ilvl w:val="1"/>
          <w:numId w:val="5"/>
        </w:numPr>
        <w:ind w:left="720"/>
        <w:rPr>
          <w:rFonts w:asciiTheme="minorHAnsi" w:hAnsiTheme="minorHAnsi"/>
          <w:szCs w:val="22"/>
        </w:rPr>
      </w:pPr>
      <w:r w:rsidRPr="004A781C">
        <w:rPr>
          <w:rFonts w:asciiTheme="minorHAnsi" w:hAnsiTheme="minorHAnsi"/>
          <w:szCs w:val="22"/>
        </w:rPr>
        <w:t>The submission provided</w:t>
      </w:r>
      <w:r w:rsidRPr="00CD0B1F">
        <w:rPr>
          <w:rFonts w:asciiTheme="minorHAnsi" w:hAnsiTheme="minorHAnsi"/>
          <w:szCs w:val="22"/>
        </w:rPr>
        <w:t xml:space="preserve"> financial estimates based on the predicted number of initiating and maintenance patients based off the March 2014 submission estimated average number of vials. </w:t>
      </w:r>
      <w:r w:rsidRPr="00194CEB">
        <w:rPr>
          <w:rFonts w:asciiTheme="minorHAnsi" w:hAnsiTheme="minorHAnsi"/>
          <w:szCs w:val="22"/>
        </w:rPr>
        <w:t xml:space="preserve">It was noted that the estimated number of vials used per patient in the maintenance phase of </w:t>
      </w:r>
      <w:r w:rsidR="000671F9">
        <w:rPr>
          <w:rFonts w:asciiTheme="minorHAnsi" w:hAnsiTheme="minorHAnsi"/>
          <w:noProof/>
          <w:color w:val="000000"/>
          <w:szCs w:val="22"/>
          <w:highlight w:val="black"/>
        </w:rPr>
        <w:t>'''''</w:t>
      </w:r>
      <w:r w:rsidR="004A781C" w:rsidRPr="00906C5A">
        <w:rPr>
          <w:rFonts w:asciiTheme="minorHAnsi" w:hAnsiTheme="minorHAnsi"/>
          <w:szCs w:val="22"/>
        </w:rPr>
        <w:t xml:space="preserve">/year </w:t>
      </w:r>
      <w:r w:rsidRPr="00906C5A">
        <w:rPr>
          <w:rFonts w:asciiTheme="minorHAnsi" w:hAnsiTheme="minorHAnsi"/>
          <w:szCs w:val="22"/>
        </w:rPr>
        <w:t>is lower than the current maintenance dose in the Prescribing Information of 1200 mg every 2 weeks or 104 vials/person/year. It is not clear if this was done to account for some patients only receiving treatment for part of a year. The evaluation recalculated the cost to the PBS if the PI recommended dose was used in all patients.</w:t>
      </w:r>
    </w:p>
    <w:p w:rsidR="002C1807" w:rsidRPr="004A781C" w:rsidRDefault="002C1807" w:rsidP="00906C5A">
      <w:pPr>
        <w:pStyle w:val="ListParagraph"/>
        <w:widowControl/>
        <w:rPr>
          <w:rFonts w:ascii="Arial Narrow" w:hAnsi="Arial Narrow"/>
          <w:b/>
          <w:bCs/>
          <w:sz w:val="20"/>
          <w:szCs w:val="18"/>
        </w:rPr>
      </w:pPr>
      <w:r w:rsidRPr="004A781C">
        <w:rPr>
          <w:rFonts w:asciiTheme="minorHAnsi" w:hAnsiTheme="minorHAnsi"/>
          <w:szCs w:val="22"/>
        </w:rPr>
        <w:t xml:space="preserve"> </w:t>
      </w:r>
    </w:p>
    <w:p w:rsidR="004A6028" w:rsidRDefault="004A6028" w:rsidP="004A6028">
      <w:pPr>
        <w:pStyle w:val="Caption"/>
        <w:ind w:left="709"/>
      </w:pPr>
      <w:r>
        <w:t xml:space="preserve">Table </w:t>
      </w:r>
      <w:fldSimple w:instr=" SEQ Table \* ARABIC ">
        <w:r>
          <w:rPr>
            <w:noProof/>
          </w:rPr>
          <w:t>10</w:t>
        </w:r>
      </w:fldSimple>
      <w:r>
        <w:t xml:space="preserve">: </w:t>
      </w:r>
      <w:r w:rsidRPr="0054119C">
        <w:t>Estimated number of patients likely to be treated and total cost per year of the PBS in the renal transplant setting over 5 years</w:t>
      </w:r>
    </w:p>
    <w:tbl>
      <w:tblPr>
        <w:tblW w:w="0" w:type="auto"/>
        <w:tblInd w:w="817" w:type="dxa"/>
        <w:tblLook w:val="04A0" w:firstRow="1" w:lastRow="0" w:firstColumn="1" w:lastColumn="0" w:noHBand="0" w:noVBand="1"/>
      </w:tblPr>
      <w:tblGrid>
        <w:gridCol w:w="3146"/>
        <w:gridCol w:w="1048"/>
        <w:gridCol w:w="1009"/>
        <w:gridCol w:w="1048"/>
        <w:gridCol w:w="1087"/>
        <w:gridCol w:w="1087"/>
      </w:tblGrid>
      <w:tr w:rsidR="002C1807" w:rsidRPr="001B587E" w:rsidTr="004A6028">
        <w:tc>
          <w:tcPr>
            <w:tcW w:w="3146" w:type="dxa"/>
            <w:tcBorders>
              <w:top w:val="single" w:sz="4" w:space="0" w:color="auto"/>
              <w:left w:val="single" w:sz="4" w:space="0" w:color="auto"/>
              <w:bottom w:val="single" w:sz="4" w:space="0" w:color="auto"/>
              <w:right w:val="nil"/>
            </w:tcBorders>
            <w:shd w:val="clear" w:color="auto" w:fill="auto"/>
            <w:noWrap/>
            <w:vAlign w:val="bottom"/>
            <w:hideMark/>
          </w:tcPr>
          <w:p w:rsidR="002C1807" w:rsidRPr="001B587E" w:rsidRDefault="002C1807" w:rsidP="00EE3E37">
            <w:pPr>
              <w:ind w:left="720" w:hanging="720"/>
              <w:rPr>
                <w:rFonts w:ascii="Arial Narrow" w:hAnsi="Arial Narrow"/>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1807" w:rsidRPr="001B587E" w:rsidRDefault="002C1807" w:rsidP="00EE3E37">
            <w:pPr>
              <w:ind w:left="720" w:hanging="720"/>
              <w:jc w:val="center"/>
              <w:rPr>
                <w:rFonts w:ascii="Arial Narrow" w:hAnsi="Arial Narrow"/>
                <w:b/>
                <w:bCs/>
                <w:color w:val="000000"/>
                <w:sz w:val="20"/>
                <w:szCs w:val="20"/>
              </w:rPr>
            </w:pPr>
            <w:r w:rsidRPr="001B587E">
              <w:rPr>
                <w:rFonts w:ascii="Arial Narrow" w:hAnsi="Arial Narrow"/>
                <w:b/>
                <w:bCs/>
                <w:color w:val="000000"/>
                <w:sz w:val="20"/>
                <w:szCs w:val="20"/>
              </w:rPr>
              <w:t>Year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C1807" w:rsidRPr="001B587E" w:rsidRDefault="002C1807" w:rsidP="00EE3E37">
            <w:pPr>
              <w:ind w:left="720" w:hanging="720"/>
              <w:jc w:val="center"/>
              <w:rPr>
                <w:rFonts w:ascii="Arial Narrow" w:hAnsi="Arial Narrow"/>
                <w:b/>
                <w:bCs/>
                <w:color w:val="000000"/>
                <w:sz w:val="20"/>
                <w:szCs w:val="20"/>
              </w:rPr>
            </w:pPr>
            <w:r w:rsidRPr="001B587E">
              <w:rPr>
                <w:rFonts w:ascii="Arial Narrow" w:hAnsi="Arial Narrow"/>
                <w:b/>
                <w:bCs/>
                <w:color w:val="000000"/>
                <w:sz w:val="20"/>
                <w:szCs w:val="20"/>
              </w:rPr>
              <w:t>Year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C1807" w:rsidRPr="001B587E" w:rsidRDefault="002C1807" w:rsidP="00EE3E37">
            <w:pPr>
              <w:ind w:left="720" w:hanging="720"/>
              <w:jc w:val="center"/>
              <w:rPr>
                <w:rFonts w:ascii="Arial Narrow" w:hAnsi="Arial Narrow"/>
                <w:b/>
                <w:bCs/>
                <w:color w:val="000000"/>
                <w:sz w:val="20"/>
                <w:szCs w:val="20"/>
              </w:rPr>
            </w:pPr>
            <w:r w:rsidRPr="001B587E">
              <w:rPr>
                <w:rFonts w:ascii="Arial Narrow" w:hAnsi="Arial Narrow"/>
                <w:b/>
                <w:bCs/>
                <w:color w:val="000000"/>
                <w:sz w:val="20"/>
                <w:szCs w:val="20"/>
              </w:rPr>
              <w:t>Year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C1807" w:rsidRPr="001B587E" w:rsidRDefault="002C1807" w:rsidP="00EE3E37">
            <w:pPr>
              <w:ind w:left="720" w:hanging="720"/>
              <w:jc w:val="center"/>
              <w:rPr>
                <w:rFonts w:ascii="Arial Narrow" w:hAnsi="Arial Narrow"/>
                <w:b/>
                <w:bCs/>
                <w:color w:val="000000"/>
                <w:sz w:val="20"/>
                <w:szCs w:val="20"/>
              </w:rPr>
            </w:pPr>
            <w:r w:rsidRPr="001B587E">
              <w:rPr>
                <w:rFonts w:ascii="Arial Narrow" w:hAnsi="Arial Narrow"/>
                <w:b/>
                <w:bCs/>
                <w:color w:val="000000"/>
                <w:sz w:val="20"/>
                <w:szCs w:val="20"/>
              </w:rPr>
              <w:t>Year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C1807" w:rsidRPr="001B587E" w:rsidRDefault="002C1807" w:rsidP="00EE3E37">
            <w:pPr>
              <w:ind w:left="720" w:hanging="720"/>
              <w:jc w:val="center"/>
              <w:rPr>
                <w:rFonts w:ascii="Arial Narrow" w:hAnsi="Arial Narrow"/>
                <w:b/>
                <w:bCs/>
                <w:color w:val="000000"/>
                <w:sz w:val="20"/>
                <w:szCs w:val="20"/>
              </w:rPr>
            </w:pPr>
            <w:r w:rsidRPr="001B587E">
              <w:rPr>
                <w:rFonts w:ascii="Arial Narrow" w:hAnsi="Arial Narrow"/>
                <w:b/>
                <w:bCs/>
                <w:color w:val="000000"/>
                <w:sz w:val="20"/>
                <w:szCs w:val="20"/>
              </w:rPr>
              <w:t xml:space="preserve">Year 5 </w:t>
            </w:r>
          </w:p>
        </w:tc>
      </w:tr>
      <w:tr w:rsidR="002C1807" w:rsidRPr="001B587E" w:rsidTr="004A6028">
        <w:tc>
          <w:tcPr>
            <w:tcW w:w="3146" w:type="dxa"/>
            <w:tcBorders>
              <w:top w:val="single" w:sz="4" w:space="0" w:color="auto"/>
              <w:left w:val="single" w:sz="4" w:space="0" w:color="auto"/>
              <w:bottom w:val="single" w:sz="4" w:space="0" w:color="auto"/>
              <w:right w:val="nil"/>
            </w:tcBorders>
            <w:shd w:val="clear" w:color="auto" w:fill="auto"/>
            <w:vAlign w:val="bottom"/>
            <w:hideMark/>
          </w:tcPr>
          <w:p w:rsidR="002C1807" w:rsidRPr="001B587E" w:rsidRDefault="002C1807" w:rsidP="00252EBF">
            <w:pPr>
              <w:ind w:left="34"/>
              <w:rPr>
                <w:rFonts w:ascii="Arial Narrow" w:hAnsi="Arial Narrow" w:cs="Arial"/>
                <w:color w:val="000000"/>
                <w:sz w:val="20"/>
                <w:szCs w:val="20"/>
              </w:rPr>
            </w:pPr>
            <w:r w:rsidRPr="001B587E">
              <w:rPr>
                <w:rFonts w:ascii="Arial Narrow" w:hAnsi="Arial Narrow" w:cs="Arial"/>
                <w:color w:val="000000"/>
                <w:sz w:val="20"/>
                <w:szCs w:val="20"/>
              </w:rPr>
              <w:t xml:space="preserve">Prevalent population of </w:t>
            </w:r>
            <w:proofErr w:type="spellStart"/>
            <w:r w:rsidRPr="001B587E">
              <w:rPr>
                <w:rFonts w:ascii="Arial Narrow" w:hAnsi="Arial Narrow" w:cs="Arial"/>
                <w:color w:val="000000"/>
                <w:sz w:val="20"/>
                <w:szCs w:val="20"/>
              </w:rPr>
              <w:t>aHUS</w:t>
            </w:r>
            <w:proofErr w:type="spellEnd"/>
            <w:r w:rsidRPr="001B587E">
              <w:rPr>
                <w:rFonts w:ascii="Arial Narrow" w:hAnsi="Arial Narrow" w:cs="Arial"/>
                <w:color w:val="000000"/>
                <w:sz w:val="20"/>
                <w:szCs w:val="20"/>
              </w:rPr>
              <w:t xml:space="preserve"> patients with ESRD eligible for renal transplantation after taking into account deaths and incident patients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807" w:rsidRPr="000671F9" w:rsidRDefault="000671F9" w:rsidP="00EE3E37">
            <w:pPr>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C1807" w:rsidRPr="000671F9" w:rsidRDefault="000671F9" w:rsidP="00EE3E37">
            <w:pPr>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C1807" w:rsidRPr="000671F9" w:rsidRDefault="000671F9" w:rsidP="00EE3E37">
            <w:pPr>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C1807" w:rsidRPr="000671F9" w:rsidRDefault="000671F9" w:rsidP="00EE3E37">
            <w:pPr>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C1807" w:rsidRPr="000671F9" w:rsidRDefault="000671F9" w:rsidP="00EE3E37">
            <w:pPr>
              <w:ind w:left="720" w:hanging="720"/>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52EBF">
            <w:pPr>
              <w:ind w:left="34"/>
              <w:rPr>
                <w:rFonts w:ascii="Arial Narrow" w:hAnsi="Arial Narrow" w:cs="Arial"/>
                <w:color w:val="000000"/>
                <w:sz w:val="20"/>
                <w:szCs w:val="20"/>
              </w:rPr>
            </w:pPr>
            <w:r w:rsidRPr="001B587E">
              <w:rPr>
                <w:rFonts w:ascii="Arial Narrow" w:hAnsi="Arial Narrow" w:cs="Arial"/>
                <w:color w:val="000000"/>
                <w:sz w:val="20"/>
                <w:szCs w:val="20"/>
              </w:rPr>
              <w:t xml:space="preserve">Number of deaths whilst awaiting renal transplant </w:t>
            </w:r>
            <w:r w:rsidRPr="001B587E">
              <w:rPr>
                <w:rFonts w:ascii="Arial Narrow" w:hAnsi="Arial Narrow" w:cs="Arial"/>
                <w:color w:val="000000"/>
                <w:sz w:val="20"/>
                <w:szCs w:val="20"/>
                <w:vertAlign w:val="superscript"/>
              </w:rPr>
              <w: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52EBF">
            <w:pPr>
              <w:ind w:left="34"/>
              <w:rPr>
                <w:rFonts w:ascii="Arial Narrow" w:hAnsi="Arial Narrow" w:cs="Arial"/>
                <w:sz w:val="20"/>
                <w:szCs w:val="20"/>
              </w:rPr>
            </w:pPr>
            <w:r w:rsidRPr="001B587E">
              <w:rPr>
                <w:rFonts w:ascii="Arial Narrow" w:hAnsi="Arial Narrow" w:cs="Arial"/>
                <w:sz w:val="20"/>
                <w:szCs w:val="20"/>
              </w:rPr>
              <w:t xml:space="preserve">Incident patient with ESRD </w:t>
            </w:r>
            <w:r w:rsidRPr="001B587E">
              <w:rPr>
                <w:rFonts w:ascii="Arial Narrow" w:hAnsi="Arial Narrow" w:cs="Arial"/>
                <w:sz w:val="20"/>
                <w:szCs w:val="20"/>
                <w:vertAlign w:val="superscript"/>
              </w:rPr>
              <w:t>b</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2C1807" w:rsidRPr="001B587E" w:rsidTr="004A6028">
        <w:tc>
          <w:tcPr>
            <w:tcW w:w="3146" w:type="dxa"/>
            <w:tcBorders>
              <w:top w:val="nil"/>
              <w:left w:val="single" w:sz="4" w:space="0" w:color="auto"/>
              <w:bottom w:val="single" w:sz="4" w:space="0" w:color="auto"/>
              <w:right w:val="single" w:sz="4" w:space="0" w:color="auto"/>
            </w:tcBorders>
            <w:shd w:val="clear" w:color="auto" w:fill="auto"/>
            <w:vAlign w:val="bottom"/>
            <w:hideMark/>
          </w:tcPr>
          <w:p w:rsidR="002C1807" w:rsidRPr="001B587E" w:rsidRDefault="002C1807" w:rsidP="00252EBF">
            <w:pPr>
              <w:ind w:left="34"/>
              <w:rPr>
                <w:rFonts w:ascii="Arial Narrow" w:hAnsi="Arial Narrow" w:cs="Arial"/>
                <w:sz w:val="20"/>
                <w:szCs w:val="20"/>
              </w:rPr>
            </w:pPr>
            <w:r w:rsidRPr="001B587E">
              <w:rPr>
                <w:rFonts w:ascii="Arial Narrow" w:hAnsi="Arial Narrow" w:cs="Arial"/>
                <w:sz w:val="20"/>
                <w:szCs w:val="20"/>
              </w:rPr>
              <w:t xml:space="preserve">No. of patients undergoing renal transplantation per year </w:t>
            </w:r>
            <w:r w:rsidRPr="001B587E">
              <w:rPr>
                <w:rFonts w:ascii="Arial Narrow" w:hAnsi="Arial Narrow" w:cs="Arial"/>
                <w:sz w:val="20"/>
                <w:szCs w:val="20"/>
                <w:vertAlign w:val="superscript"/>
              </w:rPr>
              <w:t>c</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2C1807" w:rsidRPr="001B587E" w:rsidTr="002C1807">
        <w:tc>
          <w:tcPr>
            <w:tcW w:w="8425" w:type="dxa"/>
            <w:gridSpan w:val="6"/>
            <w:tcBorders>
              <w:top w:val="single" w:sz="4" w:space="0" w:color="auto"/>
              <w:left w:val="single" w:sz="4" w:space="0" w:color="auto"/>
              <w:bottom w:val="single" w:sz="4" w:space="0" w:color="auto"/>
              <w:right w:val="single" w:sz="4" w:space="0" w:color="auto"/>
            </w:tcBorders>
            <w:shd w:val="clear" w:color="auto" w:fill="auto"/>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No. of patients likely to be treated</w:t>
            </w:r>
            <w:r>
              <w:rPr>
                <w:rFonts w:ascii="Arial Narrow" w:hAnsi="Arial Narrow" w:cs="Arial"/>
                <w:b/>
                <w:bCs/>
                <w:color w:val="000000"/>
                <w:sz w:val="20"/>
                <w:szCs w:val="20"/>
              </w:rPr>
              <w:t xml:space="preserve"> </w:t>
            </w:r>
            <w:r w:rsidRPr="001B587E">
              <w:rPr>
                <w:rFonts w:ascii="Arial Narrow" w:hAnsi="Arial Narrow" w:cs="Arial"/>
                <w:b/>
                <w:bCs/>
                <w:color w:val="000000"/>
                <w:sz w:val="20"/>
                <w:szCs w:val="20"/>
              </w:rPr>
              <w:t>i.e. patients who have a medium to high risk of subsequent TMA post renal transplantation</w:t>
            </w:r>
            <w:r w:rsidRPr="001B587E">
              <w:rPr>
                <w:rFonts w:ascii="Arial Narrow" w:hAnsi="Arial Narrow" w:cs="Arial"/>
                <w:b/>
                <w:bCs/>
                <w:color w:val="000000"/>
                <w:sz w:val="20"/>
                <w:szCs w:val="20"/>
                <w:vertAlign w:val="superscript"/>
              </w:rPr>
              <w:t xml:space="preserve"> d</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52EBF">
            <w:pPr>
              <w:rPr>
                <w:rFonts w:ascii="Arial Narrow" w:hAnsi="Arial Narrow" w:cs="Arial"/>
                <w:color w:val="000000"/>
                <w:sz w:val="20"/>
                <w:szCs w:val="20"/>
              </w:rPr>
            </w:pPr>
            <w:r w:rsidRPr="001B587E">
              <w:rPr>
                <w:rFonts w:ascii="Arial Narrow" w:hAnsi="Arial Narrow" w:cs="Arial"/>
                <w:color w:val="000000"/>
                <w:sz w:val="20"/>
                <w:szCs w:val="20"/>
              </w:rPr>
              <w:t>Patients on maintenance</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52EBF">
            <w:pPr>
              <w:rPr>
                <w:rFonts w:ascii="Arial Narrow" w:hAnsi="Arial Narrow" w:cs="Arial"/>
                <w:color w:val="000000"/>
                <w:sz w:val="20"/>
                <w:szCs w:val="20"/>
              </w:rPr>
            </w:pPr>
            <w:r w:rsidRPr="001B587E">
              <w:rPr>
                <w:rFonts w:ascii="Arial Narrow" w:hAnsi="Arial Narrow" w:cs="Arial"/>
                <w:color w:val="000000"/>
                <w:sz w:val="20"/>
                <w:szCs w:val="20"/>
              </w:rPr>
              <w:t xml:space="preserve">Initiating patients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 xml:space="preserve">Total patients treated with </w:t>
            </w:r>
            <w:proofErr w:type="spellStart"/>
            <w:r w:rsidRPr="001B587E">
              <w:rPr>
                <w:rFonts w:ascii="Arial Narrow" w:hAnsi="Arial Narrow" w:cs="Arial"/>
                <w:b/>
                <w:bCs/>
                <w:color w:val="000000"/>
                <w:sz w:val="20"/>
                <w:szCs w:val="20"/>
              </w:rPr>
              <w:t>eculizumab</w:t>
            </w:r>
            <w:proofErr w:type="spellEnd"/>
            <w:r w:rsidRPr="001B587E">
              <w:rPr>
                <w:rFonts w:ascii="Arial Narrow" w:hAnsi="Arial Narrow" w:cs="Arial"/>
                <w:b/>
                <w:bCs/>
                <w:color w:val="000000"/>
                <w:sz w:val="20"/>
                <w:szCs w:val="20"/>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center"/>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center"/>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center"/>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center"/>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r>
      <w:tr w:rsidR="002C1807" w:rsidRPr="001B587E" w:rsidTr="002C1807">
        <w:tc>
          <w:tcPr>
            <w:tcW w:w="842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 xml:space="preserve">Vials per year </w:t>
            </w:r>
            <w:r w:rsidRPr="001B587E">
              <w:rPr>
                <w:rFonts w:ascii="Arial Narrow" w:hAnsi="Arial Narrow" w:cs="Arial"/>
                <w:b/>
                <w:bCs/>
                <w:color w:val="000000"/>
                <w:sz w:val="20"/>
                <w:szCs w:val="20"/>
                <w:vertAlign w:val="superscript"/>
              </w:rPr>
              <w:t xml:space="preserve">e </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52EBF">
            <w:pPr>
              <w:rPr>
                <w:rFonts w:ascii="Arial Narrow" w:hAnsi="Arial Narrow" w:cs="Arial"/>
                <w:color w:val="000000"/>
                <w:sz w:val="20"/>
                <w:szCs w:val="20"/>
              </w:rPr>
            </w:pPr>
            <w:r w:rsidRPr="001B587E">
              <w:rPr>
                <w:rFonts w:ascii="Arial Narrow" w:hAnsi="Arial Narrow" w:cs="Arial"/>
                <w:color w:val="000000"/>
                <w:sz w:val="20"/>
                <w:szCs w:val="20"/>
              </w:rPr>
              <w:t>Patients on maintenance</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52EBF">
            <w:pPr>
              <w:rPr>
                <w:rFonts w:ascii="Arial Narrow" w:hAnsi="Arial Narrow" w:cs="Arial"/>
                <w:color w:val="000000"/>
                <w:sz w:val="20"/>
                <w:szCs w:val="20"/>
              </w:rPr>
            </w:pPr>
            <w:r w:rsidRPr="001B587E">
              <w:rPr>
                <w:rFonts w:ascii="Arial Narrow" w:hAnsi="Arial Narrow" w:cs="Arial"/>
                <w:color w:val="000000"/>
                <w:sz w:val="20"/>
                <w:szCs w:val="20"/>
              </w:rPr>
              <w:t>Initiating patients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 xml:space="preserve">Total vials per year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cs="Arial"/>
                <w:b/>
                <w:bCs/>
                <w:color w:val="000000"/>
                <w:sz w:val="20"/>
                <w:szCs w:val="20"/>
                <w:highlight w:val="black"/>
              </w:rPr>
            </w:pPr>
            <w:r>
              <w:rPr>
                <w:rFonts w:ascii="Arial Narrow" w:hAnsi="Arial Narrow" w:cs="Arial"/>
                <w:b/>
                <w:bCs/>
                <w:noProof/>
                <w:color w:val="000000"/>
                <w:sz w:val="20"/>
                <w:szCs w:val="20"/>
                <w:highlight w:val="black"/>
              </w:rPr>
              <w:t>'''''''''</w:t>
            </w:r>
          </w:p>
        </w:tc>
      </w:tr>
      <w:tr w:rsidR="002C1807" w:rsidRPr="001B587E" w:rsidTr="004A6028">
        <w:tc>
          <w:tcPr>
            <w:tcW w:w="3146" w:type="dxa"/>
            <w:tcBorders>
              <w:top w:val="nil"/>
              <w:left w:val="single" w:sz="4" w:space="0" w:color="auto"/>
              <w:bottom w:val="single" w:sz="4" w:space="0" w:color="auto"/>
              <w:right w:val="nil"/>
            </w:tcBorders>
            <w:shd w:val="clear" w:color="auto" w:fill="auto"/>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 xml:space="preserve">Cost to the PBS </w:t>
            </w:r>
            <w:r w:rsidRPr="001B587E">
              <w:rPr>
                <w:rFonts w:ascii="Arial Narrow" w:hAnsi="Arial Narrow" w:cs="Arial"/>
                <w:b/>
                <w:bCs/>
                <w:color w:val="000000"/>
                <w:sz w:val="20"/>
                <w:szCs w:val="20"/>
                <w:vertAlign w:val="superscript"/>
              </w:rPr>
              <w:t>f</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w:t>
            </w:r>
            <w:r w:rsidR="000671F9">
              <w:rPr>
                <w:rFonts w:ascii="Arial Narrow" w:hAnsi="Arial Narrow" w:cs="Arial"/>
                <w:b/>
                <w:bCs/>
                <w:noProof/>
                <w:color w:val="000000"/>
                <w:sz w:val="20"/>
                <w:szCs w:val="20"/>
                <w:highlight w:val="black"/>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w:t>
            </w:r>
            <w:r w:rsidR="000671F9">
              <w:rPr>
                <w:rFonts w:ascii="Arial Narrow" w:hAnsi="Arial Narrow" w:cs="Arial"/>
                <w:b/>
                <w:bCs/>
                <w:noProof/>
                <w:color w:val="000000"/>
                <w:sz w:val="20"/>
                <w:szCs w:val="20"/>
                <w:highlight w:val="black"/>
              </w:rPr>
              <w:t>''''''''''''''''''</w:t>
            </w:r>
            <w:r w:rsidRPr="001B587E">
              <w:rPr>
                <w:rFonts w:ascii="Arial Narrow" w:hAnsi="Arial Narrow" w:cs="Arial"/>
                <w:b/>
                <w:bCs/>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w:t>
            </w:r>
            <w:r w:rsidR="000671F9">
              <w:rPr>
                <w:rFonts w:ascii="Arial Narrow" w:hAnsi="Arial Narrow" w:cs="Arial"/>
                <w:b/>
                <w:bCs/>
                <w:noProof/>
                <w:color w:val="000000"/>
                <w:sz w:val="20"/>
                <w:szCs w:val="20"/>
                <w:highlight w:val="black"/>
              </w:rPr>
              <w:t>''''''''''''''''''</w:t>
            </w:r>
            <w:r w:rsidRPr="001B587E">
              <w:rPr>
                <w:rFonts w:ascii="Arial Narrow" w:hAnsi="Arial Narrow" w:cs="Arial"/>
                <w:b/>
                <w:bCs/>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w:t>
            </w:r>
            <w:r w:rsidR="000671F9">
              <w:rPr>
                <w:rFonts w:ascii="Arial Narrow" w:hAnsi="Arial Narrow" w:cs="Arial"/>
                <w:b/>
                <w:bCs/>
                <w:noProof/>
                <w:color w:val="000000"/>
                <w:sz w:val="20"/>
                <w:szCs w:val="20"/>
                <w:highlight w:val="black"/>
              </w:rPr>
              <w:t>''''''''''''''''''''</w:t>
            </w:r>
            <w:r w:rsidRPr="001B587E">
              <w:rPr>
                <w:rFonts w:ascii="Arial Narrow" w:hAnsi="Arial Narrow" w:cs="Arial"/>
                <w:b/>
                <w:bCs/>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1B587E" w:rsidRDefault="002C1807" w:rsidP="002C1807">
            <w:pPr>
              <w:rPr>
                <w:rFonts w:ascii="Arial Narrow" w:hAnsi="Arial Narrow" w:cs="Arial"/>
                <w:b/>
                <w:bCs/>
                <w:color w:val="000000"/>
                <w:sz w:val="20"/>
                <w:szCs w:val="20"/>
              </w:rPr>
            </w:pPr>
            <w:r w:rsidRPr="001B587E">
              <w:rPr>
                <w:rFonts w:ascii="Arial Narrow" w:hAnsi="Arial Narrow" w:cs="Arial"/>
                <w:b/>
                <w:bCs/>
                <w:color w:val="000000"/>
                <w:sz w:val="20"/>
                <w:szCs w:val="20"/>
              </w:rPr>
              <w:t>$</w:t>
            </w:r>
            <w:r w:rsidR="000671F9">
              <w:rPr>
                <w:rFonts w:ascii="Arial Narrow" w:hAnsi="Arial Narrow" w:cs="Arial"/>
                <w:b/>
                <w:bCs/>
                <w:noProof/>
                <w:color w:val="000000"/>
                <w:sz w:val="20"/>
                <w:szCs w:val="20"/>
                <w:highlight w:val="black"/>
              </w:rPr>
              <w:t>''''''''''''''''''</w:t>
            </w:r>
            <w:r w:rsidRPr="001B587E">
              <w:rPr>
                <w:rFonts w:ascii="Arial Narrow" w:hAnsi="Arial Narrow" w:cs="Arial"/>
                <w:b/>
                <w:bCs/>
                <w:color w:val="000000"/>
                <w:sz w:val="20"/>
                <w:szCs w:val="20"/>
              </w:rPr>
              <w:t xml:space="preserve"> </w:t>
            </w:r>
          </w:p>
        </w:tc>
      </w:tr>
      <w:tr w:rsidR="002C1807" w:rsidRPr="0061730C" w:rsidTr="002C1807">
        <w:trPr>
          <w:trHeight w:val="345"/>
        </w:trPr>
        <w:tc>
          <w:tcPr>
            <w:tcW w:w="842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2C1807" w:rsidRPr="0061730C" w:rsidRDefault="002C1807" w:rsidP="002C1807">
            <w:pPr>
              <w:rPr>
                <w:rFonts w:ascii="Arial Narrow" w:hAnsi="Arial Narrow" w:cs="Arial"/>
                <w:b/>
                <w:bCs/>
                <w:i/>
                <w:color w:val="000000"/>
                <w:sz w:val="20"/>
                <w:szCs w:val="20"/>
              </w:rPr>
            </w:pPr>
            <w:r>
              <w:rPr>
                <w:rFonts w:ascii="Arial Narrow" w:hAnsi="Arial Narrow" w:cs="Arial"/>
                <w:b/>
                <w:bCs/>
                <w:i/>
                <w:color w:val="000000"/>
                <w:sz w:val="20"/>
                <w:szCs w:val="20"/>
              </w:rPr>
              <w:t xml:space="preserve">Vials </w:t>
            </w:r>
            <w:r w:rsidRPr="0061730C">
              <w:rPr>
                <w:rFonts w:ascii="Arial Narrow" w:hAnsi="Arial Narrow" w:cs="Arial"/>
                <w:b/>
                <w:bCs/>
                <w:i/>
                <w:color w:val="000000"/>
                <w:sz w:val="20"/>
                <w:szCs w:val="20"/>
              </w:rPr>
              <w:t>per year based on prescribing instructions</w:t>
            </w:r>
            <w:r w:rsidRPr="0061730C">
              <w:rPr>
                <w:rFonts w:ascii="Arial Narrow" w:hAnsi="Arial Narrow" w:cs="Arial"/>
                <w:b/>
                <w:bCs/>
                <w:i/>
                <w:color w:val="000000"/>
                <w:sz w:val="20"/>
                <w:szCs w:val="20"/>
                <w:vertAlign w:val="superscript"/>
              </w:rPr>
              <w:t xml:space="preserve"> </w:t>
            </w:r>
            <w:r>
              <w:rPr>
                <w:rFonts w:ascii="Arial Narrow" w:hAnsi="Arial Narrow" w:cs="Arial"/>
                <w:b/>
                <w:bCs/>
                <w:i/>
                <w:color w:val="000000"/>
                <w:sz w:val="20"/>
                <w:szCs w:val="20"/>
                <w:vertAlign w:val="superscript"/>
              </w:rPr>
              <w:t>g</w:t>
            </w:r>
          </w:p>
        </w:tc>
      </w:tr>
      <w:tr w:rsidR="002C1807" w:rsidRPr="0061730C" w:rsidTr="004A6028">
        <w:trPr>
          <w:trHeight w:val="300"/>
        </w:trPr>
        <w:tc>
          <w:tcPr>
            <w:tcW w:w="3146" w:type="dxa"/>
            <w:tcBorders>
              <w:top w:val="nil"/>
              <w:left w:val="single" w:sz="4" w:space="0" w:color="auto"/>
              <w:bottom w:val="single" w:sz="4" w:space="0" w:color="auto"/>
              <w:right w:val="nil"/>
            </w:tcBorders>
            <w:shd w:val="clear" w:color="auto" w:fill="auto"/>
            <w:vAlign w:val="bottom"/>
            <w:hideMark/>
          </w:tcPr>
          <w:p w:rsidR="002C1807" w:rsidRPr="0061730C" w:rsidRDefault="002C1807" w:rsidP="00252EBF">
            <w:pPr>
              <w:rPr>
                <w:rFonts w:ascii="Arial Narrow" w:hAnsi="Arial Narrow" w:cs="Arial"/>
                <w:i/>
                <w:color w:val="000000"/>
                <w:sz w:val="20"/>
                <w:szCs w:val="20"/>
              </w:rPr>
            </w:pPr>
            <w:r w:rsidRPr="0061730C">
              <w:rPr>
                <w:rFonts w:ascii="Arial Narrow" w:hAnsi="Arial Narrow" w:cs="Arial"/>
                <w:i/>
                <w:color w:val="000000"/>
                <w:sz w:val="20"/>
                <w:szCs w:val="20"/>
              </w:rPr>
              <w:t>Patients on maintenance</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2C1807" w:rsidRPr="0061730C" w:rsidTr="004A6028">
        <w:trPr>
          <w:trHeight w:val="300"/>
        </w:trPr>
        <w:tc>
          <w:tcPr>
            <w:tcW w:w="3146" w:type="dxa"/>
            <w:tcBorders>
              <w:top w:val="nil"/>
              <w:left w:val="single" w:sz="4" w:space="0" w:color="auto"/>
              <w:bottom w:val="single" w:sz="4" w:space="0" w:color="auto"/>
              <w:right w:val="nil"/>
            </w:tcBorders>
            <w:shd w:val="clear" w:color="auto" w:fill="auto"/>
            <w:vAlign w:val="bottom"/>
            <w:hideMark/>
          </w:tcPr>
          <w:p w:rsidR="002C1807" w:rsidRPr="0061730C" w:rsidRDefault="002C1807" w:rsidP="00252EBF">
            <w:pPr>
              <w:rPr>
                <w:rFonts w:ascii="Arial Narrow" w:hAnsi="Arial Narrow" w:cs="Arial"/>
                <w:i/>
                <w:color w:val="000000"/>
                <w:sz w:val="20"/>
                <w:szCs w:val="20"/>
              </w:rPr>
            </w:pPr>
            <w:r w:rsidRPr="0061730C">
              <w:rPr>
                <w:rFonts w:ascii="Arial Narrow" w:hAnsi="Arial Narrow" w:cs="Arial"/>
                <w:i/>
                <w:color w:val="000000"/>
                <w:sz w:val="20"/>
                <w:szCs w:val="20"/>
              </w:rPr>
              <w:t>Initiating patients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2C1807" w:rsidRPr="0061730C" w:rsidTr="004A6028">
        <w:trPr>
          <w:trHeight w:val="300"/>
        </w:trPr>
        <w:tc>
          <w:tcPr>
            <w:tcW w:w="3146" w:type="dxa"/>
            <w:tcBorders>
              <w:top w:val="nil"/>
              <w:left w:val="single" w:sz="4" w:space="0" w:color="auto"/>
              <w:bottom w:val="single" w:sz="4" w:space="0" w:color="auto"/>
              <w:right w:val="nil"/>
            </w:tcBorders>
            <w:shd w:val="clear" w:color="auto" w:fill="auto"/>
            <w:vAlign w:val="bottom"/>
            <w:hideMark/>
          </w:tcPr>
          <w:p w:rsidR="002C1807" w:rsidRPr="0061730C" w:rsidRDefault="002C1807" w:rsidP="002C1807">
            <w:pPr>
              <w:rPr>
                <w:rFonts w:ascii="Arial Narrow" w:hAnsi="Arial Narrow" w:cs="Arial"/>
                <w:b/>
                <w:bCs/>
                <w:i/>
                <w:color w:val="000000"/>
                <w:sz w:val="20"/>
                <w:szCs w:val="20"/>
              </w:rPr>
            </w:pPr>
            <w:r w:rsidRPr="0061730C">
              <w:rPr>
                <w:rFonts w:ascii="Arial Narrow" w:hAnsi="Arial Narrow" w:cs="Arial"/>
                <w:b/>
                <w:bCs/>
                <w:i/>
                <w:color w:val="000000"/>
                <w:sz w:val="20"/>
                <w:szCs w:val="20"/>
              </w:rPr>
              <w:t xml:space="preserve">Total vials per year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b/>
                <w:bCs/>
                <w:i/>
                <w:color w:val="000000"/>
                <w:sz w:val="20"/>
                <w:szCs w:val="20"/>
                <w:highlight w:val="black"/>
              </w:rPr>
            </w:pPr>
            <w:r>
              <w:rPr>
                <w:rFonts w:ascii="Arial Narrow" w:hAnsi="Arial Narrow"/>
                <w:b/>
                <w:bCs/>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b/>
                <w:bCs/>
                <w:i/>
                <w:color w:val="000000"/>
                <w:sz w:val="20"/>
                <w:szCs w:val="20"/>
                <w:highlight w:val="black"/>
              </w:rPr>
            </w:pPr>
            <w:r>
              <w:rPr>
                <w:rFonts w:ascii="Arial Narrow" w:hAnsi="Arial Narrow"/>
                <w:b/>
                <w:bCs/>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b/>
                <w:bCs/>
                <w:i/>
                <w:color w:val="000000"/>
                <w:sz w:val="20"/>
                <w:szCs w:val="20"/>
                <w:highlight w:val="black"/>
              </w:rPr>
            </w:pPr>
            <w:r>
              <w:rPr>
                <w:rFonts w:ascii="Arial Narrow" w:hAnsi="Arial Narrow"/>
                <w:b/>
                <w:bCs/>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b/>
                <w:bCs/>
                <w:i/>
                <w:color w:val="000000"/>
                <w:sz w:val="20"/>
                <w:szCs w:val="20"/>
                <w:highlight w:val="black"/>
              </w:rPr>
            </w:pPr>
            <w:r>
              <w:rPr>
                <w:rFonts w:ascii="Arial Narrow" w:hAnsi="Arial Narrow"/>
                <w:b/>
                <w:bCs/>
                <w:i/>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0671F9" w:rsidRDefault="000671F9" w:rsidP="002C1807">
            <w:pPr>
              <w:jc w:val="center"/>
              <w:rPr>
                <w:rFonts w:ascii="Arial Narrow" w:hAnsi="Arial Narrow"/>
                <w:b/>
                <w:bCs/>
                <w:i/>
                <w:color w:val="000000"/>
                <w:sz w:val="20"/>
                <w:szCs w:val="20"/>
                <w:highlight w:val="black"/>
              </w:rPr>
            </w:pPr>
            <w:r>
              <w:rPr>
                <w:rFonts w:ascii="Arial Narrow" w:hAnsi="Arial Narrow"/>
                <w:b/>
                <w:bCs/>
                <w:i/>
                <w:noProof/>
                <w:color w:val="000000"/>
                <w:sz w:val="20"/>
                <w:szCs w:val="20"/>
                <w:highlight w:val="black"/>
              </w:rPr>
              <w:t>''''''''''</w:t>
            </w:r>
          </w:p>
        </w:tc>
      </w:tr>
      <w:tr w:rsidR="002C1807" w:rsidRPr="0061730C" w:rsidTr="004A6028">
        <w:trPr>
          <w:trHeight w:val="345"/>
        </w:trPr>
        <w:tc>
          <w:tcPr>
            <w:tcW w:w="3146" w:type="dxa"/>
            <w:tcBorders>
              <w:top w:val="nil"/>
              <w:left w:val="single" w:sz="4" w:space="0" w:color="auto"/>
              <w:bottom w:val="single" w:sz="4" w:space="0" w:color="auto"/>
              <w:right w:val="nil"/>
            </w:tcBorders>
            <w:shd w:val="clear" w:color="auto" w:fill="auto"/>
            <w:vAlign w:val="bottom"/>
            <w:hideMark/>
          </w:tcPr>
          <w:p w:rsidR="002C1807" w:rsidRPr="0061730C" w:rsidRDefault="002C1807" w:rsidP="002C1807">
            <w:pPr>
              <w:rPr>
                <w:rFonts w:ascii="Arial Narrow" w:hAnsi="Arial Narrow" w:cs="Arial"/>
                <w:b/>
                <w:bCs/>
                <w:i/>
                <w:color w:val="000000"/>
                <w:sz w:val="20"/>
                <w:szCs w:val="20"/>
              </w:rPr>
            </w:pPr>
            <w:r w:rsidRPr="0061730C">
              <w:rPr>
                <w:rFonts w:ascii="Arial Narrow" w:hAnsi="Arial Narrow" w:cs="Arial"/>
                <w:b/>
                <w:bCs/>
                <w:i/>
                <w:color w:val="000000"/>
                <w:sz w:val="20"/>
                <w:szCs w:val="20"/>
              </w:rPr>
              <w:t xml:space="preserve">Cost to the PBS </w:t>
            </w:r>
            <w:r>
              <w:rPr>
                <w:rFonts w:ascii="Arial Narrow" w:hAnsi="Arial Narrow" w:cs="Arial"/>
                <w:b/>
                <w:bCs/>
                <w:i/>
                <w:color w:val="000000"/>
                <w:sz w:val="20"/>
                <w:szCs w:val="20"/>
                <w:vertAlign w:val="superscript"/>
              </w:rPr>
              <w:t>g</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C1807" w:rsidRPr="0061730C" w:rsidRDefault="002C1807" w:rsidP="002C1807">
            <w:pPr>
              <w:rPr>
                <w:rFonts w:ascii="Arial Narrow" w:hAnsi="Arial Narrow"/>
                <w:b/>
                <w:bCs/>
                <w:i/>
                <w:color w:val="000000"/>
                <w:sz w:val="20"/>
                <w:szCs w:val="20"/>
              </w:rPr>
            </w:pPr>
            <w:r w:rsidRPr="0061730C">
              <w:rPr>
                <w:rFonts w:ascii="Arial Narrow" w:hAnsi="Arial Narrow"/>
                <w:b/>
                <w:bCs/>
                <w:i/>
                <w:color w:val="000000"/>
                <w:sz w:val="20"/>
                <w:szCs w:val="20"/>
              </w:rPr>
              <w:t>$</w:t>
            </w:r>
            <w:r w:rsidR="000671F9">
              <w:rPr>
                <w:rFonts w:ascii="Arial Narrow" w:hAnsi="Arial Narrow"/>
                <w:b/>
                <w:bCs/>
                <w:i/>
                <w:noProof/>
                <w:color w:val="000000"/>
                <w:sz w:val="20"/>
                <w:szCs w:val="20"/>
                <w:highlight w:val="black"/>
              </w:rPr>
              <w:t>'''''''''''''''''''</w:t>
            </w:r>
            <w:r w:rsidRPr="0061730C">
              <w:rPr>
                <w:rFonts w:ascii="Arial Narrow" w:hAnsi="Arial Narrow"/>
                <w:b/>
                <w:bCs/>
                <w:i/>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61730C" w:rsidRDefault="002C1807" w:rsidP="002C1807">
            <w:pPr>
              <w:rPr>
                <w:rFonts w:ascii="Arial Narrow" w:hAnsi="Arial Narrow"/>
                <w:b/>
                <w:bCs/>
                <w:i/>
                <w:color w:val="000000"/>
                <w:sz w:val="20"/>
                <w:szCs w:val="20"/>
              </w:rPr>
            </w:pPr>
            <w:r w:rsidRPr="0061730C">
              <w:rPr>
                <w:rFonts w:ascii="Arial Narrow" w:hAnsi="Arial Narrow"/>
                <w:b/>
                <w:bCs/>
                <w:i/>
                <w:color w:val="000000"/>
                <w:sz w:val="20"/>
                <w:szCs w:val="20"/>
              </w:rPr>
              <w:t>$</w:t>
            </w:r>
            <w:r w:rsidR="000671F9">
              <w:rPr>
                <w:rFonts w:ascii="Arial Narrow" w:hAnsi="Arial Narrow"/>
                <w:b/>
                <w:bCs/>
                <w:i/>
                <w:noProof/>
                <w:color w:val="000000"/>
                <w:sz w:val="20"/>
                <w:szCs w:val="20"/>
                <w:highlight w:val="black"/>
              </w:rPr>
              <w:t>''''''''''''''''''</w:t>
            </w:r>
            <w:r w:rsidRPr="0061730C">
              <w:rPr>
                <w:rFonts w:ascii="Arial Narrow" w:hAnsi="Arial Narrow"/>
                <w:b/>
                <w:bCs/>
                <w:i/>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61730C" w:rsidRDefault="002C1807" w:rsidP="002C1807">
            <w:pPr>
              <w:rPr>
                <w:rFonts w:ascii="Arial Narrow" w:hAnsi="Arial Narrow"/>
                <w:b/>
                <w:bCs/>
                <w:i/>
                <w:color w:val="000000"/>
                <w:sz w:val="20"/>
                <w:szCs w:val="20"/>
              </w:rPr>
            </w:pPr>
            <w:r w:rsidRPr="0061730C">
              <w:rPr>
                <w:rFonts w:ascii="Arial Narrow" w:hAnsi="Arial Narrow"/>
                <w:b/>
                <w:bCs/>
                <w:i/>
                <w:color w:val="000000"/>
                <w:sz w:val="20"/>
                <w:szCs w:val="20"/>
              </w:rPr>
              <w:t>$</w:t>
            </w:r>
            <w:r w:rsidR="000671F9">
              <w:rPr>
                <w:rFonts w:ascii="Arial Narrow" w:hAnsi="Arial Narrow"/>
                <w:b/>
                <w:bCs/>
                <w:i/>
                <w:noProof/>
                <w:color w:val="000000"/>
                <w:sz w:val="20"/>
                <w:szCs w:val="20"/>
                <w:highlight w:val="black"/>
              </w:rPr>
              <w:t>'''''''''''''''''''</w:t>
            </w:r>
            <w:r w:rsidRPr="0061730C">
              <w:rPr>
                <w:rFonts w:ascii="Arial Narrow" w:hAnsi="Arial Narrow"/>
                <w:b/>
                <w:bCs/>
                <w:i/>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61730C" w:rsidRDefault="002C1807" w:rsidP="002C1807">
            <w:pPr>
              <w:rPr>
                <w:rFonts w:ascii="Arial Narrow" w:hAnsi="Arial Narrow"/>
                <w:b/>
                <w:bCs/>
                <w:i/>
                <w:color w:val="000000"/>
                <w:sz w:val="20"/>
                <w:szCs w:val="20"/>
              </w:rPr>
            </w:pPr>
            <w:r w:rsidRPr="0061730C">
              <w:rPr>
                <w:rFonts w:ascii="Arial Narrow" w:hAnsi="Arial Narrow"/>
                <w:b/>
                <w:bCs/>
                <w:i/>
                <w:color w:val="000000"/>
                <w:sz w:val="20"/>
                <w:szCs w:val="20"/>
              </w:rPr>
              <w:t>$</w:t>
            </w:r>
            <w:r w:rsidR="000671F9">
              <w:rPr>
                <w:rFonts w:ascii="Arial Narrow" w:hAnsi="Arial Narrow"/>
                <w:b/>
                <w:bCs/>
                <w:i/>
                <w:noProof/>
                <w:color w:val="000000"/>
                <w:sz w:val="20"/>
                <w:szCs w:val="20"/>
                <w:highlight w:val="black"/>
              </w:rPr>
              <w:t>''''''''''''''''''</w:t>
            </w:r>
            <w:r w:rsidRPr="0061730C">
              <w:rPr>
                <w:rFonts w:ascii="Arial Narrow" w:hAnsi="Arial Narrow"/>
                <w:b/>
                <w:bCs/>
                <w:i/>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2C1807" w:rsidRPr="0061730C" w:rsidRDefault="002C1807" w:rsidP="002C1807">
            <w:pPr>
              <w:rPr>
                <w:rFonts w:ascii="Arial Narrow" w:hAnsi="Arial Narrow"/>
                <w:b/>
                <w:bCs/>
                <w:i/>
                <w:color w:val="000000"/>
                <w:sz w:val="20"/>
                <w:szCs w:val="20"/>
              </w:rPr>
            </w:pPr>
            <w:r w:rsidRPr="0061730C">
              <w:rPr>
                <w:rFonts w:ascii="Arial Narrow" w:hAnsi="Arial Narrow"/>
                <w:b/>
                <w:bCs/>
                <w:i/>
                <w:color w:val="000000"/>
                <w:sz w:val="20"/>
                <w:szCs w:val="20"/>
              </w:rPr>
              <w:t>$</w:t>
            </w:r>
            <w:r w:rsidR="000671F9">
              <w:rPr>
                <w:rFonts w:ascii="Arial Narrow" w:hAnsi="Arial Narrow"/>
                <w:b/>
                <w:bCs/>
                <w:i/>
                <w:noProof/>
                <w:color w:val="000000"/>
                <w:sz w:val="20"/>
                <w:szCs w:val="20"/>
                <w:highlight w:val="black"/>
              </w:rPr>
              <w:t>''''''''''''''''''''</w:t>
            </w:r>
            <w:r w:rsidRPr="0061730C">
              <w:rPr>
                <w:rFonts w:ascii="Arial Narrow" w:hAnsi="Arial Narrow"/>
                <w:b/>
                <w:bCs/>
                <w:i/>
                <w:color w:val="000000"/>
                <w:sz w:val="20"/>
                <w:szCs w:val="20"/>
              </w:rPr>
              <w:t xml:space="preserve"> </w:t>
            </w:r>
          </w:p>
        </w:tc>
      </w:tr>
    </w:tbl>
    <w:p w:rsidR="002C1807" w:rsidRPr="007246DD" w:rsidRDefault="002C1807" w:rsidP="002C1807">
      <w:pPr>
        <w:ind w:left="720"/>
        <w:rPr>
          <w:rFonts w:ascii="Arial Narrow" w:hAnsi="Arial Narrow" w:cs="Arial"/>
          <w:sz w:val="18"/>
          <w:szCs w:val="18"/>
        </w:rPr>
      </w:pPr>
      <w:r w:rsidRPr="007246DD">
        <w:rPr>
          <w:rFonts w:ascii="Arial Narrow" w:hAnsi="Arial Narrow" w:cs="Arial"/>
          <w:sz w:val="18"/>
          <w:szCs w:val="18"/>
          <w:vertAlign w:val="superscript"/>
        </w:rPr>
        <w:t>a</w:t>
      </w:r>
      <w:r w:rsidRPr="007246DD">
        <w:rPr>
          <w:rFonts w:ascii="Arial Narrow" w:hAnsi="Arial Narrow" w:cs="Arial"/>
          <w:sz w:val="18"/>
          <w:szCs w:val="18"/>
        </w:rPr>
        <w:t xml:space="preserve"> Number of deaths whilst awaiting renal transplant is based on an annual death rate per 100 patient-years during renal replacement therapy of patients under the age of 85 (Source= ANZDATA 38th report, chapter 3, Table 3.3).</w:t>
      </w:r>
      <w:r>
        <w:rPr>
          <w:rFonts w:ascii="Arial Narrow" w:hAnsi="Arial Narrow" w:cs="Arial"/>
          <w:sz w:val="18"/>
          <w:szCs w:val="18"/>
        </w:rPr>
        <w:t xml:space="preserve"> </w:t>
      </w:r>
      <w:r w:rsidRPr="007246DD">
        <w:rPr>
          <w:rFonts w:ascii="Arial Narrow" w:hAnsi="Arial Narrow" w:cs="Arial"/>
          <w:sz w:val="18"/>
          <w:szCs w:val="18"/>
        </w:rPr>
        <w:t>Deaths are assumed to occur at end of each year.</w:t>
      </w:r>
    </w:p>
    <w:p w:rsidR="002C1807" w:rsidRPr="007246DD" w:rsidRDefault="002C1807" w:rsidP="002C1807">
      <w:pPr>
        <w:ind w:left="720"/>
        <w:rPr>
          <w:rFonts w:ascii="Arial Narrow" w:hAnsi="Arial Narrow" w:cs="Arial"/>
          <w:sz w:val="18"/>
          <w:szCs w:val="18"/>
        </w:rPr>
      </w:pPr>
      <w:proofErr w:type="gramStart"/>
      <w:r w:rsidRPr="007246DD">
        <w:rPr>
          <w:rFonts w:ascii="Arial Narrow" w:hAnsi="Arial Narrow" w:cs="Arial"/>
          <w:sz w:val="18"/>
          <w:szCs w:val="18"/>
          <w:vertAlign w:val="superscript"/>
        </w:rPr>
        <w:t>b</w:t>
      </w:r>
      <w:proofErr w:type="gramEnd"/>
      <w:r w:rsidRPr="007246DD">
        <w:rPr>
          <w:rFonts w:ascii="Arial Narrow" w:hAnsi="Arial Narrow" w:cs="Arial"/>
          <w:sz w:val="18"/>
          <w:szCs w:val="18"/>
          <w:vertAlign w:val="superscript"/>
        </w:rPr>
        <w:t xml:space="preserve"> </w:t>
      </w:r>
      <w:r w:rsidRPr="007246DD">
        <w:rPr>
          <w:rFonts w:ascii="Arial Narrow" w:hAnsi="Arial Narrow" w:cs="Arial"/>
          <w:sz w:val="18"/>
          <w:szCs w:val="18"/>
        </w:rPr>
        <w:t xml:space="preserve">Assuming </w:t>
      </w:r>
      <w:r w:rsidR="000671F9">
        <w:rPr>
          <w:rFonts w:ascii="Arial Narrow" w:hAnsi="Arial Narrow" w:cs="Arial"/>
          <w:noProof/>
          <w:color w:val="000000"/>
          <w:sz w:val="18"/>
          <w:szCs w:val="18"/>
          <w:highlight w:val="black"/>
        </w:rPr>
        <w:t>''''</w:t>
      </w:r>
      <w:r w:rsidRPr="007246DD">
        <w:rPr>
          <w:rFonts w:ascii="Arial Narrow" w:hAnsi="Arial Narrow" w:cs="Arial"/>
          <w:sz w:val="18"/>
          <w:szCs w:val="18"/>
        </w:rPr>
        <w:t xml:space="preserve"> new patients with </w:t>
      </w:r>
      <w:proofErr w:type="spellStart"/>
      <w:r w:rsidRPr="007246DD">
        <w:rPr>
          <w:rFonts w:ascii="Arial Narrow" w:hAnsi="Arial Narrow" w:cs="Arial"/>
          <w:sz w:val="18"/>
          <w:szCs w:val="18"/>
        </w:rPr>
        <w:t>aHUS</w:t>
      </w:r>
      <w:proofErr w:type="spellEnd"/>
      <w:r w:rsidRPr="007246DD">
        <w:rPr>
          <w:rFonts w:ascii="Arial Narrow" w:hAnsi="Arial Narrow" w:cs="Arial"/>
          <w:sz w:val="18"/>
          <w:szCs w:val="18"/>
        </w:rPr>
        <w:t xml:space="preserve"> will progress to ESRD every year. This assumption is likely to overestimate the number of incident cases and cost to the PBS.</w:t>
      </w:r>
    </w:p>
    <w:p w:rsidR="002C1807" w:rsidRPr="007246DD" w:rsidRDefault="002C1807" w:rsidP="002C1807">
      <w:pPr>
        <w:ind w:left="720"/>
        <w:rPr>
          <w:rFonts w:ascii="Arial Narrow" w:hAnsi="Arial Narrow" w:cs="Arial"/>
          <w:sz w:val="18"/>
          <w:szCs w:val="18"/>
        </w:rPr>
      </w:pPr>
      <w:proofErr w:type="gramStart"/>
      <w:r w:rsidRPr="007246DD">
        <w:rPr>
          <w:rFonts w:ascii="Arial Narrow" w:hAnsi="Arial Narrow" w:cs="Arial"/>
          <w:sz w:val="18"/>
          <w:szCs w:val="18"/>
          <w:vertAlign w:val="superscript"/>
        </w:rPr>
        <w:t>c</w:t>
      </w:r>
      <w:proofErr w:type="gramEnd"/>
      <w:r w:rsidRPr="007246DD">
        <w:rPr>
          <w:rFonts w:ascii="Arial Narrow" w:hAnsi="Arial Narrow" w:cs="Arial"/>
          <w:sz w:val="18"/>
          <w:szCs w:val="18"/>
        </w:rPr>
        <w:t xml:space="preserve"> Assuming a transplantation rate of </w:t>
      </w:r>
      <w:r w:rsidRPr="00292BAA">
        <w:rPr>
          <w:rFonts w:ascii="Arial Narrow" w:hAnsi="Arial Narrow" w:cs="Arial"/>
          <w:sz w:val="18"/>
          <w:szCs w:val="18"/>
        </w:rPr>
        <w:t>22.7</w:t>
      </w:r>
      <w:r w:rsidRPr="007246DD">
        <w:rPr>
          <w:rFonts w:ascii="Arial Narrow" w:hAnsi="Arial Narrow" w:cs="Arial"/>
          <w:sz w:val="18"/>
          <w:szCs w:val="18"/>
        </w:rPr>
        <w:t>% per year in patients under the age of 85. This rate includes both deceased and living donor allograft (source= ANZDATA 38th report, chapter 8, Figure 8.4.1).</w:t>
      </w:r>
    </w:p>
    <w:p w:rsidR="002C1807" w:rsidRPr="007246DD" w:rsidRDefault="002C1807" w:rsidP="002C1807">
      <w:pPr>
        <w:ind w:left="720"/>
        <w:rPr>
          <w:rFonts w:ascii="Arial Narrow" w:hAnsi="Arial Narrow" w:cs="Arial"/>
          <w:sz w:val="18"/>
          <w:szCs w:val="18"/>
        </w:rPr>
      </w:pPr>
      <w:r w:rsidRPr="007246DD">
        <w:rPr>
          <w:rFonts w:ascii="Arial Narrow" w:hAnsi="Arial Narrow" w:cs="Arial"/>
          <w:sz w:val="18"/>
          <w:szCs w:val="18"/>
          <w:vertAlign w:val="superscript"/>
        </w:rPr>
        <w:t xml:space="preserve">d </w:t>
      </w:r>
      <w:r w:rsidRPr="007246DD">
        <w:rPr>
          <w:rFonts w:ascii="Arial Narrow" w:hAnsi="Arial Narrow" w:cs="Arial"/>
          <w:sz w:val="18"/>
          <w:szCs w:val="18"/>
        </w:rPr>
        <w:t xml:space="preserve">High-medium risk of subsequent TMA is defined as any of the following: Mutations in Factor H or gene re-arrangements involving Factor H and Factor H related proteins OR Gain of function mutations in Factor B or C3 OR Previous early recurrence OR Loss of previous transplant due to recurrent </w:t>
      </w:r>
      <w:proofErr w:type="spellStart"/>
      <w:r w:rsidRPr="007246DD">
        <w:rPr>
          <w:rFonts w:ascii="Arial Narrow" w:hAnsi="Arial Narrow" w:cs="Arial"/>
          <w:sz w:val="18"/>
          <w:szCs w:val="18"/>
        </w:rPr>
        <w:t>aHUS</w:t>
      </w:r>
      <w:proofErr w:type="spellEnd"/>
      <w:r w:rsidRPr="007246DD">
        <w:rPr>
          <w:rFonts w:ascii="Arial Narrow" w:hAnsi="Arial Narrow" w:cs="Arial"/>
          <w:sz w:val="18"/>
          <w:szCs w:val="18"/>
        </w:rPr>
        <w:t xml:space="preserve"> OR No identified mutation or autoantibody OR Mutations in Factor I OR Variant of uncertain significance OR Detectable autoantibodies against CFH.</w:t>
      </w:r>
      <w:r w:rsidRPr="007246DD">
        <w:rPr>
          <w:rFonts w:ascii="Arial Narrow" w:hAnsi="Arial Narrow"/>
          <w:sz w:val="18"/>
          <w:szCs w:val="18"/>
        </w:rPr>
        <w:t xml:space="preserve"> </w:t>
      </w:r>
      <w:r w:rsidRPr="007246DD">
        <w:rPr>
          <w:rFonts w:ascii="Arial Narrow" w:hAnsi="Arial Narrow" w:cs="Arial"/>
          <w:sz w:val="18"/>
          <w:szCs w:val="18"/>
        </w:rPr>
        <w:t xml:space="preserve">Low risk of subsequent TMA is defined as any of the following: Isolated Mutation in </w:t>
      </w:r>
      <w:proofErr w:type="spellStart"/>
      <w:r w:rsidRPr="007246DD">
        <w:rPr>
          <w:rFonts w:ascii="Arial Narrow" w:hAnsi="Arial Narrow" w:cs="Arial"/>
          <w:sz w:val="18"/>
          <w:szCs w:val="18"/>
        </w:rPr>
        <w:t>Membrance</w:t>
      </w:r>
      <w:proofErr w:type="spellEnd"/>
      <w:r w:rsidRPr="007246DD">
        <w:rPr>
          <w:rFonts w:ascii="Arial Narrow" w:hAnsi="Arial Narrow" w:cs="Arial"/>
          <w:sz w:val="18"/>
          <w:szCs w:val="18"/>
        </w:rPr>
        <w:t xml:space="preserve"> cofactor protein (CD46) OR persistently negative FH autoantibodies (Source= UK Renal Association Guidelines [2013], KDIGO [2016], and Zuber [2012]).</w:t>
      </w:r>
    </w:p>
    <w:p w:rsidR="002C1807" w:rsidRPr="007246DD" w:rsidRDefault="002C1807" w:rsidP="002C1807">
      <w:pPr>
        <w:ind w:left="720"/>
        <w:rPr>
          <w:rFonts w:ascii="Arial Narrow" w:hAnsi="Arial Narrow" w:cs="Arial"/>
          <w:sz w:val="18"/>
          <w:szCs w:val="18"/>
        </w:rPr>
      </w:pPr>
      <w:proofErr w:type="gramStart"/>
      <w:r w:rsidRPr="007246DD">
        <w:rPr>
          <w:rFonts w:ascii="Arial Narrow" w:hAnsi="Arial Narrow" w:cs="Arial"/>
          <w:sz w:val="18"/>
          <w:szCs w:val="18"/>
          <w:vertAlign w:val="superscript"/>
        </w:rPr>
        <w:t>e</w:t>
      </w:r>
      <w:proofErr w:type="gramEnd"/>
      <w:r w:rsidRPr="007246DD">
        <w:rPr>
          <w:rFonts w:ascii="Arial Narrow" w:hAnsi="Arial Narrow" w:cs="Arial"/>
          <w:sz w:val="18"/>
          <w:szCs w:val="18"/>
        </w:rPr>
        <w:t xml:space="preserve"> Assuming </w:t>
      </w:r>
      <w:r w:rsidR="000671F9">
        <w:rPr>
          <w:rFonts w:ascii="Arial Narrow" w:hAnsi="Arial Narrow" w:cs="Arial"/>
          <w:noProof/>
          <w:color w:val="000000"/>
          <w:sz w:val="18"/>
          <w:szCs w:val="18"/>
          <w:highlight w:val="black"/>
        </w:rPr>
        <w:t>'''''''</w:t>
      </w:r>
      <w:r w:rsidRPr="007246DD">
        <w:rPr>
          <w:rFonts w:ascii="Arial Narrow" w:hAnsi="Arial Narrow" w:cs="Arial"/>
          <w:sz w:val="18"/>
          <w:szCs w:val="18"/>
        </w:rPr>
        <w:t xml:space="preserve"> vials in new patients and </w:t>
      </w:r>
      <w:r w:rsidR="000671F9">
        <w:rPr>
          <w:rFonts w:ascii="Arial Narrow" w:hAnsi="Arial Narrow" w:cs="Arial"/>
          <w:noProof/>
          <w:color w:val="000000"/>
          <w:sz w:val="18"/>
          <w:szCs w:val="18"/>
          <w:highlight w:val="black"/>
        </w:rPr>
        <w:t>''''''</w:t>
      </w:r>
      <w:r w:rsidRPr="007246DD">
        <w:rPr>
          <w:rFonts w:ascii="Arial Narrow" w:hAnsi="Arial Narrow" w:cs="Arial"/>
          <w:sz w:val="18"/>
          <w:szCs w:val="18"/>
        </w:rPr>
        <w:t xml:space="preserve"> vials in patients on maintenance based on the November 2013 PBAC submission assumption considered by the PBAC at its March 2014 meeting. New patients are assumed to initiate therapy mid-year so these patients receive one-half of a full year of maintenance vials. Estimates do not include the discretional use of an additional 900 mg dose following graft reperfusion.</w:t>
      </w:r>
    </w:p>
    <w:p w:rsidR="002C1807" w:rsidRDefault="002C1807" w:rsidP="002C1807">
      <w:pPr>
        <w:ind w:left="720"/>
        <w:rPr>
          <w:rFonts w:ascii="Arial Narrow" w:hAnsi="Arial Narrow" w:cs="Arial"/>
          <w:sz w:val="18"/>
          <w:szCs w:val="18"/>
        </w:rPr>
      </w:pPr>
      <w:proofErr w:type="gramStart"/>
      <w:r w:rsidRPr="007246DD">
        <w:rPr>
          <w:rFonts w:ascii="Arial Narrow" w:hAnsi="Arial Narrow" w:cs="Arial"/>
          <w:sz w:val="18"/>
          <w:szCs w:val="18"/>
          <w:vertAlign w:val="superscript"/>
        </w:rPr>
        <w:t>f</w:t>
      </w:r>
      <w:proofErr w:type="gramEnd"/>
      <w:r w:rsidRPr="007246DD">
        <w:rPr>
          <w:rFonts w:ascii="Arial Narrow" w:hAnsi="Arial Narrow" w:cs="Arial"/>
          <w:sz w:val="18"/>
          <w:szCs w:val="18"/>
        </w:rPr>
        <w:t xml:space="preserve"> Based on the public dispensed price per maximum quantity of $5,937.50. Patient co-payment, private hospital mark up and dispensing fee have not been taken into consideration. Due to the small number of patients, no attempt has been made to present these estimates by patient category.</w:t>
      </w:r>
    </w:p>
    <w:p w:rsidR="002C1807" w:rsidRPr="001B587E" w:rsidRDefault="002C1807" w:rsidP="002C1807">
      <w:pPr>
        <w:ind w:left="720"/>
        <w:rPr>
          <w:rFonts w:ascii="Arial Narrow" w:hAnsi="Arial Narrow" w:cs="Arial"/>
          <w:sz w:val="18"/>
          <w:szCs w:val="18"/>
        </w:rPr>
      </w:pPr>
      <w:proofErr w:type="gramStart"/>
      <w:r>
        <w:rPr>
          <w:rFonts w:ascii="Arial Narrow" w:hAnsi="Arial Narrow" w:cs="Arial"/>
          <w:sz w:val="18"/>
          <w:szCs w:val="18"/>
          <w:vertAlign w:val="superscript"/>
        </w:rPr>
        <w:t>g</w:t>
      </w:r>
      <w:proofErr w:type="gramEnd"/>
      <w:r>
        <w:rPr>
          <w:rFonts w:ascii="Arial Narrow" w:hAnsi="Arial Narrow" w:cs="Arial"/>
          <w:sz w:val="18"/>
          <w:szCs w:val="18"/>
        </w:rPr>
        <w:t xml:space="preserve"> </w:t>
      </w:r>
      <w:r w:rsidRPr="001B587E">
        <w:rPr>
          <w:rFonts w:ascii="Arial Narrow" w:hAnsi="Arial Narrow" w:cs="Arial"/>
          <w:sz w:val="18"/>
          <w:szCs w:val="18"/>
        </w:rPr>
        <w:t xml:space="preserve">Assuming </w:t>
      </w:r>
      <w:r w:rsidR="000671F9">
        <w:rPr>
          <w:rFonts w:ascii="Arial Narrow" w:hAnsi="Arial Narrow" w:cs="Arial"/>
          <w:noProof/>
          <w:color w:val="000000"/>
          <w:sz w:val="18"/>
          <w:szCs w:val="18"/>
          <w:highlight w:val="black"/>
        </w:rPr>
        <w:t>''''''</w:t>
      </w:r>
      <w:r w:rsidRPr="001B587E">
        <w:rPr>
          <w:rFonts w:ascii="Arial Narrow" w:hAnsi="Arial Narrow" w:cs="Arial"/>
          <w:sz w:val="18"/>
          <w:szCs w:val="18"/>
        </w:rPr>
        <w:t xml:space="preserve"> vials in new patients and </w:t>
      </w:r>
      <w:r w:rsidR="000671F9">
        <w:rPr>
          <w:rFonts w:ascii="Arial Narrow" w:hAnsi="Arial Narrow" w:cs="Arial"/>
          <w:noProof/>
          <w:color w:val="000000"/>
          <w:sz w:val="18"/>
          <w:szCs w:val="18"/>
          <w:highlight w:val="black"/>
        </w:rPr>
        <w:t xml:space="preserve">'''''''''' </w:t>
      </w:r>
      <w:r w:rsidRPr="001B587E">
        <w:rPr>
          <w:rFonts w:ascii="Arial Narrow" w:hAnsi="Arial Narrow" w:cs="Arial"/>
          <w:sz w:val="18"/>
          <w:szCs w:val="18"/>
        </w:rPr>
        <w:t>vials in patients on maintenance based New patients are assumed to initiate therapy mid-year so these patients receive one-half of a full year of maintenance vials. Estimates do not include the discretional use of an additional 900 mg dose following graft reperfusion.</w:t>
      </w:r>
    </w:p>
    <w:p w:rsidR="003A4A1D" w:rsidRDefault="003A4A1D" w:rsidP="00EE3E37">
      <w:pPr>
        <w:ind w:left="709" w:hanging="709"/>
        <w:rPr>
          <w:rFonts w:asciiTheme="minorHAnsi" w:hAnsiTheme="minorHAnsi"/>
          <w:szCs w:val="22"/>
        </w:rPr>
      </w:pPr>
    </w:p>
    <w:p w:rsidR="00D90B84" w:rsidRDefault="00FF42D3" w:rsidP="00EE3E37">
      <w:pPr>
        <w:pStyle w:val="ListParagraph"/>
        <w:widowControl/>
        <w:numPr>
          <w:ilvl w:val="1"/>
          <w:numId w:val="5"/>
        </w:numPr>
        <w:ind w:left="709" w:hanging="709"/>
        <w:rPr>
          <w:rFonts w:asciiTheme="minorHAnsi" w:hAnsiTheme="minorHAnsi"/>
          <w:szCs w:val="22"/>
        </w:rPr>
      </w:pPr>
      <w:r>
        <w:rPr>
          <w:rFonts w:asciiTheme="minorHAnsi" w:hAnsiTheme="minorHAnsi"/>
          <w:szCs w:val="22"/>
        </w:rPr>
        <w:t>The</w:t>
      </w:r>
      <w:r w:rsidR="00D90B84">
        <w:rPr>
          <w:rFonts w:asciiTheme="minorHAnsi" w:hAnsiTheme="minorHAnsi"/>
          <w:szCs w:val="22"/>
        </w:rPr>
        <w:t xml:space="preserve"> redacted table shows that at year 5, the estimated number of patients was less than 10,000 and the net cost to the PBS would be $10 - $20 million per year.</w:t>
      </w:r>
    </w:p>
    <w:p w:rsidR="00D90B84" w:rsidRDefault="00D90B84" w:rsidP="00D90B84">
      <w:pPr>
        <w:pStyle w:val="ListParagraph"/>
        <w:widowControl/>
        <w:ind w:left="709"/>
        <w:rPr>
          <w:rFonts w:asciiTheme="minorHAnsi" w:hAnsiTheme="minorHAnsi"/>
          <w:szCs w:val="22"/>
        </w:rPr>
      </w:pPr>
    </w:p>
    <w:p w:rsidR="00FF42D3" w:rsidRDefault="00D90B84" w:rsidP="00EE3E37">
      <w:pPr>
        <w:pStyle w:val="ListParagraph"/>
        <w:widowControl/>
        <w:numPr>
          <w:ilvl w:val="1"/>
          <w:numId w:val="5"/>
        </w:numPr>
        <w:ind w:left="709" w:hanging="709"/>
        <w:rPr>
          <w:rFonts w:asciiTheme="minorHAnsi" w:hAnsiTheme="minorHAnsi"/>
          <w:szCs w:val="22"/>
        </w:rPr>
      </w:pPr>
      <w:r>
        <w:rPr>
          <w:rFonts w:asciiTheme="minorHAnsi" w:hAnsiTheme="minorHAnsi"/>
          <w:szCs w:val="22"/>
        </w:rPr>
        <w:t>The</w:t>
      </w:r>
      <w:r w:rsidR="00FF42D3">
        <w:rPr>
          <w:rFonts w:asciiTheme="minorHAnsi" w:hAnsiTheme="minorHAnsi"/>
          <w:szCs w:val="22"/>
        </w:rPr>
        <w:t xml:space="preserve"> PBAC did not consider that the </w:t>
      </w:r>
      <w:r w:rsidR="003A4A1D">
        <w:rPr>
          <w:rFonts w:asciiTheme="minorHAnsi" w:hAnsiTheme="minorHAnsi"/>
          <w:szCs w:val="22"/>
        </w:rPr>
        <w:t>financial estimates as presented by the sponsor, and adjusted during the evaluation, were informative as they</w:t>
      </w:r>
      <w:r w:rsidR="002C1807">
        <w:rPr>
          <w:rFonts w:asciiTheme="minorHAnsi" w:hAnsiTheme="minorHAnsi"/>
          <w:szCs w:val="22"/>
        </w:rPr>
        <w:t xml:space="preserve"> included low patient </w:t>
      </w:r>
      <w:r w:rsidR="00E87099">
        <w:rPr>
          <w:rFonts w:asciiTheme="minorHAnsi" w:hAnsiTheme="minorHAnsi"/>
          <w:szCs w:val="22"/>
        </w:rPr>
        <w:t>uptake</w:t>
      </w:r>
      <w:r w:rsidR="002C1807">
        <w:rPr>
          <w:rFonts w:asciiTheme="minorHAnsi" w:hAnsiTheme="minorHAnsi"/>
          <w:szCs w:val="22"/>
        </w:rPr>
        <w:t xml:space="preserve"> in all of the projected years</w:t>
      </w:r>
      <w:r w:rsidR="003A4A1D">
        <w:rPr>
          <w:rFonts w:asciiTheme="minorHAnsi" w:hAnsiTheme="minorHAnsi"/>
          <w:szCs w:val="22"/>
        </w:rPr>
        <w:t xml:space="preserve"> </w:t>
      </w:r>
      <w:r w:rsidR="00E87099">
        <w:rPr>
          <w:rFonts w:asciiTheme="minorHAnsi" w:hAnsiTheme="minorHAnsi"/>
          <w:szCs w:val="22"/>
        </w:rPr>
        <w:t xml:space="preserve">and </w:t>
      </w:r>
      <w:r w:rsidR="003A4A1D">
        <w:rPr>
          <w:rFonts w:asciiTheme="minorHAnsi" w:hAnsiTheme="minorHAnsi"/>
          <w:szCs w:val="22"/>
        </w:rPr>
        <w:t>were largely driv</w:t>
      </w:r>
      <w:r w:rsidR="002C1807">
        <w:rPr>
          <w:rFonts w:asciiTheme="minorHAnsi" w:hAnsiTheme="minorHAnsi"/>
          <w:szCs w:val="22"/>
        </w:rPr>
        <w:t>en</w:t>
      </w:r>
      <w:r w:rsidR="003A4A1D">
        <w:rPr>
          <w:rFonts w:asciiTheme="minorHAnsi" w:hAnsiTheme="minorHAnsi"/>
          <w:szCs w:val="22"/>
        </w:rPr>
        <w:t xml:space="preserve"> by continued maintenance treatment which was not supported.</w:t>
      </w:r>
      <w:r w:rsidR="002C1807">
        <w:rPr>
          <w:rFonts w:asciiTheme="minorHAnsi" w:hAnsiTheme="minorHAnsi"/>
          <w:szCs w:val="22"/>
        </w:rPr>
        <w:t xml:space="preserve">  The PBAC considered that the financial implications of listing w</w:t>
      </w:r>
      <w:r w:rsidR="0002252D">
        <w:rPr>
          <w:rFonts w:asciiTheme="minorHAnsi" w:hAnsiTheme="minorHAnsi"/>
          <w:szCs w:val="22"/>
        </w:rPr>
        <w:t>ould</w:t>
      </w:r>
      <w:r w:rsidR="002C1807">
        <w:rPr>
          <w:rFonts w:asciiTheme="minorHAnsi" w:hAnsiTheme="minorHAnsi"/>
          <w:szCs w:val="22"/>
        </w:rPr>
        <w:t xml:space="preserve"> need </w:t>
      </w:r>
      <w:r w:rsidR="004B656B">
        <w:rPr>
          <w:rFonts w:asciiTheme="minorHAnsi" w:hAnsiTheme="minorHAnsi"/>
          <w:szCs w:val="22"/>
        </w:rPr>
        <w:t>to be recalculated on the basis of the PBAC’s recommendation.</w:t>
      </w:r>
    </w:p>
    <w:p w:rsidR="00FD55AD" w:rsidRDefault="00FD55AD" w:rsidP="00EE3E37">
      <w:pPr>
        <w:ind w:left="709" w:hanging="709"/>
        <w:rPr>
          <w:rFonts w:asciiTheme="minorHAnsi" w:hAnsiTheme="minorHAnsi" w:cs="Arial"/>
          <w:b/>
          <w:i/>
          <w:sz w:val="22"/>
          <w:szCs w:val="22"/>
        </w:rPr>
      </w:pPr>
    </w:p>
    <w:p w:rsidR="00454419" w:rsidRPr="003E461A" w:rsidRDefault="00454419">
      <w:pPr>
        <w:rPr>
          <w:rFonts w:asciiTheme="minorHAnsi" w:hAnsiTheme="minorHAnsi" w:cs="Arial"/>
          <w:b/>
          <w:i/>
        </w:rPr>
      </w:pPr>
      <w:r w:rsidRPr="003E461A">
        <w:rPr>
          <w:rFonts w:asciiTheme="minorHAnsi" w:hAnsiTheme="minorHAnsi" w:cs="Arial"/>
          <w:b/>
          <w:i/>
        </w:rPr>
        <w:t xml:space="preserve">Risk Share </w:t>
      </w:r>
      <w:r w:rsidR="006649BF" w:rsidRPr="003E461A">
        <w:rPr>
          <w:rFonts w:asciiTheme="minorHAnsi" w:hAnsiTheme="minorHAnsi" w:cs="Arial"/>
          <w:b/>
          <w:i/>
        </w:rPr>
        <w:t>Arrangements</w:t>
      </w:r>
    </w:p>
    <w:p w:rsidR="00454419" w:rsidRPr="003E461A" w:rsidRDefault="00454419" w:rsidP="00EE3E37">
      <w:pPr>
        <w:ind w:left="851" w:hanging="851"/>
        <w:rPr>
          <w:rFonts w:asciiTheme="minorHAnsi" w:hAnsiTheme="minorHAnsi" w:cs="Arial"/>
        </w:rPr>
      </w:pPr>
    </w:p>
    <w:p w:rsidR="003A4A1D" w:rsidRPr="00CD0B1F" w:rsidRDefault="003A4A1D" w:rsidP="00EE3E37">
      <w:pPr>
        <w:widowControl w:val="0"/>
        <w:numPr>
          <w:ilvl w:val="1"/>
          <w:numId w:val="5"/>
        </w:numPr>
        <w:spacing w:after="120"/>
        <w:ind w:left="851" w:hanging="851"/>
        <w:jc w:val="both"/>
        <w:rPr>
          <w:rFonts w:asciiTheme="minorHAnsi" w:hAnsiTheme="minorHAnsi" w:cs="Arial"/>
          <w:bCs/>
          <w:snapToGrid w:val="0"/>
          <w:lang w:val="en-GB"/>
        </w:rPr>
      </w:pPr>
      <w:r>
        <w:rPr>
          <w:rFonts w:asciiTheme="minorHAnsi" w:hAnsiTheme="minorHAnsi" w:cs="Arial"/>
          <w:bCs/>
          <w:snapToGrid w:val="0"/>
          <w:lang w:val="en-GB"/>
        </w:rPr>
        <w:t>The PBAC noted the risk shari</w:t>
      </w:r>
      <w:r w:rsidR="00004E50">
        <w:rPr>
          <w:rFonts w:asciiTheme="minorHAnsi" w:hAnsiTheme="minorHAnsi" w:cs="Arial"/>
          <w:bCs/>
          <w:snapToGrid w:val="0"/>
          <w:lang w:val="en-GB"/>
        </w:rPr>
        <w:t>ng arrangement proposed in the p</w:t>
      </w:r>
      <w:r>
        <w:rPr>
          <w:rFonts w:asciiTheme="minorHAnsi" w:hAnsiTheme="minorHAnsi" w:cs="Arial"/>
          <w:bCs/>
          <w:snapToGrid w:val="0"/>
          <w:lang w:val="en-GB"/>
        </w:rPr>
        <w:t>re-PBAC</w:t>
      </w:r>
      <w:r w:rsidR="00456745">
        <w:rPr>
          <w:rFonts w:asciiTheme="minorHAnsi" w:hAnsiTheme="minorHAnsi" w:cs="Arial"/>
          <w:bCs/>
          <w:snapToGrid w:val="0"/>
          <w:lang w:val="en-GB"/>
        </w:rPr>
        <w:t xml:space="preserve"> </w:t>
      </w:r>
      <w:r>
        <w:rPr>
          <w:rFonts w:asciiTheme="minorHAnsi" w:hAnsiTheme="minorHAnsi" w:cs="Arial"/>
          <w:bCs/>
          <w:snapToGrid w:val="0"/>
          <w:lang w:val="en-GB"/>
        </w:rPr>
        <w:t>response</w:t>
      </w:r>
      <w:r w:rsidR="004B656B">
        <w:rPr>
          <w:rFonts w:asciiTheme="minorHAnsi" w:hAnsiTheme="minorHAnsi" w:cs="Arial"/>
          <w:bCs/>
          <w:snapToGrid w:val="0"/>
          <w:lang w:val="en-GB"/>
        </w:rPr>
        <w:t>.</w:t>
      </w:r>
      <w:r>
        <w:rPr>
          <w:rFonts w:asciiTheme="minorHAnsi" w:hAnsiTheme="minorHAnsi" w:cs="Arial"/>
          <w:bCs/>
          <w:snapToGrid w:val="0"/>
          <w:lang w:val="en-GB"/>
        </w:rPr>
        <w:t xml:space="preserve"> </w:t>
      </w:r>
      <w:r w:rsidR="00906C5A">
        <w:rPr>
          <w:rFonts w:asciiTheme="minorHAnsi" w:hAnsiTheme="minorHAnsi" w:cs="Arial"/>
          <w:bCs/>
          <w:snapToGrid w:val="0"/>
          <w:lang w:val="en-GB"/>
        </w:rPr>
        <w:t xml:space="preserve"> </w:t>
      </w:r>
      <w:r w:rsidR="00CD0B1F">
        <w:rPr>
          <w:rFonts w:asciiTheme="minorHAnsi" w:hAnsiTheme="minorHAnsi" w:cs="Arial"/>
          <w:bCs/>
          <w:snapToGrid w:val="0"/>
          <w:lang w:val="en-GB"/>
        </w:rPr>
        <w:t>The PBAC considered that a risk share with a hard cap based on the revised estimates would be appropriate</w:t>
      </w:r>
      <w:r w:rsidR="00394CB0" w:rsidRPr="00CD0B1F">
        <w:rPr>
          <w:rFonts w:asciiTheme="minorHAnsi" w:hAnsiTheme="minorHAnsi" w:cs="Arial"/>
          <w:bCs/>
          <w:snapToGrid w:val="0"/>
          <w:lang w:val="en-GB"/>
        </w:rPr>
        <w:t>.</w:t>
      </w:r>
    </w:p>
    <w:p w:rsidR="0002252D" w:rsidRPr="003E461A" w:rsidRDefault="0002252D" w:rsidP="0002252D">
      <w:pPr>
        <w:widowControl w:val="0"/>
        <w:spacing w:after="120"/>
        <w:ind w:left="851"/>
        <w:jc w:val="both"/>
        <w:rPr>
          <w:rFonts w:asciiTheme="minorHAnsi" w:hAnsiTheme="minorHAnsi" w:cs="Arial"/>
          <w:bCs/>
          <w:snapToGrid w:val="0"/>
          <w:lang w:val="en-GB"/>
        </w:rPr>
      </w:pPr>
    </w:p>
    <w:p w:rsidR="00BF5429" w:rsidRPr="00E27B05" w:rsidRDefault="00BF5429" w:rsidP="001544E4">
      <w:pPr>
        <w:pStyle w:val="PBACHeading1"/>
        <w:numPr>
          <w:ilvl w:val="0"/>
          <w:numId w:val="0"/>
        </w:numPr>
        <w:ind w:left="1571" w:hanging="851"/>
        <w:outlineLvl w:val="9"/>
        <w:rPr>
          <w:rFonts w:asciiTheme="minorHAnsi" w:hAnsiTheme="minorHAnsi"/>
          <w:b w:val="0"/>
          <w:i/>
          <w:sz w:val="24"/>
          <w:szCs w:val="24"/>
        </w:rPr>
      </w:pPr>
      <w:r w:rsidRPr="00E27B05">
        <w:rPr>
          <w:rFonts w:asciiTheme="minorHAnsi" w:hAnsiTheme="minorHAnsi"/>
          <w:b w:val="0"/>
          <w:i/>
          <w:sz w:val="24"/>
          <w:szCs w:val="24"/>
        </w:rPr>
        <w:t>For more detail on PBAC’s view, see section 7 “PBAC outcome.”</w:t>
      </w:r>
    </w:p>
    <w:p w:rsidR="00CE10C4" w:rsidRPr="003E461A" w:rsidRDefault="00CE10C4" w:rsidP="00EE3E37">
      <w:pPr>
        <w:ind w:left="851" w:hanging="851"/>
        <w:jc w:val="both"/>
        <w:rPr>
          <w:rFonts w:asciiTheme="minorHAnsi" w:hAnsiTheme="minorHAnsi" w:cs="Arial"/>
        </w:rPr>
      </w:pPr>
    </w:p>
    <w:p w:rsidR="00617D5D" w:rsidRPr="00394CB0" w:rsidRDefault="00617D5D" w:rsidP="0064358C">
      <w:pPr>
        <w:widowControl w:val="0"/>
        <w:numPr>
          <w:ilvl w:val="0"/>
          <w:numId w:val="5"/>
        </w:numPr>
        <w:spacing w:before="240" w:after="120"/>
        <w:jc w:val="both"/>
        <w:outlineLvl w:val="0"/>
        <w:rPr>
          <w:rFonts w:asciiTheme="minorHAnsi" w:hAnsiTheme="minorHAnsi" w:cs="Arial"/>
          <w:b/>
          <w:bCs/>
          <w:i/>
          <w:snapToGrid w:val="0"/>
          <w:sz w:val="32"/>
          <w:szCs w:val="32"/>
        </w:rPr>
      </w:pPr>
      <w:r w:rsidRPr="00394CB0">
        <w:rPr>
          <w:rFonts w:asciiTheme="minorHAnsi" w:hAnsiTheme="minorHAnsi" w:cs="Arial"/>
          <w:b/>
          <w:bCs/>
          <w:i/>
          <w:snapToGrid w:val="0"/>
          <w:sz w:val="32"/>
          <w:szCs w:val="32"/>
        </w:rPr>
        <w:t>PBAC Outcome</w:t>
      </w:r>
    </w:p>
    <w:p w:rsidR="00617D5D" w:rsidRDefault="00617D5D" w:rsidP="00EE3E37">
      <w:pPr>
        <w:widowControl w:val="0"/>
        <w:numPr>
          <w:ilvl w:val="1"/>
          <w:numId w:val="5"/>
        </w:numPr>
        <w:spacing w:after="120"/>
        <w:ind w:left="709"/>
        <w:jc w:val="both"/>
        <w:rPr>
          <w:rFonts w:asciiTheme="minorHAnsi" w:hAnsiTheme="minorHAnsi" w:cs="Arial"/>
          <w:bCs/>
          <w:snapToGrid w:val="0"/>
          <w:lang w:val="en-GB"/>
        </w:rPr>
      </w:pPr>
      <w:r w:rsidRPr="00394CB0">
        <w:rPr>
          <w:rFonts w:asciiTheme="minorHAnsi" w:hAnsiTheme="minorHAnsi" w:cs="Arial"/>
          <w:bCs/>
          <w:snapToGrid w:val="0"/>
          <w:lang w:val="en-GB"/>
        </w:rPr>
        <w:t xml:space="preserve">The PBAC recommended </w:t>
      </w:r>
      <w:r w:rsidR="00456745">
        <w:rPr>
          <w:rFonts w:asciiTheme="minorHAnsi" w:hAnsiTheme="minorHAnsi" w:cs="Arial"/>
          <w:bCs/>
          <w:snapToGrid w:val="0"/>
          <w:lang w:val="en-GB"/>
        </w:rPr>
        <w:t xml:space="preserve">extending </w:t>
      </w:r>
      <w:r w:rsidRPr="00394CB0">
        <w:rPr>
          <w:rFonts w:asciiTheme="minorHAnsi" w:hAnsiTheme="minorHAnsi" w:cs="Arial"/>
          <w:bCs/>
          <w:snapToGrid w:val="0"/>
          <w:lang w:val="en-GB"/>
        </w:rPr>
        <w:t xml:space="preserve">the listing of </w:t>
      </w:r>
      <w:proofErr w:type="spellStart"/>
      <w:r w:rsidR="00394CB0" w:rsidRPr="00394CB0">
        <w:rPr>
          <w:rFonts w:asciiTheme="minorHAnsi" w:hAnsiTheme="minorHAnsi" w:cs="Arial"/>
          <w:bCs/>
          <w:snapToGrid w:val="0"/>
          <w:lang w:val="en-GB"/>
        </w:rPr>
        <w:t>eculizumab</w:t>
      </w:r>
      <w:proofErr w:type="spellEnd"/>
      <w:r w:rsidRPr="00394CB0">
        <w:rPr>
          <w:rFonts w:asciiTheme="minorHAnsi" w:hAnsiTheme="minorHAnsi" w:cs="Arial"/>
          <w:bCs/>
          <w:snapToGrid w:val="0"/>
          <w:lang w:val="en-GB"/>
        </w:rPr>
        <w:t>, on the basis that it should be available only under special arrangements under Section 100</w:t>
      </w:r>
      <w:r w:rsidR="009D030F">
        <w:rPr>
          <w:rFonts w:asciiTheme="minorHAnsi" w:hAnsiTheme="minorHAnsi" w:cs="Arial"/>
          <w:bCs/>
          <w:snapToGrid w:val="0"/>
          <w:lang w:val="en-GB"/>
        </w:rPr>
        <w:t xml:space="preserve"> (Highly Specialised Drugs Program): Authority Required (WRIT</w:t>
      </w:r>
      <w:r w:rsidR="007026EB">
        <w:rPr>
          <w:rFonts w:asciiTheme="minorHAnsi" w:hAnsiTheme="minorHAnsi" w:cs="Arial"/>
          <w:bCs/>
          <w:snapToGrid w:val="0"/>
          <w:lang w:val="en-GB"/>
        </w:rPr>
        <w:t>T</w:t>
      </w:r>
      <w:r w:rsidR="009D030F">
        <w:rPr>
          <w:rFonts w:asciiTheme="minorHAnsi" w:hAnsiTheme="minorHAnsi" w:cs="Arial"/>
          <w:bCs/>
          <w:snapToGrid w:val="0"/>
          <w:lang w:val="en-GB"/>
        </w:rPr>
        <w:t>EN)</w:t>
      </w:r>
      <w:r w:rsidRPr="00394CB0">
        <w:rPr>
          <w:rFonts w:asciiTheme="minorHAnsi" w:hAnsiTheme="minorHAnsi" w:cs="Arial"/>
          <w:bCs/>
          <w:snapToGrid w:val="0"/>
          <w:lang w:val="en-GB"/>
        </w:rPr>
        <w:t xml:space="preserve"> </w:t>
      </w:r>
      <w:r w:rsidR="009D030F" w:rsidRPr="009D030F">
        <w:rPr>
          <w:rFonts w:asciiTheme="minorHAnsi" w:hAnsiTheme="minorHAnsi" w:cs="Arial"/>
          <w:bCs/>
          <w:snapToGrid w:val="0"/>
          <w:lang w:val="en-GB"/>
        </w:rPr>
        <w:t xml:space="preserve">listing for the </w:t>
      </w:r>
      <w:r w:rsidR="009D030F">
        <w:rPr>
          <w:rFonts w:asciiTheme="minorHAnsi" w:hAnsiTheme="minorHAnsi" w:cs="Arial"/>
          <w:bCs/>
          <w:snapToGrid w:val="0"/>
          <w:lang w:val="en-GB"/>
        </w:rPr>
        <w:t xml:space="preserve">prevention of </w:t>
      </w:r>
      <w:r w:rsidR="009D030F" w:rsidRPr="00617D5D">
        <w:rPr>
          <w:rFonts w:asciiTheme="minorHAnsi" w:hAnsiTheme="minorHAnsi"/>
        </w:rPr>
        <w:t>atypical haemolytic uraemic syndrome (</w:t>
      </w:r>
      <w:proofErr w:type="spellStart"/>
      <w:r w:rsidR="009D030F" w:rsidRPr="00617D5D">
        <w:rPr>
          <w:rFonts w:asciiTheme="minorHAnsi" w:hAnsiTheme="minorHAnsi"/>
        </w:rPr>
        <w:t>aHUS</w:t>
      </w:r>
      <w:proofErr w:type="spellEnd"/>
      <w:r w:rsidR="009D030F" w:rsidRPr="00617D5D">
        <w:rPr>
          <w:rFonts w:asciiTheme="minorHAnsi" w:hAnsiTheme="minorHAnsi"/>
        </w:rPr>
        <w:t>)</w:t>
      </w:r>
      <w:r w:rsidR="009D030F">
        <w:rPr>
          <w:rFonts w:asciiTheme="minorHAnsi" w:hAnsiTheme="minorHAnsi"/>
        </w:rPr>
        <w:t xml:space="preserve"> </w:t>
      </w:r>
      <w:r w:rsidR="00A6244C">
        <w:rPr>
          <w:rFonts w:asciiTheme="minorHAnsi" w:hAnsiTheme="minorHAnsi"/>
        </w:rPr>
        <w:t>in patients</w:t>
      </w:r>
      <w:r w:rsidR="00DC6987">
        <w:rPr>
          <w:rFonts w:asciiTheme="minorHAnsi" w:hAnsiTheme="minorHAnsi"/>
        </w:rPr>
        <w:t xml:space="preserve"> at moderate-high risk </w:t>
      </w:r>
      <w:r w:rsidR="00A6244C">
        <w:rPr>
          <w:rFonts w:asciiTheme="minorHAnsi" w:hAnsiTheme="minorHAnsi"/>
        </w:rPr>
        <w:t>of recurrence who have received</w:t>
      </w:r>
      <w:r w:rsidR="009D030F">
        <w:rPr>
          <w:rFonts w:asciiTheme="minorHAnsi" w:hAnsiTheme="minorHAnsi"/>
        </w:rPr>
        <w:t xml:space="preserve"> a renal allograft</w:t>
      </w:r>
      <w:r w:rsidR="001E27D1">
        <w:rPr>
          <w:rFonts w:asciiTheme="minorHAnsi" w:hAnsiTheme="minorHAnsi"/>
        </w:rPr>
        <w:t xml:space="preserve"> for ESRD due to </w:t>
      </w:r>
      <w:proofErr w:type="spellStart"/>
      <w:r w:rsidR="001E27D1">
        <w:rPr>
          <w:rFonts w:asciiTheme="minorHAnsi" w:hAnsiTheme="minorHAnsi"/>
        </w:rPr>
        <w:t>aHUS</w:t>
      </w:r>
      <w:proofErr w:type="spellEnd"/>
      <w:r w:rsidR="004B656B">
        <w:rPr>
          <w:rFonts w:asciiTheme="minorHAnsi" w:hAnsiTheme="minorHAnsi"/>
        </w:rPr>
        <w:t xml:space="preserve">, irrespective of whether </w:t>
      </w:r>
      <w:r w:rsidR="00A6244C">
        <w:rPr>
          <w:rFonts w:asciiTheme="minorHAnsi" w:hAnsiTheme="minorHAnsi"/>
        </w:rPr>
        <w:t>they have</w:t>
      </w:r>
      <w:r w:rsidR="004B656B">
        <w:rPr>
          <w:rFonts w:asciiTheme="minorHAnsi" w:hAnsiTheme="minorHAnsi"/>
        </w:rPr>
        <w:t xml:space="preserve"> previously been successfully treated with </w:t>
      </w:r>
      <w:proofErr w:type="spellStart"/>
      <w:r w:rsidR="004B656B">
        <w:rPr>
          <w:rFonts w:asciiTheme="minorHAnsi" w:hAnsiTheme="minorHAnsi"/>
        </w:rPr>
        <w:t>eculizumab</w:t>
      </w:r>
      <w:proofErr w:type="spellEnd"/>
      <w:r w:rsidR="004B656B">
        <w:rPr>
          <w:rFonts w:asciiTheme="minorHAnsi" w:hAnsiTheme="minorHAnsi"/>
        </w:rPr>
        <w:t xml:space="preserve"> for </w:t>
      </w:r>
      <w:proofErr w:type="spellStart"/>
      <w:r w:rsidR="004B656B">
        <w:rPr>
          <w:rFonts w:asciiTheme="minorHAnsi" w:hAnsiTheme="minorHAnsi"/>
        </w:rPr>
        <w:t>aHUS</w:t>
      </w:r>
      <w:proofErr w:type="spellEnd"/>
      <w:r w:rsidR="009D030F">
        <w:rPr>
          <w:rFonts w:asciiTheme="minorHAnsi" w:hAnsiTheme="minorHAnsi"/>
        </w:rPr>
        <w:t>.</w:t>
      </w:r>
      <w:r w:rsidR="009D030F">
        <w:rPr>
          <w:rFonts w:asciiTheme="minorHAnsi" w:hAnsiTheme="minorHAnsi" w:cs="Arial"/>
          <w:bCs/>
          <w:snapToGrid w:val="0"/>
          <w:lang w:val="en-GB"/>
        </w:rPr>
        <w:t xml:space="preserve"> </w:t>
      </w:r>
      <w:r w:rsidR="009D030F" w:rsidRPr="009D030F">
        <w:rPr>
          <w:rFonts w:asciiTheme="minorHAnsi" w:hAnsiTheme="minorHAnsi" w:cs="Arial"/>
          <w:bCs/>
          <w:snapToGrid w:val="0"/>
          <w:lang w:val="en-GB"/>
        </w:rPr>
        <w:t xml:space="preserve"> </w:t>
      </w:r>
      <w:r w:rsidR="009D030F">
        <w:rPr>
          <w:rFonts w:asciiTheme="minorHAnsi" w:hAnsiTheme="minorHAnsi" w:cs="Arial"/>
          <w:bCs/>
          <w:snapToGrid w:val="0"/>
          <w:lang w:val="en-GB"/>
        </w:rPr>
        <w:t xml:space="preserve">The PBAC recommended </w:t>
      </w:r>
      <w:r w:rsidR="00456745">
        <w:rPr>
          <w:rFonts w:asciiTheme="minorHAnsi" w:hAnsiTheme="minorHAnsi" w:cs="Arial"/>
          <w:bCs/>
          <w:snapToGrid w:val="0"/>
          <w:lang w:val="en-GB"/>
        </w:rPr>
        <w:t xml:space="preserve">prescribing </w:t>
      </w:r>
      <w:r w:rsidR="009D030F">
        <w:rPr>
          <w:rFonts w:asciiTheme="minorHAnsi" w:hAnsiTheme="minorHAnsi" w:cs="Arial"/>
          <w:bCs/>
          <w:snapToGrid w:val="0"/>
          <w:lang w:val="en-GB"/>
        </w:rPr>
        <w:t>should be</w:t>
      </w:r>
      <w:r w:rsidR="0008186B" w:rsidRPr="0008186B">
        <w:rPr>
          <w:rFonts w:asciiTheme="minorHAnsi" w:hAnsiTheme="minorHAnsi" w:cs="Arial"/>
          <w:bCs/>
          <w:snapToGrid w:val="0"/>
          <w:lang w:val="en-GB"/>
        </w:rPr>
        <w:t xml:space="preserve"> restricted to prescribing by </w:t>
      </w:r>
      <w:r w:rsidR="005A241A">
        <w:rPr>
          <w:rFonts w:asciiTheme="minorHAnsi" w:hAnsiTheme="minorHAnsi" w:cs="Arial"/>
          <w:bCs/>
          <w:snapToGrid w:val="0"/>
          <w:lang w:val="en-GB"/>
        </w:rPr>
        <w:t xml:space="preserve">a </w:t>
      </w:r>
      <w:r w:rsidR="0008186B" w:rsidRPr="0008186B">
        <w:rPr>
          <w:rFonts w:asciiTheme="minorHAnsi" w:hAnsiTheme="minorHAnsi" w:cs="Arial"/>
          <w:bCs/>
          <w:snapToGrid w:val="0"/>
          <w:lang w:val="en-GB"/>
        </w:rPr>
        <w:t xml:space="preserve">nephrologist or </w:t>
      </w:r>
      <w:r w:rsidR="005A241A">
        <w:rPr>
          <w:rFonts w:asciiTheme="minorHAnsi" w:hAnsiTheme="minorHAnsi" w:cs="Arial"/>
          <w:bCs/>
          <w:snapToGrid w:val="0"/>
          <w:lang w:val="en-GB"/>
        </w:rPr>
        <w:t xml:space="preserve">a </w:t>
      </w:r>
      <w:r w:rsidR="0008186B" w:rsidRPr="0008186B">
        <w:rPr>
          <w:rFonts w:asciiTheme="minorHAnsi" w:hAnsiTheme="minorHAnsi" w:cs="Arial"/>
          <w:bCs/>
          <w:snapToGrid w:val="0"/>
          <w:lang w:val="en-GB"/>
        </w:rPr>
        <w:t xml:space="preserve">paediatric nephrologist within a transplant </w:t>
      </w:r>
      <w:r w:rsidR="0008186B">
        <w:rPr>
          <w:rFonts w:asciiTheme="minorHAnsi" w:hAnsiTheme="minorHAnsi" w:cs="Arial"/>
          <w:bCs/>
          <w:snapToGrid w:val="0"/>
          <w:lang w:val="en-GB"/>
        </w:rPr>
        <w:t>unit.</w:t>
      </w:r>
    </w:p>
    <w:p w:rsidR="0008186B" w:rsidRPr="005460B5" w:rsidRDefault="0008186B" w:rsidP="00EE3E37">
      <w:pPr>
        <w:widowControl w:val="0"/>
        <w:numPr>
          <w:ilvl w:val="1"/>
          <w:numId w:val="5"/>
        </w:numPr>
        <w:spacing w:after="120"/>
        <w:ind w:left="709"/>
        <w:jc w:val="both"/>
        <w:rPr>
          <w:rFonts w:asciiTheme="minorHAnsi" w:hAnsiTheme="minorHAnsi" w:cs="Arial"/>
          <w:bCs/>
          <w:snapToGrid w:val="0"/>
          <w:lang w:val="en-GB"/>
        </w:rPr>
      </w:pPr>
      <w:r w:rsidRPr="005460B5">
        <w:rPr>
          <w:rFonts w:asciiTheme="minorHAnsi" w:hAnsiTheme="minorHAnsi" w:cs="Arial"/>
          <w:bCs/>
          <w:snapToGrid w:val="0"/>
          <w:lang w:val="en-GB"/>
        </w:rPr>
        <w:t xml:space="preserve">The PBAC considered that a separate restriction for this indication was </w:t>
      </w:r>
      <w:r w:rsidR="004B656B" w:rsidRPr="005460B5">
        <w:rPr>
          <w:rFonts w:asciiTheme="minorHAnsi" w:hAnsiTheme="minorHAnsi" w:cs="Arial"/>
          <w:bCs/>
          <w:snapToGrid w:val="0"/>
          <w:lang w:val="en-GB"/>
        </w:rPr>
        <w:t>appropriate</w:t>
      </w:r>
      <w:r w:rsidR="00252EBF">
        <w:rPr>
          <w:rFonts w:asciiTheme="minorHAnsi" w:hAnsiTheme="minorHAnsi" w:cs="Arial"/>
          <w:bCs/>
          <w:snapToGrid w:val="0"/>
          <w:lang w:val="en-GB"/>
        </w:rPr>
        <w:t>.</w:t>
      </w:r>
      <w:r w:rsidR="004B656B" w:rsidRPr="005460B5">
        <w:rPr>
          <w:rFonts w:asciiTheme="minorHAnsi" w:hAnsiTheme="minorHAnsi" w:cs="Arial"/>
          <w:bCs/>
          <w:snapToGrid w:val="0"/>
          <w:lang w:val="en-GB"/>
        </w:rPr>
        <w:t xml:space="preserve"> </w:t>
      </w:r>
    </w:p>
    <w:p w:rsidR="005A241A" w:rsidRDefault="004B656B" w:rsidP="004B656B">
      <w:pPr>
        <w:widowControl w:val="0"/>
        <w:numPr>
          <w:ilvl w:val="1"/>
          <w:numId w:val="5"/>
        </w:numPr>
        <w:spacing w:after="120"/>
        <w:ind w:left="709"/>
        <w:jc w:val="both"/>
        <w:rPr>
          <w:rFonts w:asciiTheme="minorHAnsi" w:hAnsiTheme="minorHAnsi" w:cs="Arial"/>
          <w:bCs/>
          <w:snapToGrid w:val="0"/>
          <w:lang w:val="en-GB"/>
        </w:rPr>
      </w:pPr>
      <w:r w:rsidRPr="004B656B">
        <w:rPr>
          <w:rFonts w:asciiTheme="minorHAnsi" w:hAnsiTheme="minorHAnsi"/>
          <w:bCs/>
          <w:lang w:val="en-GB"/>
        </w:rPr>
        <w:t xml:space="preserve">The PBAC considered that in-patient treatment should not be subsidised by the PBS.  The PBAC further considered that </w:t>
      </w:r>
      <w:r w:rsidR="00456745" w:rsidRPr="004B656B">
        <w:rPr>
          <w:rFonts w:asciiTheme="minorHAnsi" w:hAnsiTheme="minorHAnsi" w:cs="Arial"/>
          <w:bCs/>
          <w:snapToGrid w:val="0"/>
          <w:lang w:val="en-GB"/>
        </w:rPr>
        <w:t xml:space="preserve">initial </w:t>
      </w:r>
      <w:r w:rsidR="0008186B" w:rsidRPr="004B656B">
        <w:rPr>
          <w:rFonts w:asciiTheme="minorHAnsi" w:hAnsiTheme="minorHAnsi" w:cs="Arial"/>
          <w:bCs/>
          <w:snapToGrid w:val="0"/>
          <w:lang w:val="en-GB"/>
        </w:rPr>
        <w:t xml:space="preserve">treatment </w:t>
      </w:r>
      <w:r w:rsidR="00456745" w:rsidRPr="004B656B">
        <w:rPr>
          <w:rFonts w:asciiTheme="minorHAnsi" w:hAnsiTheme="minorHAnsi" w:cs="Arial"/>
          <w:bCs/>
          <w:snapToGrid w:val="0"/>
          <w:lang w:val="en-GB"/>
        </w:rPr>
        <w:t xml:space="preserve">in this setting should be limited to </w:t>
      </w:r>
      <w:r w:rsidR="0008186B" w:rsidRPr="004B656B">
        <w:rPr>
          <w:rFonts w:asciiTheme="minorHAnsi" w:hAnsiTheme="minorHAnsi" w:cs="Arial"/>
          <w:bCs/>
          <w:snapToGrid w:val="0"/>
          <w:lang w:val="en-GB"/>
        </w:rPr>
        <w:t>3 mo</w:t>
      </w:r>
      <w:r w:rsidR="00BE6FDB" w:rsidRPr="004B656B">
        <w:rPr>
          <w:rFonts w:asciiTheme="minorHAnsi" w:hAnsiTheme="minorHAnsi" w:cs="Arial"/>
          <w:bCs/>
          <w:snapToGrid w:val="0"/>
          <w:lang w:val="en-GB"/>
        </w:rPr>
        <w:t xml:space="preserve">nths of treatment </w:t>
      </w:r>
      <w:proofErr w:type="spellStart"/>
      <w:r w:rsidR="00BE6FDB" w:rsidRPr="004B656B">
        <w:rPr>
          <w:rFonts w:asciiTheme="minorHAnsi" w:hAnsiTheme="minorHAnsi" w:cs="Arial"/>
          <w:bCs/>
          <w:snapToGrid w:val="0"/>
          <w:lang w:val="en-GB"/>
        </w:rPr>
        <w:t>post transplant</w:t>
      </w:r>
      <w:proofErr w:type="spellEnd"/>
      <w:r>
        <w:rPr>
          <w:rFonts w:asciiTheme="minorHAnsi" w:hAnsiTheme="minorHAnsi"/>
          <w:bCs/>
          <w:lang w:val="en-GB"/>
        </w:rPr>
        <w:t xml:space="preserve"> (comprising the period of in-patient treatment plus 10 weeks of treatment under the PBS) </w:t>
      </w:r>
      <w:r w:rsidR="00BE6FDB" w:rsidRPr="004B656B">
        <w:rPr>
          <w:rFonts w:asciiTheme="minorHAnsi" w:hAnsiTheme="minorHAnsi" w:cs="Arial"/>
          <w:bCs/>
          <w:snapToGrid w:val="0"/>
          <w:lang w:val="en-GB"/>
        </w:rPr>
        <w:t xml:space="preserve">as this </w:t>
      </w:r>
      <w:r w:rsidR="00456745" w:rsidRPr="004B656B">
        <w:rPr>
          <w:rFonts w:asciiTheme="minorHAnsi" w:hAnsiTheme="minorHAnsi" w:cs="Arial"/>
          <w:bCs/>
          <w:snapToGrid w:val="0"/>
          <w:lang w:val="en-GB"/>
        </w:rPr>
        <w:t>is</w:t>
      </w:r>
      <w:r w:rsidR="00BE6FDB" w:rsidRPr="004B656B">
        <w:rPr>
          <w:rFonts w:asciiTheme="minorHAnsi" w:hAnsiTheme="minorHAnsi" w:cs="Arial"/>
          <w:bCs/>
          <w:snapToGrid w:val="0"/>
          <w:lang w:val="en-GB"/>
        </w:rPr>
        <w:t xml:space="preserve"> the high</w:t>
      </w:r>
      <w:r w:rsidR="009D030F" w:rsidRPr="004B656B">
        <w:rPr>
          <w:rFonts w:asciiTheme="minorHAnsi" w:hAnsiTheme="minorHAnsi" w:cs="Arial"/>
          <w:bCs/>
          <w:snapToGrid w:val="0"/>
          <w:lang w:val="en-GB"/>
        </w:rPr>
        <w:t>est</w:t>
      </w:r>
      <w:r w:rsidR="00BE6FDB" w:rsidRPr="004B656B">
        <w:rPr>
          <w:rFonts w:asciiTheme="minorHAnsi" w:hAnsiTheme="minorHAnsi" w:cs="Arial"/>
          <w:bCs/>
          <w:snapToGrid w:val="0"/>
          <w:lang w:val="en-GB"/>
        </w:rPr>
        <w:t xml:space="preserve"> risk period for TMA</w:t>
      </w:r>
      <w:r w:rsidR="001E27D1">
        <w:rPr>
          <w:rFonts w:asciiTheme="minorHAnsi" w:hAnsiTheme="minorHAnsi" w:cs="Arial"/>
          <w:bCs/>
          <w:snapToGrid w:val="0"/>
          <w:lang w:val="en-GB"/>
        </w:rPr>
        <w:t xml:space="preserve"> due to </w:t>
      </w:r>
      <w:proofErr w:type="spellStart"/>
      <w:r w:rsidR="001E27D1">
        <w:rPr>
          <w:rFonts w:asciiTheme="minorHAnsi" w:hAnsiTheme="minorHAnsi" w:cs="Arial"/>
          <w:bCs/>
          <w:snapToGrid w:val="0"/>
          <w:lang w:val="en-GB"/>
        </w:rPr>
        <w:t>aHUS</w:t>
      </w:r>
      <w:proofErr w:type="spellEnd"/>
      <w:r w:rsidR="00BE6FDB" w:rsidRPr="004B656B">
        <w:rPr>
          <w:rFonts w:asciiTheme="minorHAnsi" w:hAnsiTheme="minorHAnsi" w:cs="Arial"/>
          <w:bCs/>
          <w:snapToGrid w:val="0"/>
          <w:lang w:val="en-GB"/>
        </w:rPr>
        <w:t xml:space="preserve"> recurrence</w:t>
      </w:r>
      <w:r w:rsidR="00456745" w:rsidRPr="004B656B">
        <w:rPr>
          <w:rFonts w:asciiTheme="minorHAnsi" w:hAnsiTheme="minorHAnsi" w:cs="Arial"/>
          <w:bCs/>
          <w:snapToGrid w:val="0"/>
          <w:lang w:val="en-GB"/>
        </w:rPr>
        <w:t xml:space="preserve">. </w:t>
      </w:r>
    </w:p>
    <w:p w:rsidR="001E27D1" w:rsidRPr="005D6ABA" w:rsidRDefault="00456745" w:rsidP="004B656B">
      <w:pPr>
        <w:widowControl w:val="0"/>
        <w:numPr>
          <w:ilvl w:val="1"/>
          <w:numId w:val="5"/>
        </w:numPr>
        <w:spacing w:after="120"/>
        <w:ind w:left="709"/>
        <w:jc w:val="both"/>
        <w:rPr>
          <w:rFonts w:asciiTheme="minorHAnsi" w:hAnsiTheme="minorHAnsi" w:cs="Arial"/>
          <w:bCs/>
          <w:snapToGrid w:val="0"/>
          <w:lang w:val="en-GB"/>
        </w:rPr>
      </w:pPr>
      <w:r w:rsidRPr="004B656B">
        <w:rPr>
          <w:rFonts w:asciiTheme="minorHAnsi" w:hAnsiTheme="minorHAnsi"/>
          <w:bCs/>
          <w:lang w:val="en-GB"/>
        </w:rPr>
        <w:t>The PBAC</w:t>
      </w:r>
      <w:r w:rsidR="00D63C81" w:rsidRPr="004B656B">
        <w:rPr>
          <w:rFonts w:asciiTheme="minorHAnsi" w:hAnsiTheme="minorHAnsi"/>
          <w:bCs/>
          <w:lang w:val="en-GB"/>
        </w:rPr>
        <w:t xml:space="preserve"> noted that patients with recurrence of TMA </w:t>
      </w:r>
      <w:r w:rsidR="001E27D1">
        <w:rPr>
          <w:rFonts w:asciiTheme="minorHAnsi" w:hAnsiTheme="minorHAnsi"/>
          <w:bCs/>
          <w:lang w:val="en-GB"/>
        </w:rPr>
        <w:t xml:space="preserve">due to </w:t>
      </w:r>
      <w:proofErr w:type="spellStart"/>
      <w:r w:rsidR="001E27D1">
        <w:rPr>
          <w:rFonts w:asciiTheme="minorHAnsi" w:hAnsiTheme="minorHAnsi"/>
          <w:bCs/>
          <w:lang w:val="en-GB"/>
        </w:rPr>
        <w:t>aHUS</w:t>
      </w:r>
      <w:proofErr w:type="spellEnd"/>
      <w:r w:rsidR="001E27D1">
        <w:rPr>
          <w:rFonts w:asciiTheme="minorHAnsi" w:hAnsiTheme="minorHAnsi"/>
          <w:bCs/>
          <w:lang w:val="en-GB"/>
        </w:rPr>
        <w:t xml:space="preserve"> </w:t>
      </w:r>
      <w:r w:rsidR="00D63C81" w:rsidRPr="004B656B">
        <w:rPr>
          <w:rFonts w:asciiTheme="minorHAnsi" w:hAnsiTheme="minorHAnsi"/>
          <w:bCs/>
          <w:lang w:val="en-GB"/>
        </w:rPr>
        <w:t xml:space="preserve">after this time would be eligible for </w:t>
      </w:r>
      <w:proofErr w:type="spellStart"/>
      <w:r w:rsidR="00D63C81" w:rsidRPr="004B656B">
        <w:rPr>
          <w:rFonts w:asciiTheme="minorHAnsi" w:hAnsiTheme="minorHAnsi"/>
          <w:bCs/>
          <w:lang w:val="en-GB"/>
        </w:rPr>
        <w:t>eculizumab</w:t>
      </w:r>
      <w:proofErr w:type="spellEnd"/>
      <w:r w:rsidR="00D63C81" w:rsidRPr="004B656B">
        <w:rPr>
          <w:rFonts w:asciiTheme="minorHAnsi" w:hAnsiTheme="minorHAnsi"/>
          <w:bCs/>
          <w:lang w:val="en-GB"/>
        </w:rPr>
        <w:t xml:space="preserve"> under the current listing</w:t>
      </w:r>
      <w:r w:rsidR="009D030F" w:rsidRPr="004B656B">
        <w:rPr>
          <w:rFonts w:asciiTheme="minorHAnsi" w:hAnsiTheme="minorHAnsi"/>
          <w:bCs/>
          <w:lang w:val="en-GB"/>
        </w:rPr>
        <w:t xml:space="preserve">.  </w:t>
      </w:r>
    </w:p>
    <w:p w:rsidR="00222D47" w:rsidRPr="004B656B" w:rsidRDefault="00222D47" w:rsidP="004B656B">
      <w:pPr>
        <w:widowControl w:val="0"/>
        <w:numPr>
          <w:ilvl w:val="1"/>
          <w:numId w:val="5"/>
        </w:numPr>
        <w:spacing w:after="120"/>
        <w:ind w:left="709"/>
        <w:jc w:val="both"/>
        <w:rPr>
          <w:rFonts w:asciiTheme="minorHAnsi" w:hAnsiTheme="minorHAnsi" w:cs="Arial"/>
          <w:bCs/>
          <w:snapToGrid w:val="0"/>
          <w:lang w:val="en-GB"/>
        </w:rPr>
      </w:pPr>
      <w:r w:rsidRPr="004B656B">
        <w:rPr>
          <w:rFonts w:asciiTheme="minorHAnsi" w:hAnsiTheme="minorHAnsi" w:cs="Arial"/>
          <w:bCs/>
          <w:snapToGrid w:val="0"/>
          <w:lang w:val="en-GB"/>
        </w:rPr>
        <w:t xml:space="preserve">The PBAC considered that while the data presented </w:t>
      </w:r>
      <w:r w:rsidR="00004E50" w:rsidRPr="004B656B">
        <w:rPr>
          <w:rFonts w:asciiTheme="minorHAnsi" w:hAnsiTheme="minorHAnsi" w:cs="Arial"/>
          <w:bCs/>
          <w:snapToGrid w:val="0"/>
          <w:lang w:val="en-GB"/>
        </w:rPr>
        <w:t xml:space="preserve">to support listing </w:t>
      </w:r>
      <w:r w:rsidRPr="004B656B">
        <w:rPr>
          <w:rFonts w:asciiTheme="minorHAnsi" w:hAnsiTheme="minorHAnsi" w:cs="Arial"/>
          <w:bCs/>
          <w:snapToGrid w:val="0"/>
          <w:lang w:val="en-GB"/>
        </w:rPr>
        <w:t>were not particularly robust, consisting of registry data, case series and international guidelines</w:t>
      </w:r>
      <w:r w:rsidR="00004E50" w:rsidRPr="004B656B">
        <w:rPr>
          <w:rFonts w:asciiTheme="minorHAnsi" w:hAnsiTheme="minorHAnsi" w:cs="Arial"/>
          <w:bCs/>
          <w:snapToGrid w:val="0"/>
          <w:lang w:val="en-GB"/>
        </w:rPr>
        <w:t>,</w:t>
      </w:r>
      <w:r w:rsidRPr="004B656B">
        <w:rPr>
          <w:rFonts w:asciiTheme="minorHAnsi" w:hAnsiTheme="minorHAnsi" w:cs="Arial"/>
          <w:bCs/>
          <w:snapToGrid w:val="0"/>
          <w:lang w:val="en-GB"/>
        </w:rPr>
        <w:t xml:space="preserve"> </w:t>
      </w:r>
      <w:r w:rsidR="004B656B">
        <w:rPr>
          <w:rFonts w:asciiTheme="minorHAnsi" w:hAnsiTheme="minorHAnsi" w:cs="Arial"/>
          <w:bCs/>
          <w:snapToGrid w:val="0"/>
          <w:lang w:val="en-GB"/>
        </w:rPr>
        <w:t>it was</w:t>
      </w:r>
      <w:r w:rsidRPr="004B656B">
        <w:rPr>
          <w:rFonts w:asciiTheme="minorHAnsi" w:hAnsiTheme="minorHAnsi" w:cs="Arial"/>
          <w:bCs/>
          <w:snapToGrid w:val="0"/>
          <w:lang w:val="en-GB"/>
        </w:rPr>
        <w:t xml:space="preserve"> </w:t>
      </w:r>
      <w:r w:rsidR="004B656B">
        <w:rPr>
          <w:rFonts w:asciiTheme="minorHAnsi" w:hAnsiTheme="minorHAnsi" w:cs="Arial"/>
          <w:bCs/>
          <w:snapToGrid w:val="0"/>
          <w:lang w:val="en-GB"/>
        </w:rPr>
        <w:t>satisfied</w:t>
      </w:r>
      <w:r w:rsidRPr="004B656B">
        <w:rPr>
          <w:rFonts w:asciiTheme="minorHAnsi" w:hAnsiTheme="minorHAnsi" w:cs="Arial"/>
          <w:bCs/>
          <w:snapToGrid w:val="0"/>
          <w:lang w:val="en-GB"/>
        </w:rPr>
        <w:t xml:space="preserve"> that prophylactic treatment with </w:t>
      </w:r>
      <w:proofErr w:type="spellStart"/>
      <w:r w:rsidRPr="004B656B">
        <w:rPr>
          <w:rFonts w:asciiTheme="minorHAnsi" w:hAnsiTheme="minorHAnsi" w:cs="Arial"/>
          <w:bCs/>
          <w:snapToGrid w:val="0"/>
          <w:lang w:val="en-GB"/>
        </w:rPr>
        <w:t>eculizumab</w:t>
      </w:r>
      <w:proofErr w:type="spellEnd"/>
      <w:r w:rsidRPr="004B656B">
        <w:rPr>
          <w:rFonts w:asciiTheme="minorHAnsi" w:hAnsiTheme="minorHAnsi" w:cs="Arial"/>
          <w:bCs/>
          <w:snapToGrid w:val="0"/>
          <w:lang w:val="en-GB"/>
        </w:rPr>
        <w:t xml:space="preserve"> reduced the risk of recurrence of </w:t>
      </w:r>
      <w:proofErr w:type="spellStart"/>
      <w:r w:rsidR="00A6244C">
        <w:rPr>
          <w:rFonts w:asciiTheme="minorHAnsi" w:hAnsiTheme="minorHAnsi" w:cs="Arial"/>
          <w:bCs/>
          <w:snapToGrid w:val="0"/>
          <w:lang w:val="en-GB"/>
        </w:rPr>
        <w:t>aHUS</w:t>
      </w:r>
      <w:proofErr w:type="spellEnd"/>
      <w:r w:rsidRPr="004B656B">
        <w:rPr>
          <w:rFonts w:asciiTheme="minorHAnsi" w:hAnsiTheme="minorHAnsi" w:cs="Arial"/>
          <w:bCs/>
          <w:snapToGrid w:val="0"/>
          <w:lang w:val="en-GB"/>
        </w:rPr>
        <w:t xml:space="preserve">, </w:t>
      </w:r>
      <w:r w:rsidR="001E27D1">
        <w:rPr>
          <w:rFonts w:asciiTheme="minorHAnsi" w:hAnsiTheme="minorHAnsi" w:cs="Arial"/>
          <w:bCs/>
          <w:snapToGrid w:val="0"/>
          <w:lang w:val="en-GB"/>
        </w:rPr>
        <w:t>whi</w:t>
      </w:r>
      <w:r w:rsidR="00837E2F">
        <w:rPr>
          <w:rFonts w:asciiTheme="minorHAnsi" w:hAnsiTheme="minorHAnsi" w:cs="Arial"/>
          <w:bCs/>
          <w:snapToGrid w:val="0"/>
          <w:lang w:val="en-GB"/>
        </w:rPr>
        <w:t>le</w:t>
      </w:r>
      <w:r w:rsidR="001E27D1">
        <w:rPr>
          <w:rFonts w:asciiTheme="minorHAnsi" w:hAnsiTheme="minorHAnsi" w:cs="Arial"/>
          <w:bCs/>
          <w:snapToGrid w:val="0"/>
          <w:lang w:val="en-GB"/>
        </w:rPr>
        <w:t xml:space="preserve"> noting that</w:t>
      </w:r>
      <w:r w:rsidR="001E27D1" w:rsidRPr="004B656B">
        <w:rPr>
          <w:rFonts w:asciiTheme="minorHAnsi" w:hAnsiTheme="minorHAnsi" w:cs="Arial"/>
          <w:bCs/>
          <w:snapToGrid w:val="0"/>
          <w:lang w:val="en-GB"/>
        </w:rPr>
        <w:t xml:space="preserve"> </w:t>
      </w:r>
      <w:r w:rsidRPr="004B656B">
        <w:rPr>
          <w:rFonts w:asciiTheme="minorHAnsi" w:hAnsiTheme="minorHAnsi" w:cs="Arial"/>
          <w:bCs/>
          <w:snapToGrid w:val="0"/>
          <w:lang w:val="en-GB"/>
        </w:rPr>
        <w:t xml:space="preserve">it was difficult to </w:t>
      </w:r>
      <w:r w:rsidR="00EA406E" w:rsidRPr="004B656B">
        <w:rPr>
          <w:rFonts w:asciiTheme="minorHAnsi" w:hAnsiTheme="minorHAnsi" w:cs="Arial"/>
          <w:bCs/>
          <w:snapToGrid w:val="0"/>
          <w:lang w:val="en-GB"/>
        </w:rPr>
        <w:t>quantify the level of risk</w:t>
      </w:r>
      <w:r w:rsidR="00004E50" w:rsidRPr="004B656B">
        <w:rPr>
          <w:rFonts w:asciiTheme="minorHAnsi" w:hAnsiTheme="minorHAnsi" w:cs="Arial"/>
          <w:bCs/>
          <w:snapToGrid w:val="0"/>
          <w:lang w:val="en-GB"/>
        </w:rPr>
        <w:t xml:space="preserve"> reduction</w:t>
      </w:r>
      <w:r w:rsidRPr="004B656B">
        <w:rPr>
          <w:rFonts w:asciiTheme="minorHAnsi" w:hAnsiTheme="minorHAnsi" w:cs="Arial"/>
          <w:bCs/>
          <w:snapToGrid w:val="0"/>
          <w:lang w:val="en-GB"/>
        </w:rPr>
        <w:t>.  The PBAC acknowledged that the clinical community</w:t>
      </w:r>
      <w:r w:rsidR="00EA406E" w:rsidRPr="004B656B">
        <w:rPr>
          <w:rFonts w:asciiTheme="minorHAnsi" w:hAnsiTheme="minorHAnsi" w:cs="Arial"/>
          <w:bCs/>
          <w:snapToGrid w:val="0"/>
          <w:lang w:val="en-GB"/>
        </w:rPr>
        <w:t xml:space="preserve"> as well as the general public</w:t>
      </w:r>
      <w:r w:rsidRPr="004B656B">
        <w:rPr>
          <w:rFonts w:asciiTheme="minorHAnsi" w:hAnsiTheme="minorHAnsi" w:cs="Arial"/>
          <w:bCs/>
          <w:snapToGrid w:val="0"/>
          <w:lang w:val="en-GB"/>
        </w:rPr>
        <w:t xml:space="preserve"> was supportive of a listing for this patient group.</w:t>
      </w:r>
    </w:p>
    <w:p w:rsidR="00CD0B1F" w:rsidRDefault="00D63C81" w:rsidP="00906C5A">
      <w:pPr>
        <w:widowControl w:val="0"/>
        <w:numPr>
          <w:ilvl w:val="1"/>
          <w:numId w:val="5"/>
        </w:numPr>
        <w:spacing w:after="120"/>
        <w:ind w:left="709"/>
        <w:jc w:val="both"/>
        <w:rPr>
          <w:rFonts w:asciiTheme="minorHAnsi" w:hAnsiTheme="minorHAnsi"/>
          <w:bCs/>
          <w:lang w:val="en-GB"/>
        </w:rPr>
      </w:pPr>
      <w:r w:rsidRPr="00CD0B1F">
        <w:rPr>
          <w:rFonts w:asciiTheme="minorHAnsi" w:hAnsiTheme="minorHAnsi" w:cs="Arial"/>
          <w:bCs/>
          <w:snapToGrid w:val="0"/>
          <w:lang w:val="en-GB"/>
        </w:rPr>
        <w:t>The PBAC did not consider the financial estimates or the Risk Sharing Arrangement proposed by the sponsor to be informative as they included continuing treatment beyond the recommended 10 weeks.  The PBAC</w:t>
      </w:r>
      <w:r w:rsidR="00CD0B1F">
        <w:rPr>
          <w:rFonts w:asciiTheme="minorHAnsi" w:hAnsiTheme="minorHAnsi"/>
          <w:bCs/>
          <w:lang w:val="en-GB"/>
        </w:rPr>
        <w:t xml:space="preserve"> noted the financial estimates would need</w:t>
      </w:r>
      <w:r w:rsidRPr="00CD0B1F">
        <w:rPr>
          <w:rFonts w:asciiTheme="minorHAnsi" w:hAnsiTheme="minorHAnsi" w:cs="Arial"/>
          <w:bCs/>
          <w:snapToGrid w:val="0"/>
          <w:lang w:val="en-GB"/>
        </w:rPr>
        <w:t xml:space="preserve"> </w:t>
      </w:r>
      <w:r w:rsidR="00CD0B1F" w:rsidRPr="00CD0B1F">
        <w:rPr>
          <w:rFonts w:asciiTheme="minorHAnsi" w:hAnsiTheme="minorHAnsi"/>
          <w:bCs/>
          <w:lang w:val="en-GB"/>
        </w:rPr>
        <w:t>to be recalculated on the basis of the PBAC’s recommendation</w:t>
      </w:r>
      <w:r w:rsidR="00CD0B1F">
        <w:rPr>
          <w:rFonts w:asciiTheme="minorHAnsi" w:hAnsiTheme="minorHAnsi"/>
          <w:bCs/>
          <w:lang w:val="en-GB"/>
        </w:rPr>
        <w:t xml:space="preserve"> and </w:t>
      </w:r>
      <w:r w:rsidR="00CD0B1F" w:rsidRPr="00CD0B1F">
        <w:rPr>
          <w:rFonts w:asciiTheme="minorHAnsi" w:hAnsiTheme="minorHAnsi"/>
          <w:bCs/>
          <w:lang w:val="en-GB"/>
        </w:rPr>
        <w:t>considered that a risk share with a hard cap based on the revised estimates would be appropriate.</w:t>
      </w:r>
    </w:p>
    <w:p w:rsidR="00D63C81" w:rsidRPr="00222D47" w:rsidRDefault="00A618B6" w:rsidP="00EE3E37">
      <w:pPr>
        <w:widowControl w:val="0"/>
        <w:numPr>
          <w:ilvl w:val="1"/>
          <w:numId w:val="5"/>
        </w:numPr>
        <w:spacing w:after="120"/>
        <w:ind w:left="709"/>
        <w:jc w:val="both"/>
        <w:rPr>
          <w:rFonts w:asciiTheme="minorHAnsi" w:hAnsiTheme="minorHAnsi" w:cs="Arial"/>
          <w:bCs/>
          <w:snapToGrid w:val="0"/>
          <w:lang w:val="en-GB"/>
        </w:rPr>
      </w:pPr>
      <w:r>
        <w:rPr>
          <w:rFonts w:asciiTheme="minorHAnsi" w:hAnsiTheme="minorHAnsi" w:cs="Arial"/>
          <w:bCs/>
          <w:snapToGrid w:val="0"/>
          <w:lang w:val="en-GB"/>
        </w:rPr>
        <w:t xml:space="preserve">The PBAC again </w:t>
      </w:r>
      <w:r w:rsidR="004B656B">
        <w:rPr>
          <w:rFonts w:asciiTheme="minorHAnsi" w:hAnsiTheme="minorHAnsi" w:cs="Arial"/>
          <w:bCs/>
          <w:snapToGrid w:val="0"/>
          <w:lang w:val="en-GB"/>
        </w:rPr>
        <w:t xml:space="preserve">recommended </w:t>
      </w:r>
      <w:r>
        <w:rPr>
          <w:rFonts w:asciiTheme="minorHAnsi" w:hAnsiTheme="minorHAnsi" w:cs="Arial"/>
          <w:bCs/>
          <w:snapToGrid w:val="0"/>
          <w:lang w:val="en-GB"/>
        </w:rPr>
        <w:t xml:space="preserve">that the Department should negotiate with the Sponsor to establish a Risk Sharing Arrangement for the current listing for active TMA in patients with </w:t>
      </w:r>
      <w:proofErr w:type="spellStart"/>
      <w:r>
        <w:rPr>
          <w:rFonts w:asciiTheme="minorHAnsi" w:hAnsiTheme="minorHAnsi" w:cs="Arial"/>
          <w:bCs/>
          <w:snapToGrid w:val="0"/>
          <w:lang w:val="en-GB"/>
        </w:rPr>
        <w:t>aHUS</w:t>
      </w:r>
      <w:proofErr w:type="spellEnd"/>
      <w:r>
        <w:rPr>
          <w:rFonts w:asciiTheme="minorHAnsi" w:hAnsiTheme="minorHAnsi" w:cs="Arial"/>
          <w:bCs/>
          <w:snapToGrid w:val="0"/>
          <w:lang w:val="en-GB"/>
        </w:rPr>
        <w:t>.</w:t>
      </w:r>
    </w:p>
    <w:p w:rsidR="0056368B" w:rsidRDefault="0056368B" w:rsidP="00EE3E37">
      <w:pPr>
        <w:pStyle w:val="ListParagraph"/>
        <w:numPr>
          <w:ilvl w:val="1"/>
          <w:numId w:val="5"/>
        </w:numPr>
        <w:ind w:left="709"/>
        <w:rPr>
          <w:rFonts w:asciiTheme="minorHAnsi" w:hAnsiTheme="minorHAnsi"/>
          <w:bCs/>
          <w:sz w:val="24"/>
          <w:szCs w:val="24"/>
          <w:lang w:val="en-GB" w:eastAsia="en-AU"/>
        </w:rPr>
      </w:pPr>
      <w:r w:rsidRPr="0056368B">
        <w:rPr>
          <w:rFonts w:asciiTheme="minorHAnsi" w:hAnsiTheme="minorHAnsi"/>
          <w:bCs/>
          <w:sz w:val="24"/>
          <w:szCs w:val="24"/>
          <w:lang w:val="en-GB" w:eastAsia="en-AU"/>
        </w:rPr>
        <w:t xml:space="preserve">The PBAC noted that this submission is not eligible for an Independent Review as it received a positive recommendation. </w:t>
      </w:r>
    </w:p>
    <w:p w:rsidR="00F72095" w:rsidRDefault="00F72095" w:rsidP="00EE3E37">
      <w:pPr>
        <w:pStyle w:val="ListParagraph"/>
        <w:ind w:left="709"/>
        <w:rPr>
          <w:rFonts w:asciiTheme="minorHAnsi" w:hAnsiTheme="minorHAnsi"/>
          <w:bCs/>
          <w:sz w:val="24"/>
          <w:szCs w:val="24"/>
          <w:lang w:val="en-GB" w:eastAsia="en-AU"/>
        </w:rPr>
      </w:pPr>
    </w:p>
    <w:p w:rsidR="00F72095" w:rsidRPr="0056368B" w:rsidRDefault="00F72095" w:rsidP="00EE3E37">
      <w:pPr>
        <w:pStyle w:val="ListParagraph"/>
        <w:ind w:left="709"/>
        <w:rPr>
          <w:rFonts w:asciiTheme="minorHAnsi" w:hAnsiTheme="minorHAnsi"/>
          <w:bCs/>
          <w:sz w:val="24"/>
          <w:szCs w:val="24"/>
          <w:lang w:val="en-GB" w:eastAsia="en-AU"/>
        </w:rPr>
      </w:pPr>
    </w:p>
    <w:p w:rsidR="00617D5D" w:rsidRPr="0064358C" w:rsidRDefault="0064358C" w:rsidP="0064358C">
      <w:pPr>
        <w:spacing w:before="240"/>
        <w:jc w:val="both"/>
        <w:outlineLvl w:val="1"/>
        <w:rPr>
          <w:rFonts w:asciiTheme="minorHAnsi" w:hAnsiTheme="minorHAnsi" w:cs="Arial"/>
          <w:b/>
          <w:bCs/>
          <w:snapToGrid w:val="0"/>
          <w:sz w:val="28"/>
          <w:szCs w:val="28"/>
          <w:lang w:val="en-GB"/>
        </w:rPr>
      </w:pPr>
      <w:r>
        <w:rPr>
          <w:rFonts w:asciiTheme="minorHAnsi" w:hAnsiTheme="minorHAnsi" w:cs="Arial"/>
          <w:b/>
          <w:bCs/>
          <w:snapToGrid w:val="0"/>
          <w:sz w:val="28"/>
          <w:szCs w:val="28"/>
          <w:lang w:val="en-GB"/>
        </w:rPr>
        <w:t>Outcome</w:t>
      </w:r>
      <w:proofErr w:type="gramStart"/>
      <w:r>
        <w:rPr>
          <w:rFonts w:asciiTheme="minorHAnsi" w:hAnsiTheme="minorHAnsi" w:cs="Arial"/>
          <w:b/>
          <w:bCs/>
          <w:snapToGrid w:val="0"/>
          <w:sz w:val="28"/>
          <w:szCs w:val="28"/>
          <w:lang w:val="en-GB"/>
        </w:rPr>
        <w:t>:</w:t>
      </w:r>
      <w:proofErr w:type="gramEnd"/>
      <w:r>
        <w:rPr>
          <w:rFonts w:asciiTheme="minorHAnsi" w:hAnsiTheme="minorHAnsi" w:cs="Arial"/>
          <w:b/>
          <w:bCs/>
          <w:snapToGrid w:val="0"/>
          <w:sz w:val="28"/>
          <w:szCs w:val="28"/>
          <w:lang w:val="en-GB"/>
        </w:rPr>
        <w:br/>
      </w:r>
      <w:r w:rsidR="00617D5D" w:rsidRPr="00F72095">
        <w:rPr>
          <w:rFonts w:asciiTheme="minorHAnsi" w:hAnsiTheme="minorHAnsi" w:cs="Arial"/>
          <w:bCs/>
          <w:snapToGrid w:val="0"/>
          <w:lang w:val="en-GB"/>
        </w:rPr>
        <w:t>Recommended</w:t>
      </w:r>
    </w:p>
    <w:p w:rsidR="00C80CE3" w:rsidRPr="005A48A5" w:rsidRDefault="00C80CE3" w:rsidP="00617D5D">
      <w:pPr>
        <w:widowControl w:val="0"/>
        <w:jc w:val="both"/>
        <w:rPr>
          <w:rFonts w:asciiTheme="minorHAnsi" w:hAnsiTheme="minorHAnsi" w:cs="Arial"/>
          <w:bCs/>
          <w:snapToGrid w:val="0"/>
          <w:highlight w:val="yellow"/>
        </w:rPr>
      </w:pPr>
    </w:p>
    <w:p w:rsidR="00617D5D" w:rsidRPr="000B4114" w:rsidRDefault="00617D5D" w:rsidP="0064358C">
      <w:pPr>
        <w:widowControl w:val="0"/>
        <w:numPr>
          <w:ilvl w:val="0"/>
          <w:numId w:val="5"/>
        </w:numPr>
        <w:spacing w:before="240" w:after="120"/>
        <w:jc w:val="both"/>
        <w:outlineLvl w:val="0"/>
        <w:rPr>
          <w:rFonts w:asciiTheme="minorHAnsi" w:hAnsiTheme="minorHAnsi" w:cs="Arial"/>
          <w:b/>
          <w:bCs/>
          <w:i/>
          <w:snapToGrid w:val="0"/>
          <w:sz w:val="32"/>
          <w:szCs w:val="32"/>
          <w:lang w:val="en-GB"/>
        </w:rPr>
      </w:pPr>
      <w:r w:rsidRPr="000B4114">
        <w:rPr>
          <w:rFonts w:asciiTheme="minorHAnsi" w:hAnsiTheme="minorHAnsi" w:cs="Arial"/>
          <w:b/>
          <w:bCs/>
          <w:snapToGrid w:val="0"/>
          <w:sz w:val="32"/>
          <w:szCs w:val="32"/>
          <w:lang w:val="en-GB"/>
        </w:rPr>
        <w:t>Recommended listing</w:t>
      </w:r>
    </w:p>
    <w:p w:rsidR="00617D5D" w:rsidRPr="000B4114" w:rsidRDefault="00617D5D" w:rsidP="00EE3E37">
      <w:pPr>
        <w:widowControl w:val="0"/>
        <w:numPr>
          <w:ilvl w:val="1"/>
          <w:numId w:val="5"/>
        </w:numPr>
        <w:spacing w:after="120"/>
        <w:ind w:left="709"/>
        <w:jc w:val="both"/>
        <w:rPr>
          <w:rFonts w:asciiTheme="minorHAnsi" w:hAnsiTheme="minorHAnsi" w:cs="Arial"/>
          <w:b/>
          <w:bCs/>
          <w:snapToGrid w:val="0"/>
        </w:rPr>
      </w:pPr>
      <w:r w:rsidRPr="000B4114">
        <w:rPr>
          <w:rFonts w:asciiTheme="minorHAnsi" w:hAnsiTheme="minorHAnsi" w:cs="Arial"/>
          <w:bCs/>
          <w:snapToGrid w:val="0"/>
        </w:rPr>
        <w:t>Add new item:</w:t>
      </w:r>
    </w:p>
    <w:p w:rsidR="00617D5D" w:rsidRDefault="00617D5D" w:rsidP="00617D5D">
      <w:pPr>
        <w:pStyle w:val="NoSpacing"/>
        <w:rPr>
          <w:lang w:val="en-GB"/>
        </w:rPr>
      </w:pPr>
    </w:p>
    <w:tbl>
      <w:tblPr>
        <w:tblW w:w="5000" w:type="pct"/>
        <w:tblLook w:val="0000" w:firstRow="0" w:lastRow="0" w:firstColumn="0" w:lastColumn="0" w:noHBand="0" w:noVBand="0"/>
      </w:tblPr>
      <w:tblGrid>
        <w:gridCol w:w="1632"/>
        <w:gridCol w:w="1420"/>
        <w:gridCol w:w="593"/>
        <w:gridCol w:w="571"/>
        <w:gridCol w:w="967"/>
        <w:gridCol w:w="3998"/>
        <w:gridCol w:w="61"/>
      </w:tblGrid>
      <w:tr w:rsidR="00E27B05" w:rsidRPr="00FF6EDF" w:rsidTr="00E27B05">
        <w:trPr>
          <w:gridAfter w:val="1"/>
          <w:wAfter w:w="34" w:type="pct"/>
          <w:cantSplit/>
          <w:trHeight w:val="463"/>
        </w:trPr>
        <w:tc>
          <w:tcPr>
            <w:tcW w:w="1651" w:type="pct"/>
            <w:gridSpan w:val="2"/>
            <w:tcBorders>
              <w:bottom w:val="single" w:sz="4" w:space="0" w:color="auto"/>
            </w:tcBorders>
          </w:tcPr>
          <w:p w:rsidR="00E27B05" w:rsidRPr="00FF6EDF" w:rsidRDefault="00E27B05" w:rsidP="00165268">
            <w:pPr>
              <w:keepNext/>
              <w:ind w:left="-108"/>
              <w:jc w:val="both"/>
              <w:rPr>
                <w:rFonts w:ascii="Arial Narrow" w:hAnsi="Arial Narrow"/>
                <w:b/>
                <w:sz w:val="20"/>
              </w:rPr>
            </w:pPr>
            <w:r w:rsidRPr="00FF6EDF">
              <w:rPr>
                <w:rFonts w:ascii="Arial Narrow" w:hAnsi="Arial Narrow"/>
                <w:b/>
                <w:sz w:val="20"/>
              </w:rPr>
              <w:t>Name, Restriction,</w:t>
            </w:r>
          </w:p>
          <w:p w:rsidR="00E27B05" w:rsidRPr="00FF6EDF" w:rsidRDefault="00E27B05" w:rsidP="00165268">
            <w:pPr>
              <w:keepNext/>
              <w:ind w:left="-108"/>
              <w:jc w:val="both"/>
              <w:rPr>
                <w:rFonts w:ascii="Arial Narrow" w:hAnsi="Arial Narrow"/>
                <w:b/>
                <w:sz w:val="20"/>
              </w:rPr>
            </w:pPr>
            <w:r w:rsidRPr="00FF6EDF">
              <w:rPr>
                <w:rFonts w:ascii="Arial Narrow" w:hAnsi="Arial Narrow"/>
                <w:b/>
                <w:sz w:val="20"/>
              </w:rPr>
              <w:t>Manner of administration and form</w:t>
            </w:r>
          </w:p>
        </w:tc>
        <w:tc>
          <w:tcPr>
            <w:tcW w:w="321" w:type="pct"/>
            <w:tcBorders>
              <w:bottom w:val="single" w:sz="4" w:space="0" w:color="auto"/>
            </w:tcBorders>
          </w:tcPr>
          <w:p w:rsidR="00E27B05" w:rsidRPr="00FF6EDF" w:rsidRDefault="00E27B05" w:rsidP="00165268">
            <w:pPr>
              <w:keepNext/>
              <w:ind w:left="-108"/>
              <w:jc w:val="both"/>
              <w:rPr>
                <w:rFonts w:ascii="Arial Narrow" w:hAnsi="Arial Narrow"/>
                <w:b/>
                <w:sz w:val="20"/>
              </w:rPr>
            </w:pPr>
            <w:r w:rsidRPr="00FF6EDF">
              <w:rPr>
                <w:rFonts w:ascii="Arial Narrow" w:hAnsi="Arial Narrow"/>
                <w:b/>
                <w:sz w:val="20"/>
              </w:rPr>
              <w:t>Max.</w:t>
            </w:r>
          </w:p>
          <w:p w:rsidR="00E27B05" w:rsidRPr="00FF6EDF" w:rsidRDefault="00E27B05" w:rsidP="00165268">
            <w:pPr>
              <w:keepNext/>
              <w:ind w:left="-108"/>
              <w:jc w:val="both"/>
              <w:rPr>
                <w:rFonts w:ascii="Arial Narrow" w:hAnsi="Arial Narrow"/>
                <w:b/>
                <w:sz w:val="20"/>
              </w:rPr>
            </w:pPr>
            <w:proofErr w:type="spellStart"/>
            <w:r w:rsidRPr="00FF6EDF">
              <w:rPr>
                <w:rFonts w:ascii="Arial Narrow" w:hAnsi="Arial Narrow"/>
                <w:b/>
                <w:sz w:val="20"/>
              </w:rPr>
              <w:t>Qty</w:t>
            </w:r>
            <w:proofErr w:type="spellEnd"/>
          </w:p>
        </w:tc>
        <w:tc>
          <w:tcPr>
            <w:tcW w:w="309" w:type="pct"/>
            <w:tcBorders>
              <w:bottom w:val="single" w:sz="4" w:space="0" w:color="auto"/>
            </w:tcBorders>
          </w:tcPr>
          <w:p w:rsidR="00E27B05" w:rsidRPr="00FF6EDF" w:rsidRDefault="00E27B05" w:rsidP="00165268">
            <w:pPr>
              <w:keepNext/>
              <w:ind w:left="-108"/>
              <w:jc w:val="both"/>
              <w:rPr>
                <w:rFonts w:ascii="Arial Narrow" w:hAnsi="Arial Narrow"/>
                <w:b/>
                <w:sz w:val="20"/>
              </w:rPr>
            </w:pPr>
            <w:r w:rsidRPr="00FF6EDF">
              <w:rPr>
                <w:rFonts w:ascii="Arial Narrow" w:hAnsi="Arial Narrow"/>
                <w:b/>
                <w:sz w:val="20"/>
              </w:rPr>
              <w:t>№.of</w:t>
            </w:r>
          </w:p>
          <w:p w:rsidR="00E27B05" w:rsidRPr="00FF6EDF" w:rsidRDefault="00E27B05" w:rsidP="00165268">
            <w:pPr>
              <w:keepNext/>
              <w:ind w:left="-108"/>
              <w:jc w:val="both"/>
              <w:rPr>
                <w:rFonts w:ascii="Arial Narrow" w:hAnsi="Arial Narrow"/>
                <w:b/>
                <w:sz w:val="20"/>
              </w:rPr>
            </w:pPr>
            <w:proofErr w:type="spellStart"/>
            <w:r w:rsidRPr="00FF6EDF">
              <w:rPr>
                <w:rFonts w:ascii="Arial Narrow" w:hAnsi="Arial Narrow"/>
                <w:b/>
                <w:sz w:val="20"/>
              </w:rPr>
              <w:t>Rpts</w:t>
            </w:r>
            <w:proofErr w:type="spellEnd"/>
          </w:p>
        </w:tc>
        <w:tc>
          <w:tcPr>
            <w:tcW w:w="2686" w:type="pct"/>
            <w:gridSpan w:val="2"/>
            <w:tcBorders>
              <w:bottom w:val="single" w:sz="4" w:space="0" w:color="auto"/>
            </w:tcBorders>
          </w:tcPr>
          <w:p w:rsidR="00E27B05" w:rsidRPr="00FF6EDF" w:rsidRDefault="00E27B05" w:rsidP="00165268">
            <w:pPr>
              <w:keepNext/>
              <w:jc w:val="both"/>
              <w:rPr>
                <w:rFonts w:ascii="Arial Narrow" w:hAnsi="Arial Narrow"/>
                <w:b/>
                <w:sz w:val="20"/>
              </w:rPr>
            </w:pPr>
            <w:r w:rsidRPr="00FF6EDF">
              <w:rPr>
                <w:rFonts w:ascii="Arial Narrow" w:hAnsi="Arial Narrow"/>
                <w:b/>
                <w:sz w:val="20"/>
              </w:rPr>
              <w:t>Proprietary Name and Manufacturer</w:t>
            </w:r>
          </w:p>
        </w:tc>
      </w:tr>
      <w:tr w:rsidR="00E27B05" w:rsidRPr="00FF6EDF" w:rsidTr="00E27B05">
        <w:trPr>
          <w:gridAfter w:val="1"/>
          <w:wAfter w:w="34" w:type="pct"/>
          <w:cantSplit/>
          <w:trHeight w:val="567"/>
        </w:trPr>
        <w:tc>
          <w:tcPr>
            <w:tcW w:w="1651" w:type="pct"/>
            <w:gridSpan w:val="2"/>
          </w:tcPr>
          <w:p w:rsidR="00E27B05" w:rsidRPr="00FF6EDF" w:rsidRDefault="00E27B05" w:rsidP="00165268">
            <w:pPr>
              <w:keepNext/>
              <w:ind w:left="-108"/>
              <w:jc w:val="both"/>
              <w:rPr>
                <w:rFonts w:ascii="Arial Narrow" w:hAnsi="Arial Narrow"/>
                <w:sz w:val="20"/>
              </w:rPr>
            </w:pPr>
            <w:r w:rsidRPr="00FF6EDF">
              <w:rPr>
                <w:rFonts w:ascii="Arial Narrow" w:hAnsi="Arial Narrow"/>
                <w:smallCaps/>
                <w:sz w:val="20"/>
              </w:rPr>
              <w:t>ECULIZUMAB</w:t>
            </w:r>
          </w:p>
          <w:p w:rsidR="00E27B05" w:rsidRPr="00FF6EDF" w:rsidRDefault="00E27B05" w:rsidP="00165268">
            <w:pPr>
              <w:keepNext/>
              <w:ind w:left="-108"/>
              <w:jc w:val="both"/>
              <w:rPr>
                <w:rFonts w:ascii="Arial Narrow" w:hAnsi="Arial Narrow"/>
                <w:sz w:val="20"/>
              </w:rPr>
            </w:pPr>
            <w:r w:rsidRPr="00FF6EDF">
              <w:rPr>
                <w:rFonts w:ascii="Arial Narrow" w:hAnsi="Arial Narrow"/>
                <w:sz w:val="20"/>
              </w:rPr>
              <w:t>300 mg/30 mL injection, 30 mL vial</w:t>
            </w:r>
          </w:p>
        </w:tc>
        <w:tc>
          <w:tcPr>
            <w:tcW w:w="321" w:type="pct"/>
          </w:tcPr>
          <w:p w:rsidR="00E27B05" w:rsidRPr="00FF6EDF" w:rsidRDefault="00E27B05" w:rsidP="00165268">
            <w:pPr>
              <w:keepNext/>
              <w:ind w:left="-108"/>
              <w:jc w:val="both"/>
              <w:rPr>
                <w:rFonts w:ascii="Arial Narrow" w:hAnsi="Arial Narrow"/>
                <w:sz w:val="20"/>
              </w:rPr>
            </w:pPr>
          </w:p>
          <w:p w:rsidR="00E27B05" w:rsidRPr="00FF6EDF" w:rsidRDefault="00E27B05" w:rsidP="00165268">
            <w:pPr>
              <w:keepNext/>
              <w:ind w:left="-108"/>
              <w:jc w:val="both"/>
              <w:rPr>
                <w:rFonts w:ascii="Arial Narrow" w:hAnsi="Arial Narrow"/>
                <w:sz w:val="20"/>
              </w:rPr>
            </w:pPr>
            <w:r w:rsidRPr="00FF6EDF">
              <w:rPr>
                <w:rFonts w:ascii="Arial Narrow" w:hAnsi="Arial Narrow"/>
                <w:sz w:val="20"/>
              </w:rPr>
              <w:t>1</w:t>
            </w:r>
          </w:p>
        </w:tc>
        <w:tc>
          <w:tcPr>
            <w:tcW w:w="309" w:type="pct"/>
          </w:tcPr>
          <w:p w:rsidR="00E27B05" w:rsidRPr="00FF6EDF" w:rsidRDefault="00E27B05" w:rsidP="00165268">
            <w:pPr>
              <w:keepNext/>
              <w:ind w:left="-108"/>
              <w:jc w:val="both"/>
              <w:rPr>
                <w:rFonts w:ascii="Arial Narrow" w:hAnsi="Arial Narrow"/>
                <w:sz w:val="20"/>
              </w:rPr>
            </w:pPr>
          </w:p>
          <w:p w:rsidR="00E27B05" w:rsidRPr="00FF6EDF" w:rsidRDefault="00E27B05" w:rsidP="00165268">
            <w:pPr>
              <w:keepNext/>
              <w:ind w:left="-108"/>
              <w:jc w:val="both"/>
              <w:rPr>
                <w:rFonts w:ascii="Arial Narrow" w:hAnsi="Arial Narrow"/>
                <w:sz w:val="20"/>
              </w:rPr>
            </w:pPr>
            <w:r w:rsidRPr="00FF6EDF">
              <w:rPr>
                <w:rFonts w:ascii="Arial Narrow" w:hAnsi="Arial Narrow"/>
                <w:sz w:val="20"/>
              </w:rPr>
              <w:t>0</w:t>
            </w:r>
          </w:p>
        </w:tc>
        <w:tc>
          <w:tcPr>
            <w:tcW w:w="523" w:type="pct"/>
          </w:tcPr>
          <w:p w:rsidR="00E27B05" w:rsidRPr="00FF6EDF" w:rsidRDefault="00E27B05" w:rsidP="00165268">
            <w:pPr>
              <w:keepNext/>
              <w:jc w:val="both"/>
              <w:rPr>
                <w:rFonts w:ascii="Arial Narrow" w:hAnsi="Arial Narrow"/>
                <w:sz w:val="20"/>
              </w:rPr>
            </w:pPr>
          </w:p>
          <w:p w:rsidR="00E27B05" w:rsidRPr="00FF6EDF" w:rsidRDefault="00E27B05" w:rsidP="00165268">
            <w:pPr>
              <w:keepNext/>
              <w:jc w:val="both"/>
              <w:rPr>
                <w:rFonts w:ascii="Arial Narrow" w:hAnsi="Arial Narrow"/>
                <w:sz w:val="20"/>
              </w:rPr>
            </w:pPr>
            <w:proofErr w:type="spellStart"/>
            <w:r w:rsidRPr="00FF6EDF">
              <w:rPr>
                <w:rFonts w:ascii="Arial Narrow" w:hAnsi="Arial Narrow"/>
                <w:sz w:val="20"/>
              </w:rPr>
              <w:t>Soliris</w:t>
            </w:r>
            <w:proofErr w:type="spellEnd"/>
            <w:r w:rsidRPr="00FF6EDF">
              <w:rPr>
                <w:rFonts w:ascii="Arial Narrow" w:hAnsi="Arial Narrow"/>
                <w:sz w:val="20"/>
              </w:rPr>
              <w:t>®</w:t>
            </w:r>
          </w:p>
        </w:tc>
        <w:tc>
          <w:tcPr>
            <w:tcW w:w="2162" w:type="pct"/>
          </w:tcPr>
          <w:p w:rsidR="006A4F59" w:rsidRDefault="006A4F59" w:rsidP="00165268">
            <w:pPr>
              <w:keepNext/>
              <w:rPr>
                <w:rFonts w:ascii="Arial Narrow" w:hAnsi="Arial Narrow"/>
                <w:sz w:val="20"/>
              </w:rPr>
            </w:pPr>
          </w:p>
          <w:p w:rsidR="00E27B05" w:rsidRPr="00FF6EDF" w:rsidRDefault="00E27B05" w:rsidP="00165268">
            <w:pPr>
              <w:keepNext/>
              <w:rPr>
                <w:rFonts w:ascii="Arial Narrow" w:hAnsi="Arial Narrow"/>
                <w:sz w:val="20"/>
              </w:rPr>
            </w:pPr>
            <w:r w:rsidRPr="00FF6EDF">
              <w:rPr>
                <w:rFonts w:ascii="Arial Narrow" w:hAnsi="Arial Narrow"/>
                <w:sz w:val="20"/>
              </w:rPr>
              <w:t>Alexion Pharmaceutical Australia Pty Ltd.</w:t>
            </w:r>
          </w:p>
        </w:tc>
      </w:tr>
      <w:tr w:rsidR="004012AD" w:rsidRPr="00FF6EDF" w:rsidTr="00165268">
        <w:trPr>
          <w:cantSplit/>
          <w:trHeight w:val="414"/>
        </w:trPr>
        <w:tc>
          <w:tcPr>
            <w:tcW w:w="5000" w:type="pct"/>
            <w:gridSpan w:val="7"/>
            <w:tcBorders>
              <w:bottom w:val="single" w:sz="4" w:space="0" w:color="auto"/>
            </w:tcBorders>
          </w:tcPr>
          <w:p w:rsidR="004012AD" w:rsidRPr="00FF6EDF" w:rsidRDefault="004012AD" w:rsidP="00165268">
            <w:pPr>
              <w:jc w:val="both"/>
              <w:rPr>
                <w:rFonts w:ascii="Arial Narrow" w:hAnsi="Arial Narrow"/>
                <w:sz w:val="20"/>
              </w:rPr>
            </w:pPr>
          </w:p>
        </w:tc>
      </w:tr>
      <w:tr w:rsidR="004012AD" w:rsidRPr="00FF6EDF" w:rsidTr="00165268">
        <w:trPr>
          <w:cantSplit/>
          <w:trHeight w:val="354"/>
        </w:trPr>
        <w:tc>
          <w:tcPr>
            <w:tcW w:w="883" w:type="pct"/>
            <w:tcBorders>
              <w:top w:val="single" w:sz="4" w:space="0" w:color="auto"/>
              <w:left w:val="single" w:sz="4" w:space="0" w:color="auto"/>
              <w:bottom w:val="single" w:sz="4" w:space="0" w:color="auto"/>
              <w:right w:val="single" w:sz="4" w:space="0" w:color="auto"/>
            </w:tcBorders>
          </w:tcPr>
          <w:p w:rsidR="004012AD" w:rsidRPr="00FF6EDF" w:rsidRDefault="004012AD" w:rsidP="00165268">
            <w:pPr>
              <w:jc w:val="both"/>
              <w:rPr>
                <w:rFonts w:ascii="Arial Narrow" w:hAnsi="Arial Narrow"/>
                <w:b/>
                <w:sz w:val="20"/>
              </w:rPr>
            </w:pPr>
            <w:r w:rsidRPr="00FF6EDF">
              <w:rPr>
                <w:rFonts w:ascii="Arial Narrow" w:hAnsi="Arial Narrow"/>
                <w:b/>
                <w:sz w:val="20"/>
              </w:rPr>
              <w:t>Category/ Program</w:t>
            </w:r>
          </w:p>
        </w:tc>
        <w:tc>
          <w:tcPr>
            <w:tcW w:w="4117" w:type="pct"/>
            <w:gridSpan w:val="6"/>
            <w:tcBorders>
              <w:top w:val="single" w:sz="4" w:space="0" w:color="auto"/>
              <w:left w:val="single" w:sz="4" w:space="0" w:color="auto"/>
              <w:bottom w:val="single" w:sz="4" w:space="0" w:color="auto"/>
              <w:right w:val="single" w:sz="4" w:space="0" w:color="auto"/>
            </w:tcBorders>
          </w:tcPr>
          <w:p w:rsidR="004012AD" w:rsidRPr="00FF6EDF" w:rsidRDefault="004012AD" w:rsidP="00165268">
            <w:pPr>
              <w:rPr>
                <w:rFonts w:ascii="Arial Narrow" w:hAnsi="Arial Narrow"/>
                <w:sz w:val="20"/>
              </w:rPr>
            </w:pPr>
            <w:r w:rsidRPr="00FF6EDF">
              <w:rPr>
                <w:rFonts w:ascii="Arial Narrow" w:hAnsi="Arial Narrow"/>
                <w:sz w:val="20"/>
              </w:rPr>
              <w:t>Section 100 – Highly Specialised Drugs Program</w:t>
            </w:r>
          </w:p>
        </w:tc>
      </w:tr>
      <w:tr w:rsidR="004012AD" w:rsidRPr="00FF6EDF" w:rsidTr="00165268">
        <w:trPr>
          <w:cantSplit/>
          <w:trHeight w:val="408"/>
        </w:trPr>
        <w:tc>
          <w:tcPr>
            <w:tcW w:w="883" w:type="pct"/>
            <w:tcBorders>
              <w:top w:val="single" w:sz="4" w:space="0" w:color="auto"/>
              <w:left w:val="single" w:sz="4" w:space="0" w:color="auto"/>
              <w:bottom w:val="single" w:sz="4" w:space="0" w:color="auto"/>
              <w:right w:val="single" w:sz="4" w:space="0" w:color="auto"/>
            </w:tcBorders>
          </w:tcPr>
          <w:p w:rsidR="004012AD" w:rsidRPr="00FF6EDF" w:rsidRDefault="004012AD" w:rsidP="00165268">
            <w:pPr>
              <w:jc w:val="both"/>
              <w:rPr>
                <w:rFonts w:ascii="Arial Narrow" w:hAnsi="Arial Narrow"/>
                <w:b/>
                <w:sz w:val="20"/>
              </w:rPr>
            </w:pPr>
            <w:r w:rsidRPr="00FF6EDF">
              <w:rPr>
                <w:rFonts w:ascii="Arial Narrow" w:hAnsi="Arial Narrow"/>
                <w:b/>
                <w:sz w:val="20"/>
              </w:rPr>
              <w:t>Condition:</w:t>
            </w:r>
          </w:p>
        </w:tc>
        <w:tc>
          <w:tcPr>
            <w:tcW w:w="4117" w:type="pct"/>
            <w:gridSpan w:val="6"/>
            <w:tcBorders>
              <w:top w:val="single" w:sz="4" w:space="0" w:color="auto"/>
              <w:left w:val="single" w:sz="4" w:space="0" w:color="auto"/>
              <w:bottom w:val="single" w:sz="4" w:space="0" w:color="auto"/>
              <w:right w:val="single" w:sz="4" w:space="0" w:color="auto"/>
            </w:tcBorders>
          </w:tcPr>
          <w:p w:rsidR="004012AD" w:rsidRPr="00FF6EDF" w:rsidRDefault="004012AD" w:rsidP="00165268">
            <w:pPr>
              <w:rPr>
                <w:rFonts w:ascii="Arial Narrow" w:hAnsi="Arial Narrow"/>
                <w:sz w:val="20"/>
              </w:rPr>
            </w:pPr>
            <w:r w:rsidRPr="00FF6EDF">
              <w:rPr>
                <w:rFonts w:ascii="Arial Narrow" w:hAnsi="Arial Narrow"/>
                <w:sz w:val="20"/>
              </w:rPr>
              <w:t>Atypical haemolytic uraemic syndrome (</w:t>
            </w:r>
            <w:proofErr w:type="spellStart"/>
            <w:r w:rsidRPr="00FF6EDF">
              <w:rPr>
                <w:rFonts w:ascii="Arial Narrow" w:hAnsi="Arial Narrow"/>
                <w:sz w:val="20"/>
              </w:rPr>
              <w:t>aHUS</w:t>
            </w:r>
            <w:proofErr w:type="spellEnd"/>
            <w:r w:rsidRPr="00FF6EDF">
              <w:rPr>
                <w:rFonts w:ascii="Arial Narrow" w:hAnsi="Arial Narrow"/>
                <w:sz w:val="20"/>
              </w:rPr>
              <w:t>)</w:t>
            </w:r>
          </w:p>
        </w:tc>
      </w:tr>
      <w:tr w:rsidR="004012AD" w:rsidRPr="00FF6EDF" w:rsidTr="00165268">
        <w:trPr>
          <w:cantSplit/>
          <w:trHeight w:val="354"/>
        </w:trPr>
        <w:tc>
          <w:tcPr>
            <w:tcW w:w="883" w:type="pct"/>
            <w:tcBorders>
              <w:top w:val="single" w:sz="4" w:space="0" w:color="auto"/>
              <w:left w:val="single" w:sz="4" w:space="0" w:color="auto"/>
              <w:bottom w:val="single" w:sz="4" w:space="0" w:color="auto"/>
              <w:right w:val="single" w:sz="4" w:space="0" w:color="auto"/>
            </w:tcBorders>
          </w:tcPr>
          <w:p w:rsidR="004012AD" w:rsidRPr="00FF6EDF" w:rsidRDefault="004012AD" w:rsidP="00165268">
            <w:pPr>
              <w:jc w:val="both"/>
              <w:rPr>
                <w:rFonts w:ascii="Arial Narrow" w:hAnsi="Arial Narrow"/>
                <w:b/>
                <w:sz w:val="20"/>
              </w:rPr>
            </w:pPr>
            <w:r w:rsidRPr="00FF6EDF">
              <w:rPr>
                <w:rFonts w:ascii="Arial Narrow" w:hAnsi="Arial Narrow"/>
                <w:b/>
                <w:sz w:val="20"/>
              </w:rPr>
              <w:t>PBS Indication:</w:t>
            </w:r>
          </w:p>
        </w:tc>
        <w:tc>
          <w:tcPr>
            <w:tcW w:w="4117" w:type="pct"/>
            <w:gridSpan w:val="6"/>
            <w:tcBorders>
              <w:top w:val="single" w:sz="4" w:space="0" w:color="auto"/>
              <w:left w:val="single" w:sz="4" w:space="0" w:color="auto"/>
              <w:bottom w:val="single" w:sz="4" w:space="0" w:color="auto"/>
              <w:right w:val="single" w:sz="4" w:space="0" w:color="auto"/>
            </w:tcBorders>
          </w:tcPr>
          <w:p w:rsidR="004012AD" w:rsidRPr="00FF6EDF" w:rsidRDefault="004012AD" w:rsidP="00165268">
            <w:pPr>
              <w:rPr>
                <w:rFonts w:ascii="Arial Narrow" w:hAnsi="Arial Narrow"/>
                <w:sz w:val="20"/>
              </w:rPr>
            </w:pPr>
            <w:r w:rsidRPr="00FF6EDF">
              <w:rPr>
                <w:rFonts w:ascii="Arial Narrow" w:hAnsi="Arial Narrow"/>
                <w:sz w:val="20"/>
              </w:rPr>
              <w:t>Atypical haemolytic uraemic syndrome (</w:t>
            </w:r>
            <w:proofErr w:type="spellStart"/>
            <w:r w:rsidRPr="00FF6EDF">
              <w:rPr>
                <w:rFonts w:ascii="Arial Narrow" w:hAnsi="Arial Narrow"/>
                <w:sz w:val="20"/>
              </w:rPr>
              <w:t>aHUS</w:t>
            </w:r>
            <w:proofErr w:type="spellEnd"/>
            <w:r w:rsidRPr="00FF6EDF">
              <w:rPr>
                <w:rFonts w:ascii="Arial Narrow" w:hAnsi="Arial Narrow"/>
                <w:sz w:val="20"/>
              </w:rPr>
              <w:t>)</w:t>
            </w:r>
          </w:p>
        </w:tc>
      </w:tr>
      <w:tr w:rsidR="004012AD" w:rsidRPr="00FF6EDF" w:rsidTr="00165268">
        <w:trPr>
          <w:cantSplit/>
          <w:trHeight w:val="341"/>
        </w:trPr>
        <w:tc>
          <w:tcPr>
            <w:tcW w:w="883" w:type="pct"/>
            <w:tcBorders>
              <w:top w:val="single" w:sz="4" w:space="0" w:color="auto"/>
              <w:left w:val="single" w:sz="4" w:space="0" w:color="auto"/>
              <w:bottom w:val="single" w:sz="4" w:space="0" w:color="auto"/>
              <w:right w:val="single" w:sz="4" w:space="0" w:color="auto"/>
            </w:tcBorders>
          </w:tcPr>
          <w:p w:rsidR="004012AD" w:rsidRPr="00FF6EDF" w:rsidRDefault="004012AD" w:rsidP="00165268">
            <w:pPr>
              <w:rPr>
                <w:rFonts w:ascii="Arial Narrow" w:hAnsi="Arial Narrow"/>
                <w:b/>
                <w:sz w:val="20"/>
              </w:rPr>
            </w:pPr>
            <w:r w:rsidRPr="00FF6EDF">
              <w:rPr>
                <w:rFonts w:ascii="Arial Narrow" w:hAnsi="Arial Narrow"/>
                <w:b/>
                <w:sz w:val="20"/>
              </w:rPr>
              <w:t>Restriction level:</w:t>
            </w:r>
          </w:p>
        </w:tc>
        <w:tc>
          <w:tcPr>
            <w:tcW w:w="4117" w:type="pct"/>
            <w:gridSpan w:val="6"/>
            <w:tcBorders>
              <w:top w:val="single" w:sz="4" w:space="0" w:color="auto"/>
              <w:left w:val="single" w:sz="4" w:space="0" w:color="auto"/>
              <w:bottom w:val="single" w:sz="4" w:space="0" w:color="auto"/>
              <w:right w:val="single" w:sz="4" w:space="0" w:color="auto"/>
            </w:tcBorders>
          </w:tcPr>
          <w:p w:rsidR="004012AD" w:rsidRPr="00FF6EDF" w:rsidRDefault="004012AD" w:rsidP="00165268">
            <w:pPr>
              <w:rPr>
                <w:rFonts w:ascii="Arial Narrow" w:hAnsi="Arial Narrow" w:cs="Arial"/>
                <w:sz w:val="20"/>
              </w:rPr>
            </w:pPr>
            <w:r w:rsidRPr="00FF6EDF">
              <w:rPr>
                <w:rFonts w:ascii="Arial Narrow" w:hAnsi="Arial Narrow" w:cs="Arial"/>
                <w:sz w:val="20"/>
              </w:rPr>
              <w:fldChar w:fldCharType="begin">
                <w:ffData>
                  <w:name w:val=""/>
                  <w:enabled/>
                  <w:calcOnExit w:val="0"/>
                  <w:checkBox>
                    <w:sizeAuto/>
                    <w:default w:val="1"/>
                  </w:checkBox>
                </w:ffData>
              </w:fldChar>
            </w:r>
            <w:r w:rsidRPr="00FF6EDF">
              <w:rPr>
                <w:rFonts w:ascii="Arial Narrow" w:hAnsi="Arial Narrow" w:cs="Arial"/>
                <w:sz w:val="20"/>
              </w:rPr>
              <w:instrText xml:space="preserve"> FORMCHECKBOX </w:instrText>
            </w:r>
            <w:r w:rsidR="001544E4">
              <w:rPr>
                <w:rFonts w:ascii="Arial Narrow" w:hAnsi="Arial Narrow" w:cs="Arial"/>
                <w:sz w:val="20"/>
              </w:rPr>
            </w:r>
            <w:r w:rsidR="001544E4">
              <w:rPr>
                <w:rFonts w:ascii="Arial Narrow" w:hAnsi="Arial Narrow" w:cs="Arial"/>
                <w:sz w:val="20"/>
              </w:rPr>
              <w:fldChar w:fldCharType="separate"/>
            </w:r>
            <w:r w:rsidRPr="00FF6EDF">
              <w:rPr>
                <w:rFonts w:ascii="Arial Narrow" w:hAnsi="Arial Narrow" w:cs="Arial"/>
                <w:sz w:val="20"/>
              </w:rPr>
              <w:fldChar w:fldCharType="end"/>
            </w:r>
            <w:r w:rsidRPr="00FF6EDF">
              <w:rPr>
                <w:rFonts w:ascii="Arial Narrow" w:hAnsi="Arial Narrow" w:cs="Arial"/>
                <w:sz w:val="20"/>
              </w:rPr>
              <w:t>Authority Required - In Writing</w:t>
            </w:r>
          </w:p>
          <w:p w:rsidR="004012AD" w:rsidRPr="00FF6EDF" w:rsidRDefault="004012AD" w:rsidP="00165268">
            <w:pPr>
              <w:rPr>
                <w:rFonts w:ascii="Arial Narrow" w:hAnsi="Arial Narrow"/>
                <w:sz w:val="20"/>
              </w:rPr>
            </w:pPr>
          </w:p>
        </w:tc>
      </w:tr>
      <w:tr w:rsidR="004012AD" w:rsidRPr="00FF6EDF" w:rsidTr="00165268">
        <w:trPr>
          <w:cantSplit/>
          <w:trHeight w:val="341"/>
        </w:trPr>
        <w:tc>
          <w:tcPr>
            <w:tcW w:w="883" w:type="pct"/>
            <w:tcBorders>
              <w:top w:val="single" w:sz="4" w:space="0" w:color="auto"/>
              <w:left w:val="single" w:sz="4" w:space="0" w:color="auto"/>
              <w:bottom w:val="single" w:sz="4" w:space="0" w:color="auto"/>
              <w:right w:val="single" w:sz="4" w:space="0" w:color="auto"/>
            </w:tcBorders>
          </w:tcPr>
          <w:p w:rsidR="004012AD" w:rsidRPr="00FF6EDF" w:rsidRDefault="004012AD" w:rsidP="00165268">
            <w:pPr>
              <w:rPr>
                <w:rFonts w:ascii="Arial Narrow" w:hAnsi="Arial Narrow"/>
                <w:sz w:val="20"/>
              </w:rPr>
            </w:pPr>
            <w:r w:rsidRPr="00FF6EDF">
              <w:rPr>
                <w:rFonts w:ascii="Arial Narrow" w:hAnsi="Arial Narrow"/>
                <w:b/>
                <w:sz w:val="20"/>
              </w:rPr>
              <w:t>Treatment criteria:</w:t>
            </w:r>
          </w:p>
        </w:tc>
        <w:tc>
          <w:tcPr>
            <w:tcW w:w="4117" w:type="pct"/>
            <w:gridSpan w:val="6"/>
            <w:tcBorders>
              <w:top w:val="single" w:sz="4" w:space="0" w:color="auto"/>
              <w:left w:val="single" w:sz="4" w:space="0" w:color="auto"/>
              <w:bottom w:val="single" w:sz="4" w:space="0" w:color="auto"/>
              <w:right w:val="single" w:sz="4" w:space="0" w:color="auto"/>
            </w:tcBorders>
          </w:tcPr>
          <w:p w:rsidR="004012AD" w:rsidRPr="00FF6EDF" w:rsidRDefault="004012AD" w:rsidP="00165268">
            <w:pPr>
              <w:rPr>
                <w:rFonts w:ascii="Arial Narrow" w:hAnsi="Arial Narrow"/>
                <w:sz w:val="20"/>
              </w:rPr>
            </w:pPr>
            <w:r w:rsidRPr="00FF6EDF">
              <w:rPr>
                <w:rFonts w:ascii="Arial Narrow" w:hAnsi="Arial Narrow"/>
                <w:sz w:val="20"/>
              </w:rPr>
              <w:t>Must be treated by a paediatric nephrologist  OR</w:t>
            </w:r>
          </w:p>
          <w:p w:rsidR="004012AD" w:rsidRPr="00FF6EDF" w:rsidRDefault="004012AD" w:rsidP="00165268">
            <w:pPr>
              <w:rPr>
                <w:rFonts w:ascii="Arial Narrow" w:hAnsi="Arial Narrow"/>
                <w:sz w:val="20"/>
              </w:rPr>
            </w:pPr>
          </w:p>
          <w:p w:rsidR="004012AD" w:rsidRDefault="004012AD" w:rsidP="00165268">
            <w:pPr>
              <w:rPr>
                <w:rFonts w:ascii="Arial Narrow" w:hAnsi="Arial Narrow"/>
                <w:sz w:val="20"/>
              </w:rPr>
            </w:pPr>
            <w:r w:rsidRPr="00FF6EDF">
              <w:rPr>
                <w:rFonts w:ascii="Arial Narrow" w:hAnsi="Arial Narrow"/>
                <w:sz w:val="20"/>
              </w:rPr>
              <w:t>Mu</w:t>
            </w:r>
            <w:r w:rsidR="008907AB">
              <w:rPr>
                <w:rFonts w:ascii="Arial Narrow" w:hAnsi="Arial Narrow"/>
                <w:sz w:val="20"/>
              </w:rPr>
              <w:t>st be treated by a nephrologist</w:t>
            </w:r>
          </w:p>
          <w:p w:rsidR="004012AD" w:rsidRDefault="004012AD" w:rsidP="00165268">
            <w:pPr>
              <w:rPr>
                <w:rFonts w:ascii="Arial Narrow" w:hAnsi="Arial Narrow"/>
                <w:sz w:val="20"/>
              </w:rPr>
            </w:pPr>
          </w:p>
          <w:p w:rsidR="004012AD" w:rsidRDefault="004012AD" w:rsidP="00165268">
            <w:pPr>
              <w:rPr>
                <w:rFonts w:ascii="Arial Narrow" w:hAnsi="Arial Narrow"/>
                <w:sz w:val="20"/>
              </w:rPr>
            </w:pPr>
            <w:r>
              <w:rPr>
                <w:rFonts w:ascii="Arial Narrow" w:hAnsi="Arial Narrow"/>
                <w:sz w:val="20"/>
              </w:rPr>
              <w:t xml:space="preserve">AND </w:t>
            </w:r>
          </w:p>
          <w:p w:rsidR="004012AD" w:rsidRDefault="004012AD" w:rsidP="00165268">
            <w:pPr>
              <w:rPr>
                <w:rFonts w:ascii="Arial Narrow" w:hAnsi="Arial Narrow"/>
                <w:sz w:val="20"/>
              </w:rPr>
            </w:pPr>
          </w:p>
          <w:p w:rsidR="004012AD" w:rsidRPr="00FF6EDF" w:rsidRDefault="004012AD" w:rsidP="00165268">
            <w:pPr>
              <w:rPr>
                <w:rFonts w:ascii="Arial Narrow" w:hAnsi="Arial Narrow"/>
                <w:sz w:val="20"/>
              </w:rPr>
            </w:pPr>
            <w:r>
              <w:rPr>
                <w:rFonts w:ascii="Arial Narrow" w:hAnsi="Arial Narrow"/>
                <w:sz w:val="20"/>
              </w:rPr>
              <w:t>Must be treated in a transplant unit.</w:t>
            </w:r>
          </w:p>
          <w:p w:rsidR="004012AD" w:rsidRPr="00FF6EDF" w:rsidRDefault="004012AD" w:rsidP="00165268">
            <w:pPr>
              <w:rPr>
                <w:rFonts w:ascii="Arial Narrow" w:hAnsi="Arial Narrow"/>
                <w:sz w:val="20"/>
              </w:rPr>
            </w:pPr>
          </w:p>
        </w:tc>
      </w:tr>
      <w:tr w:rsidR="004012AD" w:rsidRPr="00FF6EDF" w:rsidTr="00165268">
        <w:trPr>
          <w:trHeight w:val="354"/>
        </w:trPr>
        <w:tc>
          <w:tcPr>
            <w:tcW w:w="883" w:type="pct"/>
            <w:tcBorders>
              <w:top w:val="single" w:sz="4" w:space="0" w:color="auto"/>
              <w:left w:val="single" w:sz="4" w:space="0" w:color="auto"/>
              <w:bottom w:val="single" w:sz="4" w:space="0" w:color="auto"/>
              <w:right w:val="single" w:sz="4" w:space="0" w:color="auto"/>
            </w:tcBorders>
          </w:tcPr>
          <w:p w:rsidR="004012AD" w:rsidRPr="00FF6EDF" w:rsidRDefault="004012AD" w:rsidP="00165268">
            <w:pPr>
              <w:jc w:val="both"/>
              <w:rPr>
                <w:rFonts w:ascii="Arial Narrow" w:hAnsi="Arial Narrow"/>
                <w:b/>
                <w:sz w:val="20"/>
              </w:rPr>
            </w:pPr>
            <w:r w:rsidRPr="00FF6EDF">
              <w:rPr>
                <w:rFonts w:ascii="Arial Narrow" w:hAnsi="Arial Narrow"/>
                <w:b/>
                <w:sz w:val="20"/>
              </w:rPr>
              <w:t>Clinical criteria:</w:t>
            </w:r>
          </w:p>
        </w:tc>
        <w:tc>
          <w:tcPr>
            <w:tcW w:w="4117" w:type="pct"/>
            <w:gridSpan w:val="6"/>
            <w:tcBorders>
              <w:top w:val="single" w:sz="4" w:space="0" w:color="auto"/>
              <w:left w:val="single" w:sz="4" w:space="0" w:color="auto"/>
              <w:bottom w:val="single" w:sz="4" w:space="0" w:color="auto"/>
              <w:right w:val="single" w:sz="4" w:space="0" w:color="auto"/>
            </w:tcBorders>
          </w:tcPr>
          <w:p w:rsidR="004012AD" w:rsidRPr="00FF6EDF" w:rsidRDefault="004012AD" w:rsidP="00165268">
            <w:pPr>
              <w:rPr>
                <w:rFonts w:ascii="Arial Narrow" w:hAnsi="Arial Narrow"/>
                <w:sz w:val="20"/>
              </w:rPr>
            </w:pPr>
            <w:r w:rsidRPr="00FF6EDF">
              <w:rPr>
                <w:rFonts w:ascii="Arial Narrow" w:hAnsi="Arial Narrow"/>
                <w:sz w:val="20"/>
              </w:rPr>
              <w:t>Patient must have</w:t>
            </w:r>
            <w:r>
              <w:rPr>
                <w:rFonts w:ascii="Arial Narrow" w:hAnsi="Arial Narrow"/>
                <w:sz w:val="20"/>
              </w:rPr>
              <w:t xml:space="preserve"> had</w:t>
            </w:r>
            <w:r w:rsidRPr="00FF6EDF">
              <w:rPr>
                <w:rFonts w:ascii="Arial Narrow" w:hAnsi="Arial Narrow"/>
                <w:sz w:val="20"/>
              </w:rPr>
              <w:t xml:space="preserve"> end stage renal dis</w:t>
            </w:r>
            <w:r w:rsidR="008907AB">
              <w:rPr>
                <w:rFonts w:ascii="Arial Narrow" w:hAnsi="Arial Narrow"/>
                <w:sz w:val="20"/>
              </w:rPr>
              <w:t xml:space="preserve">ease caused by </w:t>
            </w:r>
            <w:proofErr w:type="spellStart"/>
            <w:r w:rsidR="008907AB">
              <w:rPr>
                <w:rFonts w:ascii="Arial Narrow" w:hAnsi="Arial Narrow"/>
                <w:sz w:val="20"/>
              </w:rPr>
              <w:t>aHUS</w:t>
            </w:r>
            <w:proofErr w:type="spellEnd"/>
          </w:p>
          <w:p w:rsidR="004012AD" w:rsidRPr="00FF6EDF" w:rsidRDefault="004012AD" w:rsidP="00165268">
            <w:pPr>
              <w:rPr>
                <w:rFonts w:ascii="Arial Narrow" w:hAnsi="Arial Narrow"/>
                <w:sz w:val="20"/>
              </w:rPr>
            </w:pPr>
          </w:p>
          <w:p w:rsidR="004012AD" w:rsidRPr="00FF6EDF" w:rsidRDefault="004012AD" w:rsidP="00165268">
            <w:pPr>
              <w:rPr>
                <w:rFonts w:ascii="Arial Narrow" w:hAnsi="Arial Narrow"/>
                <w:sz w:val="20"/>
              </w:rPr>
            </w:pPr>
            <w:r w:rsidRPr="00FF6EDF">
              <w:rPr>
                <w:rFonts w:ascii="Arial Narrow" w:hAnsi="Arial Narrow"/>
                <w:sz w:val="20"/>
              </w:rPr>
              <w:t xml:space="preserve">AND </w:t>
            </w:r>
          </w:p>
          <w:p w:rsidR="004012AD" w:rsidRPr="00FF6EDF" w:rsidRDefault="004012AD" w:rsidP="00165268">
            <w:pPr>
              <w:rPr>
                <w:rFonts w:ascii="Arial Narrow" w:hAnsi="Arial Narrow"/>
                <w:sz w:val="20"/>
              </w:rPr>
            </w:pPr>
          </w:p>
          <w:p w:rsidR="004012AD" w:rsidRPr="00FF6EDF" w:rsidRDefault="004012AD" w:rsidP="00165268">
            <w:pPr>
              <w:rPr>
                <w:rFonts w:ascii="Arial Narrow" w:hAnsi="Arial Narrow"/>
                <w:sz w:val="20"/>
              </w:rPr>
            </w:pPr>
            <w:r w:rsidRPr="00FF6EDF">
              <w:rPr>
                <w:rFonts w:ascii="Arial Narrow" w:hAnsi="Arial Narrow"/>
                <w:sz w:val="20"/>
              </w:rPr>
              <w:t>Patient must have undergone a</w:t>
            </w:r>
            <w:r w:rsidR="008907AB">
              <w:rPr>
                <w:rFonts w:ascii="Arial Narrow" w:hAnsi="Arial Narrow"/>
                <w:sz w:val="20"/>
              </w:rPr>
              <w:t xml:space="preserve"> renal allograft</w:t>
            </w:r>
          </w:p>
          <w:p w:rsidR="004012AD" w:rsidRPr="00FF6EDF" w:rsidRDefault="004012AD" w:rsidP="00165268">
            <w:pPr>
              <w:rPr>
                <w:rFonts w:ascii="Arial Narrow" w:hAnsi="Arial Narrow"/>
                <w:sz w:val="20"/>
              </w:rPr>
            </w:pPr>
          </w:p>
          <w:p w:rsidR="004012AD" w:rsidRDefault="004012AD" w:rsidP="00165268">
            <w:pPr>
              <w:rPr>
                <w:rFonts w:ascii="Arial Narrow" w:hAnsi="Arial Narrow"/>
                <w:sz w:val="20"/>
              </w:rPr>
            </w:pPr>
            <w:r>
              <w:rPr>
                <w:rFonts w:ascii="Arial Narrow" w:hAnsi="Arial Narrow"/>
                <w:sz w:val="20"/>
              </w:rPr>
              <w:t>AND</w:t>
            </w:r>
          </w:p>
          <w:p w:rsidR="004012AD" w:rsidRPr="00FF6EDF" w:rsidRDefault="004012AD" w:rsidP="00165268">
            <w:pPr>
              <w:rPr>
                <w:rFonts w:ascii="Arial Narrow" w:hAnsi="Arial Narrow"/>
                <w:sz w:val="20"/>
              </w:rPr>
            </w:pPr>
          </w:p>
          <w:p w:rsidR="004012AD" w:rsidRDefault="004012AD" w:rsidP="00165268">
            <w:pPr>
              <w:rPr>
                <w:rFonts w:ascii="Arial Narrow" w:hAnsi="Arial Narrow"/>
                <w:sz w:val="20"/>
              </w:rPr>
            </w:pPr>
            <w:r w:rsidRPr="00FF6EDF">
              <w:rPr>
                <w:rFonts w:ascii="Arial Narrow" w:hAnsi="Arial Narrow"/>
                <w:sz w:val="20"/>
              </w:rPr>
              <w:t xml:space="preserve">Patient must </w:t>
            </w:r>
            <w:r>
              <w:rPr>
                <w:rFonts w:ascii="Arial Narrow" w:hAnsi="Arial Narrow"/>
                <w:sz w:val="20"/>
              </w:rPr>
              <w:t xml:space="preserve">have a medium to high risk of </w:t>
            </w:r>
            <w:r w:rsidR="00837E2F">
              <w:rPr>
                <w:rFonts w:ascii="Arial Narrow" w:hAnsi="Arial Narrow"/>
                <w:sz w:val="20"/>
              </w:rPr>
              <w:t xml:space="preserve">recurrent </w:t>
            </w:r>
            <w:proofErr w:type="spellStart"/>
            <w:r w:rsidR="00837E2F">
              <w:rPr>
                <w:rFonts w:ascii="Arial Narrow" w:hAnsi="Arial Narrow"/>
                <w:sz w:val="20"/>
              </w:rPr>
              <w:t>aHUS</w:t>
            </w:r>
            <w:proofErr w:type="spellEnd"/>
            <w:r w:rsidRPr="00FF6EDF">
              <w:rPr>
                <w:rFonts w:ascii="Arial Narrow" w:hAnsi="Arial Narrow"/>
                <w:sz w:val="20"/>
              </w:rPr>
              <w:t xml:space="preserve"> in the allograft</w:t>
            </w:r>
          </w:p>
          <w:p w:rsidR="004012AD" w:rsidRPr="00FF6EDF" w:rsidRDefault="004012AD" w:rsidP="00165268">
            <w:pPr>
              <w:rPr>
                <w:rFonts w:ascii="Arial Narrow" w:hAnsi="Arial Narrow"/>
                <w:sz w:val="20"/>
              </w:rPr>
            </w:pPr>
          </w:p>
          <w:p w:rsidR="004012AD" w:rsidRDefault="004012AD" w:rsidP="00165268">
            <w:pPr>
              <w:rPr>
                <w:rFonts w:ascii="Arial Narrow" w:hAnsi="Arial Narrow"/>
                <w:sz w:val="20"/>
              </w:rPr>
            </w:pPr>
            <w:r w:rsidRPr="00FF6EDF">
              <w:rPr>
                <w:rFonts w:ascii="Arial Narrow" w:hAnsi="Arial Narrow"/>
                <w:sz w:val="20"/>
              </w:rPr>
              <w:t>AND</w:t>
            </w:r>
          </w:p>
          <w:p w:rsidR="004012AD" w:rsidRPr="00FF6EDF" w:rsidRDefault="004012AD" w:rsidP="00165268">
            <w:pPr>
              <w:rPr>
                <w:rFonts w:ascii="Arial Narrow" w:hAnsi="Arial Narrow"/>
                <w:sz w:val="20"/>
              </w:rPr>
            </w:pPr>
          </w:p>
          <w:p w:rsidR="004012AD" w:rsidRDefault="004012AD" w:rsidP="00165268">
            <w:pPr>
              <w:rPr>
                <w:rFonts w:ascii="Arial Narrow" w:hAnsi="Arial Narrow"/>
                <w:sz w:val="20"/>
              </w:rPr>
            </w:pPr>
            <w:r>
              <w:rPr>
                <w:rFonts w:ascii="Arial Narrow" w:hAnsi="Arial Narrow"/>
                <w:sz w:val="20"/>
              </w:rPr>
              <w:t xml:space="preserve">The </w:t>
            </w:r>
            <w:r w:rsidRPr="006C63CE">
              <w:rPr>
                <w:rFonts w:ascii="Arial Narrow" w:hAnsi="Arial Narrow"/>
                <w:sz w:val="20"/>
              </w:rPr>
              <w:t>treatment must be lim</w:t>
            </w:r>
            <w:r>
              <w:rPr>
                <w:rFonts w:ascii="Arial Narrow" w:hAnsi="Arial Narrow"/>
                <w:sz w:val="20"/>
              </w:rPr>
              <w:t xml:space="preserve">ited to a maximum duration of 10 </w:t>
            </w:r>
            <w:r w:rsidRPr="006C63CE">
              <w:rPr>
                <w:rFonts w:ascii="Arial Narrow" w:hAnsi="Arial Narrow"/>
                <w:sz w:val="20"/>
              </w:rPr>
              <w:t>weeks</w:t>
            </w:r>
            <w:r>
              <w:rPr>
                <w:rFonts w:ascii="Arial Narrow" w:hAnsi="Arial Narrow"/>
                <w:sz w:val="20"/>
              </w:rPr>
              <w:t>.</w:t>
            </w:r>
          </w:p>
          <w:p w:rsidR="004012AD" w:rsidRPr="00FF6EDF" w:rsidRDefault="004012AD" w:rsidP="00165268">
            <w:pPr>
              <w:rPr>
                <w:rFonts w:ascii="Arial Narrow" w:hAnsi="Arial Narrow"/>
                <w:sz w:val="20"/>
              </w:rPr>
            </w:pPr>
          </w:p>
        </w:tc>
      </w:tr>
      <w:tr w:rsidR="004012AD" w:rsidRPr="00FF6EDF" w:rsidTr="00165268">
        <w:trPr>
          <w:trHeight w:val="354"/>
        </w:trPr>
        <w:tc>
          <w:tcPr>
            <w:tcW w:w="883" w:type="pct"/>
            <w:tcBorders>
              <w:top w:val="single" w:sz="4" w:space="0" w:color="auto"/>
              <w:left w:val="single" w:sz="4" w:space="0" w:color="auto"/>
              <w:bottom w:val="single" w:sz="4" w:space="0" w:color="auto"/>
              <w:right w:val="single" w:sz="4" w:space="0" w:color="auto"/>
            </w:tcBorders>
          </w:tcPr>
          <w:p w:rsidR="004012AD" w:rsidRPr="00FF6EDF" w:rsidRDefault="004012AD" w:rsidP="00165268">
            <w:pPr>
              <w:jc w:val="both"/>
              <w:rPr>
                <w:rFonts w:ascii="Arial Narrow" w:hAnsi="Arial Narrow"/>
                <w:b/>
                <w:sz w:val="20"/>
              </w:rPr>
            </w:pPr>
            <w:r w:rsidRPr="00FF6EDF">
              <w:rPr>
                <w:rFonts w:ascii="Arial Narrow" w:hAnsi="Arial Narrow"/>
                <w:b/>
                <w:sz w:val="20"/>
              </w:rPr>
              <w:t>Prescriber Instructions</w:t>
            </w:r>
            <w:r>
              <w:rPr>
                <w:rFonts w:ascii="Arial Narrow" w:hAnsi="Arial Narrow"/>
                <w:b/>
                <w:sz w:val="20"/>
              </w:rPr>
              <w:t>:</w:t>
            </w:r>
          </w:p>
          <w:p w:rsidR="004012AD" w:rsidRPr="00FF6EDF" w:rsidRDefault="004012AD" w:rsidP="00165268">
            <w:pPr>
              <w:jc w:val="both"/>
              <w:rPr>
                <w:rFonts w:ascii="Arial Narrow" w:hAnsi="Arial Narrow"/>
                <w:sz w:val="20"/>
              </w:rPr>
            </w:pPr>
          </w:p>
        </w:tc>
        <w:tc>
          <w:tcPr>
            <w:tcW w:w="4117" w:type="pct"/>
            <w:gridSpan w:val="6"/>
            <w:tcBorders>
              <w:top w:val="single" w:sz="4" w:space="0" w:color="auto"/>
              <w:left w:val="single" w:sz="4" w:space="0" w:color="auto"/>
              <w:bottom w:val="single" w:sz="4" w:space="0" w:color="auto"/>
              <w:right w:val="single" w:sz="4" w:space="0" w:color="auto"/>
            </w:tcBorders>
          </w:tcPr>
          <w:p w:rsidR="004012AD" w:rsidRDefault="004012AD" w:rsidP="00165268">
            <w:pPr>
              <w:rPr>
                <w:rFonts w:ascii="Arial Narrow" w:hAnsi="Arial Narrow"/>
                <w:sz w:val="20"/>
              </w:rPr>
            </w:pPr>
            <w:r>
              <w:rPr>
                <w:rFonts w:ascii="Arial Narrow" w:hAnsi="Arial Narrow"/>
                <w:sz w:val="20"/>
              </w:rPr>
              <w:t>H</w:t>
            </w:r>
            <w:r w:rsidRPr="00FF6EDF">
              <w:rPr>
                <w:rFonts w:ascii="Arial Narrow" w:hAnsi="Arial Narrow"/>
                <w:sz w:val="20"/>
              </w:rPr>
              <w:t>igh</w:t>
            </w:r>
            <w:r>
              <w:rPr>
                <w:rFonts w:ascii="Arial Narrow" w:hAnsi="Arial Narrow"/>
                <w:sz w:val="20"/>
              </w:rPr>
              <w:t xml:space="preserve"> </w:t>
            </w:r>
            <w:r w:rsidRPr="00FF6EDF">
              <w:rPr>
                <w:rFonts w:ascii="Arial Narrow" w:hAnsi="Arial Narrow"/>
                <w:sz w:val="20"/>
              </w:rPr>
              <w:t xml:space="preserve">risk of </w:t>
            </w:r>
            <w:r w:rsidR="00837E2F">
              <w:rPr>
                <w:rFonts w:ascii="Arial Narrow" w:hAnsi="Arial Narrow"/>
                <w:sz w:val="20"/>
              </w:rPr>
              <w:t xml:space="preserve">recurrent </w:t>
            </w:r>
            <w:proofErr w:type="spellStart"/>
            <w:r w:rsidR="00837E2F">
              <w:rPr>
                <w:rFonts w:ascii="Arial Narrow" w:hAnsi="Arial Narrow"/>
                <w:sz w:val="20"/>
              </w:rPr>
              <w:t>aHUS</w:t>
            </w:r>
            <w:proofErr w:type="spellEnd"/>
            <w:r w:rsidR="00837E2F">
              <w:rPr>
                <w:rFonts w:ascii="Arial Narrow" w:hAnsi="Arial Narrow"/>
                <w:sz w:val="20"/>
              </w:rPr>
              <w:t xml:space="preserve"> in the allograft</w:t>
            </w:r>
            <w:r>
              <w:rPr>
                <w:rFonts w:ascii="Arial Narrow" w:hAnsi="Arial Narrow"/>
                <w:sz w:val="20"/>
              </w:rPr>
              <w:t xml:space="preserve"> is defined as follows:</w:t>
            </w:r>
          </w:p>
          <w:p w:rsidR="004012AD" w:rsidRPr="0093489D" w:rsidRDefault="004012AD" w:rsidP="004012AD">
            <w:pPr>
              <w:pStyle w:val="ListParagraph"/>
              <w:widowControl/>
              <w:numPr>
                <w:ilvl w:val="0"/>
                <w:numId w:val="28"/>
              </w:numPr>
              <w:jc w:val="left"/>
              <w:rPr>
                <w:rFonts w:ascii="Arial Narrow" w:hAnsi="Arial Narrow"/>
                <w:sz w:val="20"/>
              </w:rPr>
            </w:pPr>
            <w:r w:rsidRPr="0093489D">
              <w:rPr>
                <w:rFonts w:ascii="Arial Narrow" w:hAnsi="Arial Narrow"/>
                <w:sz w:val="20"/>
              </w:rPr>
              <w:t>Mutations in Factor H or gene re-arrangements involving Factor H and Factor H related proteins; OR</w:t>
            </w:r>
          </w:p>
          <w:p w:rsidR="004012AD" w:rsidRDefault="004012AD" w:rsidP="004012AD">
            <w:pPr>
              <w:pStyle w:val="ListParagraph"/>
              <w:widowControl/>
              <w:numPr>
                <w:ilvl w:val="0"/>
                <w:numId w:val="28"/>
              </w:numPr>
              <w:jc w:val="left"/>
              <w:rPr>
                <w:rFonts w:ascii="Arial Narrow" w:hAnsi="Arial Narrow"/>
                <w:sz w:val="20"/>
              </w:rPr>
            </w:pPr>
            <w:r w:rsidRPr="0093489D">
              <w:rPr>
                <w:rFonts w:ascii="Arial Narrow" w:hAnsi="Arial Narrow"/>
                <w:sz w:val="20"/>
              </w:rPr>
              <w:t>Gain of funct</w:t>
            </w:r>
            <w:r>
              <w:rPr>
                <w:rFonts w:ascii="Arial Narrow" w:hAnsi="Arial Narrow"/>
                <w:sz w:val="20"/>
              </w:rPr>
              <w:t xml:space="preserve">ion mutations in Factor B or C3; </w:t>
            </w:r>
            <w:r w:rsidRPr="00225E04">
              <w:rPr>
                <w:rFonts w:ascii="Arial Narrow" w:hAnsi="Arial Narrow"/>
                <w:sz w:val="20"/>
              </w:rPr>
              <w:t>OR</w:t>
            </w:r>
          </w:p>
          <w:p w:rsidR="004012AD" w:rsidRDefault="004012AD" w:rsidP="004012AD">
            <w:pPr>
              <w:pStyle w:val="ListParagraph"/>
              <w:widowControl/>
              <w:numPr>
                <w:ilvl w:val="0"/>
                <w:numId w:val="28"/>
              </w:numPr>
              <w:jc w:val="left"/>
              <w:rPr>
                <w:rFonts w:ascii="Arial Narrow" w:hAnsi="Arial Narrow"/>
                <w:sz w:val="20"/>
              </w:rPr>
            </w:pPr>
            <w:r>
              <w:rPr>
                <w:rFonts w:ascii="Arial Narrow" w:hAnsi="Arial Narrow"/>
                <w:sz w:val="20"/>
              </w:rPr>
              <w:t>L</w:t>
            </w:r>
            <w:r w:rsidRPr="00225E04">
              <w:rPr>
                <w:rFonts w:ascii="Arial Narrow" w:hAnsi="Arial Narrow"/>
                <w:sz w:val="20"/>
              </w:rPr>
              <w:t xml:space="preserve">oss of previous transplant due to recurrent </w:t>
            </w:r>
            <w:proofErr w:type="spellStart"/>
            <w:r w:rsidRPr="00225E04">
              <w:rPr>
                <w:rFonts w:ascii="Arial Narrow" w:hAnsi="Arial Narrow"/>
                <w:sz w:val="20"/>
              </w:rPr>
              <w:t>aHUS</w:t>
            </w:r>
            <w:proofErr w:type="spellEnd"/>
          </w:p>
          <w:p w:rsidR="004012AD" w:rsidRDefault="004012AD" w:rsidP="00165268">
            <w:pPr>
              <w:pStyle w:val="ListParagraph"/>
              <w:ind w:left="1080"/>
              <w:rPr>
                <w:rFonts w:ascii="Arial Narrow" w:hAnsi="Arial Narrow"/>
                <w:sz w:val="20"/>
              </w:rPr>
            </w:pPr>
          </w:p>
          <w:p w:rsidR="004012AD" w:rsidRDefault="004012AD" w:rsidP="00165268">
            <w:pPr>
              <w:rPr>
                <w:rFonts w:ascii="Arial Narrow" w:hAnsi="Arial Narrow"/>
                <w:sz w:val="20"/>
              </w:rPr>
            </w:pPr>
            <w:r>
              <w:rPr>
                <w:rFonts w:ascii="Arial Narrow" w:hAnsi="Arial Narrow"/>
                <w:sz w:val="20"/>
              </w:rPr>
              <w:t xml:space="preserve">Medium </w:t>
            </w:r>
            <w:r w:rsidRPr="00FF6EDF">
              <w:rPr>
                <w:rFonts w:ascii="Arial Narrow" w:hAnsi="Arial Narrow"/>
                <w:sz w:val="20"/>
              </w:rPr>
              <w:t xml:space="preserve">risk of </w:t>
            </w:r>
            <w:r w:rsidR="00837E2F">
              <w:rPr>
                <w:rFonts w:ascii="Arial Narrow" w:hAnsi="Arial Narrow"/>
                <w:sz w:val="20"/>
              </w:rPr>
              <w:t xml:space="preserve">recurrent </w:t>
            </w:r>
            <w:proofErr w:type="spellStart"/>
            <w:r w:rsidR="00837E2F">
              <w:rPr>
                <w:rFonts w:ascii="Arial Narrow" w:hAnsi="Arial Narrow"/>
                <w:sz w:val="20"/>
              </w:rPr>
              <w:t>aHUS</w:t>
            </w:r>
            <w:proofErr w:type="spellEnd"/>
            <w:r w:rsidR="00837E2F">
              <w:rPr>
                <w:rFonts w:ascii="Arial Narrow" w:hAnsi="Arial Narrow"/>
                <w:sz w:val="20"/>
              </w:rPr>
              <w:t xml:space="preserve"> in the allograft</w:t>
            </w:r>
            <w:r>
              <w:rPr>
                <w:rFonts w:ascii="Arial Narrow" w:hAnsi="Arial Narrow"/>
                <w:sz w:val="20"/>
              </w:rPr>
              <w:t xml:space="preserve"> is defined as follows:</w:t>
            </w:r>
          </w:p>
          <w:p w:rsidR="004012AD" w:rsidRPr="0093489D" w:rsidRDefault="004012AD" w:rsidP="004012AD">
            <w:pPr>
              <w:pStyle w:val="ListParagraph"/>
              <w:widowControl/>
              <w:numPr>
                <w:ilvl w:val="0"/>
                <w:numId w:val="29"/>
              </w:numPr>
              <w:jc w:val="left"/>
              <w:rPr>
                <w:rFonts w:ascii="Arial Narrow" w:hAnsi="Arial Narrow"/>
                <w:sz w:val="20"/>
              </w:rPr>
            </w:pPr>
            <w:r w:rsidRPr="00225E04">
              <w:rPr>
                <w:rFonts w:ascii="Arial Narrow" w:hAnsi="Arial Narrow"/>
                <w:sz w:val="20"/>
              </w:rPr>
              <w:t>No identified mutation or autoantibody</w:t>
            </w:r>
            <w:r>
              <w:rPr>
                <w:rFonts w:ascii="Arial Narrow" w:hAnsi="Arial Narrow"/>
                <w:sz w:val="20"/>
              </w:rPr>
              <w:t xml:space="preserve">; </w:t>
            </w:r>
            <w:r w:rsidRPr="0093489D">
              <w:rPr>
                <w:rFonts w:ascii="Arial Narrow" w:hAnsi="Arial Narrow"/>
                <w:sz w:val="20"/>
              </w:rPr>
              <w:t>OR</w:t>
            </w:r>
          </w:p>
          <w:p w:rsidR="004012AD" w:rsidRDefault="004012AD" w:rsidP="004012AD">
            <w:pPr>
              <w:pStyle w:val="ListParagraph"/>
              <w:widowControl/>
              <w:numPr>
                <w:ilvl w:val="0"/>
                <w:numId w:val="29"/>
              </w:numPr>
              <w:jc w:val="left"/>
              <w:rPr>
                <w:rFonts w:ascii="Arial Narrow" w:hAnsi="Arial Narrow"/>
                <w:sz w:val="20"/>
              </w:rPr>
            </w:pPr>
            <w:r w:rsidRPr="00225E04">
              <w:rPr>
                <w:rFonts w:ascii="Arial Narrow" w:hAnsi="Arial Narrow"/>
                <w:sz w:val="20"/>
              </w:rPr>
              <w:t>Mutations in Factor I</w:t>
            </w:r>
            <w:r>
              <w:rPr>
                <w:rFonts w:ascii="Arial Narrow" w:hAnsi="Arial Narrow"/>
                <w:sz w:val="20"/>
              </w:rPr>
              <w:t xml:space="preserve">; </w:t>
            </w:r>
            <w:r w:rsidRPr="00225E04">
              <w:rPr>
                <w:rFonts w:ascii="Arial Narrow" w:hAnsi="Arial Narrow"/>
                <w:sz w:val="20"/>
              </w:rPr>
              <w:t>OR</w:t>
            </w:r>
          </w:p>
          <w:p w:rsidR="004012AD" w:rsidRDefault="004012AD" w:rsidP="004012AD">
            <w:pPr>
              <w:pStyle w:val="ListParagraph"/>
              <w:widowControl/>
              <w:numPr>
                <w:ilvl w:val="0"/>
                <w:numId w:val="29"/>
              </w:numPr>
              <w:jc w:val="left"/>
              <w:rPr>
                <w:rFonts w:ascii="Arial Narrow" w:hAnsi="Arial Narrow"/>
                <w:sz w:val="20"/>
              </w:rPr>
            </w:pPr>
            <w:r>
              <w:rPr>
                <w:rFonts w:ascii="Arial Narrow" w:hAnsi="Arial Narrow"/>
                <w:sz w:val="20"/>
              </w:rPr>
              <w:t>Mutation of uncertain functional significance; OR</w:t>
            </w:r>
          </w:p>
          <w:p w:rsidR="004012AD" w:rsidRDefault="004012AD" w:rsidP="004012AD">
            <w:pPr>
              <w:pStyle w:val="ListParagraph"/>
              <w:widowControl/>
              <w:numPr>
                <w:ilvl w:val="0"/>
                <w:numId w:val="29"/>
              </w:numPr>
              <w:jc w:val="left"/>
              <w:rPr>
                <w:rFonts w:ascii="Arial Narrow" w:hAnsi="Arial Narrow"/>
                <w:sz w:val="20"/>
              </w:rPr>
            </w:pPr>
            <w:r>
              <w:rPr>
                <w:rFonts w:ascii="Arial Narrow" w:hAnsi="Arial Narrow"/>
                <w:sz w:val="20"/>
              </w:rPr>
              <w:t>Detectable autoantibodies against FH</w:t>
            </w:r>
          </w:p>
          <w:p w:rsidR="004012AD" w:rsidRDefault="004012AD" w:rsidP="00165268">
            <w:pPr>
              <w:rPr>
                <w:rFonts w:ascii="Arial Narrow" w:hAnsi="Arial Narrow"/>
                <w:sz w:val="20"/>
              </w:rPr>
            </w:pPr>
          </w:p>
          <w:p w:rsidR="004012AD" w:rsidRPr="00FF6EDF" w:rsidRDefault="004012AD" w:rsidP="00165268">
            <w:pPr>
              <w:rPr>
                <w:rFonts w:ascii="Arial Narrow" w:hAnsi="Arial Narrow"/>
                <w:sz w:val="20"/>
              </w:rPr>
            </w:pPr>
            <w:r w:rsidRPr="00FF6EDF">
              <w:rPr>
                <w:rFonts w:ascii="Arial Narrow" w:hAnsi="Arial Narrow"/>
                <w:sz w:val="20"/>
              </w:rPr>
              <w:t>The authority application must be in writing and must include:</w:t>
            </w:r>
          </w:p>
          <w:p w:rsidR="004012AD" w:rsidRPr="00FF6EDF" w:rsidRDefault="004012AD" w:rsidP="00165268">
            <w:pPr>
              <w:rPr>
                <w:rFonts w:ascii="Arial Narrow" w:hAnsi="Arial Narrow"/>
                <w:sz w:val="20"/>
              </w:rPr>
            </w:pPr>
            <w:r w:rsidRPr="00FF6EDF">
              <w:rPr>
                <w:rFonts w:ascii="Arial Narrow" w:hAnsi="Arial Narrow"/>
                <w:sz w:val="20"/>
              </w:rPr>
              <w:t xml:space="preserve">(1) </w:t>
            </w:r>
            <w:r>
              <w:rPr>
                <w:rFonts w:ascii="Arial Narrow" w:hAnsi="Arial Narrow"/>
                <w:sz w:val="20"/>
              </w:rPr>
              <w:t xml:space="preserve">Two </w:t>
            </w:r>
            <w:r w:rsidRPr="00FF6EDF">
              <w:rPr>
                <w:rFonts w:ascii="Arial Narrow" w:hAnsi="Arial Narrow"/>
                <w:sz w:val="20"/>
              </w:rPr>
              <w:t>completed authority prescription form</w:t>
            </w:r>
            <w:r>
              <w:rPr>
                <w:rFonts w:ascii="Arial Narrow" w:hAnsi="Arial Narrow"/>
                <w:sz w:val="20"/>
              </w:rPr>
              <w:t>s</w:t>
            </w:r>
            <w:r w:rsidRPr="00FF6EDF">
              <w:rPr>
                <w:rFonts w:ascii="Arial Narrow" w:hAnsi="Arial Narrow"/>
                <w:sz w:val="20"/>
              </w:rPr>
              <w:t>; and</w:t>
            </w:r>
          </w:p>
          <w:p w:rsidR="004012AD" w:rsidRDefault="004012AD" w:rsidP="00165268">
            <w:pPr>
              <w:rPr>
                <w:rFonts w:ascii="Arial Narrow" w:hAnsi="Arial Narrow"/>
                <w:sz w:val="20"/>
              </w:rPr>
            </w:pPr>
            <w:r w:rsidRPr="00FF6EDF">
              <w:rPr>
                <w:rFonts w:ascii="Arial Narrow" w:hAnsi="Arial Narrow"/>
                <w:sz w:val="20"/>
              </w:rPr>
              <w:t xml:space="preserve">(2) A completed </w:t>
            </w:r>
            <w:proofErr w:type="spellStart"/>
            <w:r w:rsidRPr="00FF6EDF">
              <w:rPr>
                <w:rFonts w:ascii="Arial Narrow" w:hAnsi="Arial Narrow"/>
                <w:sz w:val="20"/>
              </w:rPr>
              <w:t>aHUS</w:t>
            </w:r>
            <w:proofErr w:type="spellEnd"/>
            <w:r w:rsidRPr="00FF6EDF">
              <w:rPr>
                <w:rFonts w:ascii="Arial Narrow" w:hAnsi="Arial Narrow"/>
                <w:sz w:val="20"/>
              </w:rPr>
              <w:t xml:space="preserve"> </w:t>
            </w:r>
            <w:proofErr w:type="spellStart"/>
            <w:r w:rsidRPr="00FF6EDF">
              <w:rPr>
                <w:rFonts w:ascii="Arial Narrow" w:hAnsi="Arial Narrow"/>
                <w:sz w:val="20"/>
              </w:rPr>
              <w:t>eculizumab</w:t>
            </w:r>
            <w:proofErr w:type="spellEnd"/>
            <w:r w:rsidRPr="00FF6EDF">
              <w:rPr>
                <w:rFonts w:ascii="Arial Narrow" w:hAnsi="Arial Narrow"/>
                <w:sz w:val="20"/>
              </w:rPr>
              <w:t xml:space="preserve"> Authority Application Supporting Information </w:t>
            </w:r>
            <w:r>
              <w:rPr>
                <w:rFonts w:ascii="Arial Narrow" w:hAnsi="Arial Narrow"/>
                <w:sz w:val="20"/>
              </w:rPr>
              <w:t xml:space="preserve">Form </w:t>
            </w:r>
            <w:proofErr w:type="spellStart"/>
            <w:r>
              <w:rPr>
                <w:rFonts w:ascii="Arial Narrow" w:hAnsi="Arial Narrow"/>
                <w:sz w:val="20"/>
              </w:rPr>
              <w:t>aHUS</w:t>
            </w:r>
            <w:proofErr w:type="spellEnd"/>
            <w:r>
              <w:rPr>
                <w:rFonts w:ascii="Arial Narrow" w:hAnsi="Arial Narrow"/>
                <w:sz w:val="20"/>
              </w:rPr>
              <w:t xml:space="preserve"> renal t</w:t>
            </w:r>
            <w:r w:rsidRPr="00FF6EDF">
              <w:rPr>
                <w:rFonts w:ascii="Arial Narrow" w:hAnsi="Arial Narrow"/>
                <w:sz w:val="20"/>
              </w:rPr>
              <w:t>ransplant; and</w:t>
            </w:r>
          </w:p>
          <w:p w:rsidR="004012AD" w:rsidRPr="0036160B" w:rsidRDefault="004012AD" w:rsidP="00165268">
            <w:pPr>
              <w:rPr>
                <w:rFonts w:ascii="Arial Narrow" w:hAnsi="Arial Narrow"/>
                <w:sz w:val="20"/>
              </w:rPr>
            </w:pPr>
            <w:r w:rsidRPr="0036160B">
              <w:rPr>
                <w:rFonts w:ascii="Arial Narrow" w:hAnsi="Arial Narrow"/>
                <w:sz w:val="20"/>
              </w:rPr>
              <w:t>(3) The date of the renal transplant; and</w:t>
            </w:r>
          </w:p>
          <w:p w:rsidR="004012AD" w:rsidRPr="00FF6EDF" w:rsidRDefault="004012AD" w:rsidP="00165268">
            <w:pPr>
              <w:rPr>
                <w:rFonts w:ascii="Arial Narrow" w:hAnsi="Arial Narrow"/>
                <w:sz w:val="20"/>
              </w:rPr>
            </w:pPr>
            <w:r>
              <w:rPr>
                <w:rFonts w:ascii="Arial Narrow" w:hAnsi="Arial Narrow"/>
                <w:sz w:val="20"/>
              </w:rPr>
              <w:t>(4</w:t>
            </w:r>
            <w:r w:rsidRPr="00FF6EDF">
              <w:rPr>
                <w:rFonts w:ascii="Arial Narrow" w:hAnsi="Arial Narrow"/>
                <w:sz w:val="20"/>
              </w:rPr>
              <w:t>) A detailed cover letter from the prescriber; and</w:t>
            </w:r>
          </w:p>
          <w:p w:rsidR="004012AD" w:rsidRDefault="004012AD" w:rsidP="00165268">
            <w:pPr>
              <w:rPr>
                <w:rFonts w:ascii="Arial Narrow" w:hAnsi="Arial Narrow"/>
                <w:sz w:val="20"/>
              </w:rPr>
            </w:pPr>
            <w:r>
              <w:rPr>
                <w:rFonts w:ascii="Arial Narrow" w:hAnsi="Arial Narrow"/>
                <w:sz w:val="20"/>
              </w:rPr>
              <w:t>(5</w:t>
            </w:r>
            <w:r w:rsidRPr="00FF6EDF">
              <w:rPr>
                <w:rFonts w:ascii="Arial Narrow" w:hAnsi="Arial Narrow"/>
                <w:sz w:val="20"/>
              </w:rPr>
              <w:t>) A copy of a current Certificate of vaccination or a statement that vaccination has or will be administered and appropriate antibiotic prophylaxis has been prescribed; and</w:t>
            </w:r>
          </w:p>
          <w:p w:rsidR="004012AD" w:rsidRPr="00E433D7" w:rsidRDefault="004012AD" w:rsidP="00165268">
            <w:pPr>
              <w:rPr>
                <w:rFonts w:ascii="Arial Narrow" w:hAnsi="Arial Narrow"/>
                <w:sz w:val="20"/>
              </w:rPr>
            </w:pPr>
            <w:r w:rsidRPr="00E433D7">
              <w:rPr>
                <w:rFonts w:ascii="Arial Narrow" w:hAnsi="Arial Narrow"/>
                <w:sz w:val="20"/>
              </w:rPr>
              <w:t xml:space="preserve">(6) Evidence of medium to high risk of TMA; and </w:t>
            </w:r>
          </w:p>
          <w:p w:rsidR="004012AD" w:rsidRDefault="004012AD" w:rsidP="00165268">
            <w:pPr>
              <w:rPr>
                <w:rFonts w:ascii="Arial Narrow" w:hAnsi="Arial Narrow"/>
                <w:sz w:val="20"/>
              </w:rPr>
            </w:pPr>
            <w:r w:rsidRPr="00E433D7">
              <w:rPr>
                <w:rFonts w:ascii="Arial Narrow" w:hAnsi="Arial Narrow"/>
                <w:sz w:val="20"/>
              </w:rPr>
              <w:t xml:space="preserve">(7) Evidence that the cause of end stage renal disease was due to </w:t>
            </w:r>
            <w:proofErr w:type="spellStart"/>
            <w:r w:rsidRPr="00E433D7">
              <w:rPr>
                <w:rFonts w:ascii="Arial Narrow" w:hAnsi="Arial Narrow"/>
                <w:sz w:val="20"/>
              </w:rPr>
              <w:t>aHUS</w:t>
            </w:r>
            <w:proofErr w:type="spellEnd"/>
            <w:r w:rsidRPr="00E433D7">
              <w:rPr>
                <w:rFonts w:ascii="Arial Narrow" w:hAnsi="Arial Narrow"/>
                <w:sz w:val="20"/>
              </w:rPr>
              <w:t>.</w:t>
            </w:r>
          </w:p>
          <w:p w:rsidR="004012AD" w:rsidRDefault="004012AD" w:rsidP="00165268">
            <w:pPr>
              <w:rPr>
                <w:rFonts w:ascii="Arial Narrow" w:hAnsi="Arial Narrow"/>
                <w:sz w:val="20"/>
              </w:rPr>
            </w:pPr>
          </w:p>
          <w:p w:rsidR="004012AD" w:rsidRPr="00E433D7" w:rsidRDefault="004012AD" w:rsidP="00165268">
            <w:pPr>
              <w:rPr>
                <w:rFonts w:ascii="Arial Narrow" w:hAnsi="Arial Narrow"/>
                <w:sz w:val="20"/>
              </w:rPr>
            </w:pPr>
            <w:r w:rsidRPr="00AA73F9">
              <w:rPr>
                <w:rFonts w:ascii="Arial Narrow" w:hAnsi="Arial Narrow"/>
                <w:sz w:val="20"/>
              </w:rPr>
              <w:t>A patient may qualify for PBS-subsidised treatment under this restriction once only</w:t>
            </w:r>
            <w:r w:rsidR="008907AB">
              <w:rPr>
                <w:rFonts w:ascii="Arial Narrow" w:hAnsi="Arial Narrow"/>
                <w:sz w:val="20"/>
              </w:rPr>
              <w:t xml:space="preserve"> per allograft</w:t>
            </w:r>
            <w:r w:rsidRPr="00AA73F9">
              <w:rPr>
                <w:rFonts w:ascii="Arial Narrow" w:hAnsi="Arial Narrow"/>
                <w:sz w:val="20"/>
              </w:rPr>
              <w:t>.</w:t>
            </w:r>
          </w:p>
          <w:p w:rsidR="004012AD" w:rsidRPr="00FF6EDF" w:rsidRDefault="004012AD" w:rsidP="00165268">
            <w:pPr>
              <w:tabs>
                <w:tab w:val="center" w:pos="3400"/>
              </w:tabs>
              <w:rPr>
                <w:rFonts w:ascii="Arial Narrow" w:hAnsi="Arial Narrow"/>
                <w:sz w:val="20"/>
              </w:rPr>
            </w:pPr>
          </w:p>
        </w:tc>
      </w:tr>
      <w:tr w:rsidR="004012AD" w:rsidRPr="00FF6EDF" w:rsidTr="00165268">
        <w:trPr>
          <w:trHeight w:val="354"/>
        </w:trPr>
        <w:tc>
          <w:tcPr>
            <w:tcW w:w="883" w:type="pct"/>
            <w:tcBorders>
              <w:top w:val="single" w:sz="4" w:space="0" w:color="auto"/>
              <w:left w:val="single" w:sz="4" w:space="0" w:color="auto"/>
              <w:bottom w:val="single" w:sz="4" w:space="0" w:color="auto"/>
              <w:right w:val="single" w:sz="4" w:space="0" w:color="auto"/>
            </w:tcBorders>
          </w:tcPr>
          <w:p w:rsidR="004012AD" w:rsidRPr="00FF6EDF" w:rsidRDefault="004012AD" w:rsidP="00165268">
            <w:pPr>
              <w:jc w:val="both"/>
              <w:rPr>
                <w:rFonts w:ascii="Arial Narrow" w:hAnsi="Arial Narrow"/>
                <w:b/>
                <w:sz w:val="20"/>
              </w:rPr>
            </w:pPr>
            <w:r w:rsidRPr="00FF6EDF">
              <w:rPr>
                <w:rFonts w:ascii="Arial Narrow" w:hAnsi="Arial Narrow"/>
                <w:b/>
                <w:sz w:val="20"/>
              </w:rPr>
              <w:t>Administrative Advice</w:t>
            </w:r>
          </w:p>
          <w:p w:rsidR="004012AD" w:rsidRPr="00FF7505" w:rsidRDefault="004012AD" w:rsidP="00165268">
            <w:pPr>
              <w:jc w:val="both"/>
              <w:rPr>
                <w:rFonts w:ascii="Arial Narrow" w:hAnsi="Arial Narrow"/>
                <w:sz w:val="20"/>
              </w:rPr>
            </w:pPr>
          </w:p>
        </w:tc>
        <w:tc>
          <w:tcPr>
            <w:tcW w:w="4117" w:type="pct"/>
            <w:gridSpan w:val="6"/>
            <w:tcBorders>
              <w:top w:val="single" w:sz="4" w:space="0" w:color="auto"/>
              <w:left w:val="single" w:sz="4" w:space="0" w:color="auto"/>
              <w:bottom w:val="single" w:sz="4" w:space="0" w:color="auto"/>
              <w:right w:val="single" w:sz="4" w:space="0" w:color="auto"/>
            </w:tcBorders>
          </w:tcPr>
          <w:p w:rsidR="004012AD" w:rsidRPr="00DE1C10" w:rsidRDefault="004012AD" w:rsidP="00165268">
            <w:pPr>
              <w:rPr>
                <w:rFonts w:ascii="Arial Narrow" w:hAnsi="Arial Narrow"/>
                <w:sz w:val="20"/>
              </w:rPr>
            </w:pPr>
            <w:r w:rsidRPr="00DE1C10">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4012AD" w:rsidRPr="00DE1C10" w:rsidRDefault="004012AD" w:rsidP="00165268">
            <w:pPr>
              <w:rPr>
                <w:rFonts w:ascii="Arial Narrow" w:hAnsi="Arial Narrow"/>
                <w:sz w:val="20"/>
              </w:rPr>
            </w:pPr>
          </w:p>
          <w:p w:rsidR="004012AD" w:rsidRPr="00DE1C10" w:rsidRDefault="004012AD" w:rsidP="00165268">
            <w:pPr>
              <w:rPr>
                <w:rFonts w:ascii="Arial Narrow" w:hAnsi="Arial Narrow"/>
                <w:sz w:val="20"/>
              </w:rPr>
            </w:pPr>
            <w:r w:rsidRPr="00DE1C10">
              <w:rPr>
                <w:rFonts w:ascii="Arial Narrow" w:hAnsi="Arial Narrow"/>
                <w:sz w:val="20"/>
              </w:rPr>
              <w:t xml:space="preserve">Prescribing information (including Authority Application forms and other relevant documentation as applicable) is available on the Department of Human Services website at www.humanservices.gov.au </w:t>
            </w:r>
          </w:p>
          <w:p w:rsidR="004012AD" w:rsidRPr="00DE1C10" w:rsidRDefault="004012AD" w:rsidP="00165268">
            <w:pPr>
              <w:rPr>
                <w:rFonts w:ascii="Arial Narrow" w:hAnsi="Arial Narrow"/>
                <w:sz w:val="20"/>
              </w:rPr>
            </w:pPr>
          </w:p>
          <w:p w:rsidR="004012AD" w:rsidRDefault="004012AD" w:rsidP="00165268">
            <w:pPr>
              <w:rPr>
                <w:rFonts w:ascii="Arial Narrow" w:hAnsi="Arial Narrow"/>
                <w:sz w:val="20"/>
              </w:rPr>
            </w:pPr>
            <w:r w:rsidRPr="00DE1C10">
              <w:rPr>
                <w:rFonts w:ascii="Arial Narrow" w:hAnsi="Arial Narrow"/>
                <w:sz w:val="20"/>
              </w:rPr>
              <w:t>Written applications for authority to prescribe must be submitted to Department of Human Services. Human Services will then contact</w:t>
            </w:r>
            <w:r>
              <w:rPr>
                <w:rFonts w:ascii="Arial Narrow" w:hAnsi="Arial Narrow"/>
                <w:sz w:val="20"/>
              </w:rPr>
              <w:t xml:space="preserve"> the prescriber by telephone.</w:t>
            </w:r>
          </w:p>
          <w:p w:rsidR="004012AD" w:rsidRPr="00DE1C10" w:rsidRDefault="004012AD" w:rsidP="00165268">
            <w:pPr>
              <w:rPr>
                <w:rFonts w:ascii="Arial Narrow" w:hAnsi="Arial Narrow"/>
                <w:sz w:val="20"/>
              </w:rPr>
            </w:pPr>
          </w:p>
          <w:p w:rsidR="004012AD" w:rsidRPr="00FF6EDF" w:rsidRDefault="004012AD" w:rsidP="00165268">
            <w:pPr>
              <w:rPr>
                <w:rFonts w:ascii="Arial Narrow" w:hAnsi="Arial Narrow"/>
                <w:sz w:val="20"/>
              </w:rPr>
            </w:pPr>
            <w:r>
              <w:rPr>
                <w:rFonts w:ascii="Arial Narrow" w:hAnsi="Arial Narrow"/>
                <w:sz w:val="20"/>
              </w:rPr>
              <w:t>The Authority application must</w:t>
            </w:r>
            <w:r w:rsidRPr="00FF6EDF">
              <w:rPr>
                <w:rFonts w:ascii="Arial Narrow" w:hAnsi="Arial Narrow"/>
                <w:sz w:val="20"/>
              </w:rPr>
              <w:t xml:space="preserve"> be accompanied by a cover letter from the prescriber, providing complete details on:</w:t>
            </w:r>
          </w:p>
          <w:p w:rsidR="004012AD" w:rsidRPr="00FF6EDF" w:rsidRDefault="004012AD" w:rsidP="00165268">
            <w:pPr>
              <w:rPr>
                <w:rFonts w:ascii="Arial Narrow" w:hAnsi="Arial Narrow"/>
                <w:sz w:val="20"/>
              </w:rPr>
            </w:pPr>
            <w:r w:rsidRPr="00FF6EDF">
              <w:rPr>
                <w:rFonts w:ascii="Arial Narrow" w:hAnsi="Arial Narrow"/>
                <w:sz w:val="20"/>
              </w:rPr>
              <w:t xml:space="preserve">a) </w:t>
            </w:r>
            <w:r>
              <w:rPr>
                <w:rFonts w:ascii="Arial Narrow" w:hAnsi="Arial Narrow"/>
                <w:sz w:val="20"/>
              </w:rPr>
              <w:t xml:space="preserve">Clinical and laboratory/biopsy details describing the cause of end stage renal disease; </w:t>
            </w:r>
          </w:p>
          <w:p w:rsidR="004012AD" w:rsidRPr="00FF6EDF" w:rsidRDefault="004012AD" w:rsidP="00165268">
            <w:pPr>
              <w:rPr>
                <w:rFonts w:ascii="Arial Narrow" w:hAnsi="Arial Narrow"/>
                <w:sz w:val="20"/>
              </w:rPr>
            </w:pPr>
            <w:r>
              <w:rPr>
                <w:rFonts w:ascii="Arial Narrow" w:hAnsi="Arial Narrow"/>
                <w:sz w:val="20"/>
              </w:rPr>
              <w:t>b</w:t>
            </w:r>
            <w:r w:rsidRPr="00FF6EDF">
              <w:rPr>
                <w:rFonts w:ascii="Arial Narrow" w:hAnsi="Arial Narrow"/>
                <w:sz w:val="20"/>
              </w:rPr>
              <w:t>) Results of testing for genetic mutations;</w:t>
            </w:r>
          </w:p>
          <w:p w:rsidR="004012AD" w:rsidRPr="00FF6EDF" w:rsidRDefault="004012AD" w:rsidP="00165268">
            <w:pPr>
              <w:rPr>
                <w:rFonts w:ascii="Arial Narrow" w:hAnsi="Arial Narrow"/>
                <w:sz w:val="20"/>
              </w:rPr>
            </w:pPr>
            <w:r>
              <w:rPr>
                <w:rFonts w:ascii="Arial Narrow" w:hAnsi="Arial Narrow"/>
                <w:sz w:val="20"/>
              </w:rPr>
              <w:t>c</w:t>
            </w:r>
            <w:r w:rsidRPr="00FF6EDF">
              <w:rPr>
                <w:rFonts w:ascii="Arial Narrow" w:hAnsi="Arial Narrow"/>
                <w:sz w:val="20"/>
              </w:rPr>
              <w:t xml:space="preserve">) Family history of </w:t>
            </w:r>
            <w:proofErr w:type="spellStart"/>
            <w:r w:rsidRPr="00FF6EDF">
              <w:rPr>
                <w:rFonts w:ascii="Arial Narrow" w:hAnsi="Arial Narrow"/>
                <w:sz w:val="20"/>
              </w:rPr>
              <w:t>aHUS</w:t>
            </w:r>
            <w:proofErr w:type="spellEnd"/>
            <w:r w:rsidRPr="00FF6EDF">
              <w:rPr>
                <w:rFonts w:ascii="Arial Narrow" w:hAnsi="Arial Narrow"/>
                <w:sz w:val="20"/>
              </w:rPr>
              <w:t>, especially in first-degree relatives;</w:t>
            </w:r>
          </w:p>
          <w:p w:rsidR="004012AD" w:rsidRPr="00FF6EDF" w:rsidRDefault="004012AD" w:rsidP="00165268">
            <w:pPr>
              <w:rPr>
                <w:rFonts w:ascii="Arial Narrow" w:hAnsi="Arial Narrow"/>
                <w:sz w:val="20"/>
              </w:rPr>
            </w:pPr>
            <w:r>
              <w:rPr>
                <w:rFonts w:ascii="Arial Narrow" w:hAnsi="Arial Narrow"/>
                <w:sz w:val="20"/>
              </w:rPr>
              <w:t>d</w:t>
            </w:r>
            <w:r w:rsidRPr="00FF6EDF">
              <w:rPr>
                <w:rFonts w:ascii="Arial Narrow" w:hAnsi="Arial Narrow"/>
                <w:sz w:val="20"/>
              </w:rPr>
              <w:t>) History of renal or other organ transplant;</w:t>
            </w:r>
          </w:p>
          <w:p w:rsidR="004012AD" w:rsidRDefault="004012AD" w:rsidP="00165268">
            <w:pPr>
              <w:rPr>
                <w:rFonts w:ascii="Arial Narrow" w:hAnsi="Arial Narrow"/>
                <w:sz w:val="20"/>
              </w:rPr>
            </w:pPr>
            <w:r>
              <w:rPr>
                <w:rFonts w:ascii="Arial Narrow" w:hAnsi="Arial Narrow"/>
                <w:sz w:val="20"/>
              </w:rPr>
              <w:t>e</w:t>
            </w:r>
            <w:r w:rsidRPr="00FF6EDF">
              <w:rPr>
                <w:rFonts w:ascii="Arial Narrow" w:hAnsi="Arial Narrow"/>
                <w:sz w:val="20"/>
              </w:rPr>
              <w:t>) Any other matters considered relevant by the prescriber.</w:t>
            </w:r>
          </w:p>
          <w:p w:rsidR="004012AD" w:rsidRPr="00DE1C10" w:rsidRDefault="004012AD" w:rsidP="00165268">
            <w:pPr>
              <w:rPr>
                <w:rFonts w:ascii="Arial Narrow" w:hAnsi="Arial Narrow"/>
                <w:sz w:val="20"/>
              </w:rPr>
            </w:pPr>
          </w:p>
          <w:p w:rsidR="004012AD" w:rsidRPr="00DE1C10" w:rsidRDefault="004012AD" w:rsidP="00165268">
            <w:pPr>
              <w:rPr>
                <w:rFonts w:ascii="Arial Narrow" w:hAnsi="Arial Narrow"/>
                <w:sz w:val="20"/>
              </w:rPr>
            </w:pPr>
            <w:r w:rsidRPr="00DE1C10">
              <w:rPr>
                <w:rFonts w:ascii="Arial Narrow" w:hAnsi="Arial Narrow"/>
                <w:sz w:val="20"/>
              </w:rPr>
              <w:t xml:space="preserve">The Authority application should include the results of screening for genetic mutations known to confer a high risk of developing </w:t>
            </w:r>
            <w:proofErr w:type="spellStart"/>
            <w:r w:rsidRPr="00DE1C10">
              <w:rPr>
                <w:rFonts w:ascii="Arial Narrow" w:hAnsi="Arial Narrow"/>
                <w:sz w:val="20"/>
              </w:rPr>
              <w:t>aHUS</w:t>
            </w:r>
            <w:proofErr w:type="spellEnd"/>
            <w:r w:rsidRPr="00DE1C10">
              <w:rPr>
                <w:rFonts w:ascii="Arial Narrow" w:hAnsi="Arial Narrow"/>
                <w:sz w:val="20"/>
              </w:rPr>
              <w:t xml:space="preserve">. The results of genetic screening should be provided whether or not a high-risk mutation has been identified. </w:t>
            </w:r>
          </w:p>
          <w:p w:rsidR="004012AD" w:rsidRPr="00DE1C10" w:rsidRDefault="004012AD" w:rsidP="00165268">
            <w:pPr>
              <w:rPr>
                <w:rFonts w:ascii="Arial Narrow" w:hAnsi="Arial Narrow"/>
                <w:sz w:val="20"/>
              </w:rPr>
            </w:pPr>
          </w:p>
          <w:p w:rsidR="004012AD" w:rsidRPr="00DE1C10" w:rsidRDefault="004012AD" w:rsidP="00165268">
            <w:pPr>
              <w:rPr>
                <w:rFonts w:ascii="Arial Narrow" w:hAnsi="Arial Narrow"/>
                <w:sz w:val="20"/>
              </w:rPr>
            </w:pPr>
            <w:r w:rsidRPr="00DE1C10">
              <w:rPr>
                <w:rFonts w:ascii="Arial Narrow" w:hAnsi="Arial Narrow"/>
                <w:sz w:val="20"/>
              </w:rPr>
              <w:t xml:space="preserve">WARNING: </w:t>
            </w:r>
            <w:proofErr w:type="spellStart"/>
            <w:r w:rsidRPr="00DE1C10">
              <w:rPr>
                <w:rFonts w:ascii="Arial Narrow" w:hAnsi="Arial Narrow"/>
                <w:sz w:val="20"/>
              </w:rPr>
              <w:t>Eculizumab</w:t>
            </w:r>
            <w:proofErr w:type="spellEnd"/>
            <w:r w:rsidRPr="00DE1C10">
              <w:rPr>
                <w:rFonts w:ascii="Arial Narrow" w:hAnsi="Arial Narrow"/>
                <w:sz w:val="20"/>
              </w:rPr>
              <w:t xml:space="preserve"> increases the risk of meningococcal infections (septicaemia and/or meningitis). </w:t>
            </w:r>
          </w:p>
          <w:p w:rsidR="004012AD" w:rsidRPr="00DE1C10" w:rsidRDefault="004012AD" w:rsidP="00165268">
            <w:pPr>
              <w:rPr>
                <w:rFonts w:ascii="Arial Narrow" w:hAnsi="Arial Narrow"/>
                <w:sz w:val="20"/>
              </w:rPr>
            </w:pPr>
          </w:p>
          <w:p w:rsidR="004012AD" w:rsidRDefault="004012AD" w:rsidP="00165268">
            <w:pPr>
              <w:rPr>
                <w:rFonts w:ascii="Arial Narrow" w:hAnsi="Arial Narrow"/>
                <w:sz w:val="20"/>
              </w:rPr>
            </w:pPr>
            <w:r w:rsidRPr="00DE1C10">
              <w:rPr>
                <w:rFonts w:ascii="Arial Narrow" w:hAnsi="Arial Narrow"/>
                <w:sz w:val="20"/>
              </w:rPr>
              <w:t>Please consult the approved PI for information about vaccination agai</w:t>
            </w:r>
            <w:r>
              <w:rPr>
                <w:rFonts w:ascii="Arial Narrow" w:hAnsi="Arial Narrow"/>
                <w:sz w:val="20"/>
              </w:rPr>
              <w:t>nst meningococcal infection.</w:t>
            </w:r>
          </w:p>
          <w:p w:rsidR="004012AD" w:rsidRPr="00DE1C10" w:rsidRDefault="004012AD" w:rsidP="00165268">
            <w:pPr>
              <w:rPr>
                <w:rFonts w:ascii="Arial Narrow" w:hAnsi="Arial Narrow"/>
                <w:sz w:val="20"/>
              </w:rPr>
            </w:pPr>
          </w:p>
          <w:p w:rsidR="004012AD" w:rsidRPr="00DE1C10" w:rsidRDefault="004012AD" w:rsidP="00165268">
            <w:pPr>
              <w:rPr>
                <w:rFonts w:ascii="Arial Narrow" w:hAnsi="Arial Narrow"/>
                <w:sz w:val="20"/>
              </w:rPr>
            </w:pPr>
            <w:r w:rsidRPr="00DE1C10">
              <w:rPr>
                <w:rFonts w:ascii="Arial Narrow" w:hAnsi="Arial Narrow"/>
                <w:sz w:val="20"/>
              </w:rPr>
              <w:t xml:space="preserve">At the time of authority application, medical practitioners must request the appropriate number of vials </w:t>
            </w:r>
            <w:r>
              <w:rPr>
                <w:rFonts w:ascii="Arial Narrow" w:hAnsi="Arial Narrow"/>
                <w:sz w:val="20"/>
              </w:rPr>
              <w:t>to provide sufficient drug for up to 10</w:t>
            </w:r>
            <w:r w:rsidRPr="00DE1C10">
              <w:rPr>
                <w:rFonts w:ascii="Arial Narrow" w:hAnsi="Arial Narrow"/>
                <w:sz w:val="20"/>
              </w:rPr>
              <w:t xml:space="preserve"> weeks, according to the specified dosage in the app</w:t>
            </w:r>
            <w:r>
              <w:rPr>
                <w:rFonts w:ascii="Arial Narrow" w:hAnsi="Arial Narrow"/>
                <w:sz w:val="20"/>
              </w:rPr>
              <w:t>roved Product Information (PI).  The first prescription will provide for up to two weeks’ treatment with no repeats.  The second prescription will provide for up to four weeks’ treatment with one repeat providing for eight weeks’ treatment.</w:t>
            </w:r>
          </w:p>
          <w:p w:rsidR="004012AD" w:rsidRPr="00DE1C10" w:rsidRDefault="004012AD" w:rsidP="00165268">
            <w:pPr>
              <w:rPr>
                <w:rFonts w:ascii="Arial Narrow" w:hAnsi="Arial Narrow"/>
                <w:sz w:val="20"/>
              </w:rPr>
            </w:pPr>
          </w:p>
          <w:p w:rsidR="004012AD" w:rsidRPr="00FF6EDF" w:rsidRDefault="004012AD" w:rsidP="00165268">
            <w:pPr>
              <w:rPr>
                <w:rFonts w:ascii="Arial Narrow" w:hAnsi="Arial Narrow"/>
                <w:sz w:val="20"/>
              </w:rPr>
            </w:pPr>
            <w:r w:rsidRPr="00DE1C10">
              <w:rPr>
                <w:rFonts w:ascii="Arial Narrow" w:hAnsi="Arial Narrow"/>
                <w:sz w:val="20"/>
              </w:rPr>
              <w:t>Applications for treatment with this drug where the dose and dosing frequency exceeds that specified in the approved PI will not be approved.</w:t>
            </w:r>
          </w:p>
          <w:p w:rsidR="004012AD" w:rsidRPr="00FF6EDF" w:rsidRDefault="004012AD" w:rsidP="00165268">
            <w:pPr>
              <w:rPr>
                <w:rFonts w:ascii="Arial Narrow" w:hAnsi="Arial Narrow"/>
                <w:sz w:val="20"/>
              </w:rPr>
            </w:pPr>
          </w:p>
        </w:tc>
      </w:tr>
    </w:tbl>
    <w:p w:rsidR="00617D5D" w:rsidRDefault="00617D5D" w:rsidP="00617D5D">
      <w:pPr>
        <w:pStyle w:val="NoSpacing"/>
        <w:rPr>
          <w:lang w:val="en-GB"/>
        </w:rPr>
      </w:pPr>
    </w:p>
    <w:p w:rsidR="00617D5D" w:rsidRDefault="00617D5D" w:rsidP="00617D5D">
      <w:pPr>
        <w:pStyle w:val="NoSpacing"/>
        <w:rPr>
          <w:lang w:val="en-GB"/>
        </w:rPr>
      </w:pPr>
    </w:p>
    <w:p w:rsidR="002523C2" w:rsidRPr="002523C2" w:rsidRDefault="002523C2" w:rsidP="002523C2">
      <w:pPr>
        <w:widowControl w:val="0"/>
        <w:numPr>
          <w:ilvl w:val="0"/>
          <w:numId w:val="5"/>
        </w:numPr>
        <w:spacing w:before="240" w:after="120"/>
        <w:jc w:val="both"/>
        <w:outlineLvl w:val="0"/>
        <w:rPr>
          <w:rFonts w:asciiTheme="minorHAnsi" w:hAnsiTheme="minorHAnsi" w:cs="Arial"/>
          <w:b/>
          <w:bCs/>
          <w:snapToGrid w:val="0"/>
          <w:sz w:val="32"/>
          <w:szCs w:val="32"/>
          <w:lang w:val="en-GB"/>
        </w:rPr>
      </w:pPr>
      <w:r w:rsidRPr="002523C2">
        <w:rPr>
          <w:rFonts w:asciiTheme="minorHAnsi" w:hAnsiTheme="minorHAnsi" w:cs="Arial"/>
          <w:b/>
          <w:bCs/>
          <w:snapToGrid w:val="0"/>
          <w:sz w:val="32"/>
          <w:szCs w:val="32"/>
          <w:lang w:val="en-GB"/>
        </w:rPr>
        <w:t>Context for Decision</w:t>
      </w:r>
    </w:p>
    <w:p w:rsidR="002523C2" w:rsidRPr="002523C2" w:rsidRDefault="002523C2" w:rsidP="002523C2">
      <w:pPr>
        <w:ind w:left="426"/>
        <w:jc w:val="both"/>
        <w:rPr>
          <w:rFonts w:asciiTheme="minorHAnsi" w:hAnsiTheme="minorHAnsi" w:cs="Arial"/>
        </w:rPr>
      </w:pPr>
    </w:p>
    <w:p w:rsidR="002523C2" w:rsidRPr="002523C2" w:rsidRDefault="002523C2" w:rsidP="004A6028">
      <w:pPr>
        <w:jc w:val="both"/>
        <w:rPr>
          <w:rFonts w:asciiTheme="minorHAnsi" w:hAnsiTheme="minorHAnsi" w:cs="Arial"/>
        </w:rPr>
      </w:pPr>
      <w:r w:rsidRPr="002523C2">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523C2" w:rsidRDefault="002523C2" w:rsidP="002523C2">
      <w:pPr>
        <w:ind w:left="426"/>
        <w:jc w:val="both"/>
        <w:rPr>
          <w:rFonts w:ascii="Arial" w:hAnsi="Arial" w:cs="Arial"/>
          <w:sz w:val="22"/>
        </w:rPr>
      </w:pPr>
    </w:p>
    <w:p w:rsidR="002523C2" w:rsidRPr="002523C2" w:rsidRDefault="002523C2" w:rsidP="002523C2">
      <w:pPr>
        <w:widowControl w:val="0"/>
        <w:numPr>
          <w:ilvl w:val="0"/>
          <w:numId w:val="5"/>
        </w:numPr>
        <w:spacing w:before="240" w:after="120"/>
        <w:jc w:val="both"/>
        <w:outlineLvl w:val="0"/>
        <w:rPr>
          <w:rFonts w:asciiTheme="minorHAnsi" w:hAnsiTheme="minorHAnsi" w:cs="Arial"/>
          <w:b/>
          <w:bCs/>
          <w:snapToGrid w:val="0"/>
          <w:sz w:val="32"/>
          <w:szCs w:val="32"/>
          <w:lang w:val="en-GB"/>
        </w:rPr>
      </w:pPr>
      <w:r w:rsidRPr="002523C2">
        <w:rPr>
          <w:rFonts w:asciiTheme="minorHAnsi" w:hAnsiTheme="minorHAnsi" w:cs="Arial"/>
          <w:b/>
          <w:bCs/>
          <w:snapToGrid w:val="0"/>
          <w:sz w:val="32"/>
          <w:szCs w:val="32"/>
          <w:lang w:val="en-GB"/>
        </w:rPr>
        <w:t>Sponsor’s Comment</w:t>
      </w:r>
    </w:p>
    <w:p w:rsidR="00AF6983" w:rsidRPr="00AF6983" w:rsidRDefault="00AF6983" w:rsidP="001544E4">
      <w:pPr>
        <w:pStyle w:val="PBACHeading1"/>
        <w:numPr>
          <w:ilvl w:val="0"/>
          <w:numId w:val="0"/>
        </w:numPr>
        <w:outlineLvl w:val="9"/>
        <w:rPr>
          <w:rFonts w:asciiTheme="minorHAnsi" w:eastAsiaTheme="minorHAnsi" w:hAnsiTheme="minorHAnsi"/>
          <w:b w:val="0"/>
          <w:sz w:val="24"/>
          <w:szCs w:val="24"/>
          <w:lang w:val="en-US"/>
        </w:rPr>
      </w:pPr>
      <w:r w:rsidRPr="00AF6983">
        <w:rPr>
          <w:rFonts w:asciiTheme="minorHAnsi" w:eastAsiaTheme="minorHAnsi" w:hAnsiTheme="minorHAnsi"/>
          <w:b w:val="0"/>
          <w:sz w:val="24"/>
          <w:szCs w:val="24"/>
          <w:lang w:val="en-US"/>
        </w:rPr>
        <w:t xml:space="preserve">Alexion is pleased that the PBAC has recommended extending the listing of </w:t>
      </w:r>
      <w:proofErr w:type="spellStart"/>
      <w:r w:rsidRPr="00AF6983">
        <w:rPr>
          <w:rFonts w:asciiTheme="minorHAnsi" w:eastAsiaTheme="minorHAnsi" w:hAnsiTheme="minorHAnsi"/>
          <w:b w:val="0"/>
          <w:sz w:val="24"/>
          <w:szCs w:val="24"/>
          <w:lang w:val="en-US"/>
        </w:rPr>
        <w:t>Soliris</w:t>
      </w:r>
      <w:proofErr w:type="spellEnd"/>
      <w:r w:rsidRPr="00AF6983">
        <w:rPr>
          <w:rFonts w:asciiTheme="minorHAnsi" w:eastAsiaTheme="minorHAnsi" w:hAnsiTheme="minorHAnsi"/>
          <w:b w:val="0"/>
          <w:sz w:val="24"/>
          <w:szCs w:val="24"/>
          <w:lang w:val="en-US"/>
        </w:rPr>
        <w:t xml:space="preserve"> (</w:t>
      </w:r>
      <w:proofErr w:type="spellStart"/>
      <w:r w:rsidRPr="00AF6983">
        <w:rPr>
          <w:rFonts w:asciiTheme="minorHAnsi" w:eastAsiaTheme="minorHAnsi" w:hAnsiTheme="minorHAnsi"/>
          <w:b w:val="0"/>
          <w:sz w:val="24"/>
          <w:szCs w:val="24"/>
          <w:lang w:val="en-US"/>
        </w:rPr>
        <w:t>eculizumab</w:t>
      </w:r>
      <w:proofErr w:type="spellEnd"/>
      <w:r w:rsidRPr="00AF6983">
        <w:rPr>
          <w:rFonts w:asciiTheme="minorHAnsi" w:eastAsiaTheme="minorHAnsi" w:hAnsiTheme="minorHAnsi"/>
          <w:b w:val="0"/>
          <w:sz w:val="24"/>
          <w:szCs w:val="24"/>
          <w:lang w:val="en-US"/>
        </w:rPr>
        <w:t xml:space="preserve">) to facilitate renal transplantation in patients with ESRD due to </w:t>
      </w:r>
      <w:proofErr w:type="spellStart"/>
      <w:r w:rsidRPr="00AF6983">
        <w:rPr>
          <w:rFonts w:asciiTheme="minorHAnsi" w:eastAsiaTheme="minorHAnsi" w:hAnsiTheme="minorHAnsi"/>
          <w:b w:val="0"/>
          <w:sz w:val="24"/>
          <w:szCs w:val="24"/>
          <w:lang w:val="en-US"/>
        </w:rPr>
        <w:t>aHUS</w:t>
      </w:r>
      <w:proofErr w:type="spellEnd"/>
      <w:r w:rsidRPr="00AF6983">
        <w:rPr>
          <w:rFonts w:asciiTheme="minorHAnsi" w:eastAsiaTheme="minorHAnsi" w:hAnsiTheme="minorHAnsi"/>
          <w:b w:val="0"/>
          <w:sz w:val="24"/>
          <w:szCs w:val="24"/>
          <w:lang w:val="en-US"/>
        </w:rPr>
        <w:t xml:space="preserve">.  All published and available evidence demonstrates that the risk of TMA manifestations is highest within the first year of transplantation. </w:t>
      </w:r>
      <w:r w:rsidRPr="00954CDA">
        <w:rPr>
          <w:rFonts w:asciiTheme="minorHAnsi" w:eastAsiaTheme="minorHAnsi" w:hAnsiTheme="minorHAnsi"/>
          <w:b w:val="0"/>
          <w:sz w:val="24"/>
          <w:szCs w:val="24"/>
          <w:lang w:val="en-US"/>
        </w:rPr>
        <w:t>Alexion is therefore concerned that the PBAC recommendation to administer therapy for only 3 months is not evidence-based and could place high risk patients (who have already experienced ESRD and required a renal transplant) at risk of subsequent TMA and graft failure.</w:t>
      </w:r>
      <w:r w:rsidRPr="00AF6983">
        <w:rPr>
          <w:rFonts w:asciiTheme="minorHAnsi" w:eastAsiaTheme="minorHAnsi" w:hAnsiTheme="minorHAnsi"/>
          <w:b w:val="0"/>
          <w:sz w:val="24"/>
          <w:szCs w:val="24"/>
          <w:lang w:val="en-US"/>
        </w:rPr>
        <w:t xml:space="preserve">   Alexion proposed a risk sharing agreement in the pre-PBAC response, and is willing to work collaboratively with the Department and PBAC to find a solution to ensure evidenced-based, safe and equitable care for transplant patients with </w:t>
      </w:r>
      <w:proofErr w:type="spellStart"/>
      <w:r w:rsidRPr="00AF6983">
        <w:rPr>
          <w:rFonts w:asciiTheme="minorHAnsi" w:eastAsiaTheme="minorHAnsi" w:hAnsiTheme="minorHAnsi"/>
          <w:b w:val="0"/>
          <w:sz w:val="24"/>
          <w:szCs w:val="24"/>
          <w:lang w:val="en-US"/>
        </w:rPr>
        <w:t>aHUS</w:t>
      </w:r>
      <w:proofErr w:type="spellEnd"/>
      <w:r w:rsidRPr="00AF6983">
        <w:rPr>
          <w:rFonts w:asciiTheme="minorHAnsi" w:eastAsiaTheme="minorHAnsi" w:hAnsiTheme="minorHAnsi"/>
          <w:b w:val="0"/>
          <w:sz w:val="24"/>
          <w:szCs w:val="24"/>
          <w:lang w:val="en-US"/>
        </w:rPr>
        <w:t xml:space="preserve">.  This includes an appropriate duration of therapy with </w:t>
      </w:r>
      <w:proofErr w:type="spellStart"/>
      <w:r w:rsidRPr="00AF6983">
        <w:rPr>
          <w:rFonts w:asciiTheme="minorHAnsi" w:eastAsiaTheme="minorHAnsi" w:hAnsiTheme="minorHAnsi"/>
          <w:b w:val="0"/>
          <w:sz w:val="24"/>
          <w:szCs w:val="24"/>
          <w:lang w:val="en-US"/>
        </w:rPr>
        <w:t>eculizumab</w:t>
      </w:r>
      <w:proofErr w:type="spellEnd"/>
      <w:r w:rsidRPr="00AF6983">
        <w:rPr>
          <w:rFonts w:asciiTheme="minorHAnsi" w:eastAsiaTheme="minorHAnsi" w:hAnsiTheme="minorHAnsi"/>
          <w:b w:val="0"/>
          <w:sz w:val="24"/>
          <w:szCs w:val="24"/>
          <w:lang w:val="en-US"/>
        </w:rPr>
        <w:t xml:space="preserve"> and coverage of inpatient treatment.   </w:t>
      </w:r>
      <w:bookmarkStart w:id="0" w:name="_GoBack"/>
      <w:bookmarkEnd w:id="0"/>
    </w:p>
    <w:p w:rsidR="002523C2" w:rsidRPr="002523C2" w:rsidRDefault="002523C2" w:rsidP="002523C2">
      <w:pPr>
        <w:ind w:left="426"/>
        <w:jc w:val="both"/>
        <w:rPr>
          <w:rFonts w:asciiTheme="minorHAnsi" w:hAnsiTheme="minorHAnsi" w:cs="Arial"/>
          <w:bCs/>
          <w:highlight w:val="yellow"/>
          <w:lang w:val="en-GB"/>
        </w:rPr>
      </w:pPr>
    </w:p>
    <w:p w:rsidR="00E32311" w:rsidRDefault="00E32311" w:rsidP="004A2484">
      <w:pPr>
        <w:jc w:val="both"/>
        <w:rPr>
          <w:rFonts w:asciiTheme="minorHAnsi" w:hAnsiTheme="minorHAnsi" w:cs="Arial"/>
          <w:sz w:val="22"/>
          <w:szCs w:val="22"/>
        </w:rPr>
      </w:pPr>
    </w:p>
    <w:sectPr w:rsidR="00E32311" w:rsidSect="00F437AD">
      <w:headerReference w:type="even" r:id="rId18"/>
      <w:footerReference w:type="even" r:id="rId19"/>
      <w:footerReference w:type="first" r:id="rId20"/>
      <w:pgSz w:w="11906" w:h="16838" w:code="9"/>
      <w:pgMar w:top="1440" w:right="1440" w:bottom="1440" w:left="1440" w:header="1440" w:footer="1440" w:gutter="0"/>
      <w:pgNumType w:start="24"/>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3BCF4" w15:done="0"/>
  <w15:commentEx w15:paraId="2E9D25E0" w15:done="0"/>
  <w15:commentEx w15:paraId="066FE4EA" w15:paraIdParent="2E9D25E0" w15:done="0"/>
  <w15:commentEx w15:paraId="701B0061" w15:done="0"/>
  <w15:commentEx w15:paraId="0A2F1615" w15:done="0"/>
  <w15:commentEx w15:paraId="605D441A" w15:done="0"/>
  <w15:commentEx w15:paraId="11FC0F08" w15:done="0"/>
  <w15:commentEx w15:paraId="38695792" w15:done="0"/>
  <w15:commentEx w15:paraId="26753A6E" w15:paraIdParent="386957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F9" w:rsidRDefault="000671F9">
      <w:r>
        <w:separator/>
      </w:r>
    </w:p>
    <w:p w:rsidR="000671F9" w:rsidRDefault="000671F9"/>
  </w:endnote>
  <w:endnote w:type="continuationSeparator" w:id="0">
    <w:p w:rsidR="000671F9" w:rsidRDefault="000671F9">
      <w:r>
        <w:continuationSeparator/>
      </w:r>
    </w:p>
    <w:p w:rsidR="000671F9" w:rsidRDefault="00067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p w:rsidR="00B250B9" w:rsidRDefault="00B250B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50B9" w:rsidRDefault="00B250B9">
    <w:pPr>
      <w:pStyle w:val="Footer"/>
    </w:pPr>
  </w:p>
  <w:p w:rsidR="00B250B9" w:rsidRDefault="00B250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523382546"/>
      <w:docPartObj>
        <w:docPartGallery w:val="Page Numbers (Bottom of Page)"/>
        <w:docPartUnique/>
      </w:docPartObj>
    </w:sdtPr>
    <w:sdtEndPr>
      <w:rPr>
        <w:noProof/>
      </w:rPr>
    </w:sdtEndPr>
    <w:sdtContent>
      <w:p w:rsidR="00B250B9" w:rsidRPr="005F3820" w:rsidRDefault="00B250B9">
        <w:pPr>
          <w:pStyle w:val="Footer"/>
          <w:jc w:val="center"/>
          <w:rPr>
            <w:rFonts w:asciiTheme="minorHAnsi" w:hAnsiTheme="minorHAnsi"/>
          </w:rPr>
        </w:pPr>
      </w:p>
      <w:p w:rsidR="00B250B9" w:rsidRPr="005F3820" w:rsidRDefault="00B250B9">
        <w:pPr>
          <w:pStyle w:val="Footer"/>
          <w:jc w:val="center"/>
          <w:rPr>
            <w:rFonts w:asciiTheme="minorHAnsi" w:hAnsiTheme="minorHAnsi"/>
          </w:rPr>
        </w:pPr>
        <w:r w:rsidRPr="005F3820">
          <w:rPr>
            <w:rFonts w:asciiTheme="minorHAnsi" w:hAnsiTheme="minorHAnsi"/>
          </w:rPr>
          <w:fldChar w:fldCharType="begin"/>
        </w:r>
        <w:r w:rsidRPr="005F3820">
          <w:rPr>
            <w:rFonts w:asciiTheme="minorHAnsi" w:hAnsiTheme="minorHAnsi"/>
          </w:rPr>
          <w:instrText xml:space="preserve"> PAGE   \* MERGEFORMAT </w:instrText>
        </w:r>
        <w:r w:rsidRPr="005F3820">
          <w:rPr>
            <w:rFonts w:asciiTheme="minorHAnsi" w:hAnsiTheme="minorHAnsi"/>
          </w:rPr>
          <w:fldChar w:fldCharType="separate"/>
        </w:r>
        <w:r w:rsidR="001544E4">
          <w:rPr>
            <w:rFonts w:asciiTheme="minorHAnsi" w:hAnsiTheme="minorHAnsi"/>
            <w:noProof/>
          </w:rPr>
          <w:t>2</w:t>
        </w:r>
        <w:r w:rsidRPr="005F3820">
          <w:rPr>
            <w:rFonts w:asciiTheme="minorHAnsi" w:hAnsiTheme="minorHAnsi"/>
            <w:noProof/>
          </w:rPr>
          <w:fldChar w:fldCharType="end"/>
        </w:r>
      </w:p>
    </w:sdtContent>
  </w:sdt>
  <w:p w:rsidR="00B250B9" w:rsidRPr="005F3820" w:rsidRDefault="00B250B9" w:rsidP="005F38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p w:rsidR="00B250B9" w:rsidRPr="007C0F57" w:rsidRDefault="00B250B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250B9" w:rsidRPr="007C0F57" w:rsidRDefault="00B250B9" w:rsidP="007C0F57">
    <w:pPr>
      <w:pStyle w:val="Footer"/>
      <w:jc w:val="center"/>
      <w:rPr>
        <w:b/>
        <w:i/>
        <w:sz w:val="20"/>
        <w:szCs w:val="20"/>
      </w:rPr>
    </w:pPr>
    <w:r w:rsidRPr="007C0F57">
      <w:rPr>
        <w:b/>
        <w:i/>
        <w:sz w:val="20"/>
        <w:szCs w:val="20"/>
      </w:rPr>
      <w:t>Commercial-in-Confidence</w:t>
    </w:r>
  </w:p>
  <w:p w:rsidR="00B250B9" w:rsidRDefault="00B250B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p w:rsidR="00B250B9" w:rsidRDefault="00B250B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50B9" w:rsidRDefault="00B250B9">
    <w:pPr>
      <w:pStyle w:val="Footer"/>
    </w:pPr>
  </w:p>
  <w:p w:rsidR="00B250B9" w:rsidRDefault="00B250B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p w:rsidR="00B250B9" w:rsidRPr="007C0F57" w:rsidRDefault="00B250B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250B9" w:rsidRPr="007C0F57" w:rsidRDefault="00B250B9" w:rsidP="007C0F57">
    <w:pPr>
      <w:pStyle w:val="Footer"/>
      <w:jc w:val="center"/>
      <w:rPr>
        <w:b/>
        <w:i/>
        <w:sz w:val="20"/>
        <w:szCs w:val="20"/>
      </w:rPr>
    </w:pPr>
    <w:r w:rsidRPr="007C0F57">
      <w:rPr>
        <w:b/>
        <w:i/>
        <w:sz w:val="20"/>
        <w:szCs w:val="20"/>
      </w:rPr>
      <w:t>Commercial-in-Confidence</w:t>
    </w:r>
  </w:p>
  <w:p w:rsidR="00B250B9" w:rsidRDefault="00B250B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p w:rsidR="00B250B9" w:rsidRDefault="00B250B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50B9" w:rsidRDefault="00B250B9">
    <w:pPr>
      <w:pStyle w:val="Footer"/>
    </w:pPr>
  </w:p>
  <w:p w:rsidR="00B250B9" w:rsidRDefault="00B250B9"/>
  <w:p w:rsidR="00B250B9" w:rsidRDefault="00B250B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250B9" w:rsidTr="005A3173">
      <w:trPr>
        <w:trHeight w:val="151"/>
      </w:trPr>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250B9" w:rsidRPr="005A3173" w:rsidRDefault="00B250B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50B9" w:rsidRPr="005A3173" w:rsidRDefault="00B250B9" w:rsidP="005A3173">
          <w:pPr>
            <w:pStyle w:val="Header"/>
            <w:spacing w:line="276" w:lineRule="auto"/>
            <w:rPr>
              <w:rFonts w:ascii="Calibri" w:eastAsia="MS Gothic" w:hAnsi="Calibri"/>
              <w:b/>
              <w:bCs/>
              <w:color w:val="4F81BD"/>
            </w:rPr>
          </w:pPr>
        </w:p>
      </w:tc>
    </w:tr>
    <w:tr w:rsidR="00B250B9" w:rsidTr="005A3173">
      <w:trPr>
        <w:trHeight w:val="150"/>
      </w:trPr>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c>
        <w:tcPr>
          <w:tcW w:w="0" w:type="auto"/>
          <w:vMerge/>
          <w:vAlign w:val="center"/>
          <w:hideMark/>
        </w:tcPr>
        <w:p w:rsidR="00B250B9" w:rsidRPr="005A3173" w:rsidRDefault="00B250B9" w:rsidP="005A3173">
          <w:pPr>
            <w:rPr>
              <w:rFonts w:ascii="Calibri" w:hAnsi="Calibri"/>
              <w:color w:val="365F91"/>
              <w:sz w:val="22"/>
              <w:szCs w:val="22"/>
            </w:rPr>
          </w:pPr>
        </w:p>
      </w:tc>
      <w:tc>
        <w:tcPr>
          <w:tcW w:w="2250" w:type="pct"/>
          <w:tcBorders>
            <w:top w:val="single" w:sz="4" w:space="0" w:color="4F81BD"/>
            <w:left w:val="nil"/>
            <w:bottom w:val="nil"/>
            <w:right w:val="nil"/>
          </w:tcBorders>
        </w:tcPr>
        <w:p w:rsidR="00B250B9" w:rsidRPr="005A3173" w:rsidRDefault="00B250B9" w:rsidP="005A3173">
          <w:pPr>
            <w:pStyle w:val="Header"/>
            <w:spacing w:line="276" w:lineRule="auto"/>
            <w:rPr>
              <w:rFonts w:ascii="Calibri" w:eastAsia="MS Gothic" w:hAnsi="Calibri"/>
              <w:b/>
              <w:bCs/>
              <w:color w:val="4F81BD"/>
            </w:rPr>
          </w:pPr>
        </w:p>
      </w:tc>
    </w:tr>
  </w:tbl>
  <w:p w:rsidR="00B250B9" w:rsidRPr="007C0F57" w:rsidRDefault="00B250B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250B9" w:rsidRPr="007C0F57" w:rsidRDefault="00B250B9" w:rsidP="007C0F57">
    <w:pPr>
      <w:pStyle w:val="Footer"/>
      <w:jc w:val="center"/>
      <w:rPr>
        <w:b/>
        <w:i/>
        <w:sz w:val="20"/>
        <w:szCs w:val="20"/>
      </w:rPr>
    </w:pPr>
    <w:r w:rsidRPr="007C0F57">
      <w:rPr>
        <w:b/>
        <w:i/>
        <w:sz w:val="20"/>
        <w:szCs w:val="20"/>
      </w:rPr>
      <w:t>Commercial-in-Confidence</w:t>
    </w:r>
  </w:p>
  <w:p w:rsidR="00B250B9" w:rsidRDefault="00B250B9"/>
  <w:p w:rsidR="00B250B9" w:rsidRDefault="00B250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F9" w:rsidRDefault="000671F9">
      <w:r>
        <w:separator/>
      </w:r>
    </w:p>
    <w:p w:rsidR="000671F9" w:rsidRDefault="000671F9"/>
  </w:footnote>
  <w:footnote w:type="continuationSeparator" w:id="0">
    <w:p w:rsidR="000671F9" w:rsidRDefault="000671F9">
      <w:r>
        <w:continuationSeparator/>
      </w:r>
    </w:p>
    <w:p w:rsidR="000671F9" w:rsidRDefault="000671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250B9" w:rsidRPr="008E0D90" w:rsidTr="00A06225">
      <w:trPr>
        <w:trHeight w:val="151"/>
      </w:trPr>
      <w:tc>
        <w:tcPr>
          <w:tcW w:w="2389" w:type="pct"/>
          <w:tcBorders>
            <w:top w:val="nil"/>
            <w:left w:val="nil"/>
            <w:bottom w:val="single" w:sz="4" w:space="0" w:color="4F81BD"/>
            <w:right w:val="nil"/>
          </w:tcBorders>
        </w:tcPr>
        <w:p w:rsidR="00B250B9" w:rsidRPr="00A06225" w:rsidRDefault="00B250B9">
          <w:pPr>
            <w:pStyle w:val="Header"/>
            <w:spacing w:line="276" w:lineRule="auto"/>
            <w:rPr>
              <w:rFonts w:ascii="Cambria" w:eastAsia="MS Gothic" w:hAnsi="Cambria"/>
              <w:b/>
              <w:bCs/>
              <w:color w:val="4F81BD"/>
            </w:rPr>
          </w:pPr>
        </w:p>
      </w:tc>
      <w:tc>
        <w:tcPr>
          <w:tcW w:w="333" w:type="pct"/>
          <w:vMerge w:val="restart"/>
          <w:noWrap/>
          <w:vAlign w:val="center"/>
          <w:hideMark/>
        </w:tcPr>
        <w:p w:rsidR="00B250B9" w:rsidRPr="00A06225" w:rsidRDefault="00B250B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250B9" w:rsidRPr="00A06225" w:rsidRDefault="00B250B9">
          <w:pPr>
            <w:pStyle w:val="Header"/>
            <w:spacing w:line="276" w:lineRule="auto"/>
            <w:rPr>
              <w:rFonts w:ascii="Cambria" w:eastAsia="MS Gothic" w:hAnsi="Cambria"/>
              <w:b/>
              <w:bCs/>
              <w:color w:val="4F81BD"/>
            </w:rPr>
          </w:pPr>
        </w:p>
      </w:tc>
    </w:tr>
    <w:tr w:rsidR="00B250B9" w:rsidRPr="008E0D90" w:rsidTr="00A06225">
      <w:trPr>
        <w:trHeight w:val="150"/>
      </w:trPr>
      <w:tc>
        <w:tcPr>
          <w:tcW w:w="2389" w:type="pct"/>
          <w:tcBorders>
            <w:top w:val="single" w:sz="4" w:space="0" w:color="4F81BD"/>
            <w:left w:val="nil"/>
            <w:bottom w:val="nil"/>
            <w:right w:val="nil"/>
          </w:tcBorders>
        </w:tcPr>
        <w:p w:rsidR="00B250B9" w:rsidRPr="00A06225" w:rsidRDefault="00B250B9">
          <w:pPr>
            <w:pStyle w:val="Header"/>
            <w:spacing w:line="276" w:lineRule="auto"/>
            <w:rPr>
              <w:rFonts w:ascii="Cambria" w:eastAsia="MS Gothic" w:hAnsi="Cambria"/>
              <w:b/>
              <w:bCs/>
              <w:color w:val="4F81BD"/>
            </w:rPr>
          </w:pPr>
        </w:p>
      </w:tc>
      <w:tc>
        <w:tcPr>
          <w:tcW w:w="0" w:type="auto"/>
          <w:vMerge/>
          <w:vAlign w:val="center"/>
          <w:hideMark/>
        </w:tcPr>
        <w:p w:rsidR="00B250B9" w:rsidRPr="00A06225" w:rsidRDefault="00B250B9">
          <w:pPr>
            <w:rPr>
              <w:rFonts w:ascii="Cambria" w:hAnsi="Cambria"/>
              <w:color w:val="4F81BD"/>
              <w:sz w:val="22"/>
              <w:szCs w:val="22"/>
            </w:rPr>
          </w:pPr>
        </w:p>
      </w:tc>
      <w:tc>
        <w:tcPr>
          <w:tcW w:w="2278" w:type="pct"/>
          <w:tcBorders>
            <w:top w:val="single" w:sz="4" w:space="0" w:color="4F81BD"/>
            <w:left w:val="nil"/>
            <w:bottom w:val="nil"/>
            <w:right w:val="nil"/>
          </w:tcBorders>
        </w:tcPr>
        <w:p w:rsidR="00B250B9" w:rsidRPr="00A06225" w:rsidRDefault="00B250B9">
          <w:pPr>
            <w:pStyle w:val="Header"/>
            <w:spacing w:line="276" w:lineRule="auto"/>
            <w:rPr>
              <w:rFonts w:ascii="Cambria" w:eastAsia="MS Gothic" w:hAnsi="Cambria"/>
              <w:b/>
              <w:bCs/>
              <w:color w:val="4F81BD"/>
            </w:rPr>
          </w:pPr>
        </w:p>
      </w:tc>
    </w:tr>
  </w:tbl>
  <w:p w:rsidR="00B250B9" w:rsidRDefault="00B250B9">
    <w:pPr>
      <w:pStyle w:val="Header"/>
    </w:pPr>
  </w:p>
  <w:p w:rsidR="00B250B9" w:rsidRDefault="00B250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0B9" w:rsidRPr="00131387" w:rsidRDefault="00B250B9" w:rsidP="005F3820">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Pr="00131387">
      <w:rPr>
        <w:rFonts w:asciiTheme="minorHAnsi" w:hAnsiTheme="minorHAnsi" w:cs="Arial"/>
        <w:i/>
        <w:color w:val="808080"/>
      </w:rPr>
      <w:t xml:space="preserve"> – </w:t>
    </w:r>
    <w:r>
      <w:rPr>
        <w:rFonts w:asciiTheme="minorHAnsi" w:hAnsiTheme="minorHAnsi" w:cs="Arial"/>
        <w:i/>
        <w:color w:val="808080"/>
      </w:rPr>
      <w:t>July 2017</w:t>
    </w:r>
    <w:r w:rsidRPr="00131387">
      <w:rPr>
        <w:rFonts w:asciiTheme="minorHAnsi" w:hAnsiTheme="minorHAnsi" w:cs="Arial"/>
        <w:i/>
        <w:color w:val="808080"/>
      </w:rPr>
      <w:t xml:space="preserve"> PBAC Meeting</w:t>
    </w:r>
  </w:p>
  <w:p w:rsidR="00B250B9" w:rsidRDefault="00B250B9"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F9" w:rsidRDefault="000671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250B9" w:rsidRPr="008E0D90" w:rsidTr="00A06225">
      <w:trPr>
        <w:trHeight w:val="151"/>
      </w:trPr>
      <w:tc>
        <w:tcPr>
          <w:tcW w:w="2389" w:type="pct"/>
          <w:tcBorders>
            <w:top w:val="nil"/>
            <w:left w:val="nil"/>
            <w:bottom w:val="single" w:sz="4" w:space="0" w:color="4F81BD"/>
            <w:right w:val="nil"/>
          </w:tcBorders>
        </w:tcPr>
        <w:p w:rsidR="00B250B9" w:rsidRPr="00A06225" w:rsidRDefault="00B250B9">
          <w:pPr>
            <w:pStyle w:val="Header"/>
            <w:spacing w:line="276" w:lineRule="auto"/>
            <w:rPr>
              <w:rFonts w:ascii="Cambria" w:eastAsia="MS Gothic" w:hAnsi="Cambria"/>
              <w:b/>
              <w:bCs/>
              <w:color w:val="4F81BD"/>
            </w:rPr>
          </w:pPr>
        </w:p>
      </w:tc>
      <w:tc>
        <w:tcPr>
          <w:tcW w:w="333" w:type="pct"/>
          <w:vMerge w:val="restart"/>
          <w:noWrap/>
          <w:vAlign w:val="center"/>
          <w:hideMark/>
        </w:tcPr>
        <w:p w:rsidR="00B250B9" w:rsidRPr="00A06225" w:rsidRDefault="00B250B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250B9" w:rsidRPr="00A06225" w:rsidRDefault="00B250B9">
          <w:pPr>
            <w:pStyle w:val="Header"/>
            <w:spacing w:line="276" w:lineRule="auto"/>
            <w:rPr>
              <w:rFonts w:ascii="Cambria" w:eastAsia="MS Gothic" w:hAnsi="Cambria"/>
              <w:b/>
              <w:bCs/>
              <w:color w:val="4F81BD"/>
            </w:rPr>
          </w:pPr>
        </w:p>
      </w:tc>
    </w:tr>
    <w:tr w:rsidR="00B250B9" w:rsidRPr="008E0D90" w:rsidTr="00A06225">
      <w:trPr>
        <w:trHeight w:val="150"/>
      </w:trPr>
      <w:tc>
        <w:tcPr>
          <w:tcW w:w="2389" w:type="pct"/>
          <w:tcBorders>
            <w:top w:val="single" w:sz="4" w:space="0" w:color="4F81BD"/>
            <w:left w:val="nil"/>
            <w:bottom w:val="nil"/>
            <w:right w:val="nil"/>
          </w:tcBorders>
        </w:tcPr>
        <w:p w:rsidR="00B250B9" w:rsidRPr="00A06225" w:rsidRDefault="00B250B9">
          <w:pPr>
            <w:pStyle w:val="Header"/>
            <w:spacing w:line="276" w:lineRule="auto"/>
            <w:rPr>
              <w:rFonts w:ascii="Cambria" w:eastAsia="MS Gothic" w:hAnsi="Cambria"/>
              <w:b/>
              <w:bCs/>
              <w:color w:val="4F81BD"/>
            </w:rPr>
          </w:pPr>
        </w:p>
      </w:tc>
      <w:tc>
        <w:tcPr>
          <w:tcW w:w="0" w:type="auto"/>
          <w:vMerge/>
          <w:vAlign w:val="center"/>
          <w:hideMark/>
        </w:tcPr>
        <w:p w:rsidR="00B250B9" w:rsidRPr="00A06225" w:rsidRDefault="00B250B9">
          <w:pPr>
            <w:rPr>
              <w:rFonts w:ascii="Cambria" w:hAnsi="Cambria"/>
              <w:color w:val="4F81BD"/>
              <w:sz w:val="22"/>
              <w:szCs w:val="22"/>
            </w:rPr>
          </w:pPr>
        </w:p>
      </w:tc>
      <w:tc>
        <w:tcPr>
          <w:tcW w:w="2278" w:type="pct"/>
          <w:tcBorders>
            <w:top w:val="single" w:sz="4" w:space="0" w:color="4F81BD"/>
            <w:left w:val="nil"/>
            <w:bottom w:val="nil"/>
            <w:right w:val="nil"/>
          </w:tcBorders>
        </w:tcPr>
        <w:p w:rsidR="00B250B9" w:rsidRPr="00A06225" w:rsidRDefault="00B250B9">
          <w:pPr>
            <w:pStyle w:val="Header"/>
            <w:spacing w:line="276" w:lineRule="auto"/>
            <w:rPr>
              <w:rFonts w:ascii="Cambria" w:eastAsia="MS Gothic" w:hAnsi="Cambria"/>
              <w:b/>
              <w:bCs/>
              <w:color w:val="4F81BD"/>
            </w:rPr>
          </w:pPr>
        </w:p>
      </w:tc>
    </w:tr>
  </w:tbl>
  <w:p w:rsidR="00B250B9" w:rsidRDefault="00B250B9">
    <w:pPr>
      <w:pStyle w:val="Header"/>
    </w:pPr>
  </w:p>
  <w:p w:rsidR="00B250B9" w:rsidRDefault="00B250B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250B9" w:rsidRPr="008E0D90" w:rsidTr="00A06225">
      <w:trPr>
        <w:trHeight w:val="151"/>
      </w:trPr>
      <w:tc>
        <w:tcPr>
          <w:tcW w:w="2389" w:type="pct"/>
          <w:tcBorders>
            <w:top w:val="nil"/>
            <w:left w:val="nil"/>
            <w:bottom w:val="single" w:sz="4" w:space="0" w:color="4F81BD"/>
            <w:right w:val="nil"/>
          </w:tcBorders>
        </w:tcPr>
        <w:p w:rsidR="00B250B9" w:rsidRPr="00A06225" w:rsidRDefault="00B250B9">
          <w:pPr>
            <w:pStyle w:val="Header"/>
            <w:spacing w:line="276" w:lineRule="auto"/>
            <w:rPr>
              <w:rFonts w:ascii="Cambria" w:eastAsia="MS Gothic" w:hAnsi="Cambria"/>
              <w:b/>
              <w:bCs/>
              <w:color w:val="4F81BD"/>
            </w:rPr>
          </w:pPr>
        </w:p>
      </w:tc>
      <w:tc>
        <w:tcPr>
          <w:tcW w:w="333" w:type="pct"/>
          <w:vMerge w:val="restart"/>
          <w:noWrap/>
          <w:vAlign w:val="center"/>
          <w:hideMark/>
        </w:tcPr>
        <w:p w:rsidR="00B250B9" w:rsidRPr="00A06225" w:rsidRDefault="00B250B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250B9" w:rsidRPr="00A06225" w:rsidRDefault="00B250B9">
          <w:pPr>
            <w:pStyle w:val="Header"/>
            <w:spacing w:line="276" w:lineRule="auto"/>
            <w:rPr>
              <w:rFonts w:ascii="Cambria" w:eastAsia="MS Gothic" w:hAnsi="Cambria"/>
              <w:b/>
              <w:bCs/>
              <w:color w:val="4F81BD"/>
            </w:rPr>
          </w:pPr>
        </w:p>
      </w:tc>
    </w:tr>
    <w:tr w:rsidR="00B250B9" w:rsidRPr="008E0D90" w:rsidTr="00A06225">
      <w:trPr>
        <w:trHeight w:val="150"/>
      </w:trPr>
      <w:tc>
        <w:tcPr>
          <w:tcW w:w="2389" w:type="pct"/>
          <w:tcBorders>
            <w:top w:val="single" w:sz="4" w:space="0" w:color="4F81BD"/>
            <w:left w:val="nil"/>
            <w:bottom w:val="nil"/>
            <w:right w:val="nil"/>
          </w:tcBorders>
        </w:tcPr>
        <w:p w:rsidR="00B250B9" w:rsidRPr="00A06225" w:rsidRDefault="00B250B9">
          <w:pPr>
            <w:pStyle w:val="Header"/>
            <w:spacing w:line="276" w:lineRule="auto"/>
            <w:rPr>
              <w:rFonts w:ascii="Cambria" w:eastAsia="MS Gothic" w:hAnsi="Cambria"/>
              <w:b/>
              <w:bCs/>
              <w:color w:val="4F81BD"/>
            </w:rPr>
          </w:pPr>
        </w:p>
      </w:tc>
      <w:tc>
        <w:tcPr>
          <w:tcW w:w="0" w:type="auto"/>
          <w:vMerge/>
          <w:vAlign w:val="center"/>
          <w:hideMark/>
        </w:tcPr>
        <w:p w:rsidR="00B250B9" w:rsidRPr="00A06225" w:rsidRDefault="00B250B9">
          <w:pPr>
            <w:rPr>
              <w:rFonts w:ascii="Cambria" w:hAnsi="Cambria"/>
              <w:color w:val="4F81BD"/>
              <w:sz w:val="22"/>
              <w:szCs w:val="22"/>
            </w:rPr>
          </w:pPr>
        </w:p>
      </w:tc>
      <w:tc>
        <w:tcPr>
          <w:tcW w:w="2278" w:type="pct"/>
          <w:tcBorders>
            <w:top w:val="single" w:sz="4" w:space="0" w:color="4F81BD"/>
            <w:left w:val="nil"/>
            <w:bottom w:val="nil"/>
            <w:right w:val="nil"/>
          </w:tcBorders>
        </w:tcPr>
        <w:p w:rsidR="00B250B9" w:rsidRPr="00A06225" w:rsidRDefault="00B250B9">
          <w:pPr>
            <w:pStyle w:val="Header"/>
            <w:spacing w:line="276" w:lineRule="auto"/>
            <w:rPr>
              <w:rFonts w:ascii="Cambria" w:eastAsia="MS Gothic" w:hAnsi="Cambria"/>
              <w:b/>
              <w:bCs/>
              <w:color w:val="4F81BD"/>
            </w:rPr>
          </w:pPr>
        </w:p>
      </w:tc>
    </w:tr>
  </w:tbl>
  <w:p w:rsidR="00B250B9" w:rsidRDefault="00B250B9">
    <w:pPr>
      <w:pStyle w:val="Header"/>
    </w:pPr>
  </w:p>
  <w:p w:rsidR="00B250B9" w:rsidRDefault="00B250B9"/>
  <w:p w:rsidR="00B250B9" w:rsidRDefault="00B250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4E1022"/>
    <w:multiLevelType w:val="hybridMultilevel"/>
    <w:tmpl w:val="99B42648"/>
    <w:lvl w:ilvl="0" w:tplc="2ECE06EC">
      <w:start w:val="1"/>
      <w:numFmt w:val="lowerRoman"/>
      <w:lvlText w:val="%1)"/>
      <w:lvlJc w:val="left"/>
      <w:pPr>
        <w:ind w:left="1429" w:hanging="360"/>
      </w:pPr>
      <w:rPr>
        <w:rFonts w:hint="default"/>
      </w:rPr>
    </w:lvl>
    <w:lvl w:ilvl="1" w:tplc="0C090003">
      <w:start w:val="1"/>
      <w:numFmt w:val="bullet"/>
      <w:lvlText w:val="o"/>
      <w:lvlJc w:val="left"/>
      <w:pPr>
        <w:ind w:left="2149" w:hanging="360"/>
      </w:pPr>
      <w:rPr>
        <w:rFonts w:ascii="Courier New" w:hAnsi="Courier New" w:cs="Courier New" w:hint="default"/>
      </w:rPr>
    </w:lvl>
    <w:lvl w:ilvl="2" w:tplc="E9C2673A">
      <w:start w:val="1"/>
      <w:numFmt w:val="decimal"/>
      <w:lvlText w:val="(%3)"/>
      <w:lvlJc w:val="left"/>
      <w:pPr>
        <w:ind w:left="1226" w:hanging="375"/>
      </w:pPr>
      <w:rPr>
        <w:rFont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28B162C"/>
    <w:multiLevelType w:val="hybridMultilevel"/>
    <w:tmpl w:val="778A65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130AC4"/>
    <w:multiLevelType w:val="hybridMultilevel"/>
    <w:tmpl w:val="D752254C"/>
    <w:lvl w:ilvl="0" w:tplc="B0A06F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272FF4"/>
    <w:multiLevelType w:val="hybridMultilevel"/>
    <w:tmpl w:val="D752254C"/>
    <w:lvl w:ilvl="0" w:tplc="B0A06F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EF026D"/>
    <w:multiLevelType w:val="hybridMultilevel"/>
    <w:tmpl w:val="12CA2CB6"/>
    <w:lvl w:ilvl="0" w:tplc="0C090001">
      <w:start w:val="1"/>
      <w:numFmt w:val="bullet"/>
      <w:lvlText w:val=""/>
      <w:lvlJc w:val="left"/>
      <w:pPr>
        <w:ind w:left="4680" w:hanging="360"/>
      </w:pPr>
      <w:rPr>
        <w:rFonts w:ascii="Symbol" w:hAnsi="Symbol" w:hint="default"/>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16D0D3F"/>
    <w:multiLevelType w:val="hybridMultilevel"/>
    <w:tmpl w:val="AA7020DE"/>
    <w:lvl w:ilvl="0" w:tplc="2E2A4B5C">
      <w:start w:val="1"/>
      <w:numFmt w:val="bullet"/>
      <w:lvlText w:val="•"/>
      <w:lvlJc w:val="left"/>
      <w:pPr>
        <w:tabs>
          <w:tab w:val="num" w:pos="720"/>
        </w:tabs>
        <w:ind w:left="720" w:hanging="360"/>
      </w:pPr>
      <w:rPr>
        <w:rFonts w:ascii="Arial" w:hAnsi="Arial" w:hint="default"/>
      </w:rPr>
    </w:lvl>
    <w:lvl w:ilvl="1" w:tplc="69D47D60" w:tentative="1">
      <w:start w:val="1"/>
      <w:numFmt w:val="bullet"/>
      <w:lvlText w:val="•"/>
      <w:lvlJc w:val="left"/>
      <w:pPr>
        <w:tabs>
          <w:tab w:val="num" w:pos="1440"/>
        </w:tabs>
        <w:ind w:left="1440" w:hanging="360"/>
      </w:pPr>
      <w:rPr>
        <w:rFonts w:ascii="Arial" w:hAnsi="Arial" w:hint="default"/>
      </w:rPr>
    </w:lvl>
    <w:lvl w:ilvl="2" w:tplc="2DEE500A" w:tentative="1">
      <w:start w:val="1"/>
      <w:numFmt w:val="bullet"/>
      <w:lvlText w:val="•"/>
      <w:lvlJc w:val="left"/>
      <w:pPr>
        <w:tabs>
          <w:tab w:val="num" w:pos="2160"/>
        </w:tabs>
        <w:ind w:left="2160" w:hanging="360"/>
      </w:pPr>
      <w:rPr>
        <w:rFonts w:ascii="Arial" w:hAnsi="Arial" w:hint="default"/>
      </w:rPr>
    </w:lvl>
    <w:lvl w:ilvl="3" w:tplc="F82C529C" w:tentative="1">
      <w:start w:val="1"/>
      <w:numFmt w:val="bullet"/>
      <w:lvlText w:val="•"/>
      <w:lvlJc w:val="left"/>
      <w:pPr>
        <w:tabs>
          <w:tab w:val="num" w:pos="2880"/>
        </w:tabs>
        <w:ind w:left="2880" w:hanging="360"/>
      </w:pPr>
      <w:rPr>
        <w:rFonts w:ascii="Arial" w:hAnsi="Arial" w:hint="default"/>
      </w:rPr>
    </w:lvl>
    <w:lvl w:ilvl="4" w:tplc="A57C3A0C" w:tentative="1">
      <w:start w:val="1"/>
      <w:numFmt w:val="bullet"/>
      <w:lvlText w:val="•"/>
      <w:lvlJc w:val="left"/>
      <w:pPr>
        <w:tabs>
          <w:tab w:val="num" w:pos="3600"/>
        </w:tabs>
        <w:ind w:left="3600" w:hanging="360"/>
      </w:pPr>
      <w:rPr>
        <w:rFonts w:ascii="Arial" w:hAnsi="Arial" w:hint="default"/>
      </w:rPr>
    </w:lvl>
    <w:lvl w:ilvl="5" w:tplc="6CD250DA" w:tentative="1">
      <w:start w:val="1"/>
      <w:numFmt w:val="bullet"/>
      <w:lvlText w:val="•"/>
      <w:lvlJc w:val="left"/>
      <w:pPr>
        <w:tabs>
          <w:tab w:val="num" w:pos="4320"/>
        </w:tabs>
        <w:ind w:left="4320" w:hanging="360"/>
      </w:pPr>
      <w:rPr>
        <w:rFonts w:ascii="Arial" w:hAnsi="Arial" w:hint="default"/>
      </w:rPr>
    </w:lvl>
    <w:lvl w:ilvl="6" w:tplc="1B90A1BC" w:tentative="1">
      <w:start w:val="1"/>
      <w:numFmt w:val="bullet"/>
      <w:lvlText w:val="•"/>
      <w:lvlJc w:val="left"/>
      <w:pPr>
        <w:tabs>
          <w:tab w:val="num" w:pos="5040"/>
        </w:tabs>
        <w:ind w:left="5040" w:hanging="360"/>
      </w:pPr>
      <w:rPr>
        <w:rFonts w:ascii="Arial" w:hAnsi="Arial" w:hint="default"/>
      </w:rPr>
    </w:lvl>
    <w:lvl w:ilvl="7" w:tplc="1C149620" w:tentative="1">
      <w:start w:val="1"/>
      <w:numFmt w:val="bullet"/>
      <w:lvlText w:val="•"/>
      <w:lvlJc w:val="left"/>
      <w:pPr>
        <w:tabs>
          <w:tab w:val="num" w:pos="5760"/>
        </w:tabs>
        <w:ind w:left="5760" w:hanging="360"/>
      </w:pPr>
      <w:rPr>
        <w:rFonts w:ascii="Arial" w:hAnsi="Arial" w:hint="default"/>
      </w:rPr>
    </w:lvl>
    <w:lvl w:ilvl="8" w:tplc="E8DA7436" w:tentative="1">
      <w:start w:val="1"/>
      <w:numFmt w:val="bullet"/>
      <w:lvlText w:val="•"/>
      <w:lvlJc w:val="left"/>
      <w:pPr>
        <w:tabs>
          <w:tab w:val="num" w:pos="6480"/>
        </w:tabs>
        <w:ind w:left="6480" w:hanging="360"/>
      </w:pPr>
      <w:rPr>
        <w:rFonts w:ascii="Arial" w:hAnsi="Arial" w:hint="default"/>
      </w:rPr>
    </w:lvl>
  </w:abstractNum>
  <w:abstractNum w:abstractNumId="22">
    <w:nsid w:val="522A6165"/>
    <w:multiLevelType w:val="hybridMultilevel"/>
    <w:tmpl w:val="3500C9B4"/>
    <w:lvl w:ilvl="0" w:tplc="F488CFD6">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7DD28F7"/>
    <w:multiLevelType w:val="hybridMultilevel"/>
    <w:tmpl w:val="8FAC3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8436BC0"/>
    <w:multiLevelType w:val="hybridMultilevel"/>
    <w:tmpl w:val="EEC221C0"/>
    <w:lvl w:ilvl="0" w:tplc="81424A1A">
      <w:start w:val="1"/>
      <w:numFmt w:val="lowerRoman"/>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7">
    <w:nsid w:val="784D033C"/>
    <w:multiLevelType w:val="multilevel"/>
    <w:tmpl w:val="199CC41C"/>
    <w:lvl w:ilvl="0">
      <w:start w:val="1"/>
      <w:numFmt w:val="decimal"/>
      <w:pStyle w:val="PBACHeading1"/>
      <w:lvlText w:val="%1"/>
      <w:lvlJc w:val="left"/>
      <w:pPr>
        <w:ind w:left="720" w:hanging="720"/>
      </w:pPr>
      <w:rPr>
        <w:rFonts w:hint="default"/>
        <w:b/>
        <w:i w:val="0"/>
      </w:rPr>
    </w:lvl>
    <w:lvl w:ilvl="1">
      <w:start w:val="1"/>
      <w:numFmt w:val="decimal"/>
      <w:lvlText w:val="%1.%2"/>
      <w:lvlJc w:val="left"/>
      <w:pPr>
        <w:ind w:left="1146"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0"/>
  </w:num>
  <w:num w:numId="5">
    <w:abstractNumId w:val="27"/>
  </w:num>
  <w:num w:numId="6">
    <w:abstractNumId w:val="9"/>
  </w:num>
  <w:num w:numId="7">
    <w:abstractNumId w:val="17"/>
  </w:num>
  <w:num w:numId="8">
    <w:abstractNumId w:val="4"/>
  </w:num>
  <w:num w:numId="9">
    <w:abstractNumId w:val="16"/>
  </w:num>
  <w:num w:numId="10">
    <w:abstractNumId w:val="14"/>
  </w:num>
  <w:num w:numId="11">
    <w:abstractNumId w:val="13"/>
  </w:num>
  <w:num w:numId="12">
    <w:abstractNumId w:val="1"/>
  </w:num>
  <w:num w:numId="13">
    <w:abstractNumId w:val="0"/>
  </w:num>
  <w:num w:numId="14">
    <w:abstractNumId w:val="27"/>
  </w:num>
  <w:num w:numId="15">
    <w:abstractNumId w:val="25"/>
  </w:num>
  <w:num w:numId="16">
    <w:abstractNumId w:val="22"/>
  </w:num>
  <w:num w:numId="17">
    <w:abstractNumId w:val="8"/>
  </w:num>
  <w:num w:numId="18">
    <w:abstractNumId w:val="5"/>
  </w:num>
  <w:num w:numId="19">
    <w:abstractNumId w:val="26"/>
  </w:num>
  <w:num w:numId="20">
    <w:abstractNumId w:val="15"/>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24"/>
  </w:num>
  <w:num w:numId="25">
    <w:abstractNumId w:val="6"/>
  </w:num>
  <w:num w:numId="26">
    <w:abstractNumId w:val="2"/>
  </w:num>
  <w:num w:numId="27">
    <w:abstractNumId w:val="11"/>
  </w:num>
  <w:num w:numId="28">
    <w:abstractNumId w:val="18"/>
  </w:num>
  <w:num w:numId="29">
    <w:abstractNumId w:val="1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E50"/>
    <w:rsid w:val="00017BDE"/>
    <w:rsid w:val="0002252D"/>
    <w:rsid w:val="00023580"/>
    <w:rsid w:val="0002464A"/>
    <w:rsid w:val="0003106B"/>
    <w:rsid w:val="000319EA"/>
    <w:rsid w:val="00041D1E"/>
    <w:rsid w:val="000421A1"/>
    <w:rsid w:val="0004240E"/>
    <w:rsid w:val="00045E26"/>
    <w:rsid w:val="000477B1"/>
    <w:rsid w:val="000506B8"/>
    <w:rsid w:val="000514B5"/>
    <w:rsid w:val="00060E64"/>
    <w:rsid w:val="000618B3"/>
    <w:rsid w:val="00061AD2"/>
    <w:rsid w:val="00066755"/>
    <w:rsid w:val="000671F9"/>
    <w:rsid w:val="00072E19"/>
    <w:rsid w:val="00077143"/>
    <w:rsid w:val="0008186B"/>
    <w:rsid w:val="00084D38"/>
    <w:rsid w:val="000969AD"/>
    <w:rsid w:val="000A2C16"/>
    <w:rsid w:val="000A3EF8"/>
    <w:rsid w:val="000A4955"/>
    <w:rsid w:val="000A6EB5"/>
    <w:rsid w:val="000B4114"/>
    <w:rsid w:val="000B558D"/>
    <w:rsid w:val="000C15B1"/>
    <w:rsid w:val="000C6996"/>
    <w:rsid w:val="000D23BA"/>
    <w:rsid w:val="000E681E"/>
    <w:rsid w:val="000F4E6A"/>
    <w:rsid w:val="00106AF8"/>
    <w:rsid w:val="00106C61"/>
    <w:rsid w:val="001107BF"/>
    <w:rsid w:val="00116BFD"/>
    <w:rsid w:val="00122EC2"/>
    <w:rsid w:val="0012417C"/>
    <w:rsid w:val="0012486C"/>
    <w:rsid w:val="0013077C"/>
    <w:rsid w:val="00142395"/>
    <w:rsid w:val="00142714"/>
    <w:rsid w:val="001452ED"/>
    <w:rsid w:val="001544E4"/>
    <w:rsid w:val="00165268"/>
    <w:rsid w:val="0017451F"/>
    <w:rsid w:val="00174882"/>
    <w:rsid w:val="00182374"/>
    <w:rsid w:val="001827CF"/>
    <w:rsid w:val="001830CE"/>
    <w:rsid w:val="00183E70"/>
    <w:rsid w:val="0018643B"/>
    <w:rsid w:val="00186813"/>
    <w:rsid w:val="00194CEB"/>
    <w:rsid w:val="00196307"/>
    <w:rsid w:val="001A33EA"/>
    <w:rsid w:val="001A756D"/>
    <w:rsid w:val="001B017F"/>
    <w:rsid w:val="001B5129"/>
    <w:rsid w:val="001B587E"/>
    <w:rsid w:val="001B6693"/>
    <w:rsid w:val="001B7B5D"/>
    <w:rsid w:val="001C1195"/>
    <w:rsid w:val="001D6D49"/>
    <w:rsid w:val="001E27D1"/>
    <w:rsid w:val="002020FE"/>
    <w:rsid w:val="00212B70"/>
    <w:rsid w:val="002133F2"/>
    <w:rsid w:val="00213CFB"/>
    <w:rsid w:val="002166D6"/>
    <w:rsid w:val="00222D47"/>
    <w:rsid w:val="00230020"/>
    <w:rsid w:val="002523C2"/>
    <w:rsid w:val="00252EBF"/>
    <w:rsid w:val="002537D5"/>
    <w:rsid w:val="00256C38"/>
    <w:rsid w:val="00260836"/>
    <w:rsid w:val="002626CB"/>
    <w:rsid w:val="002634B3"/>
    <w:rsid w:val="00271BA1"/>
    <w:rsid w:val="002755C4"/>
    <w:rsid w:val="002762FA"/>
    <w:rsid w:val="00277505"/>
    <w:rsid w:val="00284112"/>
    <w:rsid w:val="0029190D"/>
    <w:rsid w:val="00292BAA"/>
    <w:rsid w:val="0029458F"/>
    <w:rsid w:val="002A104C"/>
    <w:rsid w:val="002A4960"/>
    <w:rsid w:val="002A5D4F"/>
    <w:rsid w:val="002B1AE6"/>
    <w:rsid w:val="002B30F8"/>
    <w:rsid w:val="002C1807"/>
    <w:rsid w:val="002C212F"/>
    <w:rsid w:val="002D01B9"/>
    <w:rsid w:val="002D1D0D"/>
    <w:rsid w:val="002D705D"/>
    <w:rsid w:val="002E3153"/>
    <w:rsid w:val="002E6771"/>
    <w:rsid w:val="002E72CA"/>
    <w:rsid w:val="002F7AA3"/>
    <w:rsid w:val="00300AD6"/>
    <w:rsid w:val="0031168A"/>
    <w:rsid w:val="00313BE4"/>
    <w:rsid w:val="00321011"/>
    <w:rsid w:val="00326E79"/>
    <w:rsid w:val="003367EF"/>
    <w:rsid w:val="00341AE4"/>
    <w:rsid w:val="003428C2"/>
    <w:rsid w:val="003472FB"/>
    <w:rsid w:val="00365852"/>
    <w:rsid w:val="00380A2D"/>
    <w:rsid w:val="003821E4"/>
    <w:rsid w:val="00386E8D"/>
    <w:rsid w:val="003872CF"/>
    <w:rsid w:val="00394CB0"/>
    <w:rsid w:val="0039782C"/>
    <w:rsid w:val="003A068D"/>
    <w:rsid w:val="003A10C2"/>
    <w:rsid w:val="003A4A1D"/>
    <w:rsid w:val="003A500E"/>
    <w:rsid w:val="003A5680"/>
    <w:rsid w:val="003A5B4A"/>
    <w:rsid w:val="003B23C5"/>
    <w:rsid w:val="003B2A75"/>
    <w:rsid w:val="003B2ECC"/>
    <w:rsid w:val="003C010F"/>
    <w:rsid w:val="003C3A7A"/>
    <w:rsid w:val="003C7449"/>
    <w:rsid w:val="003D4AC4"/>
    <w:rsid w:val="003D63B7"/>
    <w:rsid w:val="003E461A"/>
    <w:rsid w:val="003E468B"/>
    <w:rsid w:val="003F508F"/>
    <w:rsid w:val="003F5C8C"/>
    <w:rsid w:val="004012AD"/>
    <w:rsid w:val="00402D0E"/>
    <w:rsid w:val="0043148C"/>
    <w:rsid w:val="00435247"/>
    <w:rsid w:val="0043773A"/>
    <w:rsid w:val="004379C8"/>
    <w:rsid w:val="004465BD"/>
    <w:rsid w:val="004507B6"/>
    <w:rsid w:val="00454419"/>
    <w:rsid w:val="00455302"/>
    <w:rsid w:val="00456745"/>
    <w:rsid w:val="00463462"/>
    <w:rsid w:val="00466ADA"/>
    <w:rsid w:val="004735B8"/>
    <w:rsid w:val="00474666"/>
    <w:rsid w:val="00476245"/>
    <w:rsid w:val="00485940"/>
    <w:rsid w:val="00486AD7"/>
    <w:rsid w:val="004A2484"/>
    <w:rsid w:val="004A5A85"/>
    <w:rsid w:val="004A6028"/>
    <w:rsid w:val="004A781C"/>
    <w:rsid w:val="004B4070"/>
    <w:rsid w:val="004B4B26"/>
    <w:rsid w:val="004B5640"/>
    <w:rsid w:val="004B656B"/>
    <w:rsid w:val="004C1BD7"/>
    <w:rsid w:val="004C691D"/>
    <w:rsid w:val="004D3818"/>
    <w:rsid w:val="004D7281"/>
    <w:rsid w:val="004E0316"/>
    <w:rsid w:val="004E2D74"/>
    <w:rsid w:val="004E692D"/>
    <w:rsid w:val="004F00C2"/>
    <w:rsid w:val="004F2EE3"/>
    <w:rsid w:val="00501554"/>
    <w:rsid w:val="00502051"/>
    <w:rsid w:val="0050680F"/>
    <w:rsid w:val="00507ABD"/>
    <w:rsid w:val="00514CD7"/>
    <w:rsid w:val="00521C2E"/>
    <w:rsid w:val="0052511D"/>
    <w:rsid w:val="005311F2"/>
    <w:rsid w:val="005319B2"/>
    <w:rsid w:val="0053225D"/>
    <w:rsid w:val="00532C74"/>
    <w:rsid w:val="00534E2E"/>
    <w:rsid w:val="00544552"/>
    <w:rsid w:val="005460B5"/>
    <w:rsid w:val="0056368B"/>
    <w:rsid w:val="0057501F"/>
    <w:rsid w:val="00581932"/>
    <w:rsid w:val="00581FB3"/>
    <w:rsid w:val="005869D0"/>
    <w:rsid w:val="005963BB"/>
    <w:rsid w:val="005A241A"/>
    <w:rsid w:val="005A3173"/>
    <w:rsid w:val="005A3223"/>
    <w:rsid w:val="005A3DA3"/>
    <w:rsid w:val="005A52C4"/>
    <w:rsid w:val="005A6885"/>
    <w:rsid w:val="005A7CE1"/>
    <w:rsid w:val="005B7BB5"/>
    <w:rsid w:val="005D02B7"/>
    <w:rsid w:val="005D03AB"/>
    <w:rsid w:val="005D5017"/>
    <w:rsid w:val="005D6ABA"/>
    <w:rsid w:val="005E0209"/>
    <w:rsid w:val="005E1665"/>
    <w:rsid w:val="005E1BE4"/>
    <w:rsid w:val="005F3820"/>
    <w:rsid w:val="00601A91"/>
    <w:rsid w:val="00602BA3"/>
    <w:rsid w:val="00603098"/>
    <w:rsid w:val="00606B89"/>
    <w:rsid w:val="00614159"/>
    <w:rsid w:val="0061730C"/>
    <w:rsid w:val="00617C00"/>
    <w:rsid w:val="00617D5D"/>
    <w:rsid w:val="006203CB"/>
    <w:rsid w:val="006263BF"/>
    <w:rsid w:val="0062748A"/>
    <w:rsid w:val="00630A2C"/>
    <w:rsid w:val="0064358C"/>
    <w:rsid w:val="00651169"/>
    <w:rsid w:val="00653D69"/>
    <w:rsid w:val="0066178B"/>
    <w:rsid w:val="00664340"/>
    <w:rsid w:val="006649BF"/>
    <w:rsid w:val="00670A76"/>
    <w:rsid w:val="006711AA"/>
    <w:rsid w:val="00672B57"/>
    <w:rsid w:val="00675462"/>
    <w:rsid w:val="00675622"/>
    <w:rsid w:val="006906DB"/>
    <w:rsid w:val="00691117"/>
    <w:rsid w:val="00694712"/>
    <w:rsid w:val="006A12A5"/>
    <w:rsid w:val="006A4C38"/>
    <w:rsid w:val="006A4F59"/>
    <w:rsid w:val="006A560B"/>
    <w:rsid w:val="006B0C6D"/>
    <w:rsid w:val="006B0D94"/>
    <w:rsid w:val="006B485D"/>
    <w:rsid w:val="006B5261"/>
    <w:rsid w:val="006C708E"/>
    <w:rsid w:val="006D6EC7"/>
    <w:rsid w:val="006D748E"/>
    <w:rsid w:val="006E4667"/>
    <w:rsid w:val="006F5125"/>
    <w:rsid w:val="0070054A"/>
    <w:rsid w:val="00702140"/>
    <w:rsid w:val="007026EB"/>
    <w:rsid w:val="007174BB"/>
    <w:rsid w:val="007246DD"/>
    <w:rsid w:val="007249CF"/>
    <w:rsid w:val="00724F9E"/>
    <w:rsid w:val="007250D8"/>
    <w:rsid w:val="00740FEE"/>
    <w:rsid w:val="00743F03"/>
    <w:rsid w:val="00750E9A"/>
    <w:rsid w:val="0076420C"/>
    <w:rsid w:val="00765133"/>
    <w:rsid w:val="00771659"/>
    <w:rsid w:val="00771DE8"/>
    <w:rsid w:val="007753C2"/>
    <w:rsid w:val="007838B8"/>
    <w:rsid w:val="00787DF7"/>
    <w:rsid w:val="00794CD1"/>
    <w:rsid w:val="007C0F57"/>
    <w:rsid w:val="007C40B6"/>
    <w:rsid w:val="007C449B"/>
    <w:rsid w:val="007C729F"/>
    <w:rsid w:val="007C7BF7"/>
    <w:rsid w:val="007D4DCF"/>
    <w:rsid w:val="007E1D28"/>
    <w:rsid w:val="007E2D13"/>
    <w:rsid w:val="007E4DBE"/>
    <w:rsid w:val="007F2641"/>
    <w:rsid w:val="007F56F7"/>
    <w:rsid w:val="007F74EF"/>
    <w:rsid w:val="007F7C36"/>
    <w:rsid w:val="00806796"/>
    <w:rsid w:val="008151D6"/>
    <w:rsid w:val="0082367E"/>
    <w:rsid w:val="00826F6D"/>
    <w:rsid w:val="00831CBA"/>
    <w:rsid w:val="00837E2F"/>
    <w:rsid w:val="00844CB9"/>
    <w:rsid w:val="00850B72"/>
    <w:rsid w:val="008530F3"/>
    <w:rsid w:val="008533FB"/>
    <w:rsid w:val="00856DDD"/>
    <w:rsid w:val="00863E68"/>
    <w:rsid w:val="00865E97"/>
    <w:rsid w:val="00875B97"/>
    <w:rsid w:val="00881AAE"/>
    <w:rsid w:val="00882085"/>
    <w:rsid w:val="00883188"/>
    <w:rsid w:val="008907AB"/>
    <w:rsid w:val="00890AC0"/>
    <w:rsid w:val="00897D58"/>
    <w:rsid w:val="008A1956"/>
    <w:rsid w:val="008A4937"/>
    <w:rsid w:val="008A50F1"/>
    <w:rsid w:val="008A7B3C"/>
    <w:rsid w:val="008B3078"/>
    <w:rsid w:val="008B70DA"/>
    <w:rsid w:val="008C1F6E"/>
    <w:rsid w:val="008C3606"/>
    <w:rsid w:val="008C7088"/>
    <w:rsid w:val="008D1B5C"/>
    <w:rsid w:val="008D2931"/>
    <w:rsid w:val="008D3C82"/>
    <w:rsid w:val="008D447E"/>
    <w:rsid w:val="008D7A41"/>
    <w:rsid w:val="008E0BEE"/>
    <w:rsid w:val="008E11C7"/>
    <w:rsid w:val="008E3680"/>
    <w:rsid w:val="008E5870"/>
    <w:rsid w:val="008F1434"/>
    <w:rsid w:val="008F7355"/>
    <w:rsid w:val="00901D7C"/>
    <w:rsid w:val="00905B8A"/>
    <w:rsid w:val="009067B7"/>
    <w:rsid w:val="00906C5A"/>
    <w:rsid w:val="009205A7"/>
    <w:rsid w:val="00930937"/>
    <w:rsid w:val="0093204D"/>
    <w:rsid w:val="00933E6C"/>
    <w:rsid w:val="00934C74"/>
    <w:rsid w:val="00942160"/>
    <w:rsid w:val="0094416E"/>
    <w:rsid w:val="00950B6C"/>
    <w:rsid w:val="0095146F"/>
    <w:rsid w:val="00954CDA"/>
    <w:rsid w:val="009602C5"/>
    <w:rsid w:val="00962223"/>
    <w:rsid w:val="00974C21"/>
    <w:rsid w:val="00975505"/>
    <w:rsid w:val="009816F5"/>
    <w:rsid w:val="0098270C"/>
    <w:rsid w:val="0098528E"/>
    <w:rsid w:val="009A5BA8"/>
    <w:rsid w:val="009B0F67"/>
    <w:rsid w:val="009C703C"/>
    <w:rsid w:val="009D030F"/>
    <w:rsid w:val="009D0C44"/>
    <w:rsid w:val="009D3CAA"/>
    <w:rsid w:val="009E6FF9"/>
    <w:rsid w:val="009F4E46"/>
    <w:rsid w:val="009F5B65"/>
    <w:rsid w:val="009F5F2E"/>
    <w:rsid w:val="00A06225"/>
    <w:rsid w:val="00A128E6"/>
    <w:rsid w:val="00A12D60"/>
    <w:rsid w:val="00A13719"/>
    <w:rsid w:val="00A20DC4"/>
    <w:rsid w:val="00A25556"/>
    <w:rsid w:val="00A25D49"/>
    <w:rsid w:val="00A37C8D"/>
    <w:rsid w:val="00A40F44"/>
    <w:rsid w:val="00A452E3"/>
    <w:rsid w:val="00A5273B"/>
    <w:rsid w:val="00A53A9D"/>
    <w:rsid w:val="00A55FEE"/>
    <w:rsid w:val="00A618B6"/>
    <w:rsid w:val="00A6244C"/>
    <w:rsid w:val="00A62C1A"/>
    <w:rsid w:val="00A63D7A"/>
    <w:rsid w:val="00A6426D"/>
    <w:rsid w:val="00A65E68"/>
    <w:rsid w:val="00A662F5"/>
    <w:rsid w:val="00A70622"/>
    <w:rsid w:val="00A7076C"/>
    <w:rsid w:val="00A70977"/>
    <w:rsid w:val="00A739F8"/>
    <w:rsid w:val="00A752AF"/>
    <w:rsid w:val="00A77613"/>
    <w:rsid w:val="00A8390C"/>
    <w:rsid w:val="00A858A4"/>
    <w:rsid w:val="00A86710"/>
    <w:rsid w:val="00A928BD"/>
    <w:rsid w:val="00A96394"/>
    <w:rsid w:val="00AA4D1C"/>
    <w:rsid w:val="00AB68B6"/>
    <w:rsid w:val="00AC193C"/>
    <w:rsid w:val="00AC46FC"/>
    <w:rsid w:val="00AC5206"/>
    <w:rsid w:val="00AD399E"/>
    <w:rsid w:val="00AE11A5"/>
    <w:rsid w:val="00AE13E2"/>
    <w:rsid w:val="00AE17EB"/>
    <w:rsid w:val="00AE1F17"/>
    <w:rsid w:val="00AE36F2"/>
    <w:rsid w:val="00AF0123"/>
    <w:rsid w:val="00AF68CC"/>
    <w:rsid w:val="00AF6983"/>
    <w:rsid w:val="00B00933"/>
    <w:rsid w:val="00B1059E"/>
    <w:rsid w:val="00B205AA"/>
    <w:rsid w:val="00B22E84"/>
    <w:rsid w:val="00B250B9"/>
    <w:rsid w:val="00B25F75"/>
    <w:rsid w:val="00B32D3E"/>
    <w:rsid w:val="00B3397A"/>
    <w:rsid w:val="00B3604D"/>
    <w:rsid w:val="00B43E90"/>
    <w:rsid w:val="00B467DC"/>
    <w:rsid w:val="00B52C94"/>
    <w:rsid w:val="00B56118"/>
    <w:rsid w:val="00B6167E"/>
    <w:rsid w:val="00B6773F"/>
    <w:rsid w:val="00B721E4"/>
    <w:rsid w:val="00B801BA"/>
    <w:rsid w:val="00B92AA8"/>
    <w:rsid w:val="00BA2898"/>
    <w:rsid w:val="00BB04CA"/>
    <w:rsid w:val="00BB2992"/>
    <w:rsid w:val="00BB69F5"/>
    <w:rsid w:val="00BB7EC3"/>
    <w:rsid w:val="00BC0FC5"/>
    <w:rsid w:val="00BC284F"/>
    <w:rsid w:val="00BC4B9A"/>
    <w:rsid w:val="00BD784C"/>
    <w:rsid w:val="00BE6FDB"/>
    <w:rsid w:val="00BF4CB6"/>
    <w:rsid w:val="00BF5429"/>
    <w:rsid w:val="00BF701C"/>
    <w:rsid w:val="00BF716D"/>
    <w:rsid w:val="00C00DA7"/>
    <w:rsid w:val="00C061CF"/>
    <w:rsid w:val="00C06BE1"/>
    <w:rsid w:val="00C12768"/>
    <w:rsid w:val="00C27B58"/>
    <w:rsid w:val="00C35996"/>
    <w:rsid w:val="00C41767"/>
    <w:rsid w:val="00C5309E"/>
    <w:rsid w:val="00C5342C"/>
    <w:rsid w:val="00C576B3"/>
    <w:rsid w:val="00C603D4"/>
    <w:rsid w:val="00C6047C"/>
    <w:rsid w:val="00C6256A"/>
    <w:rsid w:val="00C74120"/>
    <w:rsid w:val="00C74BD9"/>
    <w:rsid w:val="00C80CE3"/>
    <w:rsid w:val="00C819E1"/>
    <w:rsid w:val="00C843C1"/>
    <w:rsid w:val="00C91173"/>
    <w:rsid w:val="00C91449"/>
    <w:rsid w:val="00C92D10"/>
    <w:rsid w:val="00C945C7"/>
    <w:rsid w:val="00CA03D3"/>
    <w:rsid w:val="00CA69EE"/>
    <w:rsid w:val="00CC4EC3"/>
    <w:rsid w:val="00CC59EB"/>
    <w:rsid w:val="00CD0B1F"/>
    <w:rsid w:val="00CD0CC6"/>
    <w:rsid w:val="00CD4256"/>
    <w:rsid w:val="00CE10C4"/>
    <w:rsid w:val="00CE27B5"/>
    <w:rsid w:val="00CE3FE2"/>
    <w:rsid w:val="00CF7E16"/>
    <w:rsid w:val="00D0321E"/>
    <w:rsid w:val="00D1455A"/>
    <w:rsid w:val="00D14D94"/>
    <w:rsid w:val="00D164DA"/>
    <w:rsid w:val="00D21B29"/>
    <w:rsid w:val="00D3138B"/>
    <w:rsid w:val="00D3280C"/>
    <w:rsid w:val="00D3406A"/>
    <w:rsid w:val="00D3708F"/>
    <w:rsid w:val="00D370B6"/>
    <w:rsid w:val="00D469B2"/>
    <w:rsid w:val="00D46A68"/>
    <w:rsid w:val="00D57FA7"/>
    <w:rsid w:val="00D63C81"/>
    <w:rsid w:val="00D651A5"/>
    <w:rsid w:val="00D67CE8"/>
    <w:rsid w:val="00D741EB"/>
    <w:rsid w:val="00D805D4"/>
    <w:rsid w:val="00D83605"/>
    <w:rsid w:val="00D848B7"/>
    <w:rsid w:val="00D84934"/>
    <w:rsid w:val="00D90B84"/>
    <w:rsid w:val="00D91271"/>
    <w:rsid w:val="00D95E47"/>
    <w:rsid w:val="00DA2CB5"/>
    <w:rsid w:val="00DA4BAC"/>
    <w:rsid w:val="00DA7148"/>
    <w:rsid w:val="00DB7728"/>
    <w:rsid w:val="00DC392D"/>
    <w:rsid w:val="00DC6987"/>
    <w:rsid w:val="00DE5014"/>
    <w:rsid w:val="00DE6D27"/>
    <w:rsid w:val="00DE77AF"/>
    <w:rsid w:val="00DF217D"/>
    <w:rsid w:val="00DF26A7"/>
    <w:rsid w:val="00DF56E2"/>
    <w:rsid w:val="00E07C58"/>
    <w:rsid w:val="00E07FC2"/>
    <w:rsid w:val="00E15627"/>
    <w:rsid w:val="00E164B3"/>
    <w:rsid w:val="00E16910"/>
    <w:rsid w:val="00E2035B"/>
    <w:rsid w:val="00E20531"/>
    <w:rsid w:val="00E27B05"/>
    <w:rsid w:val="00E32311"/>
    <w:rsid w:val="00E378CC"/>
    <w:rsid w:val="00E57BA7"/>
    <w:rsid w:val="00E65E54"/>
    <w:rsid w:val="00E80155"/>
    <w:rsid w:val="00E848C0"/>
    <w:rsid w:val="00E87099"/>
    <w:rsid w:val="00E90B3C"/>
    <w:rsid w:val="00E91B96"/>
    <w:rsid w:val="00E941A1"/>
    <w:rsid w:val="00E95CE3"/>
    <w:rsid w:val="00EA2825"/>
    <w:rsid w:val="00EA406E"/>
    <w:rsid w:val="00EB1C2A"/>
    <w:rsid w:val="00EB2CA1"/>
    <w:rsid w:val="00EB5088"/>
    <w:rsid w:val="00EC5207"/>
    <w:rsid w:val="00EC72F9"/>
    <w:rsid w:val="00ED1644"/>
    <w:rsid w:val="00ED2593"/>
    <w:rsid w:val="00ED3BB0"/>
    <w:rsid w:val="00EE033C"/>
    <w:rsid w:val="00EE3E37"/>
    <w:rsid w:val="00EE7D4C"/>
    <w:rsid w:val="00EF44A0"/>
    <w:rsid w:val="00EF4BA9"/>
    <w:rsid w:val="00EF4FED"/>
    <w:rsid w:val="00F008BE"/>
    <w:rsid w:val="00F0352E"/>
    <w:rsid w:val="00F050BD"/>
    <w:rsid w:val="00F05657"/>
    <w:rsid w:val="00F25578"/>
    <w:rsid w:val="00F258E5"/>
    <w:rsid w:val="00F300BC"/>
    <w:rsid w:val="00F31E08"/>
    <w:rsid w:val="00F3334E"/>
    <w:rsid w:val="00F349B2"/>
    <w:rsid w:val="00F34C54"/>
    <w:rsid w:val="00F36CCB"/>
    <w:rsid w:val="00F40B8D"/>
    <w:rsid w:val="00F437AD"/>
    <w:rsid w:val="00F46C9A"/>
    <w:rsid w:val="00F47603"/>
    <w:rsid w:val="00F50EC4"/>
    <w:rsid w:val="00F51E4B"/>
    <w:rsid w:val="00F522D9"/>
    <w:rsid w:val="00F57A6D"/>
    <w:rsid w:val="00F6276C"/>
    <w:rsid w:val="00F638CC"/>
    <w:rsid w:val="00F64CC1"/>
    <w:rsid w:val="00F72095"/>
    <w:rsid w:val="00F77380"/>
    <w:rsid w:val="00F81DC1"/>
    <w:rsid w:val="00F8247A"/>
    <w:rsid w:val="00F92C48"/>
    <w:rsid w:val="00F9629A"/>
    <w:rsid w:val="00FA1DA0"/>
    <w:rsid w:val="00FA5883"/>
    <w:rsid w:val="00FA6055"/>
    <w:rsid w:val="00FB0547"/>
    <w:rsid w:val="00FB15CC"/>
    <w:rsid w:val="00FB2347"/>
    <w:rsid w:val="00FB322F"/>
    <w:rsid w:val="00FB442F"/>
    <w:rsid w:val="00FC14FA"/>
    <w:rsid w:val="00FC1929"/>
    <w:rsid w:val="00FC5B46"/>
    <w:rsid w:val="00FC668B"/>
    <w:rsid w:val="00FD55AD"/>
    <w:rsid w:val="00FE0E94"/>
    <w:rsid w:val="00FE55FA"/>
    <w:rsid w:val="00FF00BD"/>
    <w:rsid w:val="00FF1ED4"/>
    <w:rsid w:val="00FF2801"/>
    <w:rsid w:val="00FF4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C6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B7B5D"/>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Caption">
    <w:name w:val="caption"/>
    <w:basedOn w:val="Normal"/>
    <w:next w:val="Normal"/>
    <w:unhideWhenUsed/>
    <w:qFormat/>
    <w:rsid w:val="004A6028"/>
    <w:pPr>
      <w:keepNext/>
    </w:pPr>
    <w:rPr>
      <w:rFonts w:ascii="Arial Narrow" w:hAnsi="Arial Narrow"/>
      <w:b/>
      <w:bCs/>
      <w:sz w:val="20"/>
      <w:szCs w:val="20"/>
    </w:rPr>
  </w:style>
  <w:style w:type="paragraph" w:customStyle="1" w:styleId="TableHeader">
    <w:name w:val="Table Header"/>
    <w:basedOn w:val="Normal"/>
    <w:next w:val="Normal"/>
    <w:uiPriority w:val="3"/>
    <w:qFormat/>
    <w:rsid w:val="00284112"/>
    <w:pPr>
      <w:widowControl w:val="0"/>
      <w:jc w:val="both"/>
    </w:pPr>
    <w:rPr>
      <w:rFonts w:ascii="Arial Narrow" w:hAnsi="Arial Narrow" w:cs="Arial"/>
      <w:b/>
      <w:snapToGrid w:val="0"/>
      <w:sz w:val="20"/>
      <w:szCs w:val="20"/>
      <w:lang w:eastAsia="en-US"/>
    </w:rPr>
  </w:style>
  <w:style w:type="paragraph" w:customStyle="1" w:styleId="TableFooter">
    <w:name w:val="Table Footer"/>
    <w:basedOn w:val="Normal"/>
    <w:uiPriority w:val="4"/>
    <w:qFormat/>
    <w:rsid w:val="00603098"/>
    <w:pPr>
      <w:widowControl w:val="0"/>
      <w:jc w:val="both"/>
    </w:pPr>
    <w:rPr>
      <w:rFonts w:ascii="Arial Narrow" w:hAnsi="Arial Narrow" w:cs="Arial"/>
      <w:snapToGrid w:val="0"/>
      <w:sz w:val="18"/>
      <w:szCs w:val="20"/>
      <w:lang w:eastAsia="en-US"/>
    </w:rPr>
  </w:style>
  <w:style w:type="character" w:customStyle="1" w:styleId="TabletextChar">
    <w:name w:val="Table text Char"/>
    <w:link w:val="Tabletext"/>
    <w:rsid w:val="00950B6C"/>
    <w:rPr>
      <w:rFonts w:ascii="Arial" w:hAnsi="Arial"/>
      <w:lang w:eastAsia="en-US"/>
    </w:rPr>
  </w:style>
  <w:style w:type="paragraph" w:styleId="Revision">
    <w:name w:val="Revision"/>
    <w:hidden/>
    <w:uiPriority w:val="71"/>
    <w:rsid w:val="00313B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B7B5D"/>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Caption">
    <w:name w:val="caption"/>
    <w:basedOn w:val="Normal"/>
    <w:next w:val="Normal"/>
    <w:unhideWhenUsed/>
    <w:qFormat/>
    <w:rsid w:val="004A6028"/>
    <w:pPr>
      <w:keepNext/>
    </w:pPr>
    <w:rPr>
      <w:rFonts w:ascii="Arial Narrow" w:hAnsi="Arial Narrow"/>
      <w:b/>
      <w:bCs/>
      <w:sz w:val="20"/>
      <w:szCs w:val="20"/>
    </w:rPr>
  </w:style>
  <w:style w:type="paragraph" w:customStyle="1" w:styleId="TableHeader">
    <w:name w:val="Table Header"/>
    <w:basedOn w:val="Normal"/>
    <w:next w:val="Normal"/>
    <w:uiPriority w:val="3"/>
    <w:qFormat/>
    <w:rsid w:val="00284112"/>
    <w:pPr>
      <w:widowControl w:val="0"/>
      <w:jc w:val="both"/>
    </w:pPr>
    <w:rPr>
      <w:rFonts w:ascii="Arial Narrow" w:hAnsi="Arial Narrow" w:cs="Arial"/>
      <w:b/>
      <w:snapToGrid w:val="0"/>
      <w:sz w:val="20"/>
      <w:szCs w:val="20"/>
      <w:lang w:eastAsia="en-US"/>
    </w:rPr>
  </w:style>
  <w:style w:type="paragraph" w:customStyle="1" w:styleId="TableFooter">
    <w:name w:val="Table Footer"/>
    <w:basedOn w:val="Normal"/>
    <w:uiPriority w:val="4"/>
    <w:qFormat/>
    <w:rsid w:val="00603098"/>
    <w:pPr>
      <w:widowControl w:val="0"/>
      <w:jc w:val="both"/>
    </w:pPr>
    <w:rPr>
      <w:rFonts w:ascii="Arial Narrow" w:hAnsi="Arial Narrow" w:cs="Arial"/>
      <w:snapToGrid w:val="0"/>
      <w:sz w:val="18"/>
      <w:szCs w:val="20"/>
      <w:lang w:eastAsia="en-US"/>
    </w:rPr>
  </w:style>
  <w:style w:type="character" w:customStyle="1" w:styleId="TabletextChar">
    <w:name w:val="Table text Char"/>
    <w:link w:val="Tabletext"/>
    <w:rsid w:val="00950B6C"/>
    <w:rPr>
      <w:rFonts w:ascii="Arial" w:hAnsi="Arial"/>
      <w:lang w:eastAsia="en-US"/>
    </w:rPr>
  </w:style>
  <w:style w:type="paragraph" w:styleId="Revision">
    <w:name w:val="Revision"/>
    <w:hidden/>
    <w:uiPriority w:val="71"/>
    <w:rsid w:val="00313B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47616328">
      <w:bodyDiv w:val="1"/>
      <w:marLeft w:val="0"/>
      <w:marRight w:val="0"/>
      <w:marTop w:val="0"/>
      <w:marBottom w:val="0"/>
      <w:divBdr>
        <w:top w:val="none" w:sz="0" w:space="0" w:color="auto"/>
        <w:left w:val="none" w:sz="0" w:space="0" w:color="auto"/>
        <w:bottom w:val="none" w:sz="0" w:space="0" w:color="auto"/>
        <w:right w:val="none" w:sz="0" w:space="0" w:color="auto"/>
      </w:divBdr>
      <w:divsChild>
        <w:div w:id="922177553">
          <w:marLeft w:val="547"/>
          <w:marRight w:val="0"/>
          <w:marTop w:val="154"/>
          <w:marBottom w:val="0"/>
          <w:divBdr>
            <w:top w:val="none" w:sz="0" w:space="0" w:color="auto"/>
            <w:left w:val="none" w:sz="0" w:space="0" w:color="auto"/>
            <w:bottom w:val="none" w:sz="0" w:space="0" w:color="auto"/>
            <w:right w:val="none" w:sz="0" w:space="0" w:color="auto"/>
          </w:divBdr>
        </w:div>
      </w:divsChild>
    </w:div>
    <w:div w:id="1422801955">
      <w:bodyDiv w:val="1"/>
      <w:marLeft w:val="0"/>
      <w:marRight w:val="0"/>
      <w:marTop w:val="0"/>
      <w:marBottom w:val="0"/>
      <w:divBdr>
        <w:top w:val="none" w:sz="0" w:space="0" w:color="auto"/>
        <w:left w:val="none" w:sz="0" w:space="0" w:color="auto"/>
        <w:bottom w:val="none" w:sz="0" w:space="0" w:color="auto"/>
        <w:right w:val="none" w:sz="0" w:space="0" w:color="auto"/>
      </w:divBdr>
      <w:divsChild>
        <w:div w:id="2091078367">
          <w:marLeft w:val="547"/>
          <w:marRight w:val="0"/>
          <w:marTop w:val="154"/>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E9A3-B3DC-4B16-A10A-40E6E15D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10320</Words>
  <Characters>56420</Characters>
  <Application>Microsoft Office Word</Application>
  <DocSecurity>0</DocSecurity>
  <Lines>470</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2017-10-15T23:09:00Z</dcterms:created>
  <dcterms:modified xsi:type="dcterms:W3CDTF">2017-10-15T23:27:00Z</dcterms:modified>
</cp:coreProperties>
</file>