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8B5" w:rsidRPr="000D4928" w:rsidRDefault="006728B5" w:rsidP="006728B5">
      <w:pPr>
        <w:pStyle w:val="Header"/>
        <w:widowControl w:val="0"/>
        <w:rPr>
          <w:rFonts w:asciiTheme="minorHAnsi" w:hAnsiTheme="minorHAnsi" w:cs="Arial"/>
          <w:b/>
          <w:snapToGrid w:val="0"/>
          <w:lang w:eastAsia="en-US"/>
        </w:rPr>
      </w:pPr>
      <w:bookmarkStart w:id="0" w:name="_GoBack"/>
      <w:bookmarkEnd w:id="0"/>
    </w:p>
    <w:p w:rsidR="006728B5" w:rsidRPr="00657B1B" w:rsidRDefault="009C5753" w:rsidP="00F52ED4">
      <w:pPr>
        <w:pStyle w:val="Title"/>
        <w:ind w:left="1440" w:hanging="1440"/>
        <w:rPr>
          <w:rFonts w:asciiTheme="minorHAnsi" w:hAnsiTheme="minorHAnsi"/>
          <w:sz w:val="36"/>
          <w:szCs w:val="36"/>
        </w:rPr>
      </w:pPr>
      <w:r w:rsidRPr="00657B1B">
        <w:rPr>
          <w:rFonts w:asciiTheme="minorHAnsi" w:hAnsiTheme="minorHAnsi"/>
          <w:sz w:val="36"/>
          <w:szCs w:val="36"/>
        </w:rPr>
        <w:t>1</w:t>
      </w:r>
      <w:r w:rsidR="00F52ED4">
        <w:rPr>
          <w:rFonts w:asciiTheme="minorHAnsi" w:hAnsiTheme="minorHAnsi"/>
          <w:sz w:val="36"/>
          <w:szCs w:val="36"/>
        </w:rPr>
        <w:t>4.03</w:t>
      </w:r>
      <w:r w:rsidR="003B4E4E" w:rsidRPr="00657B1B">
        <w:rPr>
          <w:rFonts w:asciiTheme="minorHAnsi" w:hAnsiTheme="minorHAnsi"/>
          <w:sz w:val="36"/>
          <w:szCs w:val="36"/>
        </w:rPr>
        <w:tab/>
      </w:r>
      <w:r w:rsidRPr="00657B1B">
        <w:rPr>
          <w:rFonts w:asciiTheme="minorHAnsi" w:hAnsiTheme="minorHAnsi"/>
          <w:sz w:val="36"/>
          <w:szCs w:val="36"/>
        </w:rPr>
        <w:t>DOCETAXEL</w:t>
      </w:r>
      <w:r w:rsidR="00657B1B">
        <w:rPr>
          <w:rFonts w:asciiTheme="minorHAnsi" w:hAnsiTheme="minorHAnsi"/>
          <w:sz w:val="36"/>
          <w:szCs w:val="36"/>
        </w:rPr>
        <w:br/>
      </w:r>
      <w:r w:rsidR="00BF7145" w:rsidRPr="00657B1B">
        <w:rPr>
          <w:rFonts w:asciiTheme="minorHAnsi" w:hAnsiTheme="minorHAnsi"/>
          <w:sz w:val="36"/>
          <w:szCs w:val="36"/>
        </w:rPr>
        <w:t>Solution concentrate f</w:t>
      </w:r>
      <w:r w:rsidR="00657B1B">
        <w:rPr>
          <w:rFonts w:asciiTheme="minorHAnsi" w:hAnsiTheme="minorHAnsi"/>
          <w:sz w:val="36"/>
          <w:szCs w:val="36"/>
        </w:rPr>
        <w:t xml:space="preserve">or I.V. infusion 160 mg in 8 mL </w:t>
      </w:r>
      <w:r w:rsidR="00657B1B">
        <w:rPr>
          <w:rFonts w:asciiTheme="minorHAnsi" w:hAnsiTheme="minorHAnsi"/>
          <w:sz w:val="36"/>
          <w:szCs w:val="36"/>
        </w:rPr>
        <w:br/>
      </w:r>
      <w:r w:rsidRPr="00657B1B">
        <w:rPr>
          <w:rFonts w:asciiTheme="minorHAnsi" w:hAnsiTheme="minorHAnsi"/>
          <w:sz w:val="36"/>
          <w:szCs w:val="36"/>
        </w:rPr>
        <w:t>Docetaxel Accord</w:t>
      </w:r>
      <w:r w:rsidRPr="00657B1B">
        <w:rPr>
          <w:rFonts w:asciiTheme="minorHAnsi" w:hAnsiTheme="minorHAnsi"/>
          <w:sz w:val="36"/>
          <w:szCs w:val="36"/>
          <w:vertAlign w:val="superscript"/>
        </w:rPr>
        <w:t>®</w:t>
      </w:r>
      <w:r w:rsidRPr="00657B1B">
        <w:rPr>
          <w:rFonts w:asciiTheme="minorHAnsi" w:hAnsiTheme="minorHAnsi"/>
          <w:sz w:val="36"/>
          <w:szCs w:val="36"/>
        </w:rPr>
        <w:t>, Accord Healthcare Australia</w:t>
      </w:r>
    </w:p>
    <w:p w:rsidR="006728B5" w:rsidRPr="003C188B" w:rsidRDefault="006728B5" w:rsidP="006728B5">
      <w:pPr>
        <w:widowControl w:val="0"/>
        <w:tabs>
          <w:tab w:val="right" w:pos="8669"/>
        </w:tabs>
        <w:rPr>
          <w:rFonts w:asciiTheme="minorHAnsi" w:hAnsiTheme="minorHAnsi" w:cs="Arial"/>
          <w:b/>
        </w:rPr>
      </w:pPr>
    </w:p>
    <w:p w:rsidR="006457A7" w:rsidRPr="00657B1B" w:rsidRDefault="006457A7" w:rsidP="00657B1B">
      <w:pPr>
        <w:pStyle w:val="Heading1"/>
      </w:pPr>
      <w:r w:rsidRPr="00657B1B">
        <w:t xml:space="preserve">Purpose of </w:t>
      </w:r>
      <w:r w:rsidR="00277907" w:rsidRPr="00657B1B">
        <w:t>A</w:t>
      </w:r>
      <w:r w:rsidRPr="00657B1B">
        <w:t>pplication</w:t>
      </w:r>
    </w:p>
    <w:p w:rsidR="006457A7" w:rsidRPr="00CC0415" w:rsidRDefault="006457A7" w:rsidP="00277907">
      <w:pPr>
        <w:rPr>
          <w:rFonts w:asciiTheme="minorHAnsi" w:hAnsiTheme="minorHAnsi"/>
          <w:snapToGrid w:val="0"/>
          <w:sz w:val="22"/>
          <w:szCs w:val="22"/>
          <w:lang w:eastAsia="en-US"/>
        </w:rPr>
      </w:pPr>
    </w:p>
    <w:p w:rsidR="00277907" w:rsidRPr="00933CBB" w:rsidRDefault="009E5A48" w:rsidP="009E5A48">
      <w:pPr>
        <w:numPr>
          <w:ilvl w:val="1"/>
          <w:numId w:val="4"/>
        </w:numPr>
        <w:contextualSpacing/>
        <w:jc w:val="both"/>
        <w:rPr>
          <w:rFonts w:asciiTheme="minorHAnsi" w:hAnsiTheme="minorHAnsi"/>
          <w:b/>
        </w:rPr>
      </w:pPr>
      <w:r w:rsidRPr="00933CBB">
        <w:rPr>
          <w:rFonts w:asciiTheme="minorHAnsi" w:hAnsiTheme="minorHAnsi"/>
        </w:rPr>
        <w:t>The minor submission requested an unrestricted listing for a new form of docetaxel.</w:t>
      </w:r>
    </w:p>
    <w:p w:rsidR="006457A7" w:rsidRPr="00E92A00" w:rsidRDefault="006457A7" w:rsidP="00843D43"/>
    <w:p w:rsidR="006457A7" w:rsidRPr="00A43951" w:rsidRDefault="006457A7" w:rsidP="006457A7">
      <w:pPr>
        <w:pStyle w:val="ListParagraph"/>
        <w:jc w:val="both"/>
        <w:rPr>
          <w:rFonts w:asciiTheme="minorHAnsi" w:hAnsiTheme="minorHAnsi"/>
          <w:b/>
          <w:sz w:val="22"/>
          <w:szCs w:val="22"/>
        </w:rPr>
      </w:pPr>
    </w:p>
    <w:p w:rsidR="00BF7145" w:rsidRPr="00933CBB" w:rsidRDefault="009E5A48" w:rsidP="00657B1B">
      <w:pPr>
        <w:pStyle w:val="Heading1"/>
        <w:tabs>
          <w:tab w:val="clear" w:pos="360"/>
        </w:tabs>
        <w:ind w:left="720" w:hanging="720"/>
      </w:pPr>
      <w:r w:rsidRPr="00657B1B">
        <w:t>Requested Listing</w:t>
      </w:r>
    </w:p>
    <w:p w:rsidR="00BF7145" w:rsidRPr="00BF7145" w:rsidRDefault="00BF7145" w:rsidP="00BF7145">
      <w:pPr>
        <w:rPr>
          <w:rFonts w:asciiTheme="minorHAnsi" w:hAnsiTheme="minorHAnsi" w:cs="Arial"/>
          <w:snapToGrid w:val="0"/>
          <w:sz w:val="22"/>
          <w:lang w:eastAsia="en-US"/>
        </w:rPr>
      </w:pPr>
    </w:p>
    <w:p w:rsidR="00933CBB" w:rsidRPr="00933CBB" w:rsidRDefault="00933CBB" w:rsidP="00933CBB">
      <w:pPr>
        <w:pStyle w:val="ListParagraph"/>
        <w:numPr>
          <w:ilvl w:val="0"/>
          <w:numId w:val="4"/>
        </w:numPr>
        <w:rPr>
          <w:rFonts w:asciiTheme="minorHAnsi" w:hAnsiTheme="minorHAnsi"/>
          <w:vanish/>
        </w:rPr>
      </w:pPr>
    </w:p>
    <w:p w:rsidR="00277907" w:rsidRPr="00933CBB" w:rsidRDefault="009E5A48" w:rsidP="00933CBB">
      <w:pPr>
        <w:pStyle w:val="ListParagraph"/>
        <w:numPr>
          <w:ilvl w:val="1"/>
          <w:numId w:val="4"/>
        </w:numPr>
        <w:rPr>
          <w:rFonts w:asciiTheme="minorHAnsi" w:hAnsiTheme="minorHAnsi" w:cs="Arial"/>
          <w:snapToGrid w:val="0"/>
          <w:lang w:eastAsia="en-US"/>
        </w:rPr>
      </w:pPr>
      <w:r w:rsidRPr="00933CBB">
        <w:rPr>
          <w:rFonts w:asciiTheme="minorHAnsi" w:hAnsiTheme="minorHAnsi"/>
        </w:rPr>
        <w:t xml:space="preserve">The submission </w:t>
      </w:r>
      <w:r w:rsidR="000D4928" w:rsidRPr="00933CBB">
        <w:rPr>
          <w:rFonts w:asciiTheme="minorHAnsi" w:hAnsiTheme="minorHAnsi"/>
        </w:rPr>
        <w:t>requested no</w:t>
      </w:r>
      <w:r w:rsidRPr="00933CBB">
        <w:rPr>
          <w:rFonts w:asciiTheme="minorHAnsi" w:hAnsiTheme="minorHAnsi"/>
        </w:rPr>
        <w:t xml:space="preserve"> changes to the existing listing.</w:t>
      </w:r>
    </w:p>
    <w:p w:rsidR="008C0422" w:rsidRPr="002E722B" w:rsidRDefault="008C0422" w:rsidP="008C0422">
      <w:pPr>
        <w:pStyle w:val="NoSpacing"/>
        <w:rPr>
          <w:rFonts w:asciiTheme="minorHAnsi" w:hAnsiTheme="minorHAnsi"/>
        </w:rPr>
      </w:pPr>
    </w:p>
    <w:tbl>
      <w:tblPr>
        <w:tblW w:w="8363" w:type="dxa"/>
        <w:tblInd w:w="817" w:type="dxa"/>
        <w:tblLayout w:type="fixed"/>
        <w:tblLook w:val="0000" w:firstRow="0" w:lastRow="0" w:firstColumn="0" w:lastColumn="0" w:noHBand="0" w:noVBand="0"/>
      </w:tblPr>
      <w:tblGrid>
        <w:gridCol w:w="3119"/>
        <w:gridCol w:w="850"/>
        <w:gridCol w:w="709"/>
        <w:gridCol w:w="1276"/>
        <w:gridCol w:w="1275"/>
        <w:gridCol w:w="1134"/>
      </w:tblGrid>
      <w:tr w:rsidR="008C0422" w:rsidRPr="002E722B" w:rsidTr="00FD6B63">
        <w:trPr>
          <w:cantSplit/>
          <w:trHeight w:val="471"/>
        </w:trPr>
        <w:tc>
          <w:tcPr>
            <w:tcW w:w="3119" w:type="dxa"/>
            <w:tcBorders>
              <w:bottom w:val="single" w:sz="4" w:space="0" w:color="auto"/>
            </w:tcBorders>
          </w:tcPr>
          <w:p w:rsidR="008C0422" w:rsidRPr="002E722B" w:rsidRDefault="008C0422" w:rsidP="00FD6B63">
            <w:pPr>
              <w:keepNext/>
              <w:ind w:left="-108"/>
              <w:jc w:val="both"/>
              <w:rPr>
                <w:rFonts w:ascii="Arial Narrow" w:hAnsi="Arial Narrow" w:cs="Arial"/>
                <w:b/>
                <w:sz w:val="20"/>
                <w:szCs w:val="20"/>
              </w:rPr>
            </w:pPr>
            <w:r w:rsidRPr="002E722B">
              <w:rPr>
                <w:rFonts w:ascii="Arial Narrow" w:hAnsi="Arial Narrow" w:cs="Arial"/>
                <w:b/>
                <w:sz w:val="20"/>
                <w:szCs w:val="20"/>
              </w:rPr>
              <w:t>Name, Restriction,</w:t>
            </w:r>
          </w:p>
          <w:p w:rsidR="008C0422" w:rsidRPr="002E722B" w:rsidRDefault="008C0422" w:rsidP="00FD6B63">
            <w:pPr>
              <w:keepNext/>
              <w:ind w:left="-108"/>
              <w:jc w:val="both"/>
              <w:rPr>
                <w:rFonts w:ascii="Arial Narrow" w:hAnsi="Arial Narrow" w:cs="Arial"/>
                <w:b/>
                <w:sz w:val="20"/>
                <w:szCs w:val="20"/>
              </w:rPr>
            </w:pPr>
            <w:r w:rsidRPr="002E722B">
              <w:rPr>
                <w:rFonts w:ascii="Arial Narrow" w:hAnsi="Arial Narrow" w:cs="Arial"/>
                <w:b/>
                <w:sz w:val="20"/>
                <w:szCs w:val="20"/>
              </w:rPr>
              <w:t>Manner of administration and form</w:t>
            </w:r>
          </w:p>
        </w:tc>
        <w:tc>
          <w:tcPr>
            <w:tcW w:w="850" w:type="dxa"/>
            <w:tcBorders>
              <w:bottom w:val="single" w:sz="4" w:space="0" w:color="auto"/>
            </w:tcBorders>
          </w:tcPr>
          <w:p w:rsidR="008C0422" w:rsidRPr="002E722B" w:rsidRDefault="008C0422" w:rsidP="00FD6B63">
            <w:pPr>
              <w:keepNext/>
              <w:ind w:left="-108"/>
              <w:jc w:val="both"/>
              <w:rPr>
                <w:rFonts w:ascii="Arial Narrow" w:hAnsi="Arial Narrow" w:cs="Arial"/>
                <w:b/>
                <w:sz w:val="20"/>
                <w:szCs w:val="20"/>
              </w:rPr>
            </w:pPr>
            <w:r w:rsidRPr="002E722B">
              <w:rPr>
                <w:rFonts w:ascii="Arial Narrow" w:hAnsi="Arial Narrow" w:cs="Arial"/>
                <w:b/>
                <w:sz w:val="20"/>
                <w:szCs w:val="20"/>
              </w:rPr>
              <w:t>Max.</w:t>
            </w:r>
          </w:p>
          <w:p w:rsidR="008C0422" w:rsidRPr="002E722B" w:rsidRDefault="008C0422" w:rsidP="00FD6B63">
            <w:pPr>
              <w:keepNext/>
              <w:ind w:left="-108"/>
              <w:jc w:val="both"/>
              <w:rPr>
                <w:rFonts w:ascii="Arial Narrow" w:hAnsi="Arial Narrow" w:cs="Arial"/>
                <w:b/>
                <w:sz w:val="20"/>
                <w:szCs w:val="20"/>
              </w:rPr>
            </w:pPr>
            <w:r w:rsidRPr="002E722B">
              <w:rPr>
                <w:rFonts w:ascii="Arial Narrow" w:hAnsi="Arial Narrow" w:cs="Arial"/>
                <w:b/>
                <w:sz w:val="20"/>
                <w:szCs w:val="20"/>
              </w:rPr>
              <w:t>Amt</w:t>
            </w:r>
          </w:p>
        </w:tc>
        <w:tc>
          <w:tcPr>
            <w:tcW w:w="709" w:type="dxa"/>
            <w:tcBorders>
              <w:bottom w:val="single" w:sz="4" w:space="0" w:color="auto"/>
            </w:tcBorders>
          </w:tcPr>
          <w:p w:rsidR="008C0422" w:rsidRPr="002E722B" w:rsidRDefault="008C0422" w:rsidP="00FD6B63">
            <w:pPr>
              <w:keepNext/>
              <w:ind w:left="-108"/>
              <w:jc w:val="both"/>
              <w:rPr>
                <w:rFonts w:ascii="Arial Narrow" w:hAnsi="Arial Narrow" w:cs="Arial"/>
                <w:b/>
                <w:sz w:val="20"/>
                <w:szCs w:val="20"/>
              </w:rPr>
            </w:pPr>
            <w:r w:rsidRPr="002E722B">
              <w:rPr>
                <w:rFonts w:ascii="Arial Narrow" w:hAnsi="Arial Narrow" w:cs="Arial"/>
                <w:b/>
                <w:sz w:val="20"/>
                <w:szCs w:val="20"/>
              </w:rPr>
              <w:t>№.of</w:t>
            </w:r>
          </w:p>
          <w:p w:rsidR="008C0422" w:rsidRPr="002E722B" w:rsidRDefault="008C0422" w:rsidP="00FD6B63">
            <w:pPr>
              <w:keepNext/>
              <w:ind w:left="-108"/>
              <w:jc w:val="both"/>
              <w:rPr>
                <w:rFonts w:ascii="Arial Narrow" w:hAnsi="Arial Narrow" w:cs="Arial"/>
                <w:b/>
                <w:sz w:val="20"/>
                <w:szCs w:val="20"/>
              </w:rPr>
            </w:pPr>
            <w:r w:rsidRPr="002E722B">
              <w:rPr>
                <w:rFonts w:ascii="Arial Narrow" w:hAnsi="Arial Narrow" w:cs="Arial"/>
                <w:b/>
                <w:sz w:val="20"/>
                <w:szCs w:val="20"/>
              </w:rPr>
              <w:t>Rpts</w:t>
            </w:r>
          </w:p>
        </w:tc>
        <w:tc>
          <w:tcPr>
            <w:tcW w:w="1276" w:type="dxa"/>
            <w:tcBorders>
              <w:bottom w:val="single" w:sz="4" w:space="0" w:color="auto"/>
            </w:tcBorders>
          </w:tcPr>
          <w:p w:rsidR="008C0422" w:rsidRPr="002E722B" w:rsidRDefault="008C0422" w:rsidP="00FD6B63">
            <w:pPr>
              <w:keepNext/>
              <w:ind w:left="-108"/>
              <w:jc w:val="both"/>
              <w:rPr>
                <w:rFonts w:ascii="Arial Narrow" w:hAnsi="Arial Narrow" w:cs="Arial"/>
                <w:b/>
                <w:sz w:val="20"/>
                <w:szCs w:val="20"/>
              </w:rPr>
            </w:pPr>
            <w:r w:rsidRPr="002E722B">
              <w:rPr>
                <w:rFonts w:ascii="Arial Narrow" w:hAnsi="Arial Narrow" w:cs="Arial"/>
                <w:b/>
                <w:sz w:val="20"/>
                <w:szCs w:val="20"/>
              </w:rPr>
              <w:t>Dispensed Price for Max. Amt</w:t>
            </w:r>
          </w:p>
        </w:tc>
        <w:tc>
          <w:tcPr>
            <w:tcW w:w="2409" w:type="dxa"/>
            <w:gridSpan w:val="2"/>
            <w:tcBorders>
              <w:bottom w:val="single" w:sz="4" w:space="0" w:color="auto"/>
            </w:tcBorders>
          </w:tcPr>
          <w:p w:rsidR="008C0422" w:rsidRPr="002E722B" w:rsidRDefault="008C0422" w:rsidP="00FD6B63">
            <w:pPr>
              <w:keepNext/>
              <w:jc w:val="both"/>
              <w:rPr>
                <w:rFonts w:ascii="Arial Narrow" w:hAnsi="Arial Narrow" w:cs="Arial"/>
                <w:b/>
                <w:sz w:val="20"/>
                <w:szCs w:val="20"/>
                <w:lang w:val="fr-FR"/>
              </w:rPr>
            </w:pPr>
            <w:r w:rsidRPr="002E722B">
              <w:rPr>
                <w:rFonts w:ascii="Arial Narrow" w:hAnsi="Arial Narrow" w:cs="Arial"/>
                <w:b/>
                <w:sz w:val="20"/>
                <w:szCs w:val="20"/>
              </w:rPr>
              <w:t>Proprietary Name and Manufacturer</w:t>
            </w:r>
          </w:p>
        </w:tc>
      </w:tr>
      <w:tr w:rsidR="008C0422" w:rsidRPr="002E722B" w:rsidTr="00FD6B63">
        <w:trPr>
          <w:cantSplit/>
          <w:trHeight w:val="577"/>
        </w:trPr>
        <w:tc>
          <w:tcPr>
            <w:tcW w:w="3119" w:type="dxa"/>
          </w:tcPr>
          <w:p w:rsidR="008C0422" w:rsidRPr="002E722B" w:rsidRDefault="008C0422" w:rsidP="00FD6B63">
            <w:pPr>
              <w:keepNext/>
              <w:ind w:left="-108"/>
              <w:jc w:val="both"/>
              <w:rPr>
                <w:rFonts w:ascii="Arial Narrow" w:hAnsi="Arial Narrow" w:cs="Arial"/>
                <w:sz w:val="20"/>
                <w:szCs w:val="20"/>
              </w:rPr>
            </w:pPr>
            <w:r w:rsidRPr="002E722B">
              <w:rPr>
                <w:rFonts w:ascii="Arial Narrow" w:hAnsi="Arial Narrow" w:cs="Arial"/>
                <w:smallCaps/>
                <w:sz w:val="20"/>
                <w:szCs w:val="20"/>
              </w:rPr>
              <w:t>DOCETAXEL</w:t>
            </w:r>
          </w:p>
          <w:p w:rsidR="008C0422" w:rsidRPr="002E722B" w:rsidRDefault="008C0422" w:rsidP="00FD6B63">
            <w:pPr>
              <w:keepNext/>
              <w:ind w:left="-108"/>
              <w:jc w:val="both"/>
              <w:rPr>
                <w:rFonts w:ascii="Arial Narrow" w:hAnsi="Arial Narrow" w:cs="Arial"/>
                <w:sz w:val="20"/>
                <w:szCs w:val="20"/>
              </w:rPr>
            </w:pPr>
            <w:r w:rsidRPr="002E722B">
              <w:rPr>
                <w:rFonts w:ascii="Arial Narrow" w:hAnsi="Arial Narrow" w:cs="Arial"/>
                <w:sz w:val="20"/>
                <w:szCs w:val="20"/>
              </w:rPr>
              <w:t>injection, 160 mg / 8 mL</w:t>
            </w:r>
          </w:p>
        </w:tc>
        <w:tc>
          <w:tcPr>
            <w:tcW w:w="850" w:type="dxa"/>
          </w:tcPr>
          <w:p w:rsidR="008C0422" w:rsidRPr="002E722B" w:rsidRDefault="008C0422" w:rsidP="00FD6B63">
            <w:pPr>
              <w:keepNext/>
              <w:ind w:left="-108"/>
              <w:jc w:val="both"/>
              <w:rPr>
                <w:rFonts w:ascii="Arial Narrow" w:hAnsi="Arial Narrow" w:cs="Arial"/>
                <w:sz w:val="20"/>
                <w:szCs w:val="20"/>
              </w:rPr>
            </w:pPr>
          </w:p>
          <w:p w:rsidR="008C0422" w:rsidRPr="002E722B" w:rsidRDefault="008C0422" w:rsidP="00FD6B63">
            <w:pPr>
              <w:keepNext/>
              <w:ind w:left="-108"/>
              <w:jc w:val="both"/>
              <w:rPr>
                <w:rFonts w:ascii="Arial Narrow" w:hAnsi="Arial Narrow" w:cs="Arial"/>
                <w:sz w:val="20"/>
                <w:szCs w:val="20"/>
              </w:rPr>
            </w:pPr>
            <w:r w:rsidRPr="002E722B">
              <w:rPr>
                <w:rFonts w:ascii="Arial Narrow" w:hAnsi="Arial Narrow" w:cs="Arial"/>
                <w:sz w:val="20"/>
                <w:szCs w:val="20"/>
              </w:rPr>
              <w:t>250 mg</w:t>
            </w:r>
          </w:p>
        </w:tc>
        <w:tc>
          <w:tcPr>
            <w:tcW w:w="709" w:type="dxa"/>
          </w:tcPr>
          <w:p w:rsidR="008C0422" w:rsidRPr="002E722B" w:rsidRDefault="008C0422" w:rsidP="00FD6B63">
            <w:pPr>
              <w:keepNext/>
              <w:ind w:left="-108"/>
              <w:jc w:val="both"/>
              <w:rPr>
                <w:rFonts w:ascii="Arial Narrow" w:hAnsi="Arial Narrow" w:cs="Arial"/>
                <w:sz w:val="20"/>
                <w:szCs w:val="20"/>
              </w:rPr>
            </w:pPr>
          </w:p>
          <w:p w:rsidR="008C0422" w:rsidRPr="002E722B" w:rsidRDefault="008C0422" w:rsidP="00FD6B63">
            <w:pPr>
              <w:keepNext/>
              <w:ind w:left="-108"/>
              <w:jc w:val="both"/>
              <w:rPr>
                <w:rFonts w:ascii="Arial Narrow" w:hAnsi="Arial Narrow" w:cs="Arial"/>
                <w:sz w:val="20"/>
                <w:szCs w:val="20"/>
              </w:rPr>
            </w:pPr>
            <w:r w:rsidRPr="002E722B">
              <w:rPr>
                <w:rFonts w:ascii="Arial Narrow" w:hAnsi="Arial Narrow" w:cs="Arial"/>
                <w:sz w:val="20"/>
                <w:szCs w:val="20"/>
              </w:rPr>
              <w:t>5</w:t>
            </w:r>
          </w:p>
        </w:tc>
        <w:tc>
          <w:tcPr>
            <w:tcW w:w="1276" w:type="dxa"/>
          </w:tcPr>
          <w:p w:rsidR="008C0422" w:rsidRPr="002E722B" w:rsidRDefault="008C0422" w:rsidP="00FD6B63">
            <w:pPr>
              <w:keepNext/>
              <w:ind w:left="-108"/>
              <w:jc w:val="both"/>
              <w:rPr>
                <w:rFonts w:ascii="Arial Narrow" w:hAnsi="Arial Narrow" w:cs="Arial"/>
                <w:sz w:val="20"/>
                <w:szCs w:val="20"/>
              </w:rPr>
            </w:pPr>
          </w:p>
          <w:p w:rsidR="008C0422" w:rsidRPr="002E722B" w:rsidRDefault="008C0422" w:rsidP="00FD6B63">
            <w:pPr>
              <w:keepNext/>
              <w:ind w:left="-108"/>
              <w:jc w:val="both"/>
              <w:rPr>
                <w:rFonts w:ascii="Arial Narrow" w:hAnsi="Arial Narrow" w:cs="Arial"/>
                <w:sz w:val="20"/>
                <w:szCs w:val="20"/>
              </w:rPr>
            </w:pPr>
            <w:r w:rsidRPr="002E722B">
              <w:rPr>
                <w:rFonts w:ascii="Arial Narrow" w:hAnsi="Arial Narrow" w:cs="Arial"/>
                <w:sz w:val="20"/>
                <w:szCs w:val="20"/>
              </w:rPr>
              <w:t>$</w:t>
            </w:r>
            <w:r w:rsidR="00D61A94">
              <w:rPr>
                <w:rFonts w:ascii="Arial Narrow" w:hAnsi="Arial Narrow" w:cs="Arial"/>
                <w:noProof/>
                <w:color w:val="000000"/>
                <w:sz w:val="20"/>
                <w:szCs w:val="20"/>
                <w:highlight w:val="black"/>
              </w:rPr>
              <w:t>''''''''''''''''</w:t>
            </w:r>
          </w:p>
        </w:tc>
        <w:tc>
          <w:tcPr>
            <w:tcW w:w="1275" w:type="dxa"/>
          </w:tcPr>
          <w:p w:rsidR="008C0422" w:rsidRPr="002E722B" w:rsidRDefault="008C0422" w:rsidP="00FD6B63">
            <w:pPr>
              <w:keepNext/>
              <w:jc w:val="both"/>
              <w:rPr>
                <w:rFonts w:ascii="Arial Narrow" w:hAnsi="Arial Narrow" w:cs="Arial"/>
                <w:sz w:val="20"/>
                <w:szCs w:val="20"/>
              </w:rPr>
            </w:pPr>
          </w:p>
          <w:p w:rsidR="008C0422" w:rsidRPr="002E722B" w:rsidRDefault="008C0422" w:rsidP="00FD6B63">
            <w:pPr>
              <w:keepNext/>
              <w:jc w:val="both"/>
              <w:rPr>
                <w:rFonts w:ascii="Arial Narrow" w:hAnsi="Arial Narrow" w:cs="Arial"/>
                <w:sz w:val="20"/>
                <w:szCs w:val="20"/>
              </w:rPr>
            </w:pPr>
            <w:r w:rsidRPr="002E722B">
              <w:rPr>
                <w:rFonts w:ascii="Arial Narrow" w:hAnsi="Arial Narrow" w:cs="Arial"/>
                <w:sz w:val="20"/>
                <w:szCs w:val="20"/>
              </w:rPr>
              <w:t>Docetaxel Accord®</w:t>
            </w:r>
          </w:p>
        </w:tc>
        <w:tc>
          <w:tcPr>
            <w:tcW w:w="1134" w:type="dxa"/>
          </w:tcPr>
          <w:p w:rsidR="008C0422" w:rsidRPr="002E722B" w:rsidRDefault="008C0422" w:rsidP="00FD6B63">
            <w:pPr>
              <w:keepNext/>
              <w:jc w:val="both"/>
              <w:rPr>
                <w:rFonts w:ascii="Arial Narrow" w:hAnsi="Arial Narrow" w:cs="Arial"/>
                <w:sz w:val="20"/>
                <w:szCs w:val="20"/>
              </w:rPr>
            </w:pPr>
          </w:p>
          <w:p w:rsidR="008C0422" w:rsidRPr="002E722B" w:rsidRDefault="008C0422" w:rsidP="00FD6B63">
            <w:pPr>
              <w:keepNext/>
              <w:jc w:val="both"/>
              <w:rPr>
                <w:rFonts w:ascii="Arial Narrow" w:hAnsi="Arial Narrow" w:cs="Arial"/>
                <w:sz w:val="20"/>
                <w:szCs w:val="20"/>
              </w:rPr>
            </w:pPr>
            <w:r w:rsidRPr="002E722B">
              <w:rPr>
                <w:rFonts w:ascii="Arial Narrow" w:hAnsi="Arial Narrow" w:cs="Arial"/>
                <w:sz w:val="20"/>
                <w:szCs w:val="20"/>
              </w:rPr>
              <w:t>Accord Healthcare Australia</w:t>
            </w:r>
          </w:p>
        </w:tc>
      </w:tr>
      <w:tr w:rsidR="008C0422" w:rsidRPr="002E722B" w:rsidTr="00FD6B63">
        <w:trPr>
          <w:cantSplit/>
          <w:trHeight w:val="360"/>
        </w:trPr>
        <w:tc>
          <w:tcPr>
            <w:tcW w:w="8363" w:type="dxa"/>
            <w:gridSpan w:val="6"/>
            <w:tcBorders>
              <w:bottom w:val="single" w:sz="4" w:space="0" w:color="auto"/>
            </w:tcBorders>
          </w:tcPr>
          <w:p w:rsidR="008C0422" w:rsidRPr="002E722B" w:rsidRDefault="008C0422" w:rsidP="00FD6B63">
            <w:pPr>
              <w:jc w:val="both"/>
              <w:rPr>
                <w:rFonts w:ascii="Arial Narrow" w:hAnsi="Arial Narrow" w:cs="Arial"/>
                <w:sz w:val="20"/>
                <w:szCs w:val="20"/>
              </w:rPr>
            </w:pPr>
          </w:p>
        </w:tc>
      </w:tr>
    </w:tbl>
    <w:p w:rsidR="008C0422" w:rsidRPr="002E722B" w:rsidRDefault="008C0422" w:rsidP="008C0422">
      <w:pPr>
        <w:pStyle w:val="ListParagraph"/>
        <w:rPr>
          <w:szCs w:val="22"/>
        </w:rPr>
      </w:pPr>
    </w:p>
    <w:p w:rsidR="006728B5" w:rsidRPr="003C188B" w:rsidRDefault="006728B5" w:rsidP="006457A7">
      <w:pPr>
        <w:jc w:val="both"/>
        <w:rPr>
          <w:rFonts w:asciiTheme="minorHAnsi" w:hAnsiTheme="minorHAnsi"/>
          <w:b/>
          <w:sz w:val="22"/>
          <w:szCs w:val="22"/>
        </w:rPr>
      </w:pPr>
    </w:p>
    <w:p w:rsidR="00BF7145" w:rsidRPr="00933CBB" w:rsidRDefault="00037021" w:rsidP="00CC0415">
      <w:pPr>
        <w:pStyle w:val="Heading1"/>
        <w:tabs>
          <w:tab w:val="clear" w:pos="360"/>
        </w:tabs>
        <w:ind w:left="720" w:hanging="720"/>
      </w:pPr>
      <w:r w:rsidRPr="00657B1B">
        <w:t>Suitability for pharmacist substitution</w:t>
      </w:r>
    </w:p>
    <w:p w:rsidR="00BF7145" w:rsidRPr="00E92A00" w:rsidRDefault="00BF7145" w:rsidP="00BF7145">
      <w:pPr>
        <w:pStyle w:val="ListParagraph"/>
        <w:rPr>
          <w:rFonts w:asciiTheme="minorHAnsi" w:hAnsiTheme="minorHAnsi" w:cs="Arial"/>
          <w:snapToGrid w:val="0"/>
          <w:sz w:val="22"/>
          <w:szCs w:val="22"/>
          <w:lang w:eastAsia="en-US"/>
        </w:rPr>
      </w:pPr>
    </w:p>
    <w:p w:rsidR="00933CBB" w:rsidRPr="00933CBB" w:rsidRDefault="00933CBB" w:rsidP="00933CBB">
      <w:pPr>
        <w:pStyle w:val="ListParagraph"/>
        <w:numPr>
          <w:ilvl w:val="0"/>
          <w:numId w:val="4"/>
        </w:numPr>
        <w:rPr>
          <w:rFonts w:asciiTheme="minorHAnsi" w:hAnsiTheme="minorHAnsi" w:cs="Arial"/>
          <w:snapToGrid w:val="0"/>
          <w:vanish/>
          <w:lang w:eastAsia="en-US"/>
        </w:rPr>
      </w:pPr>
    </w:p>
    <w:p w:rsidR="00BF6F09" w:rsidRPr="00933CBB" w:rsidRDefault="00B90C6A" w:rsidP="00933CBB">
      <w:pPr>
        <w:pStyle w:val="ListParagraph"/>
        <w:numPr>
          <w:ilvl w:val="1"/>
          <w:numId w:val="4"/>
        </w:numPr>
        <w:rPr>
          <w:rFonts w:asciiTheme="minorHAnsi" w:hAnsiTheme="minorHAnsi" w:cs="Arial"/>
          <w:snapToGrid w:val="0"/>
          <w:lang w:eastAsia="en-US"/>
        </w:rPr>
      </w:pPr>
      <w:r w:rsidRPr="00933CBB">
        <w:rPr>
          <w:rFonts w:asciiTheme="minorHAnsi" w:hAnsiTheme="minorHAnsi" w:cs="Arial"/>
          <w:snapToGrid w:val="0"/>
          <w:lang w:eastAsia="en-US"/>
        </w:rPr>
        <w:t xml:space="preserve">As per existing listings for forms with the same total drug content per vial, </w:t>
      </w:r>
      <w:r w:rsidR="005F451C" w:rsidRPr="00933CBB">
        <w:rPr>
          <w:rFonts w:asciiTheme="minorHAnsi" w:hAnsiTheme="minorHAnsi" w:cs="Arial"/>
          <w:snapToGrid w:val="0"/>
          <w:lang w:eastAsia="en-US"/>
        </w:rPr>
        <w:t>Administrative Advice should state, “Pharmaceutical benefits that have the forms docetaxel solution concentrate for I.V. infusion 160 mg in 8 mL and docetaxel solution concentrate for I.V. infusion 160 mg in 16 mL are equivalent for the purposes of substitution.”</w:t>
      </w:r>
    </w:p>
    <w:p w:rsidR="006457A7" w:rsidRPr="00A43951" w:rsidRDefault="006457A7" w:rsidP="006457A7">
      <w:pPr>
        <w:pStyle w:val="ListParagraph"/>
        <w:jc w:val="both"/>
        <w:rPr>
          <w:rFonts w:asciiTheme="minorHAnsi" w:hAnsiTheme="minorHAnsi"/>
          <w:b/>
          <w:sz w:val="22"/>
          <w:szCs w:val="22"/>
        </w:rPr>
      </w:pPr>
    </w:p>
    <w:p w:rsidR="00596402" w:rsidRPr="00A43951" w:rsidRDefault="00596402" w:rsidP="006457A7">
      <w:pPr>
        <w:jc w:val="both"/>
        <w:rPr>
          <w:rFonts w:asciiTheme="minorHAnsi" w:hAnsiTheme="minorHAnsi"/>
          <w:b/>
          <w:sz w:val="22"/>
          <w:szCs w:val="22"/>
        </w:rPr>
      </w:pPr>
    </w:p>
    <w:p w:rsidR="00FF028C" w:rsidRPr="00933CBB" w:rsidRDefault="00037021" w:rsidP="00CC0415">
      <w:pPr>
        <w:pStyle w:val="Heading1"/>
        <w:tabs>
          <w:tab w:val="clear" w:pos="360"/>
        </w:tabs>
        <w:ind w:left="720" w:hanging="720"/>
      </w:pPr>
      <w:r w:rsidRPr="00657B1B">
        <w:t>Background</w:t>
      </w:r>
    </w:p>
    <w:p w:rsidR="00FF028C" w:rsidRPr="00E92A00" w:rsidRDefault="00FF028C" w:rsidP="00FF028C">
      <w:pPr>
        <w:pStyle w:val="ListParagraph"/>
        <w:rPr>
          <w:rFonts w:asciiTheme="minorHAnsi" w:hAnsiTheme="minorHAnsi" w:cs="Arial"/>
          <w:snapToGrid w:val="0"/>
          <w:sz w:val="22"/>
          <w:szCs w:val="22"/>
          <w:lang w:eastAsia="en-US"/>
        </w:rPr>
      </w:pPr>
    </w:p>
    <w:p w:rsidR="00933CBB" w:rsidRPr="00933CBB" w:rsidRDefault="00933CBB" w:rsidP="00933CBB">
      <w:pPr>
        <w:pStyle w:val="ListParagraph"/>
        <w:numPr>
          <w:ilvl w:val="0"/>
          <w:numId w:val="4"/>
        </w:numPr>
        <w:rPr>
          <w:rFonts w:asciiTheme="minorHAnsi" w:hAnsiTheme="minorHAnsi"/>
          <w:vanish/>
          <w:sz w:val="22"/>
          <w:szCs w:val="22"/>
        </w:rPr>
      </w:pPr>
    </w:p>
    <w:p w:rsidR="006457A7" w:rsidRPr="00933CBB" w:rsidRDefault="00BF6F09" w:rsidP="00933CBB">
      <w:pPr>
        <w:pStyle w:val="ListParagraph"/>
        <w:numPr>
          <w:ilvl w:val="1"/>
          <w:numId w:val="4"/>
        </w:numPr>
        <w:rPr>
          <w:rFonts w:asciiTheme="minorHAnsi" w:hAnsiTheme="minorHAnsi" w:cs="Arial"/>
          <w:snapToGrid w:val="0"/>
          <w:lang w:eastAsia="en-US"/>
        </w:rPr>
      </w:pPr>
      <w:r w:rsidRPr="00933CBB">
        <w:rPr>
          <w:rFonts w:asciiTheme="minorHAnsi" w:hAnsiTheme="minorHAnsi"/>
        </w:rPr>
        <w:t xml:space="preserve">Docetaxel was listed on the PBS in the </w:t>
      </w:r>
      <w:r w:rsidR="00933CBB" w:rsidRPr="00933CBB">
        <w:rPr>
          <w:rFonts w:asciiTheme="minorHAnsi" w:hAnsiTheme="minorHAnsi"/>
        </w:rPr>
        <w:t>mid-1990s</w:t>
      </w:r>
      <w:r w:rsidRPr="00933CBB">
        <w:rPr>
          <w:rFonts w:asciiTheme="minorHAnsi" w:hAnsiTheme="minorHAnsi"/>
        </w:rPr>
        <w:t xml:space="preserve"> for the treatment of androgen independent (castrate resistant) metastatic prostate cancer.</w:t>
      </w:r>
    </w:p>
    <w:p w:rsidR="00FF028C" w:rsidRPr="00933CBB" w:rsidRDefault="00FF028C" w:rsidP="00FF028C">
      <w:pPr>
        <w:pStyle w:val="ListParagraph"/>
        <w:rPr>
          <w:rFonts w:asciiTheme="minorHAnsi" w:hAnsiTheme="minorHAnsi" w:cs="Arial"/>
          <w:snapToGrid w:val="0"/>
          <w:lang w:eastAsia="en-US"/>
        </w:rPr>
      </w:pPr>
    </w:p>
    <w:p w:rsidR="00BF6F09" w:rsidRPr="00A43951" w:rsidRDefault="00BF6F09" w:rsidP="007B3354">
      <w:pPr>
        <w:pStyle w:val="ListParagraph"/>
        <w:numPr>
          <w:ilvl w:val="1"/>
          <w:numId w:val="4"/>
        </w:numPr>
        <w:rPr>
          <w:rFonts w:asciiTheme="minorHAnsi" w:hAnsiTheme="minorHAnsi" w:cs="Arial"/>
          <w:snapToGrid w:val="0"/>
          <w:sz w:val="22"/>
          <w:szCs w:val="22"/>
          <w:lang w:eastAsia="en-US"/>
        </w:rPr>
      </w:pPr>
      <w:r w:rsidRPr="00933CBB">
        <w:rPr>
          <w:rFonts w:asciiTheme="minorHAnsi" w:hAnsiTheme="minorHAnsi"/>
        </w:rPr>
        <w:lastRenderedPageBreak/>
        <w:t>At its July 2014 meeting, the PBAC recommended changing the listings for docetaxel from Authority required (STREAMLINED) to unrestricted benefit listings for all indications following the substantial price reductions that the drug had been subject to since the PBAC’s original recommendation for listing.  The PBAC considered it highly likely that the incremental cost effectiveness ratio at the current price would be acceptable for the use of docetaxel upfront with androgen deprivation therapy.</w:t>
      </w:r>
    </w:p>
    <w:p w:rsidR="006457A7" w:rsidRPr="003C188B" w:rsidRDefault="006457A7" w:rsidP="006457A7">
      <w:pPr>
        <w:pStyle w:val="ListParagraph"/>
        <w:rPr>
          <w:rFonts w:asciiTheme="minorHAnsi" w:hAnsiTheme="minorHAnsi" w:cs="Arial"/>
          <w:snapToGrid w:val="0"/>
          <w:sz w:val="22"/>
          <w:lang w:eastAsia="en-US"/>
        </w:rPr>
      </w:pPr>
    </w:p>
    <w:p w:rsidR="000A2E52" w:rsidRDefault="000A2E52" w:rsidP="006457A7">
      <w:pPr>
        <w:pStyle w:val="ListParagraph"/>
        <w:rPr>
          <w:rFonts w:asciiTheme="minorHAnsi" w:hAnsiTheme="minorHAnsi" w:cs="Arial"/>
          <w:snapToGrid w:val="0"/>
          <w:sz w:val="22"/>
          <w:szCs w:val="22"/>
          <w:lang w:eastAsia="en-US"/>
        </w:rPr>
      </w:pPr>
    </w:p>
    <w:p w:rsidR="00657B1B" w:rsidRPr="00E92A00" w:rsidRDefault="00657B1B" w:rsidP="006457A7">
      <w:pPr>
        <w:pStyle w:val="ListParagraph"/>
        <w:rPr>
          <w:rFonts w:asciiTheme="minorHAnsi" w:hAnsiTheme="minorHAnsi" w:cs="Arial"/>
          <w:snapToGrid w:val="0"/>
          <w:sz w:val="22"/>
          <w:szCs w:val="22"/>
          <w:lang w:eastAsia="en-US"/>
        </w:rPr>
      </w:pPr>
    </w:p>
    <w:p w:rsidR="00A43951" w:rsidRPr="00933CBB" w:rsidRDefault="00037021" w:rsidP="00CC0415">
      <w:pPr>
        <w:pStyle w:val="Heading1"/>
        <w:tabs>
          <w:tab w:val="clear" w:pos="360"/>
        </w:tabs>
        <w:ind w:left="720" w:hanging="720"/>
      </w:pPr>
      <w:r w:rsidRPr="00657B1B">
        <w:t>Pricing considerations</w:t>
      </w:r>
    </w:p>
    <w:p w:rsidR="00A43951" w:rsidRPr="00E92A00" w:rsidRDefault="00A43951" w:rsidP="00A43951">
      <w:pPr>
        <w:pStyle w:val="ListParagraph"/>
        <w:rPr>
          <w:rFonts w:asciiTheme="minorHAnsi" w:hAnsiTheme="minorHAnsi" w:cs="Arial"/>
          <w:snapToGrid w:val="0"/>
          <w:sz w:val="22"/>
          <w:szCs w:val="22"/>
          <w:lang w:eastAsia="en-US"/>
        </w:rPr>
      </w:pPr>
    </w:p>
    <w:p w:rsidR="00933CBB" w:rsidRPr="00933CBB" w:rsidRDefault="00933CBB" w:rsidP="00933CBB">
      <w:pPr>
        <w:pStyle w:val="ListParagraph"/>
        <w:numPr>
          <w:ilvl w:val="0"/>
          <w:numId w:val="4"/>
        </w:numPr>
        <w:rPr>
          <w:rFonts w:asciiTheme="minorHAnsi" w:hAnsiTheme="minorHAnsi"/>
          <w:vanish/>
          <w:sz w:val="22"/>
          <w:szCs w:val="22"/>
        </w:rPr>
      </w:pPr>
    </w:p>
    <w:p w:rsidR="006457A7" w:rsidRPr="00933CBB" w:rsidRDefault="00CC0415" w:rsidP="00933CBB">
      <w:pPr>
        <w:pStyle w:val="ListParagraph"/>
        <w:numPr>
          <w:ilvl w:val="1"/>
          <w:numId w:val="4"/>
        </w:numPr>
        <w:rPr>
          <w:rFonts w:asciiTheme="minorHAnsi" w:hAnsiTheme="minorHAnsi" w:cs="Arial"/>
          <w:snapToGrid w:val="0"/>
          <w:lang w:eastAsia="en-US"/>
        </w:rPr>
      </w:pPr>
      <w:r w:rsidRPr="00933CBB">
        <w:rPr>
          <w:rFonts w:asciiTheme="minorHAnsi" w:hAnsiTheme="minorHAnsi"/>
        </w:rPr>
        <w:t>E</w:t>
      </w:r>
      <w:r w:rsidR="00E92A00" w:rsidRPr="00933CBB">
        <w:rPr>
          <w:rFonts w:asciiTheme="minorHAnsi" w:hAnsiTheme="minorHAnsi"/>
        </w:rPr>
        <w:t>xisting</w:t>
      </w:r>
      <w:r w:rsidRPr="00933CBB">
        <w:rPr>
          <w:rFonts w:asciiTheme="minorHAnsi" w:hAnsiTheme="minorHAnsi"/>
        </w:rPr>
        <w:t xml:space="preserve"> </w:t>
      </w:r>
      <w:r w:rsidR="00BF6F09" w:rsidRPr="00933CBB">
        <w:rPr>
          <w:rFonts w:asciiTheme="minorHAnsi" w:hAnsiTheme="minorHAnsi"/>
        </w:rPr>
        <w:t xml:space="preserve">PBS </w:t>
      </w:r>
      <w:r w:rsidR="00597EBE" w:rsidRPr="00933CBB">
        <w:rPr>
          <w:rFonts w:asciiTheme="minorHAnsi" w:hAnsiTheme="minorHAnsi"/>
        </w:rPr>
        <w:t xml:space="preserve">listed </w:t>
      </w:r>
      <w:r w:rsidR="00E92A00" w:rsidRPr="00933CBB">
        <w:rPr>
          <w:rFonts w:asciiTheme="minorHAnsi" w:hAnsiTheme="minorHAnsi"/>
        </w:rPr>
        <w:t>forms</w:t>
      </w:r>
      <w:r w:rsidR="00BF6F09" w:rsidRPr="00933CBB">
        <w:rPr>
          <w:rFonts w:asciiTheme="minorHAnsi" w:hAnsiTheme="minorHAnsi"/>
        </w:rPr>
        <w:t xml:space="preserve"> of docetaxel separately have </w:t>
      </w:r>
      <w:r w:rsidR="007420C2" w:rsidRPr="00933CBB">
        <w:rPr>
          <w:rFonts w:asciiTheme="minorHAnsi" w:hAnsiTheme="minorHAnsi"/>
        </w:rPr>
        <w:t xml:space="preserve">either </w:t>
      </w:r>
      <w:r w:rsidR="00BF6F09" w:rsidRPr="00933CBB">
        <w:rPr>
          <w:rFonts w:asciiTheme="minorHAnsi" w:hAnsiTheme="minorHAnsi"/>
        </w:rPr>
        <w:t xml:space="preserve">the same total drug content (160 mg) </w:t>
      </w:r>
      <w:r w:rsidR="00224D8A" w:rsidRPr="00933CBB">
        <w:rPr>
          <w:rFonts w:asciiTheme="minorHAnsi" w:hAnsiTheme="minorHAnsi"/>
        </w:rPr>
        <w:t xml:space="preserve">or </w:t>
      </w:r>
      <w:r w:rsidR="00BF6F09" w:rsidRPr="00933CBB">
        <w:rPr>
          <w:rFonts w:asciiTheme="minorHAnsi" w:hAnsiTheme="minorHAnsi"/>
        </w:rPr>
        <w:t>the same concentration (20 mg/mL)</w:t>
      </w:r>
      <w:r w:rsidR="00597EBE" w:rsidRPr="00933CBB">
        <w:rPr>
          <w:rFonts w:asciiTheme="minorHAnsi" w:hAnsiTheme="minorHAnsi"/>
        </w:rPr>
        <w:t xml:space="preserve"> as the requested</w:t>
      </w:r>
      <w:r w:rsidR="00E92A00" w:rsidRPr="00933CBB">
        <w:rPr>
          <w:rFonts w:asciiTheme="minorHAnsi" w:hAnsiTheme="minorHAnsi"/>
        </w:rPr>
        <w:t xml:space="preserve"> form</w:t>
      </w:r>
      <w:r w:rsidR="00AC388E" w:rsidRPr="00933CBB">
        <w:rPr>
          <w:rFonts w:asciiTheme="minorHAnsi" w:hAnsiTheme="minorHAnsi"/>
        </w:rPr>
        <w:t>, meaning that neither the</w:t>
      </w:r>
      <w:r w:rsidR="000D4928" w:rsidRPr="00933CBB">
        <w:rPr>
          <w:rFonts w:asciiTheme="minorHAnsi" w:hAnsiTheme="minorHAnsi"/>
        </w:rPr>
        <w:t xml:space="preserve"> total drug content</w:t>
      </w:r>
      <w:r w:rsidR="00AC388E" w:rsidRPr="00933CBB">
        <w:rPr>
          <w:rFonts w:asciiTheme="minorHAnsi" w:hAnsiTheme="minorHAnsi"/>
        </w:rPr>
        <w:t xml:space="preserve"> nor the concentration of the requested form is new to the PBS</w:t>
      </w:r>
      <w:r w:rsidR="00BF6F09" w:rsidRPr="00933CBB">
        <w:rPr>
          <w:rFonts w:asciiTheme="minorHAnsi" w:hAnsiTheme="minorHAnsi"/>
        </w:rPr>
        <w:t>.</w:t>
      </w:r>
      <w:r w:rsidR="00E92A00" w:rsidRPr="00933CBB">
        <w:rPr>
          <w:rFonts w:asciiTheme="minorHAnsi" w:hAnsiTheme="minorHAnsi"/>
        </w:rPr>
        <w:t xml:space="preserve"> As the </w:t>
      </w:r>
      <w:r w:rsidR="000D4928" w:rsidRPr="00933CBB">
        <w:rPr>
          <w:rFonts w:asciiTheme="minorHAnsi" w:hAnsiTheme="minorHAnsi"/>
        </w:rPr>
        <w:t>requested Dispensed</w:t>
      </w:r>
      <w:r w:rsidR="00E92A00" w:rsidRPr="00933CBB">
        <w:rPr>
          <w:rFonts w:asciiTheme="minorHAnsi" w:hAnsiTheme="minorHAnsi"/>
        </w:rPr>
        <w:t xml:space="preserve"> Price for Maximum Amount is the same as </w:t>
      </w:r>
      <w:r w:rsidR="000D4928" w:rsidRPr="00933CBB">
        <w:rPr>
          <w:rFonts w:asciiTheme="minorHAnsi" w:hAnsiTheme="minorHAnsi"/>
        </w:rPr>
        <w:t>the existing</w:t>
      </w:r>
      <w:r w:rsidR="00E92A00" w:rsidRPr="00933CBB">
        <w:rPr>
          <w:rFonts w:asciiTheme="minorHAnsi" w:hAnsiTheme="minorHAnsi"/>
        </w:rPr>
        <w:t xml:space="preserve"> PBS listings</w:t>
      </w:r>
      <w:r w:rsidR="00BF6F09" w:rsidRPr="00933CBB">
        <w:rPr>
          <w:rFonts w:asciiTheme="minorHAnsi" w:hAnsiTheme="minorHAnsi"/>
        </w:rPr>
        <w:t xml:space="preserve">, the inclusion of this </w:t>
      </w:r>
      <w:r w:rsidR="00E92A00" w:rsidRPr="00933CBB">
        <w:rPr>
          <w:rFonts w:asciiTheme="minorHAnsi" w:hAnsiTheme="minorHAnsi"/>
        </w:rPr>
        <w:t xml:space="preserve">new form of docetaxel </w:t>
      </w:r>
      <w:r w:rsidR="00BF6F09" w:rsidRPr="00933CBB">
        <w:rPr>
          <w:rFonts w:asciiTheme="minorHAnsi" w:hAnsiTheme="minorHAnsi"/>
        </w:rPr>
        <w:t>is expected to be cost neutral to the PBS.</w:t>
      </w:r>
    </w:p>
    <w:p w:rsidR="006457A7" w:rsidRPr="00E92A00" w:rsidRDefault="006457A7" w:rsidP="006457A7">
      <w:pPr>
        <w:pStyle w:val="ListParagraph"/>
        <w:jc w:val="both"/>
        <w:rPr>
          <w:rFonts w:asciiTheme="minorHAnsi" w:hAnsiTheme="minorHAnsi"/>
          <w:b/>
          <w:sz w:val="22"/>
          <w:szCs w:val="22"/>
        </w:rPr>
      </w:pPr>
    </w:p>
    <w:p w:rsidR="00447B31" w:rsidRPr="00E92A00" w:rsidRDefault="00447B31" w:rsidP="000A2E52">
      <w:pPr>
        <w:pStyle w:val="ListParagraph"/>
        <w:jc w:val="both"/>
        <w:rPr>
          <w:rFonts w:asciiTheme="minorHAnsi" w:hAnsiTheme="minorHAnsi"/>
          <w:b/>
          <w:sz w:val="22"/>
          <w:szCs w:val="22"/>
        </w:rPr>
      </w:pPr>
    </w:p>
    <w:p w:rsidR="00A43951" w:rsidRPr="00933CBB" w:rsidRDefault="00037021" w:rsidP="00CC0415">
      <w:pPr>
        <w:pStyle w:val="Heading1"/>
        <w:tabs>
          <w:tab w:val="clear" w:pos="360"/>
        </w:tabs>
        <w:ind w:left="720" w:hanging="720"/>
      </w:pPr>
      <w:r w:rsidRPr="00657B1B">
        <w:t>Other relevant factors</w:t>
      </w:r>
    </w:p>
    <w:p w:rsidR="00A43951" w:rsidRPr="00E92A00" w:rsidRDefault="00A43951" w:rsidP="00A43951">
      <w:pPr>
        <w:pStyle w:val="ListParagraph"/>
        <w:rPr>
          <w:rFonts w:asciiTheme="minorHAnsi" w:hAnsiTheme="minorHAnsi" w:cs="Arial"/>
          <w:snapToGrid w:val="0"/>
          <w:sz w:val="22"/>
          <w:szCs w:val="22"/>
          <w:lang w:eastAsia="en-US"/>
        </w:rPr>
      </w:pPr>
    </w:p>
    <w:p w:rsidR="00933CBB" w:rsidRPr="00933CBB" w:rsidRDefault="00933CBB" w:rsidP="00933CBB">
      <w:pPr>
        <w:pStyle w:val="ListParagraph"/>
        <w:numPr>
          <w:ilvl w:val="0"/>
          <w:numId w:val="4"/>
        </w:numPr>
        <w:rPr>
          <w:rFonts w:asciiTheme="minorHAnsi" w:hAnsiTheme="minorHAnsi"/>
          <w:vanish/>
          <w:sz w:val="22"/>
          <w:szCs w:val="22"/>
        </w:rPr>
      </w:pPr>
    </w:p>
    <w:p w:rsidR="006457A7" w:rsidRPr="00933CBB" w:rsidRDefault="00BF6F09" w:rsidP="00933CBB">
      <w:pPr>
        <w:pStyle w:val="ListParagraph"/>
        <w:numPr>
          <w:ilvl w:val="1"/>
          <w:numId w:val="4"/>
        </w:numPr>
        <w:rPr>
          <w:rFonts w:asciiTheme="minorHAnsi" w:hAnsiTheme="minorHAnsi" w:cs="Arial"/>
          <w:snapToGrid w:val="0"/>
          <w:lang w:eastAsia="en-US"/>
        </w:rPr>
      </w:pPr>
      <w:r w:rsidRPr="00933CBB">
        <w:rPr>
          <w:rFonts w:asciiTheme="minorHAnsi" w:hAnsiTheme="minorHAnsi"/>
        </w:rPr>
        <w:t>The maximum quantity and number of repeats are consistent with the recommended dosage and existing PBS listings.</w:t>
      </w:r>
    </w:p>
    <w:p w:rsidR="00E92A00" w:rsidRPr="00933CBB" w:rsidRDefault="00E92A00" w:rsidP="00E92A00">
      <w:pPr>
        <w:pStyle w:val="ListParagraph"/>
        <w:rPr>
          <w:rFonts w:asciiTheme="minorHAnsi" w:hAnsiTheme="minorHAnsi" w:cs="Arial"/>
          <w:snapToGrid w:val="0"/>
          <w:lang w:eastAsia="en-US"/>
        </w:rPr>
      </w:pPr>
    </w:p>
    <w:p w:rsidR="00BF6F09" w:rsidRPr="00933CBB" w:rsidRDefault="00BF6F09" w:rsidP="007B3354">
      <w:pPr>
        <w:pStyle w:val="ListParagraph"/>
        <w:numPr>
          <w:ilvl w:val="1"/>
          <w:numId w:val="4"/>
        </w:numPr>
        <w:rPr>
          <w:rFonts w:asciiTheme="minorHAnsi" w:hAnsiTheme="minorHAnsi" w:cs="Arial"/>
          <w:snapToGrid w:val="0"/>
          <w:lang w:eastAsia="en-US"/>
        </w:rPr>
      </w:pPr>
      <w:r w:rsidRPr="00933CBB">
        <w:rPr>
          <w:rFonts w:asciiTheme="minorHAnsi" w:hAnsiTheme="minorHAnsi" w:cs="Arial"/>
        </w:rPr>
        <w:t>Docetaxel is currently exempt from the Early Supply Rule and has a resupply interval of 4 days.</w:t>
      </w:r>
    </w:p>
    <w:p w:rsidR="00692E8C" w:rsidRPr="00692E8C" w:rsidRDefault="00692E8C" w:rsidP="00692E8C">
      <w:pPr>
        <w:spacing w:after="240"/>
        <w:jc w:val="both"/>
        <w:rPr>
          <w:rFonts w:asciiTheme="minorHAnsi" w:hAnsiTheme="minorHAnsi"/>
          <w:sz w:val="22"/>
          <w:szCs w:val="22"/>
        </w:rPr>
      </w:pPr>
    </w:p>
    <w:p w:rsidR="00692E8C" w:rsidRPr="00933CBB" w:rsidRDefault="00692E8C" w:rsidP="00933CBB">
      <w:pPr>
        <w:pStyle w:val="Heading1"/>
        <w:tabs>
          <w:tab w:val="clear" w:pos="360"/>
        </w:tabs>
        <w:ind w:left="720" w:hanging="720"/>
      </w:pPr>
      <w:r w:rsidRPr="00657B1B">
        <w:t>PBAC Outcome</w:t>
      </w:r>
    </w:p>
    <w:p w:rsidR="00692E8C" w:rsidRPr="00692E8C" w:rsidRDefault="00692E8C" w:rsidP="00692E8C">
      <w:pPr>
        <w:ind w:left="720"/>
        <w:contextualSpacing/>
        <w:rPr>
          <w:rFonts w:asciiTheme="minorHAnsi" w:hAnsiTheme="minorHAnsi" w:cs="Arial"/>
          <w:bCs/>
          <w:snapToGrid w:val="0"/>
          <w:sz w:val="22"/>
          <w:szCs w:val="20"/>
          <w:lang w:val="en-GB" w:eastAsia="en-US"/>
        </w:rPr>
      </w:pPr>
    </w:p>
    <w:p w:rsidR="00933CBB" w:rsidRPr="00933CBB" w:rsidRDefault="00933CBB" w:rsidP="00933CBB">
      <w:pPr>
        <w:pStyle w:val="ListParagraph"/>
        <w:numPr>
          <w:ilvl w:val="0"/>
          <w:numId w:val="4"/>
        </w:numPr>
        <w:spacing w:after="240"/>
        <w:contextualSpacing w:val="0"/>
        <w:jc w:val="both"/>
        <w:rPr>
          <w:rFonts w:asciiTheme="minorHAnsi" w:hAnsiTheme="minorHAnsi" w:cs="Arial"/>
          <w:bCs/>
          <w:snapToGrid w:val="0"/>
          <w:vanish/>
          <w:sz w:val="22"/>
          <w:szCs w:val="20"/>
          <w:lang w:val="en-GB" w:eastAsia="en-US"/>
        </w:rPr>
      </w:pPr>
    </w:p>
    <w:p w:rsidR="00692E8C" w:rsidRPr="00933CBB" w:rsidRDefault="00692E8C" w:rsidP="00933CBB">
      <w:pPr>
        <w:numPr>
          <w:ilvl w:val="1"/>
          <w:numId w:val="4"/>
        </w:numPr>
        <w:spacing w:after="240"/>
        <w:jc w:val="both"/>
        <w:rPr>
          <w:rFonts w:asciiTheme="minorHAnsi" w:hAnsiTheme="minorHAnsi"/>
          <w:b/>
        </w:rPr>
      </w:pPr>
      <w:r w:rsidRPr="00933CBB">
        <w:rPr>
          <w:rFonts w:asciiTheme="minorHAnsi" w:hAnsiTheme="minorHAnsi" w:cs="Arial"/>
          <w:bCs/>
          <w:snapToGrid w:val="0"/>
          <w:lang w:val="en-GB" w:eastAsia="en-US"/>
        </w:rPr>
        <w:t xml:space="preserve">The PBAC noted the change to the listings processed by the secretariat.  </w:t>
      </w:r>
    </w:p>
    <w:p w:rsidR="00692E8C" w:rsidRPr="00933CBB" w:rsidRDefault="00692E8C" w:rsidP="00692E8C">
      <w:pPr>
        <w:ind w:left="720"/>
        <w:contextualSpacing/>
        <w:rPr>
          <w:rFonts w:asciiTheme="minorHAnsi" w:hAnsiTheme="minorHAnsi" w:cs="Arial"/>
          <w:bCs/>
          <w:snapToGrid w:val="0"/>
          <w:lang w:val="en-GB" w:eastAsia="en-US"/>
        </w:rPr>
      </w:pPr>
    </w:p>
    <w:p w:rsidR="00692E8C" w:rsidRPr="00933CBB" w:rsidRDefault="00692E8C" w:rsidP="00692E8C">
      <w:pPr>
        <w:widowControl w:val="0"/>
        <w:jc w:val="both"/>
        <w:rPr>
          <w:rFonts w:asciiTheme="minorHAnsi" w:hAnsiTheme="minorHAnsi" w:cs="Arial"/>
          <w:b/>
          <w:bCs/>
          <w:snapToGrid w:val="0"/>
          <w:lang w:eastAsia="en-US"/>
        </w:rPr>
      </w:pPr>
      <w:r w:rsidRPr="00933CBB">
        <w:rPr>
          <w:rFonts w:asciiTheme="minorHAnsi" w:hAnsiTheme="minorHAnsi" w:cs="Arial"/>
          <w:b/>
          <w:bCs/>
          <w:snapToGrid w:val="0"/>
          <w:lang w:eastAsia="en-US"/>
        </w:rPr>
        <w:t>Outcome:</w:t>
      </w:r>
    </w:p>
    <w:p w:rsidR="00692E8C" w:rsidRPr="00933CBB" w:rsidRDefault="00692E8C" w:rsidP="00692E8C">
      <w:pPr>
        <w:widowControl w:val="0"/>
        <w:jc w:val="both"/>
        <w:rPr>
          <w:rFonts w:asciiTheme="minorHAnsi" w:hAnsiTheme="minorHAnsi" w:cs="Arial"/>
          <w:bCs/>
          <w:snapToGrid w:val="0"/>
          <w:lang w:eastAsia="en-US"/>
        </w:rPr>
      </w:pPr>
      <w:r w:rsidRPr="00933CBB">
        <w:rPr>
          <w:rFonts w:asciiTheme="minorHAnsi" w:hAnsiTheme="minorHAnsi" w:cs="Arial"/>
          <w:bCs/>
          <w:snapToGrid w:val="0"/>
          <w:lang w:eastAsia="en-US"/>
        </w:rPr>
        <w:t>Recommended</w:t>
      </w:r>
    </w:p>
    <w:p w:rsidR="00657B1B" w:rsidRPr="00692E8C" w:rsidRDefault="00657B1B" w:rsidP="00692E8C">
      <w:pPr>
        <w:widowControl w:val="0"/>
        <w:jc w:val="both"/>
        <w:rPr>
          <w:rFonts w:asciiTheme="minorHAnsi" w:hAnsiTheme="minorHAnsi" w:cs="Arial"/>
          <w:bCs/>
          <w:snapToGrid w:val="0"/>
          <w:sz w:val="22"/>
          <w:szCs w:val="20"/>
          <w:lang w:eastAsia="en-US"/>
        </w:rPr>
      </w:pPr>
    </w:p>
    <w:p w:rsidR="00DE2C6B" w:rsidRDefault="00DE2C6B" w:rsidP="00DE2C6B">
      <w:pPr>
        <w:ind w:left="720"/>
        <w:jc w:val="both"/>
        <w:rPr>
          <w:rFonts w:asciiTheme="minorHAnsi" w:hAnsiTheme="minorHAnsi" w:cs="Arial"/>
          <w:sz w:val="22"/>
          <w:szCs w:val="22"/>
        </w:rPr>
      </w:pPr>
    </w:p>
    <w:p w:rsidR="00D2288E" w:rsidRPr="00657B1B" w:rsidRDefault="00D2288E" w:rsidP="00657B1B">
      <w:pPr>
        <w:pStyle w:val="Heading1"/>
        <w:tabs>
          <w:tab w:val="clear" w:pos="360"/>
        </w:tabs>
        <w:ind w:left="720" w:hanging="720"/>
      </w:pPr>
      <w:r w:rsidRPr="00657B1B">
        <w:t>Context for Decision</w:t>
      </w:r>
    </w:p>
    <w:p w:rsidR="00D2288E" w:rsidRPr="00D2288E" w:rsidRDefault="00D2288E" w:rsidP="00D2288E">
      <w:pPr>
        <w:spacing w:line="276" w:lineRule="auto"/>
        <w:ind w:left="426"/>
        <w:jc w:val="both"/>
        <w:rPr>
          <w:rFonts w:asciiTheme="minorHAnsi" w:eastAsiaTheme="minorHAnsi" w:hAnsiTheme="minorHAnsi" w:cs="Arial"/>
          <w:sz w:val="22"/>
          <w:szCs w:val="22"/>
          <w:lang w:eastAsia="en-US"/>
        </w:rPr>
      </w:pPr>
    </w:p>
    <w:p w:rsidR="00D2288E" w:rsidRPr="00933CBB" w:rsidRDefault="00D2288E" w:rsidP="00D2288E">
      <w:pPr>
        <w:spacing w:line="276" w:lineRule="auto"/>
        <w:ind w:left="426"/>
        <w:jc w:val="both"/>
        <w:rPr>
          <w:rFonts w:asciiTheme="minorHAnsi" w:eastAsiaTheme="minorHAnsi" w:hAnsiTheme="minorHAnsi" w:cs="Arial"/>
          <w:lang w:eastAsia="en-US"/>
        </w:rPr>
      </w:pPr>
      <w:r w:rsidRPr="00933CBB">
        <w:rPr>
          <w:rFonts w:asciiTheme="minorHAnsi" w:eastAsiaTheme="minorHAnsi" w:hAnsiTheme="minorHAnsi" w:cs="Arial"/>
          <w:lang w:eastAsia="en-US"/>
        </w:rPr>
        <w:lastRenderedPageBreak/>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2288E" w:rsidRPr="00D2288E" w:rsidRDefault="00D2288E" w:rsidP="00D2288E">
      <w:pPr>
        <w:spacing w:after="200" w:line="276" w:lineRule="auto"/>
        <w:ind w:left="426"/>
        <w:jc w:val="both"/>
        <w:rPr>
          <w:rFonts w:asciiTheme="minorHAnsi" w:eastAsiaTheme="minorHAnsi" w:hAnsiTheme="minorHAnsi" w:cs="Arial"/>
          <w:sz w:val="22"/>
          <w:szCs w:val="22"/>
          <w:lang w:eastAsia="en-US"/>
        </w:rPr>
      </w:pPr>
    </w:p>
    <w:p w:rsidR="00D2288E" w:rsidRPr="00657B1B" w:rsidRDefault="00D2288E" w:rsidP="00657B1B">
      <w:pPr>
        <w:pStyle w:val="Heading1"/>
        <w:tabs>
          <w:tab w:val="clear" w:pos="360"/>
        </w:tabs>
        <w:ind w:left="720" w:hanging="720"/>
      </w:pPr>
      <w:r w:rsidRPr="00657B1B">
        <w:t>Sponsor’s Comment</w:t>
      </w:r>
    </w:p>
    <w:p w:rsidR="00D2288E" w:rsidRPr="00D2288E" w:rsidRDefault="00D2288E" w:rsidP="00D2288E">
      <w:pPr>
        <w:spacing w:line="276" w:lineRule="auto"/>
        <w:ind w:left="426"/>
        <w:jc w:val="both"/>
        <w:rPr>
          <w:rFonts w:asciiTheme="minorHAnsi" w:eastAsiaTheme="minorHAnsi" w:hAnsiTheme="minorHAnsi" w:cs="Arial"/>
          <w:bCs/>
          <w:sz w:val="22"/>
          <w:szCs w:val="22"/>
          <w:highlight w:val="yellow"/>
          <w:lang w:val="en-GB" w:eastAsia="en-US"/>
        </w:rPr>
      </w:pPr>
    </w:p>
    <w:p w:rsidR="00D2288E" w:rsidRPr="00933CBB" w:rsidRDefault="00D2288E" w:rsidP="00D2288E">
      <w:pPr>
        <w:spacing w:after="120" w:line="276" w:lineRule="auto"/>
        <w:ind w:left="426"/>
        <w:jc w:val="both"/>
        <w:rPr>
          <w:rFonts w:asciiTheme="minorHAnsi" w:hAnsiTheme="minorHAnsi" w:cs="Arial"/>
        </w:rPr>
      </w:pPr>
      <w:r w:rsidRPr="00933CBB">
        <w:rPr>
          <w:rFonts w:asciiTheme="minorHAnsi" w:eastAsiaTheme="minorHAnsi" w:hAnsiTheme="minorHAnsi" w:cs="Arial"/>
          <w:bCs/>
          <w:lang w:eastAsia="en-US"/>
        </w:rPr>
        <w:t>The sponsor had no comment.</w:t>
      </w:r>
    </w:p>
    <w:sectPr w:rsidR="00D2288E" w:rsidRPr="00933CBB" w:rsidSect="0027790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A94" w:rsidRDefault="00D61A94" w:rsidP="00F31FFD">
      <w:r>
        <w:separator/>
      </w:r>
    </w:p>
  </w:endnote>
  <w:endnote w:type="continuationSeparator" w:id="0">
    <w:p w:rsidR="00D61A94" w:rsidRDefault="00D61A94" w:rsidP="00F3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A94" w:rsidRDefault="00D61A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E8C" w:rsidRDefault="00692E8C" w:rsidP="00692E8C">
    <w:pPr>
      <w:jc w:val="cente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D61A94">
      <w:rPr>
        <w:rFonts w:ascii="Arial" w:hAnsi="Arial" w:cs="Arial"/>
        <w:noProof/>
        <w:sz w:val="20"/>
        <w:szCs w:val="20"/>
      </w:rPr>
      <w:t>1</w:t>
    </w:r>
    <w:r w:rsidRPr="00651169">
      <w:rPr>
        <w:rFonts w:ascii="Arial" w:hAnsi="Arial" w:cs="Arial"/>
        <w:noProof/>
        <w:sz w:val="20"/>
        <w:szCs w:val="20"/>
      </w:rPr>
      <w:fldChar w:fldCharType="end"/>
    </w:r>
  </w:p>
  <w:p w:rsidR="00F31FFD" w:rsidRDefault="00F31F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A94" w:rsidRDefault="00D61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A94" w:rsidRDefault="00D61A94" w:rsidP="00F31FFD">
      <w:r>
        <w:separator/>
      </w:r>
    </w:p>
  </w:footnote>
  <w:footnote w:type="continuationSeparator" w:id="0">
    <w:p w:rsidR="00D61A94" w:rsidRDefault="00D61A94" w:rsidP="00F31F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A94" w:rsidRDefault="00D61A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E8C" w:rsidRDefault="00D2288E" w:rsidP="00692E8C">
    <w:pPr>
      <w:tabs>
        <w:tab w:val="center" w:pos="4513"/>
        <w:tab w:val="right" w:pos="9026"/>
      </w:tabs>
      <w:ind w:left="360"/>
      <w:jc w:val="center"/>
      <w:rPr>
        <w:rFonts w:ascii="Arial" w:hAnsi="Arial" w:cs="Arial"/>
        <w:i/>
        <w:color w:val="808080"/>
        <w:sz w:val="22"/>
        <w:lang w:eastAsia="en-US"/>
      </w:rPr>
    </w:pPr>
    <w:r>
      <w:rPr>
        <w:rFonts w:ascii="Arial" w:hAnsi="Arial" w:cs="Arial"/>
        <w:i/>
        <w:color w:val="808080"/>
        <w:sz w:val="22"/>
        <w:lang w:eastAsia="en-US"/>
      </w:rPr>
      <w:t xml:space="preserve">Public Summary Document </w:t>
    </w:r>
    <w:r w:rsidR="00692E8C" w:rsidRPr="00692E8C">
      <w:rPr>
        <w:rFonts w:ascii="Arial" w:hAnsi="Arial" w:cs="Arial"/>
        <w:i/>
        <w:color w:val="808080"/>
        <w:sz w:val="22"/>
        <w:lang w:eastAsia="en-US"/>
      </w:rPr>
      <w:t>– March 2017 PBAC Meeting</w:t>
    </w:r>
  </w:p>
  <w:p w:rsidR="00D2288E" w:rsidRPr="00692E8C" w:rsidRDefault="00D2288E" w:rsidP="00692E8C">
    <w:pPr>
      <w:tabs>
        <w:tab w:val="center" w:pos="4513"/>
        <w:tab w:val="right" w:pos="9026"/>
      </w:tabs>
      <w:ind w:left="360"/>
      <w:jc w:val="center"/>
      <w:rPr>
        <w:rFonts w:ascii="Arial" w:hAnsi="Arial" w:cs="Arial"/>
        <w:i/>
        <w:color w:val="808080"/>
        <w:sz w:val="22"/>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A94" w:rsidRDefault="00D61A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8023604"/>
    <w:lvl w:ilvl="0">
      <w:start w:val="1"/>
      <w:numFmt w:val="bullet"/>
      <w:lvlText w:val=""/>
      <w:lvlJc w:val="left"/>
      <w:pPr>
        <w:tabs>
          <w:tab w:val="num" w:pos="1492"/>
        </w:tabs>
        <w:ind w:left="1492" w:hanging="360"/>
      </w:pPr>
      <w:rPr>
        <w:rFonts w:ascii="Symbol" w:hAnsi="Symbol" w:hint="default"/>
      </w:rPr>
    </w:lvl>
  </w:abstractNum>
  <w:abstractNum w:abstractNumId="1">
    <w:nsid w:val="FFFFFF88"/>
    <w:multiLevelType w:val="singleLevel"/>
    <w:tmpl w:val="4DE0E5C2"/>
    <w:lvl w:ilvl="0">
      <w:start w:val="1"/>
      <w:numFmt w:val="decimal"/>
      <w:pStyle w:val="ListNumber"/>
      <w:lvlText w:val="%1"/>
      <w:lvlJc w:val="left"/>
      <w:pPr>
        <w:tabs>
          <w:tab w:val="num" w:pos="360"/>
        </w:tabs>
        <w:ind w:left="360" w:hanging="360"/>
      </w:pPr>
      <w:rPr>
        <w:rFonts w:hint="default"/>
      </w:rPr>
    </w:lvl>
  </w:abstractNum>
  <w:abstractNum w:abstractNumId="2">
    <w:nsid w:val="065222B8"/>
    <w:multiLevelType w:val="multilevel"/>
    <w:tmpl w:val="3CFE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712CBE"/>
    <w:multiLevelType w:val="hybridMultilevel"/>
    <w:tmpl w:val="6390F588"/>
    <w:lvl w:ilvl="0" w:tplc="85D846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84D033C"/>
    <w:multiLevelType w:val="multilevel"/>
    <w:tmpl w:val="A696715E"/>
    <w:lvl w:ilvl="0">
      <w:start w:val="1"/>
      <w:numFmt w:val="decimal"/>
      <w:lvlText w:val="%1"/>
      <w:lvlJc w:val="left"/>
      <w:pPr>
        <w:ind w:left="720" w:hanging="720"/>
      </w:pPr>
      <w:rPr>
        <w:b/>
      </w:r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nsid w:val="7A4C7ECB"/>
    <w:multiLevelType w:val="hybridMultilevel"/>
    <w:tmpl w:val="3238F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0"/>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FFD"/>
    <w:rsid w:val="00003129"/>
    <w:rsid w:val="00037021"/>
    <w:rsid w:val="000A2E52"/>
    <w:rsid w:val="000C667C"/>
    <w:rsid w:val="000D4928"/>
    <w:rsid w:val="000F30B8"/>
    <w:rsid w:val="00133188"/>
    <w:rsid w:val="00185514"/>
    <w:rsid w:val="002173D1"/>
    <w:rsid w:val="00224D8A"/>
    <w:rsid w:val="00277907"/>
    <w:rsid w:val="0028043E"/>
    <w:rsid w:val="002D7DC7"/>
    <w:rsid w:val="003B4E4E"/>
    <w:rsid w:val="003C188B"/>
    <w:rsid w:val="003E0A72"/>
    <w:rsid w:val="003F2B73"/>
    <w:rsid w:val="00447B31"/>
    <w:rsid w:val="004C5951"/>
    <w:rsid w:val="004F691F"/>
    <w:rsid w:val="00596402"/>
    <w:rsid w:val="00597EBE"/>
    <w:rsid w:val="005D6F2A"/>
    <w:rsid w:val="005E29A1"/>
    <w:rsid w:val="005E78C5"/>
    <w:rsid w:val="005F451C"/>
    <w:rsid w:val="00637E5B"/>
    <w:rsid w:val="006457A7"/>
    <w:rsid w:val="00657B1B"/>
    <w:rsid w:val="006728B5"/>
    <w:rsid w:val="00683AE0"/>
    <w:rsid w:val="006927A1"/>
    <w:rsid w:val="00692E8C"/>
    <w:rsid w:val="007420C2"/>
    <w:rsid w:val="007505AB"/>
    <w:rsid w:val="00795F43"/>
    <w:rsid w:val="00796FDD"/>
    <w:rsid w:val="007B3354"/>
    <w:rsid w:val="007E3E9B"/>
    <w:rsid w:val="007E7D09"/>
    <w:rsid w:val="007F4E20"/>
    <w:rsid w:val="00807C1E"/>
    <w:rsid w:val="008374A2"/>
    <w:rsid w:val="00843D43"/>
    <w:rsid w:val="00846906"/>
    <w:rsid w:val="008C0422"/>
    <w:rsid w:val="00933CBB"/>
    <w:rsid w:val="009C5753"/>
    <w:rsid w:val="009D1D01"/>
    <w:rsid w:val="009E5A48"/>
    <w:rsid w:val="00A43951"/>
    <w:rsid w:val="00AA0534"/>
    <w:rsid w:val="00AC388E"/>
    <w:rsid w:val="00AF26FA"/>
    <w:rsid w:val="00B90C6A"/>
    <w:rsid w:val="00BF6F09"/>
    <w:rsid w:val="00BF7145"/>
    <w:rsid w:val="00CC0415"/>
    <w:rsid w:val="00CD369E"/>
    <w:rsid w:val="00CE680F"/>
    <w:rsid w:val="00D2288E"/>
    <w:rsid w:val="00D61A94"/>
    <w:rsid w:val="00DC3016"/>
    <w:rsid w:val="00DE2C6B"/>
    <w:rsid w:val="00E92A00"/>
    <w:rsid w:val="00EA55AE"/>
    <w:rsid w:val="00EA598E"/>
    <w:rsid w:val="00ED6AC7"/>
    <w:rsid w:val="00F06632"/>
    <w:rsid w:val="00F31FFD"/>
    <w:rsid w:val="00F52ED4"/>
    <w:rsid w:val="00FA2448"/>
    <w:rsid w:val="00FD68B7"/>
    <w:rsid w:val="00FF028C"/>
    <w:rsid w:val="00FF46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FFD"/>
    <w:pPr>
      <w:spacing w:after="0" w:line="240" w:lineRule="auto"/>
    </w:pPr>
    <w:rPr>
      <w:rFonts w:eastAsia="Times New Roman" w:cs="Times New Roman"/>
      <w:szCs w:val="24"/>
      <w:lang w:eastAsia="en-AU"/>
    </w:rPr>
  </w:style>
  <w:style w:type="paragraph" w:styleId="Heading1">
    <w:name w:val="heading 1"/>
    <w:basedOn w:val="ListNumber"/>
    <w:next w:val="Normal"/>
    <w:link w:val="Heading1Char"/>
    <w:autoRedefine/>
    <w:qFormat/>
    <w:rsid w:val="00657B1B"/>
    <w:pPr>
      <w:jc w:val="both"/>
      <w:outlineLvl w:val="0"/>
    </w:pPr>
    <w:rPr>
      <w:rFonts w:asciiTheme="minorHAnsi" w:hAnsiTheme="minorHAnsi"/>
      <w:b/>
      <w:sz w:val="32"/>
      <w:szCs w:val="32"/>
    </w:rPr>
  </w:style>
  <w:style w:type="paragraph" w:styleId="Heading2">
    <w:name w:val="heading 2"/>
    <w:basedOn w:val="Normal"/>
    <w:next w:val="Normal"/>
    <w:link w:val="Heading2Char"/>
    <w:uiPriority w:val="9"/>
    <w:unhideWhenUsed/>
    <w:qFormat/>
    <w:rsid w:val="007B3354"/>
    <w:pPr>
      <w:keepNext/>
      <w:keepLines/>
      <w:spacing w:before="200"/>
      <w:outlineLvl w:val="1"/>
    </w:pPr>
    <w:rPr>
      <w:rFonts w:ascii="Arial" w:eastAsiaTheme="majorEastAsia" w:hAnsi="Arial" w:cstheme="majorBidi"/>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aliases w:val="Table Title"/>
    <w:uiPriority w:val="99"/>
    <w:qFormat/>
    <w:rsid w:val="00F31FFD"/>
    <w:rPr>
      <w:sz w:val="16"/>
      <w:szCs w:val="16"/>
    </w:rPr>
  </w:style>
  <w:style w:type="paragraph" w:styleId="CommentText">
    <w:name w:val="annotation text"/>
    <w:basedOn w:val="Normal"/>
    <w:link w:val="CommentTextChar"/>
    <w:rsid w:val="00F31FFD"/>
    <w:rPr>
      <w:sz w:val="20"/>
      <w:szCs w:val="20"/>
    </w:rPr>
  </w:style>
  <w:style w:type="character" w:customStyle="1" w:styleId="CommentTextChar">
    <w:name w:val="Comment Text Char"/>
    <w:basedOn w:val="DefaultParagraphFont"/>
    <w:link w:val="CommentText"/>
    <w:rsid w:val="00F31FFD"/>
    <w:rPr>
      <w:rFonts w:eastAsia="Times New Roman" w:cs="Times New Roman"/>
      <w:sz w:val="20"/>
      <w:szCs w:val="20"/>
      <w:lang w:eastAsia="en-AU"/>
    </w:rPr>
  </w:style>
  <w:style w:type="paragraph" w:styleId="NormalWeb">
    <w:name w:val="Normal (Web)"/>
    <w:basedOn w:val="Normal"/>
    <w:uiPriority w:val="99"/>
    <w:unhideWhenUsed/>
    <w:rsid w:val="00F31FFD"/>
    <w:pPr>
      <w:spacing w:before="100" w:beforeAutospacing="1" w:after="100" w:afterAutospacing="1"/>
    </w:pPr>
  </w:style>
  <w:style w:type="paragraph" w:styleId="BalloonText">
    <w:name w:val="Balloon Text"/>
    <w:basedOn w:val="Normal"/>
    <w:link w:val="BalloonTextChar"/>
    <w:uiPriority w:val="99"/>
    <w:semiHidden/>
    <w:unhideWhenUsed/>
    <w:rsid w:val="00F31FFD"/>
    <w:rPr>
      <w:rFonts w:ascii="Tahoma" w:hAnsi="Tahoma" w:cs="Tahoma"/>
      <w:sz w:val="16"/>
      <w:szCs w:val="16"/>
    </w:rPr>
  </w:style>
  <w:style w:type="character" w:customStyle="1" w:styleId="BalloonTextChar">
    <w:name w:val="Balloon Text Char"/>
    <w:basedOn w:val="DefaultParagraphFont"/>
    <w:link w:val="BalloonText"/>
    <w:uiPriority w:val="99"/>
    <w:semiHidden/>
    <w:rsid w:val="00F31FFD"/>
    <w:rPr>
      <w:rFonts w:ascii="Tahoma" w:eastAsia="Times New Roman" w:hAnsi="Tahoma" w:cs="Tahoma"/>
      <w:sz w:val="16"/>
      <w:szCs w:val="16"/>
      <w:lang w:eastAsia="en-AU"/>
    </w:rPr>
  </w:style>
  <w:style w:type="paragraph" w:styleId="Header">
    <w:name w:val="header"/>
    <w:basedOn w:val="Normal"/>
    <w:link w:val="HeaderChar"/>
    <w:unhideWhenUsed/>
    <w:rsid w:val="00F31FFD"/>
    <w:pPr>
      <w:tabs>
        <w:tab w:val="center" w:pos="4513"/>
        <w:tab w:val="right" w:pos="9026"/>
      </w:tabs>
    </w:pPr>
  </w:style>
  <w:style w:type="character" w:customStyle="1" w:styleId="HeaderChar">
    <w:name w:val="Header Char"/>
    <w:basedOn w:val="DefaultParagraphFont"/>
    <w:link w:val="Header"/>
    <w:rsid w:val="00F31FFD"/>
    <w:rPr>
      <w:rFonts w:eastAsia="Times New Roman" w:cs="Times New Roman"/>
      <w:szCs w:val="24"/>
      <w:lang w:eastAsia="en-AU"/>
    </w:rPr>
  </w:style>
  <w:style w:type="paragraph" w:styleId="Footer">
    <w:name w:val="footer"/>
    <w:basedOn w:val="Normal"/>
    <w:link w:val="FooterChar"/>
    <w:unhideWhenUsed/>
    <w:rsid w:val="00F31FFD"/>
    <w:pPr>
      <w:tabs>
        <w:tab w:val="center" w:pos="4513"/>
        <w:tab w:val="right" w:pos="9026"/>
      </w:tabs>
    </w:pPr>
  </w:style>
  <w:style w:type="character" w:customStyle="1" w:styleId="FooterChar">
    <w:name w:val="Footer Char"/>
    <w:basedOn w:val="DefaultParagraphFont"/>
    <w:link w:val="Footer"/>
    <w:rsid w:val="00F31FFD"/>
    <w:rPr>
      <w:rFonts w:eastAsia="Times New Roman" w:cs="Times New Roman"/>
      <w:szCs w:val="24"/>
      <w:lang w:eastAsia="en-AU"/>
    </w:rPr>
  </w:style>
  <w:style w:type="character" w:styleId="PageNumber">
    <w:name w:val="page number"/>
    <w:basedOn w:val="DefaultParagraphFont"/>
    <w:rsid w:val="00F31FFD"/>
  </w:style>
  <w:style w:type="paragraph" w:styleId="Caption">
    <w:name w:val="caption"/>
    <w:aliases w:val="Bayer Caption,IB Caption,Medical Caption,CSR Caption"/>
    <w:basedOn w:val="Normal"/>
    <w:next w:val="Normal"/>
    <w:link w:val="CaptionChar"/>
    <w:uiPriority w:val="35"/>
    <w:qFormat/>
    <w:rsid w:val="006728B5"/>
    <w:pPr>
      <w:spacing w:after="200"/>
      <w:jc w:val="both"/>
    </w:pPr>
    <w:rPr>
      <w:rFonts w:ascii="Candara" w:hAnsi="Candara"/>
      <w:b/>
      <w:bCs/>
      <w:szCs w:val="18"/>
      <w:lang w:val="en-US" w:eastAsia="en-US" w:bidi="en-US"/>
    </w:rPr>
  </w:style>
  <w:style w:type="character" w:customStyle="1" w:styleId="CaptionChar">
    <w:name w:val="Caption Char"/>
    <w:aliases w:val="Bayer Caption Char,IB Caption Char,Medical Caption Char,CSR Caption Char"/>
    <w:link w:val="Caption"/>
    <w:uiPriority w:val="35"/>
    <w:rsid w:val="006728B5"/>
    <w:rPr>
      <w:rFonts w:ascii="Candara" w:eastAsia="Times New Roman" w:hAnsi="Candara" w:cs="Times New Roman"/>
      <w:b/>
      <w:bCs/>
      <w:szCs w:val="18"/>
      <w:lang w:val="en-US" w:bidi="en-US"/>
    </w:rPr>
  </w:style>
  <w:style w:type="paragraph" w:styleId="Subtitle">
    <w:name w:val="Subtitle"/>
    <w:basedOn w:val="Normal"/>
    <w:next w:val="Normal"/>
    <w:link w:val="SubtitleChar"/>
    <w:uiPriority w:val="11"/>
    <w:qFormat/>
    <w:rsid w:val="006728B5"/>
    <w:pPr>
      <w:numPr>
        <w:ilvl w:val="1"/>
      </w:numPr>
      <w:spacing w:after="200" w:line="276" w:lineRule="auto"/>
    </w:pPr>
    <w:rPr>
      <w:rFonts w:ascii="Arial Narrow" w:eastAsia="MS Gothic" w:hAnsi="Arial Narrow"/>
      <w:i/>
      <w:iCs/>
      <w:spacing w:val="15"/>
      <w:sz w:val="18"/>
      <w:lang w:eastAsia="en-US"/>
    </w:rPr>
  </w:style>
  <w:style w:type="character" w:customStyle="1" w:styleId="SubtitleChar">
    <w:name w:val="Subtitle Char"/>
    <w:basedOn w:val="DefaultParagraphFont"/>
    <w:link w:val="Subtitle"/>
    <w:uiPriority w:val="11"/>
    <w:rsid w:val="006728B5"/>
    <w:rPr>
      <w:rFonts w:ascii="Arial Narrow" w:eastAsia="MS Gothic" w:hAnsi="Arial Narrow" w:cs="Times New Roman"/>
      <w:i/>
      <w:iCs/>
      <w:spacing w:val="15"/>
      <w:sz w:val="18"/>
      <w:szCs w:val="24"/>
    </w:rPr>
  </w:style>
  <w:style w:type="paragraph" w:styleId="ListParagraph">
    <w:name w:val="List Paragraph"/>
    <w:basedOn w:val="Normal"/>
    <w:link w:val="ListParagraphChar"/>
    <w:uiPriority w:val="72"/>
    <w:qFormat/>
    <w:rsid w:val="006457A7"/>
    <w:pPr>
      <w:ind w:left="720"/>
      <w:contextualSpacing/>
    </w:pPr>
  </w:style>
  <w:style w:type="character" w:customStyle="1" w:styleId="Heading1Char">
    <w:name w:val="Heading 1 Char"/>
    <w:basedOn w:val="DefaultParagraphFont"/>
    <w:link w:val="Heading1"/>
    <w:rsid w:val="00657B1B"/>
    <w:rPr>
      <w:rFonts w:asciiTheme="minorHAnsi" w:eastAsia="Times New Roman" w:hAnsiTheme="minorHAnsi" w:cs="Times New Roman"/>
      <w:b/>
      <w:sz w:val="32"/>
      <w:szCs w:val="32"/>
      <w:lang w:eastAsia="en-AU"/>
    </w:rPr>
  </w:style>
  <w:style w:type="character" w:customStyle="1" w:styleId="Heading2Char">
    <w:name w:val="Heading 2 Char"/>
    <w:basedOn w:val="DefaultParagraphFont"/>
    <w:link w:val="Heading2"/>
    <w:uiPriority w:val="9"/>
    <w:rsid w:val="007B3354"/>
    <w:rPr>
      <w:rFonts w:ascii="Arial" w:eastAsiaTheme="majorEastAsia" w:hAnsi="Arial" w:cstheme="majorBidi"/>
      <w:b/>
      <w:bCs/>
      <w:sz w:val="22"/>
      <w:szCs w:val="26"/>
      <w:lang w:eastAsia="en-AU"/>
    </w:rPr>
  </w:style>
  <w:style w:type="paragraph" w:styleId="ListNumber">
    <w:name w:val="List Number"/>
    <w:basedOn w:val="Normal"/>
    <w:uiPriority w:val="99"/>
    <w:unhideWhenUsed/>
    <w:rsid w:val="007B3354"/>
    <w:pPr>
      <w:numPr>
        <w:numId w:val="6"/>
      </w:numPr>
      <w:contextualSpacing/>
    </w:pPr>
  </w:style>
  <w:style w:type="paragraph" w:styleId="Title">
    <w:name w:val="Title"/>
    <w:basedOn w:val="Normal"/>
    <w:next w:val="Normal"/>
    <w:link w:val="TitleChar"/>
    <w:qFormat/>
    <w:rsid w:val="00277907"/>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277907"/>
    <w:rPr>
      <w:rFonts w:ascii="Arial" w:eastAsiaTheme="majorEastAsia" w:hAnsi="Arial" w:cstheme="majorBidi"/>
      <w:b/>
      <w:spacing w:val="5"/>
      <w:kern w:val="28"/>
      <w:sz w:val="28"/>
      <w:szCs w:val="52"/>
      <w:lang w:eastAsia="en-AU"/>
    </w:rPr>
  </w:style>
  <w:style w:type="character" w:customStyle="1" w:styleId="ListParagraphChar">
    <w:name w:val="List Paragraph Char"/>
    <w:basedOn w:val="DefaultParagraphFont"/>
    <w:link w:val="ListParagraph"/>
    <w:uiPriority w:val="72"/>
    <w:rsid w:val="00277907"/>
    <w:rPr>
      <w:rFonts w:eastAsia="Times New Roman" w:cs="Times New Roman"/>
      <w:szCs w:val="24"/>
      <w:lang w:eastAsia="en-AU"/>
    </w:rPr>
  </w:style>
  <w:style w:type="paragraph" w:styleId="NoSpacing">
    <w:name w:val="No Spacing"/>
    <w:basedOn w:val="Normal"/>
    <w:uiPriority w:val="99"/>
    <w:qFormat/>
    <w:rsid w:val="008C0422"/>
    <w:pPr>
      <w:jc w:val="both"/>
    </w:pPr>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FFD"/>
    <w:pPr>
      <w:spacing w:after="0" w:line="240" w:lineRule="auto"/>
    </w:pPr>
    <w:rPr>
      <w:rFonts w:eastAsia="Times New Roman" w:cs="Times New Roman"/>
      <w:szCs w:val="24"/>
      <w:lang w:eastAsia="en-AU"/>
    </w:rPr>
  </w:style>
  <w:style w:type="paragraph" w:styleId="Heading1">
    <w:name w:val="heading 1"/>
    <w:basedOn w:val="ListNumber"/>
    <w:next w:val="Normal"/>
    <w:link w:val="Heading1Char"/>
    <w:autoRedefine/>
    <w:qFormat/>
    <w:rsid w:val="00657B1B"/>
    <w:pPr>
      <w:jc w:val="both"/>
      <w:outlineLvl w:val="0"/>
    </w:pPr>
    <w:rPr>
      <w:rFonts w:asciiTheme="minorHAnsi" w:hAnsiTheme="minorHAnsi"/>
      <w:b/>
      <w:sz w:val="32"/>
      <w:szCs w:val="32"/>
    </w:rPr>
  </w:style>
  <w:style w:type="paragraph" w:styleId="Heading2">
    <w:name w:val="heading 2"/>
    <w:basedOn w:val="Normal"/>
    <w:next w:val="Normal"/>
    <w:link w:val="Heading2Char"/>
    <w:uiPriority w:val="9"/>
    <w:unhideWhenUsed/>
    <w:qFormat/>
    <w:rsid w:val="007B3354"/>
    <w:pPr>
      <w:keepNext/>
      <w:keepLines/>
      <w:spacing w:before="200"/>
      <w:outlineLvl w:val="1"/>
    </w:pPr>
    <w:rPr>
      <w:rFonts w:ascii="Arial" w:eastAsiaTheme="majorEastAsia" w:hAnsi="Arial" w:cstheme="majorBidi"/>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aliases w:val="Table Title"/>
    <w:uiPriority w:val="99"/>
    <w:qFormat/>
    <w:rsid w:val="00F31FFD"/>
    <w:rPr>
      <w:sz w:val="16"/>
      <w:szCs w:val="16"/>
    </w:rPr>
  </w:style>
  <w:style w:type="paragraph" w:styleId="CommentText">
    <w:name w:val="annotation text"/>
    <w:basedOn w:val="Normal"/>
    <w:link w:val="CommentTextChar"/>
    <w:rsid w:val="00F31FFD"/>
    <w:rPr>
      <w:sz w:val="20"/>
      <w:szCs w:val="20"/>
    </w:rPr>
  </w:style>
  <w:style w:type="character" w:customStyle="1" w:styleId="CommentTextChar">
    <w:name w:val="Comment Text Char"/>
    <w:basedOn w:val="DefaultParagraphFont"/>
    <w:link w:val="CommentText"/>
    <w:rsid w:val="00F31FFD"/>
    <w:rPr>
      <w:rFonts w:eastAsia="Times New Roman" w:cs="Times New Roman"/>
      <w:sz w:val="20"/>
      <w:szCs w:val="20"/>
      <w:lang w:eastAsia="en-AU"/>
    </w:rPr>
  </w:style>
  <w:style w:type="paragraph" w:styleId="NormalWeb">
    <w:name w:val="Normal (Web)"/>
    <w:basedOn w:val="Normal"/>
    <w:uiPriority w:val="99"/>
    <w:unhideWhenUsed/>
    <w:rsid w:val="00F31FFD"/>
    <w:pPr>
      <w:spacing w:before="100" w:beforeAutospacing="1" w:after="100" w:afterAutospacing="1"/>
    </w:pPr>
  </w:style>
  <w:style w:type="paragraph" w:styleId="BalloonText">
    <w:name w:val="Balloon Text"/>
    <w:basedOn w:val="Normal"/>
    <w:link w:val="BalloonTextChar"/>
    <w:uiPriority w:val="99"/>
    <w:semiHidden/>
    <w:unhideWhenUsed/>
    <w:rsid w:val="00F31FFD"/>
    <w:rPr>
      <w:rFonts w:ascii="Tahoma" w:hAnsi="Tahoma" w:cs="Tahoma"/>
      <w:sz w:val="16"/>
      <w:szCs w:val="16"/>
    </w:rPr>
  </w:style>
  <w:style w:type="character" w:customStyle="1" w:styleId="BalloonTextChar">
    <w:name w:val="Balloon Text Char"/>
    <w:basedOn w:val="DefaultParagraphFont"/>
    <w:link w:val="BalloonText"/>
    <w:uiPriority w:val="99"/>
    <w:semiHidden/>
    <w:rsid w:val="00F31FFD"/>
    <w:rPr>
      <w:rFonts w:ascii="Tahoma" w:eastAsia="Times New Roman" w:hAnsi="Tahoma" w:cs="Tahoma"/>
      <w:sz w:val="16"/>
      <w:szCs w:val="16"/>
      <w:lang w:eastAsia="en-AU"/>
    </w:rPr>
  </w:style>
  <w:style w:type="paragraph" w:styleId="Header">
    <w:name w:val="header"/>
    <w:basedOn w:val="Normal"/>
    <w:link w:val="HeaderChar"/>
    <w:unhideWhenUsed/>
    <w:rsid w:val="00F31FFD"/>
    <w:pPr>
      <w:tabs>
        <w:tab w:val="center" w:pos="4513"/>
        <w:tab w:val="right" w:pos="9026"/>
      </w:tabs>
    </w:pPr>
  </w:style>
  <w:style w:type="character" w:customStyle="1" w:styleId="HeaderChar">
    <w:name w:val="Header Char"/>
    <w:basedOn w:val="DefaultParagraphFont"/>
    <w:link w:val="Header"/>
    <w:rsid w:val="00F31FFD"/>
    <w:rPr>
      <w:rFonts w:eastAsia="Times New Roman" w:cs="Times New Roman"/>
      <w:szCs w:val="24"/>
      <w:lang w:eastAsia="en-AU"/>
    </w:rPr>
  </w:style>
  <w:style w:type="paragraph" w:styleId="Footer">
    <w:name w:val="footer"/>
    <w:basedOn w:val="Normal"/>
    <w:link w:val="FooterChar"/>
    <w:unhideWhenUsed/>
    <w:rsid w:val="00F31FFD"/>
    <w:pPr>
      <w:tabs>
        <w:tab w:val="center" w:pos="4513"/>
        <w:tab w:val="right" w:pos="9026"/>
      </w:tabs>
    </w:pPr>
  </w:style>
  <w:style w:type="character" w:customStyle="1" w:styleId="FooterChar">
    <w:name w:val="Footer Char"/>
    <w:basedOn w:val="DefaultParagraphFont"/>
    <w:link w:val="Footer"/>
    <w:rsid w:val="00F31FFD"/>
    <w:rPr>
      <w:rFonts w:eastAsia="Times New Roman" w:cs="Times New Roman"/>
      <w:szCs w:val="24"/>
      <w:lang w:eastAsia="en-AU"/>
    </w:rPr>
  </w:style>
  <w:style w:type="character" w:styleId="PageNumber">
    <w:name w:val="page number"/>
    <w:basedOn w:val="DefaultParagraphFont"/>
    <w:rsid w:val="00F31FFD"/>
  </w:style>
  <w:style w:type="paragraph" w:styleId="Caption">
    <w:name w:val="caption"/>
    <w:aliases w:val="Bayer Caption,IB Caption,Medical Caption,CSR Caption"/>
    <w:basedOn w:val="Normal"/>
    <w:next w:val="Normal"/>
    <w:link w:val="CaptionChar"/>
    <w:uiPriority w:val="35"/>
    <w:qFormat/>
    <w:rsid w:val="006728B5"/>
    <w:pPr>
      <w:spacing w:after="200"/>
      <w:jc w:val="both"/>
    </w:pPr>
    <w:rPr>
      <w:rFonts w:ascii="Candara" w:hAnsi="Candara"/>
      <w:b/>
      <w:bCs/>
      <w:szCs w:val="18"/>
      <w:lang w:val="en-US" w:eastAsia="en-US" w:bidi="en-US"/>
    </w:rPr>
  </w:style>
  <w:style w:type="character" w:customStyle="1" w:styleId="CaptionChar">
    <w:name w:val="Caption Char"/>
    <w:aliases w:val="Bayer Caption Char,IB Caption Char,Medical Caption Char,CSR Caption Char"/>
    <w:link w:val="Caption"/>
    <w:uiPriority w:val="35"/>
    <w:rsid w:val="006728B5"/>
    <w:rPr>
      <w:rFonts w:ascii="Candara" w:eastAsia="Times New Roman" w:hAnsi="Candara" w:cs="Times New Roman"/>
      <w:b/>
      <w:bCs/>
      <w:szCs w:val="18"/>
      <w:lang w:val="en-US" w:bidi="en-US"/>
    </w:rPr>
  </w:style>
  <w:style w:type="paragraph" w:styleId="Subtitle">
    <w:name w:val="Subtitle"/>
    <w:basedOn w:val="Normal"/>
    <w:next w:val="Normal"/>
    <w:link w:val="SubtitleChar"/>
    <w:uiPriority w:val="11"/>
    <w:qFormat/>
    <w:rsid w:val="006728B5"/>
    <w:pPr>
      <w:numPr>
        <w:ilvl w:val="1"/>
      </w:numPr>
      <w:spacing w:after="200" w:line="276" w:lineRule="auto"/>
    </w:pPr>
    <w:rPr>
      <w:rFonts w:ascii="Arial Narrow" w:eastAsia="MS Gothic" w:hAnsi="Arial Narrow"/>
      <w:i/>
      <w:iCs/>
      <w:spacing w:val="15"/>
      <w:sz w:val="18"/>
      <w:lang w:eastAsia="en-US"/>
    </w:rPr>
  </w:style>
  <w:style w:type="character" w:customStyle="1" w:styleId="SubtitleChar">
    <w:name w:val="Subtitle Char"/>
    <w:basedOn w:val="DefaultParagraphFont"/>
    <w:link w:val="Subtitle"/>
    <w:uiPriority w:val="11"/>
    <w:rsid w:val="006728B5"/>
    <w:rPr>
      <w:rFonts w:ascii="Arial Narrow" w:eastAsia="MS Gothic" w:hAnsi="Arial Narrow" w:cs="Times New Roman"/>
      <w:i/>
      <w:iCs/>
      <w:spacing w:val="15"/>
      <w:sz w:val="18"/>
      <w:szCs w:val="24"/>
    </w:rPr>
  </w:style>
  <w:style w:type="paragraph" w:styleId="ListParagraph">
    <w:name w:val="List Paragraph"/>
    <w:basedOn w:val="Normal"/>
    <w:link w:val="ListParagraphChar"/>
    <w:uiPriority w:val="72"/>
    <w:qFormat/>
    <w:rsid w:val="006457A7"/>
    <w:pPr>
      <w:ind w:left="720"/>
      <w:contextualSpacing/>
    </w:pPr>
  </w:style>
  <w:style w:type="character" w:customStyle="1" w:styleId="Heading1Char">
    <w:name w:val="Heading 1 Char"/>
    <w:basedOn w:val="DefaultParagraphFont"/>
    <w:link w:val="Heading1"/>
    <w:rsid w:val="00657B1B"/>
    <w:rPr>
      <w:rFonts w:asciiTheme="minorHAnsi" w:eastAsia="Times New Roman" w:hAnsiTheme="minorHAnsi" w:cs="Times New Roman"/>
      <w:b/>
      <w:sz w:val="32"/>
      <w:szCs w:val="32"/>
      <w:lang w:eastAsia="en-AU"/>
    </w:rPr>
  </w:style>
  <w:style w:type="character" w:customStyle="1" w:styleId="Heading2Char">
    <w:name w:val="Heading 2 Char"/>
    <w:basedOn w:val="DefaultParagraphFont"/>
    <w:link w:val="Heading2"/>
    <w:uiPriority w:val="9"/>
    <w:rsid w:val="007B3354"/>
    <w:rPr>
      <w:rFonts w:ascii="Arial" w:eastAsiaTheme="majorEastAsia" w:hAnsi="Arial" w:cstheme="majorBidi"/>
      <w:b/>
      <w:bCs/>
      <w:sz w:val="22"/>
      <w:szCs w:val="26"/>
      <w:lang w:eastAsia="en-AU"/>
    </w:rPr>
  </w:style>
  <w:style w:type="paragraph" w:styleId="ListNumber">
    <w:name w:val="List Number"/>
    <w:basedOn w:val="Normal"/>
    <w:uiPriority w:val="99"/>
    <w:unhideWhenUsed/>
    <w:rsid w:val="007B3354"/>
    <w:pPr>
      <w:numPr>
        <w:numId w:val="6"/>
      </w:numPr>
      <w:contextualSpacing/>
    </w:pPr>
  </w:style>
  <w:style w:type="paragraph" w:styleId="Title">
    <w:name w:val="Title"/>
    <w:basedOn w:val="Normal"/>
    <w:next w:val="Normal"/>
    <w:link w:val="TitleChar"/>
    <w:qFormat/>
    <w:rsid w:val="00277907"/>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277907"/>
    <w:rPr>
      <w:rFonts w:ascii="Arial" w:eastAsiaTheme="majorEastAsia" w:hAnsi="Arial" w:cstheme="majorBidi"/>
      <w:b/>
      <w:spacing w:val="5"/>
      <w:kern w:val="28"/>
      <w:sz w:val="28"/>
      <w:szCs w:val="52"/>
      <w:lang w:eastAsia="en-AU"/>
    </w:rPr>
  </w:style>
  <w:style w:type="character" w:customStyle="1" w:styleId="ListParagraphChar">
    <w:name w:val="List Paragraph Char"/>
    <w:basedOn w:val="DefaultParagraphFont"/>
    <w:link w:val="ListParagraph"/>
    <w:uiPriority w:val="72"/>
    <w:rsid w:val="00277907"/>
    <w:rPr>
      <w:rFonts w:eastAsia="Times New Roman" w:cs="Times New Roman"/>
      <w:szCs w:val="24"/>
      <w:lang w:eastAsia="en-AU"/>
    </w:rPr>
  </w:style>
  <w:style w:type="paragraph" w:styleId="NoSpacing">
    <w:name w:val="No Spacing"/>
    <w:basedOn w:val="Normal"/>
    <w:uiPriority w:val="99"/>
    <w:qFormat/>
    <w:rsid w:val="008C0422"/>
    <w:pPr>
      <w:jc w:val="both"/>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2017-10-09T23:02:00Z</dcterms:created>
  <dcterms:modified xsi:type="dcterms:W3CDTF">2017-10-09T23:03:00Z</dcterms:modified>
</cp:coreProperties>
</file>