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BD0" w:rsidRDefault="001F1023" w:rsidP="00D35795">
      <w:pPr>
        <w:pStyle w:val="Title"/>
        <w:widowControl/>
        <w:spacing w:before="0" w:after="300"/>
        <w:ind w:left="720" w:hanging="720"/>
        <w:contextualSpacing/>
        <w:jc w:val="left"/>
        <w:rPr>
          <w:rFonts w:asciiTheme="minorHAnsi" w:eastAsiaTheme="majorEastAsia" w:hAnsiTheme="minorHAnsi" w:cstheme="majorBidi"/>
          <w:bCs w:val="0"/>
          <w:snapToGrid/>
          <w:spacing w:val="5"/>
          <w:sz w:val="36"/>
          <w:szCs w:val="36"/>
          <w:lang w:eastAsia="en-AU"/>
        </w:rPr>
      </w:pPr>
      <w:r w:rsidRPr="004555A0">
        <w:rPr>
          <w:rFonts w:asciiTheme="minorHAnsi" w:eastAsiaTheme="majorEastAsia" w:hAnsiTheme="minorHAnsi" w:cstheme="majorBidi"/>
          <w:bCs w:val="0"/>
          <w:snapToGrid/>
          <w:spacing w:val="5"/>
          <w:sz w:val="36"/>
          <w:szCs w:val="36"/>
          <w:lang w:eastAsia="en-AU"/>
        </w:rPr>
        <w:t>6.01</w:t>
      </w:r>
      <w:r w:rsidR="00093586" w:rsidRPr="004555A0">
        <w:rPr>
          <w:rFonts w:asciiTheme="minorHAnsi" w:eastAsiaTheme="majorEastAsia" w:hAnsiTheme="minorHAnsi" w:cstheme="majorBidi"/>
          <w:bCs w:val="0"/>
          <w:snapToGrid/>
          <w:spacing w:val="5"/>
          <w:sz w:val="36"/>
          <w:szCs w:val="36"/>
          <w:lang w:eastAsia="en-AU"/>
        </w:rPr>
        <w:tab/>
        <w:t>DAPAGLIFLOZIN</w:t>
      </w:r>
      <w:proofErr w:type="gramStart"/>
      <w:r w:rsidR="00137F8D" w:rsidRPr="004555A0">
        <w:rPr>
          <w:rFonts w:asciiTheme="minorHAnsi" w:eastAsiaTheme="majorEastAsia" w:hAnsiTheme="minorHAnsi" w:cstheme="majorBidi"/>
          <w:bCs w:val="0"/>
          <w:snapToGrid/>
          <w:spacing w:val="5"/>
          <w:sz w:val="36"/>
          <w:szCs w:val="36"/>
          <w:lang w:eastAsia="en-AU"/>
        </w:rPr>
        <w:t>,</w:t>
      </w:r>
      <w:proofErr w:type="gramEnd"/>
      <w:r w:rsidR="00137F8D" w:rsidRPr="004555A0">
        <w:rPr>
          <w:rFonts w:asciiTheme="minorHAnsi" w:eastAsiaTheme="majorEastAsia" w:hAnsiTheme="minorHAnsi" w:cstheme="majorBidi"/>
          <w:bCs w:val="0"/>
          <w:snapToGrid/>
          <w:spacing w:val="5"/>
          <w:sz w:val="36"/>
          <w:szCs w:val="36"/>
          <w:lang w:eastAsia="en-AU"/>
        </w:rPr>
        <w:br/>
      </w:r>
      <w:r w:rsidR="002C4476" w:rsidRPr="004555A0">
        <w:rPr>
          <w:rFonts w:asciiTheme="minorHAnsi" w:eastAsiaTheme="majorEastAsia" w:hAnsiTheme="minorHAnsi" w:cstheme="majorBidi"/>
          <w:bCs w:val="0"/>
          <w:snapToGrid/>
          <w:spacing w:val="5"/>
          <w:sz w:val="36"/>
          <w:szCs w:val="36"/>
          <w:lang w:eastAsia="en-AU"/>
        </w:rPr>
        <w:t xml:space="preserve">Tablet 10 mg (as </w:t>
      </w:r>
      <w:proofErr w:type="spellStart"/>
      <w:r w:rsidR="002C4476" w:rsidRPr="004555A0">
        <w:rPr>
          <w:rFonts w:asciiTheme="minorHAnsi" w:eastAsiaTheme="majorEastAsia" w:hAnsiTheme="minorHAnsi" w:cstheme="majorBidi"/>
          <w:bCs w:val="0"/>
          <w:snapToGrid/>
          <w:spacing w:val="5"/>
          <w:sz w:val="36"/>
          <w:szCs w:val="36"/>
          <w:lang w:eastAsia="en-AU"/>
        </w:rPr>
        <w:t>propanediol</w:t>
      </w:r>
      <w:proofErr w:type="spellEnd"/>
      <w:r w:rsidR="002C4476" w:rsidRPr="004555A0">
        <w:rPr>
          <w:rFonts w:asciiTheme="minorHAnsi" w:eastAsiaTheme="majorEastAsia" w:hAnsiTheme="minorHAnsi" w:cstheme="majorBidi"/>
          <w:bCs w:val="0"/>
          <w:snapToGrid/>
          <w:spacing w:val="5"/>
          <w:sz w:val="36"/>
          <w:szCs w:val="36"/>
          <w:lang w:eastAsia="en-AU"/>
        </w:rPr>
        <w:t xml:space="preserve"> monohydrate)</w:t>
      </w:r>
      <w:r w:rsidR="00137F8D" w:rsidRPr="004555A0">
        <w:rPr>
          <w:rFonts w:asciiTheme="minorHAnsi" w:eastAsiaTheme="majorEastAsia" w:hAnsiTheme="minorHAnsi" w:cstheme="majorBidi"/>
          <w:bCs w:val="0"/>
          <w:snapToGrid/>
          <w:spacing w:val="5"/>
          <w:sz w:val="36"/>
          <w:szCs w:val="36"/>
          <w:lang w:eastAsia="en-AU"/>
        </w:rPr>
        <w:t xml:space="preserve">, </w:t>
      </w:r>
      <w:r w:rsidR="00137F8D" w:rsidRPr="004555A0">
        <w:rPr>
          <w:rFonts w:asciiTheme="minorHAnsi" w:eastAsiaTheme="majorEastAsia" w:hAnsiTheme="minorHAnsi" w:cstheme="majorBidi"/>
          <w:bCs w:val="0"/>
          <w:snapToGrid/>
          <w:spacing w:val="5"/>
          <w:sz w:val="36"/>
          <w:szCs w:val="36"/>
          <w:lang w:eastAsia="en-AU"/>
        </w:rPr>
        <w:br/>
      </w:r>
      <w:proofErr w:type="spellStart"/>
      <w:r w:rsidR="00093586" w:rsidRPr="004555A0">
        <w:rPr>
          <w:rFonts w:asciiTheme="minorHAnsi" w:eastAsiaTheme="majorEastAsia" w:hAnsiTheme="minorHAnsi" w:cstheme="majorBidi"/>
          <w:bCs w:val="0"/>
          <w:snapToGrid/>
          <w:spacing w:val="5"/>
          <w:sz w:val="36"/>
          <w:szCs w:val="36"/>
          <w:lang w:eastAsia="en-AU"/>
        </w:rPr>
        <w:t>Forxiga</w:t>
      </w:r>
      <w:proofErr w:type="spellEnd"/>
      <w:r w:rsidR="00137F8D" w:rsidRPr="004555A0">
        <w:rPr>
          <w:rFonts w:asciiTheme="minorHAnsi" w:eastAsiaTheme="majorEastAsia" w:hAnsiTheme="minorHAnsi" w:cstheme="majorBidi"/>
          <w:bCs w:val="0"/>
          <w:snapToGrid/>
          <w:spacing w:val="5"/>
          <w:sz w:val="36"/>
          <w:szCs w:val="36"/>
          <w:lang w:eastAsia="en-AU"/>
        </w:rPr>
        <w:t>®</w:t>
      </w:r>
      <w:r w:rsidR="00093586" w:rsidRPr="004555A0">
        <w:rPr>
          <w:rFonts w:asciiTheme="minorHAnsi" w:eastAsiaTheme="majorEastAsia" w:hAnsiTheme="minorHAnsi" w:cstheme="majorBidi"/>
          <w:bCs w:val="0"/>
          <w:snapToGrid/>
          <w:spacing w:val="5"/>
          <w:sz w:val="36"/>
          <w:szCs w:val="36"/>
          <w:lang w:eastAsia="en-AU"/>
        </w:rPr>
        <w:t>, AstraZeneca Pty Ltd.</w:t>
      </w:r>
    </w:p>
    <w:p w:rsidR="003F1DB5" w:rsidRPr="003F1DB5" w:rsidRDefault="003F1DB5" w:rsidP="003F1DB5">
      <w:pPr>
        <w:rPr>
          <w:rFonts w:eastAsiaTheme="majorEastAsia"/>
          <w:lang w:eastAsia="en-AU"/>
        </w:rPr>
      </w:pPr>
    </w:p>
    <w:p w:rsidR="00137F8D" w:rsidRPr="004555A0" w:rsidRDefault="00137F8D" w:rsidP="004555A0">
      <w:pPr>
        <w:pStyle w:val="PBACHeading1"/>
        <w:numPr>
          <w:ilvl w:val="0"/>
          <w:numId w:val="4"/>
        </w:numPr>
        <w:ind w:left="720" w:hanging="720"/>
        <w:outlineLvl w:val="0"/>
        <w:rPr>
          <w:rFonts w:asciiTheme="minorHAnsi" w:hAnsiTheme="minorHAnsi"/>
          <w:sz w:val="32"/>
          <w:szCs w:val="32"/>
        </w:rPr>
      </w:pPr>
      <w:bookmarkStart w:id="0" w:name="_Toc413139271"/>
      <w:bookmarkStart w:id="1" w:name="_Toc476306881"/>
      <w:bookmarkStart w:id="2" w:name="_Toc482705424"/>
      <w:r w:rsidRPr="004555A0">
        <w:rPr>
          <w:rFonts w:asciiTheme="minorHAnsi" w:hAnsiTheme="minorHAnsi"/>
          <w:sz w:val="32"/>
          <w:szCs w:val="32"/>
        </w:rPr>
        <w:t>Purpose of Application</w:t>
      </w:r>
      <w:bookmarkEnd w:id="0"/>
      <w:bookmarkEnd w:id="1"/>
      <w:bookmarkEnd w:id="2"/>
    </w:p>
    <w:p w:rsidR="00137F8D" w:rsidRPr="004B63C5" w:rsidRDefault="00301EF4" w:rsidP="004B63C5">
      <w:pPr>
        <w:pStyle w:val="ESnumberedparablue"/>
        <w:numPr>
          <w:ilvl w:val="1"/>
          <w:numId w:val="3"/>
        </w:numPr>
        <w:ind w:left="709" w:hanging="709"/>
        <w:rPr>
          <w:rFonts w:asciiTheme="minorHAnsi" w:hAnsiTheme="minorHAnsi"/>
          <w:color w:val="auto"/>
          <w:sz w:val="24"/>
        </w:rPr>
      </w:pPr>
      <w:r w:rsidRPr="004B63C5">
        <w:rPr>
          <w:rFonts w:asciiTheme="minorHAnsi" w:hAnsiTheme="minorHAnsi"/>
          <w:color w:val="auto"/>
          <w:sz w:val="24"/>
        </w:rPr>
        <w:t xml:space="preserve">The submission requested an </w:t>
      </w:r>
      <w:r w:rsidR="00FC7399" w:rsidRPr="004B63C5">
        <w:rPr>
          <w:rFonts w:asciiTheme="minorHAnsi" w:hAnsiTheme="minorHAnsi"/>
          <w:color w:val="auto"/>
          <w:sz w:val="24"/>
        </w:rPr>
        <w:t>Authority Required (S</w:t>
      </w:r>
      <w:r w:rsidR="00E376B5" w:rsidRPr="004B63C5">
        <w:rPr>
          <w:rFonts w:asciiTheme="minorHAnsi" w:hAnsiTheme="minorHAnsi"/>
          <w:color w:val="auto"/>
          <w:sz w:val="24"/>
        </w:rPr>
        <w:t>TREAMLINED</w:t>
      </w:r>
      <w:r w:rsidR="00FC7399" w:rsidRPr="004B63C5">
        <w:rPr>
          <w:rFonts w:asciiTheme="minorHAnsi" w:hAnsiTheme="minorHAnsi"/>
          <w:color w:val="auto"/>
          <w:sz w:val="24"/>
        </w:rPr>
        <w:t xml:space="preserve">) listing for </w:t>
      </w:r>
      <w:proofErr w:type="spellStart"/>
      <w:r w:rsidR="00FC7399" w:rsidRPr="004B63C5">
        <w:rPr>
          <w:rFonts w:asciiTheme="minorHAnsi" w:hAnsiTheme="minorHAnsi"/>
          <w:color w:val="auto"/>
          <w:sz w:val="24"/>
        </w:rPr>
        <w:t>dapagliflozin</w:t>
      </w:r>
      <w:proofErr w:type="spellEnd"/>
      <w:r w:rsidR="00FC7399" w:rsidRPr="004B63C5">
        <w:rPr>
          <w:rFonts w:asciiTheme="minorHAnsi" w:hAnsiTheme="minorHAnsi"/>
          <w:color w:val="auto"/>
          <w:sz w:val="24"/>
        </w:rPr>
        <w:t xml:space="preserve"> for the treatment of type </w:t>
      </w:r>
      <w:proofErr w:type="gramStart"/>
      <w:r w:rsidR="00FC7399" w:rsidRPr="004B63C5">
        <w:rPr>
          <w:rFonts w:asciiTheme="minorHAnsi" w:hAnsiTheme="minorHAnsi"/>
          <w:color w:val="auto"/>
          <w:sz w:val="24"/>
        </w:rPr>
        <w:t>2 diabetes, in combination with metformin</w:t>
      </w:r>
      <w:proofErr w:type="gramEnd"/>
      <w:r w:rsidR="00FC7399" w:rsidRPr="004B63C5">
        <w:rPr>
          <w:rFonts w:asciiTheme="minorHAnsi" w:hAnsiTheme="minorHAnsi"/>
          <w:color w:val="auto"/>
          <w:sz w:val="24"/>
        </w:rPr>
        <w:t xml:space="preserve"> and any </w:t>
      </w:r>
      <w:r w:rsidR="000B74EE" w:rsidRPr="004B63C5">
        <w:rPr>
          <w:rFonts w:asciiTheme="minorHAnsi" w:hAnsiTheme="minorHAnsi"/>
          <w:color w:val="auto"/>
          <w:sz w:val="24"/>
        </w:rPr>
        <w:t>dipeptidyl peptidase-4 (</w:t>
      </w:r>
      <w:r w:rsidR="00FC7399" w:rsidRPr="004B63C5">
        <w:rPr>
          <w:rFonts w:asciiTheme="minorHAnsi" w:hAnsiTheme="minorHAnsi"/>
          <w:color w:val="auto"/>
          <w:sz w:val="24"/>
        </w:rPr>
        <w:t>DPP4</w:t>
      </w:r>
      <w:r w:rsidR="000B74EE" w:rsidRPr="004B63C5">
        <w:rPr>
          <w:rFonts w:asciiTheme="minorHAnsi" w:hAnsiTheme="minorHAnsi"/>
          <w:color w:val="auto"/>
          <w:sz w:val="24"/>
        </w:rPr>
        <w:t>)</w:t>
      </w:r>
      <w:r w:rsidR="00FC7399" w:rsidRPr="004B63C5">
        <w:rPr>
          <w:rFonts w:asciiTheme="minorHAnsi" w:hAnsiTheme="minorHAnsi"/>
          <w:color w:val="auto"/>
          <w:sz w:val="24"/>
        </w:rPr>
        <w:t xml:space="preserve"> inhibitor, in patients </w:t>
      </w:r>
      <w:r w:rsidR="00A837BA" w:rsidRPr="004B63C5">
        <w:rPr>
          <w:rFonts w:asciiTheme="minorHAnsi" w:hAnsiTheme="minorHAnsi"/>
          <w:color w:val="auto"/>
          <w:sz w:val="24"/>
        </w:rPr>
        <w:t>with inadequate glycaemic control</w:t>
      </w:r>
      <w:r w:rsidR="00FC7399" w:rsidRPr="004B63C5">
        <w:rPr>
          <w:rFonts w:asciiTheme="minorHAnsi" w:hAnsiTheme="minorHAnsi"/>
          <w:color w:val="auto"/>
          <w:sz w:val="24"/>
        </w:rPr>
        <w:t xml:space="preserve"> on dual therapy of metformin and any DPP4 inhibitor.</w:t>
      </w:r>
    </w:p>
    <w:p w:rsidR="00641642" w:rsidRDefault="00641642" w:rsidP="00641642">
      <w:pPr>
        <w:pStyle w:val="TableHeading0"/>
      </w:pPr>
      <w:r>
        <w:t xml:space="preserve">Table </w:t>
      </w:r>
      <w:fldSimple w:instr=" SEQ Table \* ARABIC ">
        <w:r w:rsidR="00B975C4">
          <w:rPr>
            <w:noProof/>
          </w:rPr>
          <w:t>1</w:t>
        </w:r>
      </w:fldSimple>
      <w:r w:rsidRPr="00B07DEA">
        <w:t>: Key components of the clinical issue addressed in the submission</w:t>
      </w:r>
    </w:p>
    <w:tbl>
      <w:tblPr>
        <w:tblStyle w:val="TableGrid"/>
        <w:tblW w:w="0" w:type="auto"/>
        <w:jc w:val="center"/>
        <w:tblLook w:val="04A0" w:firstRow="1" w:lastRow="0" w:firstColumn="1" w:lastColumn="0" w:noHBand="0" w:noVBand="1"/>
        <w:tblCaption w:val="Key components of the clinical issue addressed in the submission"/>
      </w:tblPr>
      <w:tblGrid>
        <w:gridCol w:w="1696"/>
        <w:gridCol w:w="7320"/>
      </w:tblGrid>
      <w:tr w:rsidR="00137F8D" w:rsidRPr="00763BD0" w:rsidTr="00E376B5">
        <w:trPr>
          <w:cantSplit/>
          <w:tblHeader/>
          <w:jc w:val="center"/>
        </w:trPr>
        <w:tc>
          <w:tcPr>
            <w:tcW w:w="1696" w:type="dxa"/>
            <w:shd w:val="clear" w:color="auto" w:fill="auto"/>
          </w:tcPr>
          <w:p w:rsidR="00137F8D" w:rsidRPr="00763BD0" w:rsidRDefault="00137F8D" w:rsidP="00E94275">
            <w:pPr>
              <w:pStyle w:val="TableText1"/>
              <w:rPr>
                <w:b/>
              </w:rPr>
            </w:pPr>
            <w:r w:rsidRPr="00763BD0">
              <w:rPr>
                <w:b/>
              </w:rPr>
              <w:t>Component</w:t>
            </w:r>
          </w:p>
        </w:tc>
        <w:tc>
          <w:tcPr>
            <w:tcW w:w="7320" w:type="dxa"/>
            <w:shd w:val="clear" w:color="auto" w:fill="auto"/>
          </w:tcPr>
          <w:p w:rsidR="00137F8D" w:rsidRPr="00763BD0" w:rsidRDefault="00137F8D" w:rsidP="00E94275">
            <w:pPr>
              <w:pStyle w:val="TableText1"/>
              <w:rPr>
                <w:b/>
              </w:rPr>
            </w:pPr>
            <w:r w:rsidRPr="00763BD0">
              <w:rPr>
                <w:b/>
              </w:rPr>
              <w:t>Description</w:t>
            </w:r>
          </w:p>
        </w:tc>
      </w:tr>
      <w:tr w:rsidR="00FC7399" w:rsidRPr="00763BD0" w:rsidTr="00E376B5">
        <w:trPr>
          <w:cantSplit/>
          <w:jc w:val="center"/>
        </w:trPr>
        <w:tc>
          <w:tcPr>
            <w:tcW w:w="1696" w:type="dxa"/>
            <w:shd w:val="clear" w:color="auto" w:fill="auto"/>
          </w:tcPr>
          <w:p w:rsidR="00FC7399" w:rsidRPr="00763BD0" w:rsidRDefault="00FC7399" w:rsidP="00FC7399">
            <w:pPr>
              <w:pStyle w:val="TableText1"/>
            </w:pPr>
            <w:r w:rsidRPr="00763BD0">
              <w:t>Population</w:t>
            </w:r>
          </w:p>
        </w:tc>
        <w:tc>
          <w:tcPr>
            <w:tcW w:w="7320" w:type="dxa"/>
            <w:shd w:val="clear" w:color="auto" w:fill="auto"/>
          </w:tcPr>
          <w:p w:rsidR="00FC7399" w:rsidRPr="00763BD0" w:rsidRDefault="00FC7399" w:rsidP="00403F8E">
            <w:pPr>
              <w:pStyle w:val="TableText1"/>
            </w:pPr>
            <w:r w:rsidRPr="00763BD0">
              <w:rPr>
                <w:lang w:eastAsia="en-AU"/>
              </w:rPr>
              <w:t xml:space="preserve">Adults with type 2 diabetes </w:t>
            </w:r>
            <w:r w:rsidR="00403F8E" w:rsidRPr="00763BD0">
              <w:rPr>
                <w:lang w:eastAsia="en-AU"/>
              </w:rPr>
              <w:t>with inadequate glycaemic control</w:t>
            </w:r>
            <w:r w:rsidR="002A6F9E" w:rsidRPr="00763BD0">
              <w:rPr>
                <w:lang w:eastAsia="en-AU"/>
              </w:rPr>
              <w:t xml:space="preserve"> on dual therapy with</w:t>
            </w:r>
            <w:r w:rsidRPr="00763BD0">
              <w:rPr>
                <w:lang w:eastAsia="en-AU"/>
              </w:rPr>
              <w:t xml:space="preserve"> metformin and a DPP4 inhibitor</w:t>
            </w:r>
          </w:p>
        </w:tc>
      </w:tr>
      <w:tr w:rsidR="00FC7399" w:rsidRPr="00763BD0" w:rsidTr="00E376B5">
        <w:trPr>
          <w:cantSplit/>
          <w:jc w:val="center"/>
        </w:trPr>
        <w:tc>
          <w:tcPr>
            <w:tcW w:w="1696" w:type="dxa"/>
            <w:shd w:val="clear" w:color="auto" w:fill="auto"/>
          </w:tcPr>
          <w:p w:rsidR="00FC7399" w:rsidRPr="00763BD0" w:rsidRDefault="00FC7399" w:rsidP="00FC7399">
            <w:pPr>
              <w:pStyle w:val="TableText1"/>
            </w:pPr>
            <w:r w:rsidRPr="00763BD0">
              <w:t>Intervention</w:t>
            </w:r>
          </w:p>
        </w:tc>
        <w:tc>
          <w:tcPr>
            <w:tcW w:w="7320" w:type="dxa"/>
            <w:shd w:val="clear" w:color="auto" w:fill="auto"/>
          </w:tcPr>
          <w:p w:rsidR="00FC7399" w:rsidRPr="00763BD0" w:rsidRDefault="00FC7399" w:rsidP="00FC7399">
            <w:pPr>
              <w:pStyle w:val="TableText1"/>
            </w:pPr>
            <w:proofErr w:type="spellStart"/>
            <w:r w:rsidRPr="00763BD0">
              <w:t>Dapagliflozin</w:t>
            </w:r>
            <w:proofErr w:type="spellEnd"/>
            <w:r w:rsidRPr="00763BD0">
              <w:t xml:space="preserve"> 10 mg</w:t>
            </w:r>
            <w:r w:rsidR="0055704F" w:rsidRPr="00763BD0">
              <w:t xml:space="preserve"> in triple oral therapy as add on to metformin and a DPP4 inhibitor</w:t>
            </w:r>
            <w:r w:rsidRPr="00763BD0">
              <w:t xml:space="preserve"> </w:t>
            </w:r>
          </w:p>
        </w:tc>
      </w:tr>
      <w:tr w:rsidR="00FC7399" w:rsidRPr="00763BD0" w:rsidTr="00E376B5">
        <w:trPr>
          <w:cantSplit/>
          <w:jc w:val="center"/>
        </w:trPr>
        <w:tc>
          <w:tcPr>
            <w:tcW w:w="1696" w:type="dxa"/>
            <w:shd w:val="clear" w:color="auto" w:fill="auto"/>
          </w:tcPr>
          <w:p w:rsidR="00FC7399" w:rsidRPr="00763BD0" w:rsidRDefault="00FC7399" w:rsidP="00FC7399">
            <w:pPr>
              <w:pStyle w:val="TableText1"/>
            </w:pPr>
            <w:r w:rsidRPr="00763BD0">
              <w:t>Comparator</w:t>
            </w:r>
          </w:p>
        </w:tc>
        <w:tc>
          <w:tcPr>
            <w:tcW w:w="7320" w:type="dxa"/>
            <w:shd w:val="clear" w:color="auto" w:fill="auto"/>
          </w:tcPr>
          <w:p w:rsidR="00FC7399" w:rsidRPr="00763BD0" w:rsidRDefault="00FC7399" w:rsidP="0055704F">
            <w:pPr>
              <w:pStyle w:val="TableText1"/>
            </w:pPr>
            <w:r w:rsidRPr="00763BD0">
              <w:t xml:space="preserve">Long-acting insulin (individualised dose) </w:t>
            </w:r>
            <w:r w:rsidR="0055704F" w:rsidRPr="00763BD0">
              <w:t xml:space="preserve">in combination with metformin and a DPP4 inhibitor, </w:t>
            </w:r>
            <w:r w:rsidRPr="00763BD0">
              <w:t xml:space="preserve">and sulfonylurea </w:t>
            </w:r>
            <w:r w:rsidR="0055704F" w:rsidRPr="00763BD0">
              <w:t>in combination with metformin and DPP4 inhibitor</w:t>
            </w:r>
          </w:p>
        </w:tc>
      </w:tr>
      <w:tr w:rsidR="00FC7399" w:rsidRPr="00763BD0" w:rsidTr="00E376B5">
        <w:trPr>
          <w:cantSplit/>
          <w:jc w:val="center"/>
        </w:trPr>
        <w:tc>
          <w:tcPr>
            <w:tcW w:w="1696" w:type="dxa"/>
            <w:shd w:val="clear" w:color="auto" w:fill="auto"/>
          </w:tcPr>
          <w:p w:rsidR="00FC7399" w:rsidRPr="00763BD0" w:rsidRDefault="00FC7399" w:rsidP="00FC7399">
            <w:pPr>
              <w:pStyle w:val="TableText1"/>
            </w:pPr>
            <w:r w:rsidRPr="00763BD0">
              <w:t>Outcomes</w:t>
            </w:r>
          </w:p>
        </w:tc>
        <w:tc>
          <w:tcPr>
            <w:tcW w:w="7320" w:type="dxa"/>
            <w:shd w:val="clear" w:color="auto" w:fill="auto"/>
          </w:tcPr>
          <w:p w:rsidR="00FC7399" w:rsidRPr="00763BD0" w:rsidRDefault="00FC7399" w:rsidP="00FC7399">
            <w:pPr>
              <w:pStyle w:val="TableText1"/>
            </w:pPr>
            <w:r w:rsidRPr="00763BD0">
              <w:t>Reduction in HbA1c %</w:t>
            </w:r>
          </w:p>
        </w:tc>
      </w:tr>
      <w:tr w:rsidR="00FC7399" w:rsidRPr="00763BD0" w:rsidTr="00E376B5">
        <w:trPr>
          <w:cantSplit/>
          <w:jc w:val="center"/>
        </w:trPr>
        <w:tc>
          <w:tcPr>
            <w:tcW w:w="1696" w:type="dxa"/>
            <w:shd w:val="clear" w:color="auto" w:fill="auto"/>
          </w:tcPr>
          <w:p w:rsidR="00FC7399" w:rsidRPr="00763BD0" w:rsidRDefault="00FC7399" w:rsidP="00FC7399">
            <w:pPr>
              <w:pStyle w:val="TableText1"/>
            </w:pPr>
            <w:r w:rsidRPr="00763BD0">
              <w:t>Clinical claim</w:t>
            </w:r>
          </w:p>
        </w:tc>
        <w:tc>
          <w:tcPr>
            <w:tcW w:w="7320" w:type="dxa"/>
            <w:shd w:val="clear" w:color="auto" w:fill="auto"/>
          </w:tcPr>
          <w:p w:rsidR="00FC7399" w:rsidRPr="00763BD0" w:rsidRDefault="00FC7399" w:rsidP="00FC7399">
            <w:pPr>
              <w:pStyle w:val="TableText1"/>
            </w:pPr>
            <w:proofErr w:type="spellStart"/>
            <w:r w:rsidRPr="00763BD0">
              <w:t>Dapagliflozin</w:t>
            </w:r>
            <w:proofErr w:type="spellEnd"/>
            <w:r w:rsidRPr="00763BD0">
              <w:t xml:space="preserve"> is non-inferior in terms of efficacy and similar in terms of safety compared with long</w:t>
            </w:r>
            <w:r w:rsidR="00E376B5">
              <w:noBreakHyphen/>
            </w:r>
            <w:r w:rsidRPr="00763BD0">
              <w:t xml:space="preserve">acting insulin as add-on therapy to metformin and a DPP4 inhibitor. There was no clinical claim in terms of efficacy or safety for </w:t>
            </w:r>
            <w:proofErr w:type="spellStart"/>
            <w:r w:rsidRPr="00763BD0">
              <w:t>dapagliflozin</w:t>
            </w:r>
            <w:proofErr w:type="spellEnd"/>
            <w:r w:rsidRPr="00763BD0">
              <w:t xml:space="preserve"> versus sulfonylurea</w:t>
            </w:r>
          </w:p>
        </w:tc>
      </w:tr>
    </w:tbl>
    <w:p w:rsidR="00137F8D" w:rsidRPr="00763BD0" w:rsidRDefault="00FC7399" w:rsidP="00137F8D">
      <w:pPr>
        <w:pStyle w:val="TableFooter"/>
      </w:pPr>
      <w:r w:rsidRPr="00763BD0">
        <w:t>Source: Constructed during evaluation</w:t>
      </w:r>
    </w:p>
    <w:p w:rsidR="00937729" w:rsidRPr="00763BD0" w:rsidRDefault="00937729" w:rsidP="00137F8D">
      <w:pPr>
        <w:pStyle w:val="TableFooter"/>
      </w:pPr>
      <w:r w:rsidRPr="00763BD0">
        <w:t>Abbreviations: DPP4, dipeptidyl peptidase</w:t>
      </w:r>
      <w:r w:rsidR="004324DF" w:rsidRPr="00763BD0">
        <w:t xml:space="preserve"> </w:t>
      </w:r>
      <w:r w:rsidRPr="00763BD0">
        <w:t>4; HbA1c, glyc</w:t>
      </w:r>
      <w:r w:rsidR="00B51820" w:rsidRPr="00763BD0">
        <w:t>osyl</w:t>
      </w:r>
      <w:r w:rsidRPr="00763BD0">
        <w:t>ated haemoglobin</w:t>
      </w:r>
    </w:p>
    <w:p w:rsidR="00410E29" w:rsidRPr="00763BD0" w:rsidRDefault="00410E29" w:rsidP="00410E29">
      <w:pPr>
        <w:pStyle w:val="BodyText"/>
      </w:pPr>
    </w:p>
    <w:p w:rsidR="00410E29" w:rsidRDefault="00410E29" w:rsidP="004B63C5">
      <w:pPr>
        <w:pStyle w:val="ESnumberedparablue"/>
        <w:numPr>
          <w:ilvl w:val="1"/>
          <w:numId w:val="3"/>
        </w:numPr>
        <w:ind w:left="709" w:hanging="709"/>
        <w:rPr>
          <w:rFonts w:asciiTheme="minorHAnsi" w:hAnsiTheme="minorHAnsi"/>
          <w:color w:val="auto"/>
          <w:sz w:val="24"/>
        </w:rPr>
      </w:pPr>
      <w:r w:rsidRPr="004B63C5">
        <w:rPr>
          <w:rFonts w:asciiTheme="minorHAnsi" w:hAnsiTheme="minorHAnsi"/>
          <w:color w:val="auto"/>
          <w:sz w:val="24"/>
        </w:rPr>
        <w:t xml:space="preserve">There were a number of issues associated with the rationale for listing including the clinical management (fixed sequence of treatment with metformin and DPP4 inhibitor and then adding </w:t>
      </w:r>
      <w:proofErr w:type="spellStart"/>
      <w:r w:rsidRPr="004B63C5">
        <w:rPr>
          <w:rFonts w:asciiTheme="minorHAnsi" w:hAnsiTheme="minorHAnsi"/>
          <w:color w:val="auto"/>
          <w:sz w:val="24"/>
        </w:rPr>
        <w:t>dapagliflozin</w:t>
      </w:r>
      <w:proofErr w:type="spellEnd"/>
      <w:r w:rsidRPr="004B63C5">
        <w:rPr>
          <w:rFonts w:asciiTheme="minorHAnsi" w:hAnsiTheme="minorHAnsi"/>
          <w:color w:val="auto"/>
          <w:sz w:val="24"/>
        </w:rPr>
        <w:t>), comparator (need to address less costly comparators, inappropriate weighting of price across comparators) and clinical claim (whether the clinical evidence adeq</w:t>
      </w:r>
      <w:r w:rsidR="003F1DB5">
        <w:rPr>
          <w:rFonts w:asciiTheme="minorHAnsi" w:hAnsiTheme="minorHAnsi"/>
          <w:color w:val="auto"/>
          <w:sz w:val="24"/>
        </w:rPr>
        <w:t>uately supports stated claims).</w:t>
      </w:r>
    </w:p>
    <w:p w:rsidR="003F1DB5" w:rsidRPr="004B63C5" w:rsidRDefault="003F1DB5" w:rsidP="00641642">
      <w:pPr>
        <w:pStyle w:val="ESnumberedparablue"/>
        <w:spacing w:after="0"/>
        <w:ind w:left="709"/>
        <w:rPr>
          <w:rFonts w:asciiTheme="minorHAnsi" w:hAnsiTheme="minorHAnsi"/>
          <w:color w:val="auto"/>
          <w:sz w:val="24"/>
        </w:rPr>
      </w:pPr>
    </w:p>
    <w:p w:rsidR="00137F8D" w:rsidRPr="00412444" w:rsidRDefault="00137F8D" w:rsidP="00641642">
      <w:pPr>
        <w:pStyle w:val="Heading1"/>
        <w:keepNext/>
        <w:keepLines/>
        <w:widowControl/>
        <w:numPr>
          <w:ilvl w:val="0"/>
          <w:numId w:val="4"/>
        </w:numPr>
        <w:spacing w:before="320" w:after="120"/>
        <w:ind w:left="709" w:hanging="709"/>
        <w:rPr>
          <w:rFonts w:asciiTheme="minorHAnsi" w:eastAsiaTheme="majorEastAsia" w:hAnsiTheme="minorHAnsi" w:cstheme="majorBidi"/>
          <w:caps w:val="0"/>
          <w:snapToGrid/>
          <w:sz w:val="32"/>
          <w:szCs w:val="28"/>
        </w:rPr>
      </w:pPr>
      <w:bookmarkStart w:id="3" w:name="_Toc413139272"/>
      <w:bookmarkStart w:id="4" w:name="_Toc476306882"/>
      <w:bookmarkStart w:id="5" w:name="_Toc482705425"/>
      <w:r w:rsidRPr="00412444">
        <w:rPr>
          <w:rFonts w:asciiTheme="minorHAnsi" w:eastAsiaTheme="majorEastAsia" w:hAnsiTheme="minorHAnsi" w:cstheme="majorBidi"/>
          <w:caps w:val="0"/>
          <w:snapToGrid/>
          <w:sz w:val="32"/>
          <w:szCs w:val="28"/>
        </w:rPr>
        <w:t>Requested listing</w:t>
      </w:r>
      <w:bookmarkEnd w:id="3"/>
      <w:bookmarkEnd w:id="4"/>
      <w:bookmarkEnd w:id="5"/>
    </w:p>
    <w:p w:rsidR="003B7D14" w:rsidRPr="003B7D14" w:rsidRDefault="003B7D14" w:rsidP="00937D7B">
      <w:pPr>
        <w:widowControl/>
        <w:numPr>
          <w:ilvl w:val="0"/>
          <w:numId w:val="3"/>
        </w:numPr>
        <w:spacing w:before="200" w:after="120"/>
        <w:rPr>
          <w:vanish/>
        </w:rPr>
      </w:pPr>
    </w:p>
    <w:p w:rsidR="00137F8D" w:rsidRPr="005F6004" w:rsidRDefault="003B7D14" w:rsidP="004B63C5">
      <w:pPr>
        <w:pStyle w:val="ESnumberedparablue"/>
        <w:numPr>
          <w:ilvl w:val="1"/>
          <w:numId w:val="3"/>
        </w:numPr>
        <w:ind w:left="709" w:hanging="709"/>
        <w:rPr>
          <w:rFonts w:asciiTheme="minorHAnsi" w:hAnsiTheme="minorHAnsi"/>
          <w:color w:val="auto"/>
          <w:sz w:val="24"/>
        </w:rPr>
      </w:pPr>
      <w:r w:rsidRPr="005F6004">
        <w:rPr>
          <w:rFonts w:asciiTheme="minorHAnsi" w:hAnsiTheme="minorHAnsi"/>
          <w:color w:val="auto"/>
          <w:sz w:val="24"/>
        </w:rPr>
        <w:t>S</w:t>
      </w:r>
      <w:r w:rsidR="00282E5E" w:rsidRPr="005F6004">
        <w:rPr>
          <w:rFonts w:asciiTheme="minorHAnsi" w:hAnsiTheme="minorHAnsi"/>
          <w:color w:val="auto"/>
          <w:sz w:val="24"/>
        </w:rPr>
        <w:t>uggestions and additions proposed by the Secretariat to the requested listing are added in italics and suggested deletions are crossed out with strikethrough.</w:t>
      </w:r>
    </w:p>
    <w:p w:rsidR="00282E5E" w:rsidRPr="00552722" w:rsidRDefault="00282E5E" w:rsidP="00282E5E">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282E5E" w:rsidRPr="00260CE3" w:rsidTr="00565621">
        <w:trPr>
          <w:cantSplit/>
          <w:trHeight w:val="471"/>
        </w:trPr>
        <w:tc>
          <w:tcPr>
            <w:tcW w:w="3261" w:type="dxa"/>
            <w:gridSpan w:val="2"/>
            <w:tcBorders>
              <w:bottom w:val="single" w:sz="4" w:space="0" w:color="auto"/>
            </w:tcBorders>
          </w:tcPr>
          <w:p w:rsidR="00282E5E" w:rsidRPr="00260CE3" w:rsidRDefault="00282E5E" w:rsidP="00565621">
            <w:pPr>
              <w:keepNext/>
              <w:ind w:left="-108"/>
              <w:rPr>
                <w:rFonts w:ascii="Arial Narrow" w:hAnsi="Arial Narrow"/>
                <w:sz w:val="20"/>
              </w:rPr>
            </w:pPr>
            <w:r w:rsidRPr="00260CE3">
              <w:rPr>
                <w:rFonts w:ascii="Arial Narrow" w:hAnsi="Arial Narrow"/>
                <w:sz w:val="20"/>
              </w:rPr>
              <w:lastRenderedPageBreak/>
              <w:t>Name, Restriction,</w:t>
            </w:r>
          </w:p>
          <w:p w:rsidR="00282E5E" w:rsidRPr="00260CE3" w:rsidRDefault="00282E5E" w:rsidP="00565621">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282E5E" w:rsidRPr="00260CE3" w:rsidRDefault="00282E5E" w:rsidP="00565621">
            <w:pPr>
              <w:keepNext/>
              <w:ind w:left="-108"/>
              <w:rPr>
                <w:rFonts w:ascii="Arial Narrow" w:hAnsi="Arial Narrow"/>
                <w:sz w:val="20"/>
              </w:rPr>
            </w:pPr>
            <w:r w:rsidRPr="00260CE3">
              <w:rPr>
                <w:rFonts w:ascii="Arial Narrow" w:hAnsi="Arial Narrow"/>
                <w:sz w:val="20"/>
              </w:rPr>
              <w:t>Max.</w:t>
            </w:r>
          </w:p>
          <w:p w:rsidR="00282E5E" w:rsidRPr="00260CE3" w:rsidRDefault="00282E5E" w:rsidP="00565621">
            <w:pPr>
              <w:keepNext/>
              <w:ind w:left="-108"/>
              <w:rPr>
                <w:rFonts w:ascii="Arial Narrow" w:hAnsi="Arial Narrow"/>
                <w:sz w:val="20"/>
              </w:rPr>
            </w:pPr>
            <w:proofErr w:type="spellStart"/>
            <w:r w:rsidRPr="00260CE3">
              <w:rPr>
                <w:rFonts w:ascii="Arial Narrow" w:hAnsi="Arial Narrow"/>
                <w:sz w:val="20"/>
              </w:rPr>
              <w:t>Qty</w:t>
            </w:r>
            <w:proofErr w:type="spellEnd"/>
          </w:p>
        </w:tc>
        <w:tc>
          <w:tcPr>
            <w:tcW w:w="850" w:type="dxa"/>
            <w:tcBorders>
              <w:bottom w:val="single" w:sz="4" w:space="0" w:color="auto"/>
            </w:tcBorders>
          </w:tcPr>
          <w:p w:rsidR="00282E5E" w:rsidRPr="00260CE3" w:rsidRDefault="00282E5E" w:rsidP="00565621">
            <w:pPr>
              <w:keepNext/>
              <w:ind w:left="-108"/>
              <w:rPr>
                <w:rFonts w:ascii="Arial Narrow" w:hAnsi="Arial Narrow"/>
                <w:sz w:val="20"/>
              </w:rPr>
            </w:pPr>
            <w:r w:rsidRPr="00260CE3">
              <w:rPr>
                <w:rFonts w:ascii="Arial Narrow" w:hAnsi="Arial Narrow"/>
                <w:sz w:val="20"/>
              </w:rPr>
              <w:t>№.of</w:t>
            </w:r>
          </w:p>
          <w:p w:rsidR="00282E5E" w:rsidRPr="00260CE3" w:rsidRDefault="00282E5E" w:rsidP="00565621">
            <w:pPr>
              <w:keepNext/>
              <w:ind w:left="-108"/>
              <w:rPr>
                <w:rFonts w:ascii="Arial Narrow" w:hAnsi="Arial Narrow"/>
                <w:sz w:val="20"/>
              </w:rPr>
            </w:pPr>
            <w:proofErr w:type="spellStart"/>
            <w:r w:rsidRPr="00260CE3">
              <w:rPr>
                <w:rFonts w:ascii="Arial Narrow" w:hAnsi="Arial Narrow"/>
                <w:sz w:val="20"/>
              </w:rPr>
              <w:t>Rpts</w:t>
            </w:r>
            <w:proofErr w:type="spellEnd"/>
          </w:p>
        </w:tc>
        <w:tc>
          <w:tcPr>
            <w:tcW w:w="1701" w:type="dxa"/>
            <w:tcBorders>
              <w:bottom w:val="single" w:sz="4" w:space="0" w:color="auto"/>
            </w:tcBorders>
          </w:tcPr>
          <w:p w:rsidR="00282E5E" w:rsidRPr="00260CE3" w:rsidRDefault="00282E5E" w:rsidP="00565621">
            <w:pPr>
              <w:keepNext/>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2835" w:type="dxa"/>
            <w:gridSpan w:val="2"/>
            <w:tcBorders>
              <w:bottom w:val="single" w:sz="4" w:space="0" w:color="auto"/>
            </w:tcBorders>
          </w:tcPr>
          <w:p w:rsidR="00282E5E" w:rsidRPr="00260CE3" w:rsidRDefault="00282E5E" w:rsidP="00565621">
            <w:pPr>
              <w:keepNext/>
              <w:rPr>
                <w:rFonts w:ascii="Arial Narrow" w:hAnsi="Arial Narrow"/>
                <w:sz w:val="20"/>
                <w:lang w:val="fr-FR"/>
              </w:rPr>
            </w:pPr>
            <w:r w:rsidRPr="00260CE3">
              <w:rPr>
                <w:rFonts w:ascii="Arial Narrow" w:hAnsi="Arial Narrow"/>
                <w:sz w:val="20"/>
              </w:rPr>
              <w:t>Proprietary Name and Manufacturer</w:t>
            </w:r>
          </w:p>
        </w:tc>
      </w:tr>
      <w:tr w:rsidR="00282E5E" w:rsidRPr="00260CE3" w:rsidTr="00565621">
        <w:trPr>
          <w:cantSplit/>
          <w:trHeight w:val="577"/>
        </w:trPr>
        <w:tc>
          <w:tcPr>
            <w:tcW w:w="3261" w:type="dxa"/>
            <w:gridSpan w:val="2"/>
          </w:tcPr>
          <w:p w:rsidR="00282E5E" w:rsidRPr="00260CE3" w:rsidRDefault="00282E5E" w:rsidP="00565621">
            <w:pPr>
              <w:keepNext/>
              <w:ind w:left="-108"/>
              <w:rPr>
                <w:rFonts w:ascii="Arial Narrow" w:hAnsi="Arial Narrow"/>
                <w:sz w:val="20"/>
              </w:rPr>
            </w:pPr>
            <w:proofErr w:type="spellStart"/>
            <w:r>
              <w:rPr>
                <w:rFonts w:ascii="Arial Narrow" w:hAnsi="Arial Narrow"/>
                <w:smallCaps/>
                <w:sz w:val="20"/>
              </w:rPr>
              <w:t>dapagliflozin</w:t>
            </w:r>
            <w:proofErr w:type="spellEnd"/>
          </w:p>
          <w:p w:rsidR="00282E5E" w:rsidRPr="00260CE3" w:rsidRDefault="00282E5E" w:rsidP="00565621">
            <w:pPr>
              <w:keepNext/>
              <w:ind w:left="-108"/>
              <w:rPr>
                <w:rFonts w:ascii="Arial Narrow" w:hAnsi="Arial Narrow"/>
                <w:sz w:val="20"/>
              </w:rPr>
            </w:pPr>
            <w:r>
              <w:rPr>
                <w:rFonts w:ascii="Arial Narrow" w:hAnsi="Arial Narrow"/>
                <w:sz w:val="20"/>
              </w:rPr>
              <w:t>Tablets 10 mg</w:t>
            </w:r>
          </w:p>
        </w:tc>
        <w:tc>
          <w:tcPr>
            <w:tcW w:w="567" w:type="dxa"/>
          </w:tcPr>
          <w:p w:rsidR="00282E5E" w:rsidRPr="00260CE3" w:rsidRDefault="00282E5E" w:rsidP="00565621">
            <w:pPr>
              <w:keepNext/>
              <w:ind w:left="-108"/>
              <w:rPr>
                <w:rFonts w:ascii="Arial Narrow" w:hAnsi="Arial Narrow"/>
                <w:sz w:val="20"/>
              </w:rPr>
            </w:pPr>
          </w:p>
          <w:p w:rsidR="00282E5E" w:rsidRPr="00260CE3" w:rsidRDefault="00282E5E" w:rsidP="00565621">
            <w:pPr>
              <w:keepNext/>
              <w:ind w:left="-108"/>
              <w:rPr>
                <w:rFonts w:ascii="Arial Narrow" w:hAnsi="Arial Narrow"/>
                <w:sz w:val="20"/>
              </w:rPr>
            </w:pPr>
            <w:r>
              <w:rPr>
                <w:rFonts w:ascii="Arial Narrow" w:hAnsi="Arial Narrow"/>
                <w:sz w:val="20"/>
              </w:rPr>
              <w:t>28</w:t>
            </w:r>
          </w:p>
        </w:tc>
        <w:tc>
          <w:tcPr>
            <w:tcW w:w="850" w:type="dxa"/>
          </w:tcPr>
          <w:p w:rsidR="00282E5E" w:rsidRPr="00260CE3" w:rsidRDefault="00282E5E" w:rsidP="00565621">
            <w:pPr>
              <w:keepNext/>
              <w:ind w:left="-108"/>
              <w:rPr>
                <w:rFonts w:ascii="Arial Narrow" w:hAnsi="Arial Narrow"/>
                <w:sz w:val="20"/>
              </w:rPr>
            </w:pPr>
          </w:p>
          <w:p w:rsidR="00282E5E" w:rsidRPr="00260CE3" w:rsidRDefault="00282E5E" w:rsidP="00565621">
            <w:pPr>
              <w:keepNext/>
              <w:ind w:left="-108"/>
              <w:rPr>
                <w:rFonts w:ascii="Arial Narrow" w:hAnsi="Arial Narrow"/>
                <w:sz w:val="20"/>
              </w:rPr>
            </w:pPr>
            <w:r>
              <w:rPr>
                <w:rFonts w:ascii="Arial Narrow" w:hAnsi="Arial Narrow"/>
                <w:sz w:val="20"/>
              </w:rPr>
              <w:t>5</w:t>
            </w:r>
          </w:p>
        </w:tc>
        <w:tc>
          <w:tcPr>
            <w:tcW w:w="1701" w:type="dxa"/>
          </w:tcPr>
          <w:p w:rsidR="00282E5E" w:rsidRPr="00260CE3" w:rsidRDefault="00282E5E" w:rsidP="00565621">
            <w:pPr>
              <w:keepNext/>
              <w:ind w:left="-108"/>
              <w:rPr>
                <w:rFonts w:ascii="Arial Narrow" w:hAnsi="Arial Narrow"/>
                <w:sz w:val="20"/>
              </w:rPr>
            </w:pPr>
          </w:p>
          <w:p w:rsidR="00282E5E" w:rsidRPr="00260CE3" w:rsidRDefault="00282E5E" w:rsidP="00565621">
            <w:pPr>
              <w:keepNext/>
              <w:ind w:left="-108"/>
              <w:rPr>
                <w:rFonts w:ascii="Arial Narrow" w:hAnsi="Arial Narrow"/>
                <w:sz w:val="20"/>
              </w:rPr>
            </w:pPr>
            <w:r w:rsidRPr="00260CE3">
              <w:rPr>
                <w:rFonts w:ascii="Arial Narrow" w:hAnsi="Arial Narrow"/>
                <w:sz w:val="20"/>
              </w:rPr>
              <w:t>$</w:t>
            </w:r>
            <w:r w:rsidRPr="003F2089">
              <w:rPr>
                <w:rFonts w:ascii="Arial Narrow" w:hAnsi="Arial Narrow"/>
                <w:sz w:val="20"/>
              </w:rPr>
              <w:t>57.74</w:t>
            </w:r>
          </w:p>
        </w:tc>
        <w:tc>
          <w:tcPr>
            <w:tcW w:w="1559" w:type="dxa"/>
          </w:tcPr>
          <w:p w:rsidR="00282E5E" w:rsidRPr="00260CE3" w:rsidRDefault="00282E5E" w:rsidP="00565621">
            <w:pPr>
              <w:keepNext/>
              <w:rPr>
                <w:rFonts w:ascii="Arial Narrow" w:hAnsi="Arial Narrow"/>
                <w:sz w:val="20"/>
              </w:rPr>
            </w:pPr>
            <w:proofErr w:type="spellStart"/>
            <w:r>
              <w:rPr>
                <w:rFonts w:ascii="Arial Narrow" w:hAnsi="Arial Narrow"/>
                <w:sz w:val="20"/>
              </w:rPr>
              <w:t>Forxiga</w:t>
            </w:r>
            <w:proofErr w:type="spellEnd"/>
            <w:r>
              <w:rPr>
                <w:rFonts w:ascii="Arial Narrow" w:hAnsi="Arial Narrow"/>
                <w:sz w:val="20"/>
              </w:rPr>
              <w:t>®</w:t>
            </w:r>
          </w:p>
        </w:tc>
        <w:tc>
          <w:tcPr>
            <w:tcW w:w="1276" w:type="dxa"/>
          </w:tcPr>
          <w:p w:rsidR="00282E5E" w:rsidRPr="00260CE3" w:rsidRDefault="00282E5E" w:rsidP="00565621">
            <w:pPr>
              <w:keepNext/>
              <w:rPr>
                <w:rFonts w:ascii="Arial Narrow" w:hAnsi="Arial Narrow"/>
                <w:sz w:val="20"/>
              </w:rPr>
            </w:pPr>
            <w:r>
              <w:rPr>
                <w:rFonts w:ascii="Arial Narrow" w:hAnsi="Arial Narrow"/>
                <w:sz w:val="20"/>
              </w:rPr>
              <w:t>AstraZeneca</w:t>
            </w:r>
          </w:p>
        </w:tc>
      </w:tr>
      <w:tr w:rsidR="00282E5E" w:rsidRPr="00260CE3" w:rsidTr="00565621">
        <w:trPr>
          <w:cantSplit/>
          <w:trHeight w:val="360"/>
        </w:trPr>
        <w:tc>
          <w:tcPr>
            <w:tcW w:w="9214" w:type="dxa"/>
            <w:gridSpan w:val="7"/>
            <w:tcBorders>
              <w:bottom w:val="single" w:sz="4" w:space="0" w:color="auto"/>
            </w:tcBorders>
          </w:tcPr>
          <w:p w:rsidR="00282E5E" w:rsidRPr="00260CE3" w:rsidRDefault="00282E5E" w:rsidP="00565621">
            <w:pPr>
              <w:rPr>
                <w:rFonts w:ascii="Arial Narrow" w:hAnsi="Arial Narrow"/>
                <w:sz w:val="20"/>
              </w:rPr>
            </w:pPr>
          </w:p>
        </w:tc>
      </w:tr>
      <w:tr w:rsidR="00282E5E" w:rsidRPr="00260CE3" w:rsidTr="0056562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2E5E" w:rsidRPr="00260CE3" w:rsidRDefault="00282E5E" w:rsidP="00565621">
            <w:pPr>
              <w:rPr>
                <w:rFonts w:ascii="Arial Narrow" w:hAnsi="Arial Narrow"/>
                <w:b/>
                <w:sz w:val="20"/>
              </w:rPr>
            </w:pPr>
            <w:r w:rsidRPr="00260CE3">
              <w:rPr>
                <w:rFonts w:ascii="Arial Narrow" w:hAnsi="Arial Narrow"/>
                <w:b/>
                <w:sz w:val="20"/>
              </w:rPr>
              <w:t xml:space="preserve">Category / </w:t>
            </w:r>
          </w:p>
          <w:p w:rsidR="00282E5E" w:rsidRPr="00260CE3" w:rsidRDefault="00282E5E" w:rsidP="00565621">
            <w:pPr>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282E5E" w:rsidRPr="00260CE3" w:rsidRDefault="00282E5E" w:rsidP="00565621">
            <w:pPr>
              <w:rPr>
                <w:rFonts w:ascii="Arial Narrow" w:hAnsi="Arial Narrow"/>
                <w:sz w:val="20"/>
              </w:rPr>
            </w:pPr>
            <w:r w:rsidRPr="00260CE3">
              <w:rPr>
                <w:rFonts w:ascii="Arial Narrow" w:hAnsi="Arial Narrow"/>
                <w:sz w:val="20"/>
              </w:rPr>
              <w:t>GENERAL – General Schedule (Code GE)</w:t>
            </w:r>
          </w:p>
          <w:p w:rsidR="00282E5E" w:rsidRPr="00260CE3" w:rsidRDefault="00282E5E" w:rsidP="00565621">
            <w:pPr>
              <w:rPr>
                <w:rFonts w:ascii="Arial Narrow" w:hAnsi="Arial Narrow"/>
                <w:sz w:val="20"/>
              </w:rPr>
            </w:pPr>
          </w:p>
        </w:tc>
      </w:tr>
      <w:tr w:rsidR="00282E5E" w:rsidRPr="00260CE3" w:rsidTr="0056562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2E5E" w:rsidRDefault="00282E5E" w:rsidP="00565621">
            <w:pPr>
              <w:rPr>
                <w:rFonts w:ascii="Arial Narrow" w:hAnsi="Arial Narrow"/>
                <w:b/>
                <w:sz w:val="20"/>
              </w:rPr>
            </w:pPr>
            <w:r w:rsidRPr="00260CE3">
              <w:rPr>
                <w:rFonts w:ascii="Arial Narrow" w:hAnsi="Arial Narrow"/>
                <w:b/>
                <w:sz w:val="20"/>
              </w:rPr>
              <w:t>Prescriber type:</w:t>
            </w:r>
          </w:p>
          <w:p w:rsidR="00282E5E" w:rsidRPr="00260CE3" w:rsidRDefault="00282E5E" w:rsidP="00565621">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2E5E" w:rsidRPr="00260CE3" w:rsidRDefault="00282E5E" w:rsidP="00565621">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641642">
              <w:rPr>
                <w:rFonts w:ascii="Arial Narrow" w:hAnsi="Arial Narrow"/>
                <w:sz w:val="20"/>
              </w:rPr>
            </w:r>
            <w:r w:rsidR="0064164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641642">
              <w:rPr>
                <w:rFonts w:ascii="Arial Narrow" w:hAnsi="Arial Narrow"/>
                <w:sz w:val="20"/>
              </w:rPr>
            </w:r>
            <w:r w:rsidR="00641642">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w:instrText>
            </w:r>
            <w:bookmarkStart w:id="6" w:name="Check3"/>
            <w:r>
              <w:rPr>
                <w:rFonts w:ascii="Arial Narrow" w:hAnsi="Arial Narrow"/>
                <w:sz w:val="20"/>
              </w:rPr>
              <w:instrText xml:space="preserve">FORMCHECKBOX </w:instrText>
            </w:r>
            <w:r w:rsidR="00641642">
              <w:rPr>
                <w:rFonts w:ascii="Arial Narrow" w:hAnsi="Arial Narrow"/>
                <w:sz w:val="20"/>
              </w:rPr>
            </w:r>
            <w:r w:rsidR="00641642">
              <w:rPr>
                <w:rFonts w:ascii="Arial Narrow" w:hAnsi="Arial Narrow"/>
                <w:sz w:val="20"/>
              </w:rPr>
              <w:fldChar w:fldCharType="separate"/>
            </w:r>
            <w:r>
              <w:rPr>
                <w:rFonts w:ascii="Arial Narrow" w:hAnsi="Arial Narrow"/>
                <w:sz w:val="20"/>
              </w:rPr>
              <w:fldChar w:fldCharType="end"/>
            </w:r>
            <w:bookmarkEnd w:id="6"/>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641642">
              <w:rPr>
                <w:rFonts w:ascii="Arial Narrow" w:hAnsi="Arial Narrow"/>
                <w:sz w:val="20"/>
              </w:rPr>
            </w:r>
            <w:r w:rsidR="0064164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282E5E" w:rsidRPr="00260CE3" w:rsidRDefault="00282E5E" w:rsidP="00565621">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641642">
              <w:rPr>
                <w:rFonts w:ascii="Arial Narrow" w:hAnsi="Arial Narrow"/>
                <w:sz w:val="20"/>
              </w:rPr>
            </w:r>
            <w:r w:rsidR="0064164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282E5E" w:rsidRPr="00260CE3" w:rsidTr="0056562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2E5E" w:rsidRPr="00260CE3" w:rsidRDefault="00282E5E" w:rsidP="00565621">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282E5E" w:rsidRPr="00260CE3" w:rsidRDefault="00282E5E" w:rsidP="00565621">
            <w:pPr>
              <w:rPr>
                <w:rFonts w:ascii="Arial Narrow" w:hAnsi="Arial Narrow"/>
                <w:sz w:val="20"/>
              </w:rPr>
            </w:pPr>
            <w:r>
              <w:rPr>
                <w:rFonts w:ascii="Arial Narrow" w:hAnsi="Arial Narrow"/>
                <w:sz w:val="20"/>
              </w:rPr>
              <w:t>Diabetes mellitus type 2</w:t>
            </w:r>
          </w:p>
        </w:tc>
      </w:tr>
      <w:tr w:rsidR="00282E5E" w:rsidRPr="00260CE3" w:rsidTr="0056562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2E5E" w:rsidRDefault="00282E5E" w:rsidP="00565621">
            <w:pPr>
              <w:rPr>
                <w:rFonts w:ascii="Arial Narrow" w:hAnsi="Arial Narrow"/>
                <w:b/>
                <w:sz w:val="20"/>
              </w:rPr>
            </w:pPr>
            <w:r w:rsidRPr="00260CE3">
              <w:rPr>
                <w:rFonts w:ascii="Arial Narrow" w:hAnsi="Arial Narrow"/>
                <w:b/>
                <w:sz w:val="20"/>
              </w:rPr>
              <w:t>PBS Indication:</w:t>
            </w:r>
          </w:p>
          <w:p w:rsidR="00282E5E" w:rsidRPr="00AE058A" w:rsidRDefault="00282E5E" w:rsidP="00565621">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2E5E" w:rsidRPr="00260CE3" w:rsidRDefault="00282E5E" w:rsidP="00565621">
            <w:pPr>
              <w:rPr>
                <w:rFonts w:ascii="Arial Narrow" w:hAnsi="Arial Narrow"/>
                <w:sz w:val="20"/>
              </w:rPr>
            </w:pPr>
            <w:r>
              <w:rPr>
                <w:rFonts w:ascii="Arial Narrow" w:hAnsi="Arial Narrow"/>
                <w:sz w:val="20"/>
              </w:rPr>
              <w:t>Diabetes mellitus type 2</w:t>
            </w:r>
          </w:p>
        </w:tc>
      </w:tr>
      <w:tr w:rsidR="00282E5E" w:rsidRPr="00260CE3" w:rsidTr="0056562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2E5E" w:rsidRPr="00260CE3" w:rsidRDefault="00282E5E" w:rsidP="00565621">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282E5E" w:rsidRDefault="00282E5E" w:rsidP="00565621">
            <w:pPr>
              <w:rPr>
                <w:rFonts w:ascii="Arial Narrow" w:hAnsi="Arial Narrow"/>
                <w:i/>
                <w:sz w:val="20"/>
                <w:highlight w:val="yellow"/>
              </w:rPr>
            </w:pPr>
          </w:p>
          <w:p w:rsidR="00282E5E" w:rsidRDefault="00282E5E" w:rsidP="00565621">
            <w:pPr>
              <w:rPr>
                <w:rFonts w:ascii="Arial Narrow" w:hAnsi="Arial Narrow"/>
                <w:i/>
                <w:sz w:val="20"/>
              </w:rPr>
            </w:pPr>
          </w:p>
          <w:p w:rsidR="00282E5E" w:rsidRPr="00CD28F3" w:rsidRDefault="00282E5E" w:rsidP="00565621">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2E5E" w:rsidRPr="00106BCF" w:rsidRDefault="00282E5E" w:rsidP="00565621">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641642">
              <w:rPr>
                <w:rFonts w:ascii="Arial Narrow" w:hAnsi="Arial Narrow"/>
                <w:sz w:val="20"/>
              </w:rPr>
            </w:r>
            <w:r w:rsidR="0064164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282E5E" w:rsidRPr="00106BCF" w:rsidRDefault="00282E5E" w:rsidP="0056562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641642">
              <w:rPr>
                <w:rFonts w:ascii="Arial Narrow" w:hAnsi="Arial Narrow"/>
                <w:sz w:val="20"/>
              </w:rPr>
            </w:r>
            <w:r w:rsidR="0064164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282E5E" w:rsidRPr="00106BCF" w:rsidRDefault="00282E5E" w:rsidP="00565621">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641642">
              <w:rPr>
                <w:rFonts w:ascii="Arial Narrow" w:hAnsi="Arial Narrow"/>
                <w:sz w:val="20"/>
              </w:rPr>
            </w:r>
            <w:r w:rsidR="0064164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282E5E" w:rsidRPr="00106BCF" w:rsidRDefault="00282E5E" w:rsidP="0056562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641642">
              <w:rPr>
                <w:rFonts w:ascii="Arial Narrow" w:hAnsi="Arial Narrow"/>
                <w:sz w:val="20"/>
              </w:rPr>
            </w:r>
            <w:r w:rsidR="0064164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282E5E" w:rsidRPr="00106BCF" w:rsidRDefault="00282E5E" w:rsidP="0056562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641642">
              <w:rPr>
                <w:rFonts w:ascii="Arial Narrow" w:hAnsi="Arial Narrow"/>
                <w:sz w:val="20"/>
              </w:rPr>
            </w:r>
            <w:r w:rsidR="0064164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282E5E" w:rsidRPr="00260CE3" w:rsidRDefault="00282E5E" w:rsidP="00565621">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w:instrText>
            </w:r>
            <w:bookmarkStart w:id="7" w:name="Check5"/>
            <w:r>
              <w:rPr>
                <w:rFonts w:ascii="Arial Narrow" w:hAnsi="Arial Narrow"/>
                <w:sz w:val="20"/>
              </w:rPr>
              <w:instrText xml:space="preserve">FORMCHECKBOX </w:instrText>
            </w:r>
            <w:r w:rsidR="00641642">
              <w:rPr>
                <w:rFonts w:ascii="Arial Narrow" w:hAnsi="Arial Narrow"/>
                <w:sz w:val="20"/>
              </w:rPr>
            </w:r>
            <w:r w:rsidR="00641642">
              <w:rPr>
                <w:rFonts w:ascii="Arial Narrow" w:hAnsi="Arial Narrow"/>
                <w:sz w:val="20"/>
              </w:rPr>
              <w:fldChar w:fldCharType="separate"/>
            </w:r>
            <w:r>
              <w:rPr>
                <w:rFonts w:ascii="Arial Narrow" w:hAnsi="Arial Narrow"/>
                <w:sz w:val="20"/>
              </w:rPr>
              <w:fldChar w:fldCharType="end"/>
            </w:r>
            <w:bookmarkEnd w:id="7"/>
            <w:r w:rsidRPr="00106BCF">
              <w:rPr>
                <w:rFonts w:ascii="Arial Narrow" w:hAnsi="Arial Narrow"/>
                <w:sz w:val="20"/>
              </w:rPr>
              <w:t>Streamlined</w:t>
            </w:r>
          </w:p>
        </w:tc>
      </w:tr>
      <w:tr w:rsidR="00282E5E" w:rsidRPr="00260CE3" w:rsidTr="0056562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2E5E" w:rsidRPr="00260CE3" w:rsidRDefault="00282E5E" w:rsidP="00565621">
            <w:pPr>
              <w:rPr>
                <w:rFonts w:ascii="Arial Narrow" w:hAnsi="Arial Narrow"/>
                <w:b/>
                <w:sz w:val="20"/>
              </w:rPr>
            </w:pPr>
            <w:r w:rsidRPr="00260CE3">
              <w:rPr>
                <w:rFonts w:ascii="Arial Narrow" w:hAnsi="Arial Narrow"/>
                <w:b/>
                <w:sz w:val="20"/>
              </w:rPr>
              <w:t>Clinical criteria:</w:t>
            </w:r>
          </w:p>
          <w:p w:rsidR="00282E5E" w:rsidRPr="00260CE3" w:rsidRDefault="00282E5E" w:rsidP="00565621">
            <w:pPr>
              <w:rPr>
                <w:rFonts w:ascii="Arial Narrow" w:hAnsi="Arial Narrow"/>
                <w:i/>
                <w:sz w:val="20"/>
              </w:rPr>
            </w:pPr>
          </w:p>
          <w:p w:rsidR="00282E5E" w:rsidRPr="00260CE3" w:rsidRDefault="00282E5E" w:rsidP="00565621">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2E5E" w:rsidRPr="004E649F" w:rsidRDefault="00282E5E" w:rsidP="00565621">
            <w:pPr>
              <w:rPr>
                <w:rFonts w:ascii="Arial Narrow" w:hAnsi="Arial Narrow"/>
                <w:sz w:val="20"/>
              </w:rPr>
            </w:pPr>
            <w:r w:rsidRPr="004E649F">
              <w:rPr>
                <w:rFonts w:ascii="Arial Narrow" w:hAnsi="Arial Narrow"/>
                <w:sz w:val="20"/>
              </w:rPr>
              <w:t>The treatment must be in combination with metformin</w:t>
            </w:r>
            <w:r>
              <w:rPr>
                <w:rFonts w:ascii="Arial Narrow" w:hAnsi="Arial Narrow"/>
                <w:sz w:val="20"/>
              </w:rPr>
              <w:t>,</w:t>
            </w:r>
          </w:p>
          <w:p w:rsidR="00282E5E" w:rsidRDefault="00282E5E" w:rsidP="00565621">
            <w:pPr>
              <w:rPr>
                <w:rFonts w:ascii="Arial Narrow" w:hAnsi="Arial Narrow"/>
                <w:sz w:val="20"/>
              </w:rPr>
            </w:pPr>
          </w:p>
          <w:p w:rsidR="00282E5E" w:rsidRPr="004E649F" w:rsidRDefault="00282E5E" w:rsidP="00565621">
            <w:pPr>
              <w:rPr>
                <w:rFonts w:ascii="Arial Narrow" w:hAnsi="Arial Narrow"/>
                <w:sz w:val="20"/>
              </w:rPr>
            </w:pPr>
            <w:r w:rsidRPr="004E649F">
              <w:rPr>
                <w:rFonts w:ascii="Arial Narrow" w:hAnsi="Arial Narrow"/>
                <w:sz w:val="20"/>
              </w:rPr>
              <w:t>AND</w:t>
            </w:r>
          </w:p>
          <w:p w:rsidR="00282E5E" w:rsidRPr="001B340D" w:rsidRDefault="00282E5E" w:rsidP="00565621">
            <w:pPr>
              <w:rPr>
                <w:rFonts w:ascii="Arial Narrow" w:hAnsi="Arial Narrow"/>
                <w:strike/>
                <w:sz w:val="20"/>
              </w:rPr>
            </w:pPr>
          </w:p>
          <w:p w:rsidR="00282E5E" w:rsidRPr="001B340D" w:rsidRDefault="00282E5E" w:rsidP="00565621">
            <w:pPr>
              <w:rPr>
                <w:rFonts w:ascii="Arial Narrow" w:hAnsi="Arial Narrow"/>
                <w:sz w:val="20"/>
              </w:rPr>
            </w:pPr>
            <w:r w:rsidRPr="002341E7">
              <w:rPr>
                <w:rFonts w:ascii="Arial Narrow" w:hAnsi="Arial Narrow"/>
                <w:sz w:val="20"/>
              </w:rPr>
              <w:t xml:space="preserve">The treatment must be in combination with a dipeptidyl peptidase 4 inhibitor </w:t>
            </w:r>
            <w:r w:rsidRPr="001B340D">
              <w:rPr>
                <w:rFonts w:ascii="Arial Narrow" w:hAnsi="Arial Narrow"/>
                <w:strike/>
                <w:sz w:val="20"/>
              </w:rPr>
              <w:t>(DPP4)</w:t>
            </w:r>
            <w:r w:rsidRPr="002341E7">
              <w:rPr>
                <w:rFonts w:ascii="Arial Narrow" w:hAnsi="Arial Narrow"/>
                <w:sz w:val="20"/>
              </w:rPr>
              <w:t xml:space="preserve"> inhibitor</w:t>
            </w:r>
            <w:r>
              <w:rPr>
                <w:rFonts w:ascii="Arial Narrow" w:hAnsi="Arial Narrow"/>
                <w:sz w:val="20"/>
              </w:rPr>
              <w:t xml:space="preserve"> </w:t>
            </w:r>
            <w:r>
              <w:rPr>
                <w:rFonts w:ascii="Arial Narrow" w:hAnsi="Arial Narrow"/>
                <w:i/>
                <w:sz w:val="20"/>
              </w:rPr>
              <w:t>(gliptin)</w:t>
            </w:r>
            <w:r w:rsidRPr="002341E7">
              <w:rPr>
                <w:rFonts w:ascii="Arial Narrow" w:hAnsi="Arial Narrow"/>
                <w:sz w:val="20"/>
              </w:rPr>
              <w:t xml:space="preserve"> </w:t>
            </w:r>
          </w:p>
          <w:p w:rsidR="00282E5E" w:rsidRDefault="00282E5E" w:rsidP="00565621">
            <w:pPr>
              <w:rPr>
                <w:rFonts w:ascii="Arial Narrow" w:hAnsi="Arial Narrow"/>
                <w:strike/>
                <w:sz w:val="20"/>
              </w:rPr>
            </w:pPr>
          </w:p>
          <w:p w:rsidR="00282E5E" w:rsidRDefault="00282E5E" w:rsidP="00565621">
            <w:pPr>
              <w:rPr>
                <w:rFonts w:ascii="Arial Narrow" w:hAnsi="Arial Narrow"/>
                <w:sz w:val="20"/>
              </w:rPr>
            </w:pPr>
            <w:r w:rsidRPr="0056464B">
              <w:rPr>
                <w:rFonts w:ascii="Arial Narrow" w:hAnsi="Arial Narrow"/>
                <w:sz w:val="20"/>
              </w:rPr>
              <w:t>AND</w:t>
            </w:r>
          </w:p>
          <w:p w:rsidR="00282E5E" w:rsidRPr="007301AE" w:rsidRDefault="00282E5E" w:rsidP="00565621">
            <w:pPr>
              <w:rPr>
                <w:rFonts w:ascii="Arial Narrow" w:hAnsi="Arial Narrow"/>
                <w:i/>
                <w:sz w:val="20"/>
              </w:rPr>
            </w:pPr>
          </w:p>
          <w:p w:rsidR="00282E5E" w:rsidRPr="007301AE" w:rsidRDefault="00282E5E" w:rsidP="00565621">
            <w:pPr>
              <w:rPr>
                <w:rFonts w:ascii="Arial Narrow" w:hAnsi="Arial Narrow"/>
                <w:i/>
                <w:sz w:val="20"/>
              </w:rPr>
            </w:pPr>
            <w:r w:rsidRPr="007301AE">
              <w:rPr>
                <w:rFonts w:ascii="Arial Narrow" w:hAnsi="Arial Narrow"/>
                <w:i/>
                <w:sz w:val="20"/>
              </w:rPr>
              <w:t xml:space="preserve">Patient must have previously been stabilised on dual oral therapy which includes a dipeptidyl peptidase 4 inhibitor (gliptin) </w:t>
            </w:r>
          </w:p>
          <w:p w:rsidR="00282E5E" w:rsidRPr="007301AE" w:rsidRDefault="00282E5E" w:rsidP="00565621">
            <w:pPr>
              <w:rPr>
                <w:rFonts w:ascii="Arial Narrow" w:hAnsi="Arial Narrow"/>
                <w:i/>
                <w:sz w:val="20"/>
              </w:rPr>
            </w:pPr>
          </w:p>
          <w:p w:rsidR="00282E5E" w:rsidRPr="007301AE" w:rsidRDefault="00282E5E" w:rsidP="00565621">
            <w:pPr>
              <w:rPr>
                <w:rFonts w:ascii="Arial Narrow" w:hAnsi="Arial Narrow"/>
                <w:i/>
                <w:sz w:val="20"/>
              </w:rPr>
            </w:pPr>
            <w:r w:rsidRPr="007301AE">
              <w:rPr>
                <w:rFonts w:ascii="Arial Narrow" w:hAnsi="Arial Narrow"/>
                <w:i/>
                <w:sz w:val="20"/>
              </w:rPr>
              <w:t>OR</w:t>
            </w:r>
          </w:p>
          <w:p w:rsidR="00282E5E" w:rsidRPr="007301AE" w:rsidRDefault="00282E5E" w:rsidP="00565621">
            <w:pPr>
              <w:rPr>
                <w:rFonts w:ascii="Arial Narrow" w:hAnsi="Arial Narrow"/>
                <w:i/>
                <w:sz w:val="20"/>
              </w:rPr>
            </w:pPr>
          </w:p>
          <w:p w:rsidR="00282E5E" w:rsidRPr="007301AE" w:rsidRDefault="00282E5E" w:rsidP="00565621">
            <w:pPr>
              <w:rPr>
                <w:rFonts w:ascii="Arial Narrow" w:hAnsi="Arial Narrow"/>
                <w:i/>
                <w:sz w:val="20"/>
              </w:rPr>
            </w:pPr>
            <w:r w:rsidRPr="007301AE">
              <w:rPr>
                <w:rFonts w:ascii="Arial Narrow" w:hAnsi="Arial Narrow"/>
                <w:i/>
                <w:sz w:val="20"/>
              </w:rPr>
              <w:t>Patient must have previously been stabilised on dual oral therapy which includes a sodium-glucose co-transporter 2 (SGLT2) inhibitor,</w:t>
            </w:r>
          </w:p>
          <w:p w:rsidR="00282E5E" w:rsidRDefault="00282E5E" w:rsidP="00565621">
            <w:pPr>
              <w:rPr>
                <w:rFonts w:ascii="Arial Narrow" w:hAnsi="Arial Narrow"/>
                <w:sz w:val="20"/>
              </w:rPr>
            </w:pPr>
          </w:p>
          <w:p w:rsidR="00282E5E" w:rsidRDefault="00282E5E" w:rsidP="00565621">
            <w:pPr>
              <w:rPr>
                <w:rFonts w:ascii="Arial Narrow" w:hAnsi="Arial Narrow"/>
                <w:sz w:val="20"/>
              </w:rPr>
            </w:pPr>
            <w:r>
              <w:rPr>
                <w:rFonts w:ascii="Arial Narrow" w:hAnsi="Arial Narrow"/>
                <w:sz w:val="20"/>
              </w:rPr>
              <w:t>AND</w:t>
            </w:r>
          </w:p>
          <w:p w:rsidR="00282E5E" w:rsidRPr="002341E7" w:rsidRDefault="00282E5E" w:rsidP="00565621">
            <w:pPr>
              <w:rPr>
                <w:rFonts w:ascii="Arial Narrow" w:hAnsi="Arial Narrow"/>
                <w:sz w:val="20"/>
              </w:rPr>
            </w:pPr>
          </w:p>
          <w:p w:rsidR="00282E5E" w:rsidRDefault="00282E5E" w:rsidP="00565621">
            <w:pPr>
              <w:rPr>
                <w:rFonts w:ascii="Arial Narrow" w:hAnsi="Arial Narrow"/>
                <w:sz w:val="20"/>
              </w:rPr>
            </w:pPr>
            <w:r w:rsidRPr="00880C13">
              <w:rPr>
                <w:rFonts w:ascii="Arial Narrow" w:hAnsi="Arial Narrow"/>
                <w:strike/>
                <w:sz w:val="20"/>
              </w:rPr>
              <w:t xml:space="preserve">A </w:t>
            </w:r>
            <w:proofErr w:type="spellStart"/>
            <w:r w:rsidRPr="00880C13">
              <w:rPr>
                <w:rFonts w:ascii="Arial Narrow" w:hAnsi="Arial Narrow"/>
                <w:i/>
                <w:strike/>
                <w:sz w:val="20"/>
              </w:rPr>
              <w:t>p</w:t>
            </w:r>
            <w:r w:rsidRPr="00880C13">
              <w:rPr>
                <w:rFonts w:ascii="Arial Narrow" w:hAnsi="Arial Narrow"/>
                <w:i/>
                <w:sz w:val="20"/>
              </w:rPr>
              <w:t>Patient</w:t>
            </w:r>
            <w:proofErr w:type="spellEnd"/>
            <w:r w:rsidRPr="004E649F">
              <w:rPr>
                <w:rFonts w:ascii="Arial Narrow" w:hAnsi="Arial Narrow"/>
                <w:sz w:val="20"/>
              </w:rPr>
              <w:t xml:space="preserve"> must have, or have had, an HbA1c measurement greater than 7% prior to the initiation of</w:t>
            </w:r>
            <w:r>
              <w:rPr>
                <w:rFonts w:ascii="Arial Narrow" w:hAnsi="Arial Narrow"/>
                <w:i/>
                <w:sz w:val="20"/>
              </w:rPr>
              <w:t xml:space="preserve"> triple oral therapy with a dipeptidyl peptidase 4 inhibitor (gliptin) and</w:t>
            </w:r>
            <w:r w:rsidRPr="004E649F">
              <w:rPr>
                <w:rFonts w:ascii="Arial Narrow" w:hAnsi="Arial Narrow"/>
                <w:sz w:val="20"/>
              </w:rPr>
              <w:t xml:space="preserve"> a sodium</w:t>
            </w:r>
            <w:r w:rsidRPr="004E649F">
              <w:rPr>
                <w:rFonts w:ascii="Arial Narrow" w:hAnsi="Arial Narrow"/>
                <w:sz w:val="20"/>
              </w:rPr>
              <w:noBreakHyphen/>
              <w:t>glucose co</w:t>
            </w:r>
            <w:r w:rsidRPr="004E649F">
              <w:rPr>
                <w:rFonts w:ascii="Arial Narrow" w:hAnsi="Arial Narrow"/>
                <w:sz w:val="20"/>
              </w:rPr>
              <w:noBreakHyphen/>
              <w:t xml:space="preserve">transporter 2 (SGLT2) inhibitor </w:t>
            </w:r>
            <w:r w:rsidRPr="006C3ED8">
              <w:rPr>
                <w:rFonts w:ascii="Arial Narrow" w:hAnsi="Arial Narrow"/>
                <w:strike/>
                <w:sz w:val="20"/>
              </w:rPr>
              <w:t xml:space="preserve">despite treatment with the </w:t>
            </w:r>
            <w:r w:rsidRPr="0045449D">
              <w:rPr>
                <w:rFonts w:ascii="Arial Narrow" w:hAnsi="Arial Narrow"/>
                <w:strike/>
                <w:sz w:val="20"/>
              </w:rPr>
              <w:t>maximally  tolerated</w:t>
            </w:r>
            <w:r w:rsidRPr="006C3ED8">
              <w:rPr>
                <w:rFonts w:ascii="Arial Narrow" w:hAnsi="Arial Narrow"/>
                <w:strike/>
                <w:sz w:val="20"/>
              </w:rPr>
              <w:t xml:space="preserve"> </w:t>
            </w:r>
            <w:r w:rsidRPr="0045449D">
              <w:rPr>
                <w:rFonts w:ascii="Arial Narrow" w:hAnsi="Arial Narrow"/>
                <w:strike/>
                <w:sz w:val="20"/>
              </w:rPr>
              <w:t>metformin and a dipeptidyl peptidase 4 (DPP4) inhibitor</w:t>
            </w:r>
            <w:r w:rsidRPr="004E649F">
              <w:rPr>
                <w:rFonts w:ascii="Arial Narrow" w:hAnsi="Arial Narrow"/>
                <w:sz w:val="20"/>
              </w:rPr>
              <w:t xml:space="preserve">, </w:t>
            </w:r>
          </w:p>
          <w:p w:rsidR="00282E5E" w:rsidRDefault="00282E5E" w:rsidP="00565621">
            <w:pPr>
              <w:rPr>
                <w:rFonts w:ascii="Arial Narrow" w:hAnsi="Arial Narrow"/>
                <w:sz w:val="20"/>
              </w:rPr>
            </w:pPr>
          </w:p>
          <w:p w:rsidR="00282E5E" w:rsidRPr="004E649F" w:rsidRDefault="00282E5E" w:rsidP="00565621">
            <w:pPr>
              <w:rPr>
                <w:rFonts w:ascii="Arial Narrow" w:hAnsi="Arial Narrow"/>
                <w:sz w:val="20"/>
              </w:rPr>
            </w:pPr>
            <w:r w:rsidRPr="00880C13">
              <w:rPr>
                <w:rFonts w:ascii="Arial Narrow" w:hAnsi="Arial Narrow"/>
                <w:i/>
                <w:sz w:val="20"/>
              </w:rPr>
              <w:t>OR</w:t>
            </w:r>
          </w:p>
          <w:p w:rsidR="00282E5E" w:rsidRPr="004E649F" w:rsidRDefault="00282E5E" w:rsidP="00565621">
            <w:pPr>
              <w:rPr>
                <w:rFonts w:ascii="Arial Narrow" w:hAnsi="Arial Narrow"/>
                <w:sz w:val="20"/>
              </w:rPr>
            </w:pPr>
          </w:p>
          <w:p w:rsidR="00282E5E" w:rsidRPr="004E649F" w:rsidRDefault="00282E5E" w:rsidP="00565621">
            <w:pPr>
              <w:rPr>
                <w:rFonts w:ascii="Arial Narrow" w:hAnsi="Arial Narrow"/>
                <w:sz w:val="20"/>
              </w:rPr>
            </w:pPr>
            <w:r w:rsidRPr="004E649F">
              <w:rPr>
                <w:rFonts w:ascii="Arial Narrow" w:hAnsi="Arial Narrow"/>
                <w:strike/>
                <w:sz w:val="20"/>
              </w:rPr>
              <w:t xml:space="preserve">A </w:t>
            </w:r>
            <w:proofErr w:type="spellStart"/>
            <w:r w:rsidRPr="004E649F">
              <w:rPr>
                <w:rFonts w:ascii="Arial Narrow" w:hAnsi="Arial Narrow"/>
                <w:i/>
                <w:strike/>
                <w:sz w:val="20"/>
              </w:rPr>
              <w:t>p</w:t>
            </w:r>
            <w:r w:rsidRPr="004E649F">
              <w:rPr>
                <w:rFonts w:ascii="Arial Narrow" w:hAnsi="Arial Narrow"/>
                <w:i/>
                <w:sz w:val="20"/>
              </w:rPr>
              <w:t>Patient</w:t>
            </w:r>
            <w:proofErr w:type="spellEnd"/>
            <w:r w:rsidRPr="004E649F">
              <w:rPr>
                <w:rFonts w:ascii="Arial Narrow" w:hAnsi="Arial Narrow"/>
                <w:sz w:val="20"/>
              </w:rPr>
              <w:t xml:space="preserve"> must have, or have had, where HbA1c measurement is clinically inappropriate, blood glucose levels greater than 10 </w:t>
            </w:r>
            <w:proofErr w:type="spellStart"/>
            <w:r w:rsidRPr="004E649F">
              <w:rPr>
                <w:rFonts w:ascii="Arial Narrow" w:hAnsi="Arial Narrow"/>
                <w:sz w:val="20"/>
              </w:rPr>
              <w:t>mmol</w:t>
            </w:r>
            <w:proofErr w:type="spellEnd"/>
            <w:r w:rsidRPr="004E649F">
              <w:rPr>
                <w:rFonts w:ascii="Arial Narrow" w:hAnsi="Arial Narrow"/>
                <w:sz w:val="20"/>
              </w:rPr>
              <w:t xml:space="preserve"> per L in more than 20% of tests over a 2 week period prior to initiation </w:t>
            </w:r>
            <w:r w:rsidRPr="006C3ED8">
              <w:rPr>
                <w:rFonts w:ascii="Arial Narrow" w:hAnsi="Arial Narrow"/>
                <w:i/>
                <w:sz w:val="20"/>
              </w:rPr>
              <w:t>of triple oral therapy with a gliptin, and</w:t>
            </w:r>
            <w:r>
              <w:rPr>
                <w:rFonts w:ascii="Arial Narrow" w:hAnsi="Arial Narrow"/>
                <w:sz w:val="20"/>
              </w:rPr>
              <w:t xml:space="preserve"> </w:t>
            </w:r>
            <w:r w:rsidRPr="006C3ED8">
              <w:rPr>
                <w:rFonts w:ascii="Arial Narrow" w:hAnsi="Arial Narrow"/>
                <w:strike/>
                <w:sz w:val="20"/>
              </w:rPr>
              <w:t xml:space="preserve">with </w:t>
            </w:r>
            <w:r w:rsidRPr="006C3ED8">
              <w:rPr>
                <w:rFonts w:ascii="Arial Narrow" w:hAnsi="Arial Narrow"/>
                <w:i/>
                <w:strike/>
                <w:sz w:val="20"/>
              </w:rPr>
              <w:t xml:space="preserve">a dipeptidyl peptidase 4 inhibitor (gliptin), </w:t>
            </w:r>
            <w:r w:rsidRPr="0045449D">
              <w:rPr>
                <w:rFonts w:ascii="Arial Narrow" w:hAnsi="Arial Narrow"/>
                <w:i/>
                <w:strike/>
                <w:sz w:val="20"/>
              </w:rPr>
              <w:t xml:space="preserve">a </w:t>
            </w:r>
            <w:proofErr w:type="spellStart"/>
            <w:r w:rsidRPr="0045449D">
              <w:rPr>
                <w:rFonts w:ascii="Arial Narrow" w:hAnsi="Arial Narrow"/>
                <w:i/>
                <w:strike/>
                <w:sz w:val="20"/>
              </w:rPr>
              <w:t>glitazone</w:t>
            </w:r>
            <w:proofErr w:type="spellEnd"/>
            <w:r w:rsidRPr="0045449D">
              <w:rPr>
                <w:rFonts w:ascii="Arial Narrow" w:hAnsi="Arial Narrow"/>
                <w:i/>
                <w:strike/>
                <w:sz w:val="20"/>
              </w:rPr>
              <w:t>, a glucagon-like peptide-1</w:t>
            </w:r>
            <w:r w:rsidRPr="006C3ED8">
              <w:rPr>
                <w:rFonts w:ascii="Arial Narrow" w:hAnsi="Arial Narrow"/>
                <w:i/>
                <w:strike/>
                <w:sz w:val="20"/>
              </w:rPr>
              <w:t xml:space="preserve"> or</w:t>
            </w:r>
            <w:r>
              <w:rPr>
                <w:rFonts w:ascii="Arial Narrow" w:hAnsi="Arial Narrow"/>
                <w:i/>
                <w:sz w:val="20"/>
              </w:rPr>
              <w:t xml:space="preserve"> </w:t>
            </w:r>
            <w:r w:rsidRPr="00880C13">
              <w:rPr>
                <w:rFonts w:ascii="Arial Narrow" w:hAnsi="Arial Narrow"/>
                <w:sz w:val="20"/>
              </w:rPr>
              <w:t>an SGLT2 inhibitor</w:t>
            </w:r>
            <w:r w:rsidRPr="00CC0D5B">
              <w:rPr>
                <w:rFonts w:ascii="Arial Narrow" w:hAnsi="Arial Narrow"/>
                <w:strike/>
                <w:sz w:val="20"/>
              </w:rPr>
              <w:t>, despite treatment with the maximally</w:t>
            </w:r>
            <w:r w:rsidRPr="00722474">
              <w:rPr>
                <w:rFonts w:ascii="Arial Narrow" w:hAnsi="Arial Narrow"/>
                <w:strike/>
                <w:sz w:val="20"/>
              </w:rPr>
              <w:t xml:space="preserve"> </w:t>
            </w:r>
            <w:proofErr w:type="spellStart"/>
            <w:r w:rsidRPr="00722474">
              <w:rPr>
                <w:rFonts w:ascii="Arial Narrow" w:hAnsi="Arial Narrow"/>
                <w:strike/>
                <w:sz w:val="20"/>
              </w:rPr>
              <w:t>tolerated</w:t>
            </w:r>
            <w:r>
              <w:rPr>
                <w:rFonts w:ascii="Arial Narrow" w:hAnsi="Arial Narrow"/>
                <w:sz w:val="20"/>
              </w:rPr>
              <w:t>.</w:t>
            </w:r>
            <w:r w:rsidRPr="008A56E6">
              <w:rPr>
                <w:rFonts w:ascii="Arial Narrow" w:hAnsi="Arial Narrow"/>
                <w:strike/>
                <w:sz w:val="20"/>
              </w:rPr>
              <w:t>of</w:t>
            </w:r>
            <w:proofErr w:type="spellEnd"/>
            <w:r w:rsidRPr="008A56E6">
              <w:rPr>
                <w:rFonts w:ascii="Arial Narrow" w:hAnsi="Arial Narrow"/>
                <w:strike/>
                <w:sz w:val="20"/>
              </w:rPr>
              <w:t xml:space="preserve"> </w:t>
            </w:r>
            <w:r w:rsidRPr="00045F98">
              <w:rPr>
                <w:rFonts w:ascii="Arial Narrow" w:hAnsi="Arial Narrow"/>
                <w:strike/>
                <w:sz w:val="20"/>
              </w:rPr>
              <w:t>metformin and a DPP4</w:t>
            </w:r>
            <w:r w:rsidRPr="004E649F">
              <w:rPr>
                <w:rFonts w:ascii="Arial Narrow" w:hAnsi="Arial Narrow"/>
                <w:sz w:val="20"/>
              </w:rPr>
              <w:t>.</w:t>
            </w:r>
          </w:p>
          <w:p w:rsidR="00282E5E" w:rsidRDefault="00282E5E" w:rsidP="00565621">
            <w:pPr>
              <w:rPr>
                <w:rFonts w:ascii="Arial Narrow" w:hAnsi="Arial Narrow"/>
                <w:sz w:val="20"/>
              </w:rPr>
            </w:pPr>
          </w:p>
          <w:p w:rsidR="00282E5E" w:rsidRPr="004E649F" w:rsidRDefault="00282E5E" w:rsidP="00565621">
            <w:pPr>
              <w:rPr>
                <w:rFonts w:ascii="Arial Narrow" w:hAnsi="Arial Narrow"/>
                <w:sz w:val="20"/>
              </w:rPr>
            </w:pPr>
          </w:p>
        </w:tc>
      </w:tr>
      <w:tr w:rsidR="00282E5E" w:rsidRPr="00260CE3" w:rsidTr="0056562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2E5E" w:rsidRPr="00260CE3" w:rsidRDefault="00282E5E" w:rsidP="00565621">
            <w:pPr>
              <w:rPr>
                <w:rFonts w:ascii="Arial Narrow" w:hAnsi="Arial Narrow"/>
                <w:b/>
                <w:sz w:val="20"/>
              </w:rPr>
            </w:pPr>
            <w:r w:rsidRPr="00260CE3">
              <w:rPr>
                <w:rFonts w:ascii="Arial Narrow" w:hAnsi="Arial Narrow"/>
                <w:b/>
                <w:sz w:val="20"/>
              </w:rPr>
              <w:lastRenderedPageBreak/>
              <w:t>Prescriber Instructions</w:t>
            </w:r>
          </w:p>
          <w:p w:rsidR="00282E5E" w:rsidRPr="00260CE3" w:rsidRDefault="00282E5E" w:rsidP="00565621">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2E5E" w:rsidRPr="004E649F" w:rsidRDefault="00282E5E" w:rsidP="00565621">
            <w:pPr>
              <w:rPr>
                <w:rFonts w:ascii="Arial Narrow" w:hAnsi="Arial Narrow"/>
                <w:sz w:val="20"/>
              </w:rPr>
            </w:pPr>
            <w:r w:rsidRPr="004E649F">
              <w:rPr>
                <w:rFonts w:ascii="Arial Narrow" w:hAnsi="Arial Narrow"/>
                <w:sz w:val="20"/>
              </w:rPr>
              <w:t xml:space="preserve">The date and level of the qualifying HbA1c measurement must be, or must have been, documented in the patient's medical records at the time </w:t>
            </w:r>
            <w:r w:rsidRPr="006C3ED8">
              <w:rPr>
                <w:rFonts w:ascii="Arial Narrow" w:hAnsi="Arial Narrow"/>
                <w:strike/>
                <w:sz w:val="20"/>
              </w:rPr>
              <w:t>treatment</w:t>
            </w:r>
            <w:r w:rsidRPr="004E649F">
              <w:rPr>
                <w:rFonts w:ascii="Arial Narrow" w:hAnsi="Arial Narrow"/>
                <w:sz w:val="20"/>
              </w:rPr>
              <w:t xml:space="preserve"> </w:t>
            </w:r>
            <w:r>
              <w:rPr>
                <w:rFonts w:ascii="Arial Narrow" w:hAnsi="Arial Narrow"/>
                <w:i/>
                <w:sz w:val="20"/>
              </w:rPr>
              <w:t xml:space="preserve">triple oral therapy </w:t>
            </w:r>
            <w:r w:rsidRPr="004E649F">
              <w:rPr>
                <w:rFonts w:ascii="Arial Narrow" w:hAnsi="Arial Narrow"/>
                <w:sz w:val="20"/>
              </w:rPr>
              <w:t>with</w:t>
            </w:r>
            <w:r>
              <w:rPr>
                <w:rFonts w:ascii="Arial Narrow" w:hAnsi="Arial Narrow"/>
                <w:sz w:val="20"/>
              </w:rPr>
              <w:t xml:space="preserve"> </w:t>
            </w:r>
            <w:r>
              <w:rPr>
                <w:rFonts w:ascii="Arial Narrow" w:hAnsi="Arial Narrow"/>
                <w:i/>
                <w:sz w:val="20"/>
              </w:rPr>
              <w:t>a gliptin and</w:t>
            </w:r>
            <w:r w:rsidRPr="004E649F">
              <w:rPr>
                <w:rFonts w:ascii="Arial Narrow" w:hAnsi="Arial Narrow"/>
                <w:sz w:val="20"/>
              </w:rPr>
              <w:t xml:space="preserve"> an </w:t>
            </w:r>
            <w:r w:rsidRPr="00880C13">
              <w:rPr>
                <w:rFonts w:ascii="Arial Narrow" w:hAnsi="Arial Narrow"/>
                <w:sz w:val="20"/>
              </w:rPr>
              <w:t>SGLT2 inhibitor is initiated</w:t>
            </w:r>
            <w:r w:rsidRPr="004E649F">
              <w:rPr>
                <w:rFonts w:ascii="Arial Narrow" w:hAnsi="Arial Narrow"/>
                <w:sz w:val="20"/>
              </w:rPr>
              <w:t>.</w:t>
            </w:r>
          </w:p>
          <w:p w:rsidR="00282E5E" w:rsidRPr="004E649F" w:rsidRDefault="00282E5E" w:rsidP="00565621">
            <w:pPr>
              <w:rPr>
                <w:rFonts w:ascii="Arial Narrow" w:hAnsi="Arial Narrow"/>
                <w:sz w:val="20"/>
              </w:rPr>
            </w:pPr>
          </w:p>
          <w:p w:rsidR="00282E5E" w:rsidRPr="004E649F" w:rsidRDefault="00282E5E" w:rsidP="00565621">
            <w:pPr>
              <w:rPr>
                <w:rFonts w:ascii="Arial Narrow" w:hAnsi="Arial Narrow"/>
                <w:sz w:val="20"/>
              </w:rPr>
            </w:pPr>
            <w:r w:rsidRPr="004E649F">
              <w:rPr>
                <w:rFonts w:ascii="Arial Narrow" w:hAnsi="Arial Narrow"/>
                <w:sz w:val="20"/>
              </w:rPr>
              <w:t xml:space="preserve">The HbA1c must be no more than 4 months old at the time </w:t>
            </w:r>
            <w:r w:rsidRPr="006C3ED8">
              <w:rPr>
                <w:rFonts w:ascii="Arial Narrow" w:hAnsi="Arial Narrow"/>
                <w:strike/>
                <w:sz w:val="20"/>
              </w:rPr>
              <w:t>treatment with an SGLT2 inhibitor</w:t>
            </w:r>
            <w:r w:rsidRPr="006C3ED8">
              <w:rPr>
                <w:rFonts w:ascii="Arial Narrow" w:hAnsi="Arial Narrow"/>
                <w:i/>
                <w:sz w:val="20"/>
              </w:rPr>
              <w:t xml:space="preserve"> triple oral therapy with a gliptin and a SGLT2 inhibitor </w:t>
            </w:r>
            <w:r w:rsidRPr="00880C13">
              <w:rPr>
                <w:rFonts w:ascii="Arial Narrow" w:hAnsi="Arial Narrow"/>
                <w:sz w:val="20"/>
              </w:rPr>
              <w:t>was initiated.</w:t>
            </w:r>
            <w:r w:rsidRPr="004E649F">
              <w:rPr>
                <w:rFonts w:ascii="Arial Narrow" w:hAnsi="Arial Narrow"/>
                <w:sz w:val="20"/>
              </w:rPr>
              <w:t xml:space="preserve"> </w:t>
            </w:r>
          </w:p>
          <w:p w:rsidR="00282E5E" w:rsidRPr="004E649F" w:rsidRDefault="00282E5E" w:rsidP="00565621">
            <w:pPr>
              <w:rPr>
                <w:rFonts w:ascii="Arial Narrow" w:hAnsi="Arial Narrow"/>
                <w:sz w:val="20"/>
              </w:rPr>
            </w:pPr>
          </w:p>
          <w:p w:rsidR="00282E5E" w:rsidRPr="004E649F" w:rsidRDefault="00282E5E" w:rsidP="00565621">
            <w:pPr>
              <w:rPr>
                <w:rFonts w:ascii="Arial Narrow" w:hAnsi="Arial Narrow"/>
                <w:sz w:val="20"/>
              </w:rPr>
            </w:pPr>
            <w:r w:rsidRPr="004E649F">
              <w:rPr>
                <w:rFonts w:ascii="Arial Narrow" w:hAnsi="Arial Narrow"/>
                <w:sz w:val="20"/>
              </w:rPr>
              <w:t>Blood glucose monitoring may be used as an alternative assessment to HbA1c levels in the following circumstances:</w:t>
            </w:r>
          </w:p>
          <w:p w:rsidR="00282E5E" w:rsidRPr="004E649F" w:rsidRDefault="00282E5E" w:rsidP="00565621">
            <w:pPr>
              <w:rPr>
                <w:rFonts w:ascii="Arial Narrow" w:hAnsi="Arial Narrow"/>
                <w:sz w:val="20"/>
              </w:rPr>
            </w:pPr>
          </w:p>
          <w:p w:rsidR="00282E5E" w:rsidRPr="004E649F" w:rsidRDefault="00282E5E" w:rsidP="00282E5E">
            <w:pPr>
              <w:widowControl/>
              <w:numPr>
                <w:ilvl w:val="0"/>
                <w:numId w:val="33"/>
              </w:numPr>
              <w:ind w:left="459" w:hanging="283"/>
              <w:rPr>
                <w:rFonts w:ascii="Arial Narrow" w:hAnsi="Arial Narrow"/>
                <w:sz w:val="20"/>
              </w:rPr>
            </w:pPr>
            <w:r w:rsidRPr="004E649F">
              <w:rPr>
                <w:rFonts w:ascii="Arial Narrow" w:hAnsi="Arial Narrow"/>
                <w:sz w:val="20"/>
              </w:rPr>
              <w:t xml:space="preserve">A clinical condition with reduced red blood cell survival, including haemolytic anaemias and </w:t>
            </w:r>
            <w:proofErr w:type="spellStart"/>
            <w:r w:rsidRPr="004E649F">
              <w:rPr>
                <w:rFonts w:ascii="Arial Narrow" w:hAnsi="Arial Narrow"/>
                <w:sz w:val="20"/>
              </w:rPr>
              <w:t>haemoglobinopathies</w:t>
            </w:r>
            <w:proofErr w:type="spellEnd"/>
            <w:r w:rsidRPr="004E649F">
              <w:rPr>
                <w:rFonts w:ascii="Arial Narrow" w:hAnsi="Arial Narrow"/>
                <w:sz w:val="20"/>
              </w:rPr>
              <w:t>; and/or</w:t>
            </w:r>
          </w:p>
          <w:p w:rsidR="00282E5E" w:rsidRPr="004E649F" w:rsidRDefault="00282E5E" w:rsidP="00282E5E">
            <w:pPr>
              <w:widowControl/>
              <w:numPr>
                <w:ilvl w:val="0"/>
                <w:numId w:val="33"/>
              </w:numPr>
              <w:ind w:left="459" w:hanging="283"/>
              <w:rPr>
                <w:rFonts w:ascii="Arial Narrow" w:hAnsi="Arial Narrow"/>
                <w:sz w:val="20"/>
              </w:rPr>
            </w:pPr>
            <w:r w:rsidRPr="004E649F">
              <w:rPr>
                <w:rFonts w:ascii="Arial Narrow" w:hAnsi="Arial Narrow"/>
                <w:sz w:val="20"/>
              </w:rPr>
              <w:t>Had red cell transfusion within the previous 3 months</w:t>
            </w:r>
          </w:p>
          <w:p w:rsidR="00282E5E" w:rsidRPr="004E649F" w:rsidRDefault="00282E5E" w:rsidP="00565621">
            <w:pPr>
              <w:rPr>
                <w:rFonts w:ascii="Arial Narrow" w:hAnsi="Arial Narrow"/>
                <w:sz w:val="20"/>
              </w:rPr>
            </w:pPr>
          </w:p>
          <w:p w:rsidR="00282E5E" w:rsidRDefault="00282E5E" w:rsidP="00565621">
            <w:pPr>
              <w:rPr>
                <w:rFonts w:ascii="Arial Narrow" w:hAnsi="Arial Narrow"/>
                <w:sz w:val="20"/>
              </w:rPr>
            </w:pPr>
            <w:r w:rsidRPr="004E649F">
              <w:rPr>
                <w:rFonts w:ascii="Arial Narrow" w:hAnsi="Arial Narrow"/>
                <w:sz w:val="20"/>
              </w:rPr>
              <w:t xml:space="preserve">The results of the blood glucose monitoring, which must be no more than 4 months old at the time of initiation of </w:t>
            </w:r>
            <w:r w:rsidRPr="006C3ED8">
              <w:rPr>
                <w:rFonts w:ascii="Arial Narrow" w:hAnsi="Arial Narrow"/>
                <w:strike/>
                <w:sz w:val="20"/>
              </w:rPr>
              <w:t>treatment with an SGLT2 inhibitor</w:t>
            </w:r>
            <w:r>
              <w:rPr>
                <w:rFonts w:ascii="Arial Narrow" w:hAnsi="Arial Narrow"/>
                <w:strike/>
                <w:sz w:val="20"/>
              </w:rPr>
              <w:t xml:space="preserve"> </w:t>
            </w:r>
            <w:r>
              <w:rPr>
                <w:rFonts w:ascii="Arial Narrow" w:hAnsi="Arial Narrow"/>
                <w:i/>
                <w:sz w:val="20"/>
              </w:rPr>
              <w:t>triple oral therapy with a gliptin and an SGLT2 inhibitor</w:t>
            </w:r>
            <w:r w:rsidRPr="004E649F">
              <w:rPr>
                <w:rFonts w:ascii="Arial Narrow" w:hAnsi="Arial Narrow"/>
                <w:sz w:val="20"/>
              </w:rPr>
              <w:t>, must be documented in the patient's medical records.</w:t>
            </w:r>
          </w:p>
          <w:p w:rsidR="00282E5E" w:rsidRDefault="00282E5E" w:rsidP="00565621">
            <w:pPr>
              <w:rPr>
                <w:rFonts w:ascii="Arial Narrow" w:hAnsi="Arial Narrow"/>
                <w:sz w:val="20"/>
              </w:rPr>
            </w:pPr>
          </w:p>
          <w:p w:rsidR="00282E5E" w:rsidRPr="00822948" w:rsidRDefault="00282E5E" w:rsidP="00565621">
            <w:pPr>
              <w:rPr>
                <w:rFonts w:ascii="Arial Narrow" w:hAnsi="Arial Narrow"/>
                <w:sz w:val="20"/>
              </w:rPr>
            </w:pPr>
            <w:r w:rsidRPr="00822948">
              <w:rPr>
                <w:rFonts w:ascii="Arial Narrow" w:hAnsi="Arial Narrow"/>
                <w:sz w:val="20"/>
              </w:rPr>
              <w:t xml:space="preserve">A patient whose diabetes was previously demonstrated unable to be controlled with metformin </w:t>
            </w:r>
            <w:r w:rsidRPr="007A3C20">
              <w:rPr>
                <w:rFonts w:ascii="Arial Narrow" w:hAnsi="Arial Narrow"/>
                <w:strike/>
                <w:sz w:val="20"/>
              </w:rPr>
              <w:t>or</w:t>
            </w:r>
            <w:r>
              <w:rPr>
                <w:rFonts w:ascii="Arial Narrow" w:hAnsi="Arial Narrow"/>
                <w:sz w:val="20"/>
              </w:rPr>
              <w:t xml:space="preserve"> </w:t>
            </w:r>
            <w:r>
              <w:rPr>
                <w:rFonts w:ascii="Arial Narrow" w:hAnsi="Arial Narrow"/>
                <w:i/>
                <w:sz w:val="20"/>
              </w:rPr>
              <w:t>and</w:t>
            </w:r>
            <w:r w:rsidRPr="00822948">
              <w:rPr>
                <w:rFonts w:ascii="Arial Narrow" w:hAnsi="Arial Narrow"/>
                <w:sz w:val="20"/>
              </w:rPr>
              <w:t xml:space="preserve"> a gliptin</w:t>
            </w:r>
            <w:r>
              <w:rPr>
                <w:rFonts w:ascii="Arial Narrow" w:hAnsi="Arial Narrow"/>
                <w:sz w:val="20"/>
              </w:rPr>
              <w:t xml:space="preserve"> </w:t>
            </w:r>
            <w:r>
              <w:rPr>
                <w:rFonts w:ascii="Arial Narrow" w:hAnsi="Arial Narrow"/>
                <w:i/>
                <w:sz w:val="20"/>
              </w:rPr>
              <w:t>or an SGLT2 inhibitor</w:t>
            </w:r>
            <w:r w:rsidRPr="00822948">
              <w:rPr>
                <w:rFonts w:ascii="Arial Narrow" w:hAnsi="Arial Narrow"/>
                <w:sz w:val="20"/>
              </w:rPr>
              <w:t xml:space="preserve"> does not need to requalify on this criterion before being eligible for PBS-subsidised treatment with this drug.</w:t>
            </w:r>
          </w:p>
          <w:p w:rsidR="00282E5E" w:rsidRPr="004E649F" w:rsidRDefault="00282E5E" w:rsidP="00565621">
            <w:pPr>
              <w:rPr>
                <w:rFonts w:ascii="Arial Narrow" w:hAnsi="Arial Narrow"/>
                <w:sz w:val="20"/>
              </w:rPr>
            </w:pPr>
          </w:p>
        </w:tc>
      </w:tr>
      <w:tr w:rsidR="00282E5E" w:rsidRPr="00260CE3" w:rsidTr="00565621">
        <w:trPr>
          <w:cantSplit/>
          <w:trHeight w:val="360"/>
        </w:trPr>
        <w:tc>
          <w:tcPr>
            <w:tcW w:w="2835" w:type="dxa"/>
            <w:tcBorders>
              <w:top w:val="single" w:sz="4" w:space="0" w:color="auto"/>
              <w:left w:val="single" w:sz="4" w:space="0" w:color="auto"/>
              <w:bottom w:val="single" w:sz="4" w:space="0" w:color="auto"/>
              <w:right w:val="single" w:sz="4" w:space="0" w:color="auto"/>
            </w:tcBorders>
          </w:tcPr>
          <w:p w:rsidR="00282E5E" w:rsidRPr="00880C13" w:rsidRDefault="00282E5E" w:rsidP="00565621">
            <w:pPr>
              <w:rPr>
                <w:rFonts w:ascii="Arial Narrow" w:hAnsi="Arial Narrow"/>
                <w:sz w:val="20"/>
              </w:rPr>
            </w:pPr>
            <w:r w:rsidRPr="00880C13">
              <w:rPr>
                <w:rFonts w:ascii="Arial Narrow" w:hAnsi="Arial Narrow"/>
                <w:sz w:val="20"/>
              </w:rPr>
              <w:t>Administrative Advice</w:t>
            </w:r>
          </w:p>
          <w:p w:rsidR="00282E5E" w:rsidRPr="00880C13" w:rsidRDefault="00282E5E" w:rsidP="00565621">
            <w:pPr>
              <w:rPr>
                <w:rFonts w:ascii="Arial Narrow" w:hAnsi="Arial Narrow"/>
                <w:sz w:val="20"/>
              </w:rPr>
            </w:pPr>
            <w:r w:rsidRPr="00880C13">
              <w:rPr>
                <w:rFonts w:ascii="Arial Narrow" w:hAnsi="Arial Narrow"/>
                <w:sz w:val="20"/>
              </w:rPr>
              <w:t>(not included in LI)</w:t>
            </w:r>
          </w:p>
          <w:p w:rsidR="00282E5E" w:rsidRPr="00880C13" w:rsidRDefault="00282E5E" w:rsidP="00565621">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82E5E" w:rsidRPr="00880C13" w:rsidRDefault="00282E5E" w:rsidP="00565621">
            <w:pPr>
              <w:rPr>
                <w:rFonts w:ascii="Arial Narrow" w:hAnsi="Arial Narrow"/>
                <w:i/>
                <w:sz w:val="20"/>
              </w:rPr>
            </w:pPr>
            <w:r w:rsidRPr="00880C13">
              <w:rPr>
                <w:rFonts w:ascii="Arial Narrow" w:hAnsi="Arial Narrow"/>
                <w:i/>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282E5E" w:rsidRPr="00880C13" w:rsidRDefault="00282E5E" w:rsidP="00565621">
            <w:pPr>
              <w:rPr>
                <w:rFonts w:ascii="Arial Narrow" w:hAnsi="Arial Narrow"/>
                <w:sz w:val="20"/>
              </w:rPr>
            </w:pPr>
          </w:p>
          <w:p w:rsidR="00282E5E" w:rsidRPr="00AC67A8" w:rsidRDefault="00282E5E" w:rsidP="00565621">
            <w:pPr>
              <w:rPr>
                <w:rFonts w:ascii="Arial Narrow" w:hAnsi="Arial Narrow"/>
                <w:sz w:val="20"/>
              </w:rPr>
            </w:pPr>
            <w:r w:rsidRPr="00CC0D5B">
              <w:rPr>
                <w:rFonts w:ascii="Arial Narrow" w:hAnsi="Arial Narrow"/>
                <w:sz w:val="20"/>
              </w:rPr>
              <w:t>PBS subsidised dual oral therapy does not include concomitant use of a combination of</w:t>
            </w:r>
            <w:r w:rsidRPr="00C47AD3">
              <w:rPr>
                <w:rFonts w:ascii="Arial Narrow" w:hAnsi="Arial Narrow"/>
                <w:i/>
                <w:sz w:val="20"/>
              </w:rPr>
              <w:t xml:space="preserve">: a gliptin, </w:t>
            </w:r>
            <w:r w:rsidRPr="00CC0D5B">
              <w:rPr>
                <w:rFonts w:ascii="Arial Narrow" w:hAnsi="Arial Narrow"/>
                <w:sz w:val="20"/>
              </w:rPr>
              <w:t xml:space="preserve">a </w:t>
            </w:r>
            <w:proofErr w:type="spellStart"/>
            <w:r w:rsidRPr="00CC0D5B">
              <w:rPr>
                <w:rFonts w:ascii="Arial Narrow" w:hAnsi="Arial Narrow"/>
                <w:sz w:val="20"/>
              </w:rPr>
              <w:t>glitazone</w:t>
            </w:r>
            <w:proofErr w:type="spellEnd"/>
            <w:r w:rsidRPr="00C47AD3">
              <w:rPr>
                <w:rFonts w:ascii="Arial Narrow" w:hAnsi="Arial Narrow"/>
                <w:i/>
                <w:sz w:val="20"/>
              </w:rPr>
              <w:t xml:space="preserve"> or an SGLT2 inhibitor.</w:t>
            </w:r>
          </w:p>
        </w:tc>
      </w:tr>
    </w:tbl>
    <w:p w:rsidR="00282E5E" w:rsidRPr="00763BD0" w:rsidRDefault="00282E5E" w:rsidP="00A600B8">
      <w:pPr>
        <w:pStyle w:val="ESnon-numberedpara"/>
        <w:ind w:left="0"/>
      </w:pPr>
    </w:p>
    <w:p w:rsidR="00137F8D" w:rsidRPr="00763BD0" w:rsidRDefault="00937729"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The restriction was requested on the basis of cost-minimisation against the nominated comparators, insulin glargine </w:t>
      </w:r>
      <w:r w:rsidR="00E376B5">
        <w:rPr>
          <w:rFonts w:asciiTheme="minorHAnsi" w:hAnsiTheme="minorHAnsi"/>
          <w:color w:val="auto"/>
          <w:sz w:val="24"/>
        </w:rPr>
        <w:t xml:space="preserve">in combination with metformin </w:t>
      </w:r>
      <w:r w:rsidRPr="00763BD0">
        <w:rPr>
          <w:rFonts w:asciiTheme="minorHAnsi" w:hAnsiTheme="minorHAnsi"/>
          <w:color w:val="auto"/>
          <w:sz w:val="24"/>
        </w:rPr>
        <w:t xml:space="preserve">and sulfonylurea in triple therapy. </w:t>
      </w:r>
      <w:r w:rsidR="00137F8D" w:rsidRPr="00763BD0">
        <w:rPr>
          <w:rFonts w:asciiTheme="minorHAnsi" w:hAnsiTheme="minorHAnsi"/>
          <w:color w:val="auto"/>
          <w:sz w:val="24"/>
        </w:rPr>
        <w:t xml:space="preserve"> </w:t>
      </w:r>
    </w:p>
    <w:p w:rsidR="00734EF2" w:rsidRDefault="00937729" w:rsidP="009F09BC">
      <w:pPr>
        <w:pStyle w:val="ESnumberedparablue"/>
        <w:numPr>
          <w:ilvl w:val="1"/>
          <w:numId w:val="3"/>
        </w:numPr>
        <w:ind w:left="709" w:hanging="709"/>
        <w:rPr>
          <w:rFonts w:asciiTheme="minorHAnsi" w:hAnsiTheme="minorHAnsi"/>
          <w:color w:val="auto"/>
          <w:sz w:val="24"/>
        </w:rPr>
      </w:pPr>
      <w:proofErr w:type="spellStart"/>
      <w:r w:rsidRPr="00763BD0">
        <w:rPr>
          <w:rFonts w:asciiTheme="minorHAnsi" w:hAnsiTheme="minorHAnsi"/>
          <w:color w:val="auto"/>
          <w:sz w:val="24"/>
        </w:rPr>
        <w:t>Dapagliflozin</w:t>
      </w:r>
      <w:proofErr w:type="spellEnd"/>
      <w:r w:rsidRPr="00763BD0">
        <w:rPr>
          <w:rFonts w:asciiTheme="minorHAnsi" w:hAnsiTheme="minorHAnsi"/>
          <w:color w:val="auto"/>
          <w:sz w:val="24"/>
        </w:rPr>
        <w:t xml:space="preserve"> is administered as one 10 mg tablet, once daily, with treatment ongoing. </w:t>
      </w:r>
    </w:p>
    <w:p w:rsidR="00734EF2" w:rsidRPr="00BD49E0" w:rsidRDefault="006D4948" w:rsidP="009F09BC">
      <w:pPr>
        <w:pStyle w:val="ESnumberedparablue"/>
        <w:numPr>
          <w:ilvl w:val="1"/>
          <w:numId w:val="3"/>
        </w:numPr>
        <w:ind w:left="709" w:hanging="709"/>
        <w:rPr>
          <w:rFonts w:asciiTheme="minorHAnsi" w:hAnsiTheme="minorHAnsi"/>
          <w:color w:val="auto"/>
          <w:sz w:val="24"/>
        </w:rPr>
      </w:pPr>
      <w:r w:rsidRPr="00734EF2">
        <w:rPr>
          <w:rFonts w:asciiTheme="minorHAnsi" w:hAnsiTheme="minorHAnsi"/>
          <w:color w:val="auto"/>
          <w:sz w:val="24"/>
        </w:rPr>
        <w:t xml:space="preserve">The requested restriction is narrower than the TGA indication, and only allows for the use of </w:t>
      </w:r>
      <w:proofErr w:type="spellStart"/>
      <w:r w:rsidRPr="00734EF2">
        <w:rPr>
          <w:rFonts w:asciiTheme="minorHAnsi" w:hAnsiTheme="minorHAnsi"/>
          <w:color w:val="auto"/>
          <w:sz w:val="24"/>
        </w:rPr>
        <w:t>dapagliflozin</w:t>
      </w:r>
      <w:proofErr w:type="spellEnd"/>
      <w:r w:rsidRPr="00734EF2">
        <w:rPr>
          <w:rFonts w:asciiTheme="minorHAnsi" w:hAnsiTheme="minorHAnsi"/>
          <w:color w:val="auto"/>
          <w:sz w:val="24"/>
        </w:rPr>
        <w:t xml:space="preserve"> as a sequential add-on therapy for patients already receiving dual therapy with metformin and a DPP4 inhibitor.</w:t>
      </w:r>
      <w:r w:rsidR="00734EF2" w:rsidRPr="009F09BC">
        <w:rPr>
          <w:rFonts w:asciiTheme="minorHAnsi" w:hAnsiTheme="minorHAnsi"/>
          <w:color w:val="auto"/>
          <w:sz w:val="24"/>
        </w:rPr>
        <w:t xml:space="preserve"> </w:t>
      </w:r>
    </w:p>
    <w:p w:rsidR="006D4948" w:rsidRPr="00E376B5" w:rsidDel="005C5C3C" w:rsidRDefault="008B5B0B" w:rsidP="00E376B5">
      <w:pPr>
        <w:pStyle w:val="ESnumberedparablue"/>
        <w:numPr>
          <w:ilvl w:val="1"/>
          <w:numId w:val="3"/>
        </w:numPr>
        <w:ind w:left="709" w:hanging="709"/>
        <w:rPr>
          <w:rFonts w:asciiTheme="minorHAnsi" w:hAnsiTheme="minorHAnsi"/>
          <w:color w:val="auto"/>
          <w:sz w:val="24"/>
        </w:rPr>
      </w:pPr>
      <w:r w:rsidRPr="002531DF" w:rsidDel="005C5C3C">
        <w:rPr>
          <w:rFonts w:asciiTheme="minorHAnsi" w:hAnsiTheme="minorHAnsi"/>
          <w:color w:val="auto"/>
          <w:sz w:val="24"/>
        </w:rPr>
        <w:t xml:space="preserve">The Pre-Sub-Committee </w:t>
      </w:r>
      <w:r w:rsidR="005F6004" w:rsidRPr="002531DF" w:rsidDel="005C5C3C">
        <w:rPr>
          <w:rFonts w:asciiTheme="minorHAnsi" w:hAnsiTheme="minorHAnsi"/>
          <w:color w:val="auto"/>
          <w:sz w:val="24"/>
        </w:rPr>
        <w:t>R</w:t>
      </w:r>
      <w:r w:rsidRPr="002531DF" w:rsidDel="005C5C3C">
        <w:rPr>
          <w:rFonts w:asciiTheme="minorHAnsi" w:hAnsiTheme="minorHAnsi"/>
          <w:color w:val="auto"/>
          <w:sz w:val="24"/>
        </w:rPr>
        <w:t>esponse (PSCR</w:t>
      </w:r>
      <w:r w:rsidR="003B7D14" w:rsidRPr="002531DF" w:rsidDel="005C5C3C">
        <w:rPr>
          <w:rFonts w:asciiTheme="minorHAnsi" w:hAnsiTheme="minorHAnsi"/>
          <w:color w:val="auto"/>
          <w:sz w:val="24"/>
        </w:rPr>
        <w:t xml:space="preserve">, </w:t>
      </w:r>
      <w:proofErr w:type="spellStart"/>
      <w:r w:rsidR="003B7D14" w:rsidRPr="002531DF" w:rsidDel="005C5C3C">
        <w:rPr>
          <w:rFonts w:asciiTheme="minorHAnsi" w:hAnsiTheme="minorHAnsi"/>
          <w:color w:val="auto"/>
          <w:sz w:val="24"/>
        </w:rPr>
        <w:t>pg</w:t>
      </w:r>
      <w:proofErr w:type="spellEnd"/>
      <w:r w:rsidR="003B7D14" w:rsidRPr="002531DF" w:rsidDel="005C5C3C">
        <w:rPr>
          <w:rFonts w:asciiTheme="minorHAnsi" w:hAnsiTheme="minorHAnsi"/>
          <w:color w:val="auto"/>
          <w:sz w:val="24"/>
        </w:rPr>
        <w:t xml:space="preserve"> 1</w:t>
      </w:r>
      <w:r w:rsidRPr="002531DF" w:rsidDel="005C5C3C">
        <w:rPr>
          <w:rFonts w:asciiTheme="minorHAnsi" w:hAnsiTheme="minorHAnsi"/>
          <w:color w:val="auto"/>
          <w:sz w:val="24"/>
        </w:rPr>
        <w:t xml:space="preserve">) argued that the restriction is appropriate because it is consistent with </w:t>
      </w:r>
      <w:r w:rsidR="00EA3E6C" w:rsidRPr="002531DF" w:rsidDel="005C5C3C">
        <w:rPr>
          <w:rFonts w:asciiTheme="minorHAnsi" w:hAnsiTheme="minorHAnsi"/>
          <w:color w:val="auto"/>
          <w:sz w:val="24"/>
        </w:rPr>
        <w:t>treatment g</w:t>
      </w:r>
      <w:r w:rsidRPr="002531DF" w:rsidDel="005C5C3C">
        <w:rPr>
          <w:rFonts w:asciiTheme="minorHAnsi" w:hAnsiTheme="minorHAnsi"/>
          <w:color w:val="auto"/>
          <w:sz w:val="24"/>
        </w:rPr>
        <w:t xml:space="preserve">uidelines and clinical practice as both DPP4 and </w:t>
      </w:r>
      <w:r w:rsidR="00E541B0" w:rsidRPr="002531DF" w:rsidDel="005C5C3C">
        <w:rPr>
          <w:rFonts w:asciiTheme="minorHAnsi" w:hAnsiTheme="minorHAnsi"/>
          <w:color w:val="auto"/>
          <w:sz w:val="24"/>
        </w:rPr>
        <w:t>sodium-glucose co-transporter-2 (</w:t>
      </w:r>
      <w:r w:rsidRPr="002531DF" w:rsidDel="005C5C3C">
        <w:rPr>
          <w:rFonts w:asciiTheme="minorHAnsi" w:hAnsiTheme="minorHAnsi"/>
          <w:color w:val="auto"/>
          <w:sz w:val="24"/>
        </w:rPr>
        <w:t>SGLT2</w:t>
      </w:r>
      <w:r w:rsidR="00E541B0" w:rsidRPr="002531DF" w:rsidDel="005C5C3C">
        <w:rPr>
          <w:rFonts w:asciiTheme="minorHAnsi" w:hAnsiTheme="minorHAnsi"/>
          <w:color w:val="auto"/>
          <w:sz w:val="24"/>
        </w:rPr>
        <w:t>)</w:t>
      </w:r>
      <w:r w:rsidRPr="002531DF" w:rsidDel="005C5C3C">
        <w:rPr>
          <w:rFonts w:asciiTheme="minorHAnsi" w:hAnsiTheme="minorHAnsi"/>
          <w:color w:val="auto"/>
          <w:sz w:val="24"/>
        </w:rPr>
        <w:t xml:space="preserve"> </w:t>
      </w:r>
      <w:r w:rsidR="00CC2862" w:rsidRPr="002531DF" w:rsidDel="005C5C3C">
        <w:rPr>
          <w:rFonts w:asciiTheme="minorHAnsi" w:hAnsiTheme="minorHAnsi"/>
          <w:color w:val="auto"/>
          <w:sz w:val="24"/>
        </w:rPr>
        <w:t xml:space="preserve">inhibitors </w:t>
      </w:r>
      <w:r w:rsidRPr="002531DF" w:rsidDel="005C5C3C">
        <w:rPr>
          <w:rFonts w:asciiTheme="minorHAnsi" w:hAnsiTheme="minorHAnsi"/>
          <w:color w:val="auto"/>
          <w:sz w:val="24"/>
        </w:rPr>
        <w:t>are second- and third-line treatments</w:t>
      </w:r>
      <w:r w:rsidR="00245AB0" w:rsidRPr="002531DF" w:rsidDel="005C5C3C">
        <w:rPr>
          <w:rFonts w:asciiTheme="minorHAnsi" w:hAnsiTheme="minorHAnsi"/>
          <w:color w:val="auto"/>
          <w:sz w:val="24"/>
        </w:rPr>
        <w:t>.</w:t>
      </w:r>
      <w:r w:rsidRPr="002531DF" w:rsidDel="005C5C3C">
        <w:rPr>
          <w:rFonts w:asciiTheme="minorHAnsi" w:hAnsiTheme="minorHAnsi"/>
          <w:color w:val="auto"/>
          <w:sz w:val="24"/>
        </w:rPr>
        <w:t xml:space="preserve"> </w:t>
      </w:r>
      <w:r w:rsidR="005D61A6" w:rsidRPr="00E376B5" w:rsidDel="005C5C3C">
        <w:rPr>
          <w:rFonts w:asciiTheme="minorHAnsi" w:hAnsiTheme="minorHAnsi"/>
          <w:color w:val="auto"/>
          <w:sz w:val="24"/>
        </w:rPr>
        <w:t>T</w:t>
      </w:r>
      <w:r w:rsidR="006D4948" w:rsidRPr="00E376B5" w:rsidDel="005C5C3C">
        <w:rPr>
          <w:rFonts w:asciiTheme="minorHAnsi" w:hAnsiTheme="minorHAnsi"/>
          <w:color w:val="auto"/>
          <w:sz w:val="24"/>
        </w:rPr>
        <w:t xml:space="preserve">he </w:t>
      </w:r>
      <w:r w:rsidR="00EA3E6C" w:rsidRPr="00E376B5" w:rsidDel="005C5C3C">
        <w:rPr>
          <w:rFonts w:asciiTheme="minorHAnsi" w:hAnsiTheme="minorHAnsi"/>
          <w:color w:val="auto"/>
          <w:sz w:val="24"/>
        </w:rPr>
        <w:t xml:space="preserve">ESC considered that although the proposed restriction was within clinical treatment guidelines, it </w:t>
      </w:r>
      <w:r w:rsidR="006D4948" w:rsidRPr="00E376B5" w:rsidDel="005C5C3C">
        <w:rPr>
          <w:rFonts w:asciiTheme="minorHAnsi" w:hAnsiTheme="minorHAnsi"/>
          <w:color w:val="auto"/>
          <w:sz w:val="24"/>
        </w:rPr>
        <w:t xml:space="preserve">inappropriately limits the use of </w:t>
      </w:r>
      <w:proofErr w:type="spellStart"/>
      <w:r w:rsidR="006D4948" w:rsidRPr="00E376B5" w:rsidDel="005C5C3C">
        <w:rPr>
          <w:rFonts w:asciiTheme="minorHAnsi" w:hAnsiTheme="minorHAnsi"/>
          <w:color w:val="auto"/>
          <w:sz w:val="24"/>
        </w:rPr>
        <w:t>dapagliflozin</w:t>
      </w:r>
      <w:proofErr w:type="spellEnd"/>
      <w:r w:rsidR="006D4948" w:rsidRPr="00E376B5" w:rsidDel="005C5C3C">
        <w:rPr>
          <w:rFonts w:asciiTheme="minorHAnsi" w:hAnsiTheme="minorHAnsi"/>
          <w:color w:val="auto"/>
          <w:sz w:val="24"/>
        </w:rPr>
        <w:t xml:space="preserve"> in triple therapy</w:t>
      </w:r>
      <w:r w:rsidR="00EF43D3" w:rsidRPr="00E376B5" w:rsidDel="005C5C3C">
        <w:rPr>
          <w:rFonts w:asciiTheme="minorHAnsi" w:hAnsiTheme="minorHAnsi"/>
          <w:color w:val="auto"/>
          <w:sz w:val="24"/>
        </w:rPr>
        <w:t xml:space="preserve"> to a fixed treatment sequence of </w:t>
      </w:r>
      <w:proofErr w:type="spellStart"/>
      <w:r w:rsidR="00EF43D3" w:rsidRPr="00E376B5" w:rsidDel="005C5C3C">
        <w:rPr>
          <w:rFonts w:asciiTheme="minorHAnsi" w:hAnsiTheme="minorHAnsi"/>
          <w:color w:val="auto"/>
          <w:sz w:val="24"/>
        </w:rPr>
        <w:t>dapagliflozin</w:t>
      </w:r>
      <w:proofErr w:type="spellEnd"/>
      <w:r w:rsidR="00EF43D3" w:rsidRPr="00E376B5" w:rsidDel="005C5C3C">
        <w:rPr>
          <w:rFonts w:asciiTheme="minorHAnsi" w:hAnsiTheme="minorHAnsi"/>
          <w:color w:val="auto"/>
          <w:sz w:val="24"/>
        </w:rPr>
        <w:t xml:space="preserve"> as add-on therapy in patients previously on</w:t>
      </w:r>
      <w:r w:rsidR="006D4948" w:rsidRPr="00E376B5" w:rsidDel="005C5C3C">
        <w:rPr>
          <w:rFonts w:asciiTheme="minorHAnsi" w:hAnsiTheme="minorHAnsi"/>
          <w:color w:val="auto"/>
          <w:sz w:val="24"/>
        </w:rPr>
        <w:t xml:space="preserve"> metformin and a DPP4 inhibitor</w:t>
      </w:r>
      <w:r w:rsidR="00245AB0" w:rsidRPr="00E376B5" w:rsidDel="005C5C3C">
        <w:rPr>
          <w:rFonts w:asciiTheme="minorHAnsi" w:hAnsiTheme="minorHAnsi"/>
          <w:color w:val="auto"/>
          <w:sz w:val="24"/>
        </w:rPr>
        <w:t>.</w:t>
      </w:r>
    </w:p>
    <w:p w:rsidR="006D4948" w:rsidRPr="002531DF" w:rsidDel="005C5C3C" w:rsidRDefault="006D4948" w:rsidP="009F09BC">
      <w:pPr>
        <w:pStyle w:val="ESnumberedparablue"/>
        <w:numPr>
          <w:ilvl w:val="1"/>
          <w:numId w:val="3"/>
        </w:numPr>
        <w:ind w:left="709" w:hanging="709"/>
        <w:rPr>
          <w:rFonts w:asciiTheme="minorHAnsi" w:hAnsiTheme="minorHAnsi"/>
          <w:color w:val="auto"/>
          <w:sz w:val="24"/>
        </w:rPr>
      </w:pPr>
      <w:r w:rsidRPr="002531DF" w:rsidDel="005C5C3C">
        <w:rPr>
          <w:rFonts w:asciiTheme="minorHAnsi" w:hAnsiTheme="minorHAnsi"/>
          <w:color w:val="auto"/>
          <w:sz w:val="24"/>
        </w:rPr>
        <w:lastRenderedPageBreak/>
        <w:t xml:space="preserve">Current </w:t>
      </w:r>
      <w:r w:rsidR="00E376B5">
        <w:rPr>
          <w:rFonts w:asciiTheme="minorHAnsi" w:hAnsiTheme="minorHAnsi"/>
          <w:color w:val="auto"/>
          <w:sz w:val="24"/>
        </w:rPr>
        <w:t xml:space="preserve">PBS </w:t>
      </w:r>
      <w:r w:rsidRPr="002531DF" w:rsidDel="005C5C3C">
        <w:rPr>
          <w:rFonts w:asciiTheme="minorHAnsi" w:hAnsiTheme="minorHAnsi"/>
          <w:color w:val="auto"/>
          <w:sz w:val="24"/>
        </w:rPr>
        <w:t xml:space="preserve">restrictions do not allow concomitant use of SGLT2 inhibitors and DPP4 inhibitors. </w:t>
      </w:r>
      <w:r w:rsidR="0026677D" w:rsidRPr="002531DF" w:rsidDel="005C5C3C">
        <w:rPr>
          <w:rFonts w:asciiTheme="minorHAnsi" w:hAnsiTheme="minorHAnsi"/>
          <w:color w:val="auto"/>
          <w:sz w:val="24"/>
        </w:rPr>
        <w:t>However, t</w:t>
      </w:r>
      <w:r w:rsidRPr="002531DF" w:rsidDel="005C5C3C">
        <w:rPr>
          <w:rFonts w:asciiTheme="minorHAnsi" w:hAnsiTheme="minorHAnsi"/>
          <w:color w:val="auto"/>
          <w:sz w:val="24"/>
        </w:rPr>
        <w:t xml:space="preserve">he DUSC Review of Diabetes Medicines (February 2017) indicates a growing number of patients receiving </w:t>
      </w:r>
      <w:r w:rsidR="00EE7A2F" w:rsidRPr="002531DF" w:rsidDel="005C5C3C">
        <w:rPr>
          <w:rFonts w:asciiTheme="minorHAnsi" w:hAnsiTheme="minorHAnsi"/>
          <w:color w:val="auto"/>
          <w:sz w:val="24"/>
        </w:rPr>
        <w:t>regimens containing both SGLT2 inhibitors and DPP4 inhibitors</w:t>
      </w:r>
      <w:r w:rsidR="00262088" w:rsidRPr="002531DF" w:rsidDel="005C5C3C">
        <w:rPr>
          <w:rFonts w:asciiTheme="minorHAnsi" w:hAnsiTheme="minorHAnsi"/>
          <w:color w:val="auto"/>
          <w:sz w:val="24"/>
        </w:rPr>
        <w:t>, including quadruple therapy</w:t>
      </w:r>
      <w:r w:rsidR="00EE7A2F" w:rsidRPr="002531DF" w:rsidDel="005C5C3C">
        <w:rPr>
          <w:rFonts w:asciiTheme="minorHAnsi" w:hAnsiTheme="minorHAnsi"/>
          <w:color w:val="auto"/>
          <w:sz w:val="24"/>
        </w:rPr>
        <w:t xml:space="preserve"> which is</w:t>
      </w:r>
      <w:r w:rsidRPr="002531DF" w:rsidDel="005C5C3C">
        <w:rPr>
          <w:rFonts w:asciiTheme="minorHAnsi" w:hAnsiTheme="minorHAnsi"/>
          <w:color w:val="auto"/>
          <w:sz w:val="24"/>
        </w:rPr>
        <w:t xml:space="preserve"> </w:t>
      </w:r>
      <w:r w:rsidR="0026677D" w:rsidRPr="002531DF" w:rsidDel="005C5C3C">
        <w:rPr>
          <w:rFonts w:asciiTheme="minorHAnsi" w:hAnsiTheme="minorHAnsi"/>
          <w:color w:val="auto"/>
          <w:sz w:val="24"/>
        </w:rPr>
        <w:t xml:space="preserve">outside </w:t>
      </w:r>
      <w:r w:rsidR="00EF43D3" w:rsidRPr="002531DF" w:rsidDel="005C5C3C">
        <w:rPr>
          <w:rFonts w:asciiTheme="minorHAnsi" w:hAnsiTheme="minorHAnsi"/>
          <w:color w:val="auto"/>
          <w:sz w:val="24"/>
        </w:rPr>
        <w:t>PBS</w:t>
      </w:r>
      <w:r w:rsidR="0026677D" w:rsidRPr="002531DF" w:rsidDel="005C5C3C">
        <w:rPr>
          <w:rFonts w:asciiTheme="minorHAnsi" w:hAnsiTheme="minorHAnsi"/>
          <w:color w:val="auto"/>
          <w:sz w:val="24"/>
        </w:rPr>
        <w:t xml:space="preserve"> restrictions</w:t>
      </w:r>
      <w:r w:rsidR="00EE7A2F" w:rsidRPr="002531DF" w:rsidDel="005C5C3C">
        <w:rPr>
          <w:rFonts w:asciiTheme="minorHAnsi" w:hAnsiTheme="minorHAnsi"/>
          <w:color w:val="auto"/>
          <w:sz w:val="24"/>
        </w:rPr>
        <w:t>.</w:t>
      </w:r>
      <w:r w:rsidR="0026677D" w:rsidRPr="002531DF" w:rsidDel="005C5C3C">
        <w:rPr>
          <w:rFonts w:asciiTheme="minorHAnsi" w:hAnsiTheme="minorHAnsi"/>
          <w:color w:val="auto"/>
          <w:sz w:val="24"/>
        </w:rPr>
        <w:t xml:space="preserve"> Based on utilisation data, this usage (outside </w:t>
      </w:r>
      <w:r w:rsidR="00EF43D3" w:rsidRPr="002531DF" w:rsidDel="005C5C3C">
        <w:rPr>
          <w:rFonts w:asciiTheme="minorHAnsi" w:hAnsiTheme="minorHAnsi"/>
          <w:color w:val="auto"/>
          <w:sz w:val="24"/>
        </w:rPr>
        <w:t xml:space="preserve">PBS </w:t>
      </w:r>
      <w:r w:rsidR="0026677D" w:rsidRPr="002531DF" w:rsidDel="005C5C3C">
        <w:rPr>
          <w:rFonts w:asciiTheme="minorHAnsi" w:hAnsiTheme="minorHAnsi"/>
          <w:color w:val="auto"/>
          <w:sz w:val="24"/>
        </w:rPr>
        <w:t xml:space="preserve">restrictions) is likely to shift to the requested restriction that </w:t>
      </w:r>
      <w:r w:rsidR="00EF43D3" w:rsidRPr="002531DF" w:rsidDel="005C5C3C">
        <w:rPr>
          <w:rFonts w:asciiTheme="minorHAnsi" w:hAnsiTheme="minorHAnsi"/>
          <w:color w:val="auto"/>
          <w:sz w:val="24"/>
        </w:rPr>
        <w:t>would subsidise</w:t>
      </w:r>
      <w:r w:rsidR="0026677D" w:rsidRPr="002531DF" w:rsidDel="005C5C3C">
        <w:rPr>
          <w:rFonts w:asciiTheme="minorHAnsi" w:hAnsiTheme="minorHAnsi"/>
          <w:color w:val="auto"/>
          <w:sz w:val="24"/>
        </w:rPr>
        <w:t xml:space="preserve"> concomitant use of these agents. </w:t>
      </w:r>
      <w:r w:rsidR="00EA3E6C" w:rsidRPr="002531DF" w:rsidDel="005C5C3C">
        <w:rPr>
          <w:rFonts w:asciiTheme="minorHAnsi" w:hAnsiTheme="minorHAnsi"/>
          <w:color w:val="auto"/>
          <w:sz w:val="24"/>
        </w:rPr>
        <w:t>The ESC also noted that the restriction does not preclude use with additional age</w:t>
      </w:r>
      <w:r w:rsidR="00CC2862" w:rsidRPr="002531DF" w:rsidDel="005C5C3C">
        <w:rPr>
          <w:rFonts w:asciiTheme="minorHAnsi" w:hAnsiTheme="minorHAnsi"/>
          <w:color w:val="auto"/>
          <w:sz w:val="24"/>
        </w:rPr>
        <w:t xml:space="preserve">nts </w:t>
      </w:r>
      <w:r w:rsidR="009A5F9E" w:rsidRPr="002531DF" w:rsidDel="005C5C3C">
        <w:rPr>
          <w:rFonts w:asciiTheme="minorHAnsi" w:hAnsiTheme="minorHAnsi"/>
          <w:color w:val="auto"/>
          <w:sz w:val="24"/>
        </w:rPr>
        <w:t>for</w:t>
      </w:r>
      <w:r w:rsidR="00CC2862" w:rsidRPr="002531DF" w:rsidDel="005C5C3C">
        <w:rPr>
          <w:rFonts w:asciiTheme="minorHAnsi" w:hAnsiTheme="minorHAnsi"/>
          <w:color w:val="auto"/>
          <w:sz w:val="24"/>
        </w:rPr>
        <w:t xml:space="preserve"> quadruple therapy. </w:t>
      </w:r>
    </w:p>
    <w:p w:rsidR="008873B7" w:rsidRPr="009F09BC" w:rsidRDefault="006D4948" w:rsidP="009F09BC">
      <w:pPr>
        <w:pStyle w:val="ESnumberedparablue"/>
        <w:numPr>
          <w:ilvl w:val="1"/>
          <w:numId w:val="3"/>
        </w:numPr>
        <w:ind w:left="709" w:hanging="709"/>
        <w:rPr>
          <w:rFonts w:asciiTheme="minorHAnsi" w:hAnsiTheme="minorHAnsi"/>
          <w:color w:val="auto"/>
          <w:sz w:val="24"/>
        </w:rPr>
      </w:pPr>
      <w:r w:rsidRPr="009F09BC" w:rsidDel="005C5C3C">
        <w:rPr>
          <w:rFonts w:asciiTheme="minorHAnsi" w:hAnsiTheme="minorHAnsi"/>
          <w:color w:val="auto"/>
          <w:sz w:val="24"/>
        </w:rPr>
        <w:t>The requested</w:t>
      </w:r>
      <w:r w:rsidR="00EF43D3" w:rsidRPr="009F09BC" w:rsidDel="005C5C3C">
        <w:rPr>
          <w:rFonts w:asciiTheme="minorHAnsi" w:hAnsiTheme="minorHAnsi"/>
          <w:color w:val="auto"/>
          <w:sz w:val="24"/>
        </w:rPr>
        <w:t xml:space="preserve"> PBS </w:t>
      </w:r>
      <w:r w:rsidRPr="009F09BC" w:rsidDel="005C5C3C">
        <w:rPr>
          <w:rFonts w:asciiTheme="minorHAnsi" w:hAnsiTheme="minorHAnsi"/>
          <w:color w:val="auto"/>
          <w:sz w:val="24"/>
        </w:rPr>
        <w:t xml:space="preserve">restriction would </w:t>
      </w:r>
      <w:r w:rsidR="00EF43D3" w:rsidRPr="009F09BC" w:rsidDel="005C5C3C">
        <w:rPr>
          <w:rFonts w:asciiTheme="minorHAnsi" w:hAnsiTheme="minorHAnsi"/>
          <w:color w:val="auto"/>
          <w:sz w:val="24"/>
        </w:rPr>
        <w:t>allow for subsidisation of</w:t>
      </w:r>
      <w:r w:rsidRPr="009F09BC" w:rsidDel="005C5C3C">
        <w:rPr>
          <w:rFonts w:asciiTheme="minorHAnsi" w:hAnsiTheme="minorHAnsi"/>
          <w:color w:val="auto"/>
          <w:sz w:val="24"/>
        </w:rPr>
        <w:t xml:space="preserve"> off-label use of DPP4 inhibitors</w:t>
      </w:r>
      <w:r w:rsidR="00E32AD6" w:rsidRPr="009F09BC" w:rsidDel="005C5C3C">
        <w:rPr>
          <w:rFonts w:asciiTheme="minorHAnsi" w:hAnsiTheme="minorHAnsi"/>
          <w:color w:val="auto"/>
          <w:sz w:val="24"/>
        </w:rPr>
        <w:t xml:space="preserve"> except for </w:t>
      </w:r>
      <w:proofErr w:type="spellStart"/>
      <w:r w:rsidR="00E32AD6" w:rsidRPr="009F09BC" w:rsidDel="005C5C3C">
        <w:rPr>
          <w:rFonts w:asciiTheme="minorHAnsi" w:hAnsiTheme="minorHAnsi"/>
          <w:color w:val="auto"/>
          <w:sz w:val="24"/>
        </w:rPr>
        <w:t>saxagliptin</w:t>
      </w:r>
      <w:proofErr w:type="spellEnd"/>
      <w:r w:rsidR="00E32AD6" w:rsidRPr="009F09BC" w:rsidDel="005C5C3C">
        <w:rPr>
          <w:rFonts w:asciiTheme="minorHAnsi" w:hAnsiTheme="minorHAnsi"/>
          <w:color w:val="auto"/>
          <w:sz w:val="24"/>
        </w:rPr>
        <w:t xml:space="preserve">. </w:t>
      </w:r>
      <w:proofErr w:type="spellStart"/>
      <w:r w:rsidR="00E32AD6" w:rsidRPr="009F09BC" w:rsidDel="005C5C3C">
        <w:rPr>
          <w:rFonts w:asciiTheme="minorHAnsi" w:hAnsiTheme="minorHAnsi"/>
          <w:color w:val="auto"/>
          <w:sz w:val="24"/>
        </w:rPr>
        <w:t>Sitagliptin</w:t>
      </w:r>
      <w:proofErr w:type="spellEnd"/>
      <w:r w:rsidR="00E32AD6" w:rsidRPr="009F09BC" w:rsidDel="005C5C3C">
        <w:rPr>
          <w:rFonts w:asciiTheme="minorHAnsi" w:hAnsiTheme="minorHAnsi"/>
          <w:color w:val="auto"/>
          <w:sz w:val="24"/>
        </w:rPr>
        <w:t xml:space="preserve">, </w:t>
      </w:r>
      <w:proofErr w:type="spellStart"/>
      <w:r w:rsidR="00E32AD6" w:rsidRPr="009F09BC" w:rsidDel="005C5C3C">
        <w:rPr>
          <w:rFonts w:asciiTheme="minorHAnsi" w:hAnsiTheme="minorHAnsi"/>
          <w:color w:val="auto"/>
          <w:sz w:val="24"/>
        </w:rPr>
        <w:t>linagliptin</w:t>
      </w:r>
      <w:proofErr w:type="spellEnd"/>
      <w:r w:rsidR="00E32AD6" w:rsidRPr="009F09BC" w:rsidDel="005C5C3C">
        <w:rPr>
          <w:rFonts w:asciiTheme="minorHAnsi" w:hAnsiTheme="minorHAnsi"/>
          <w:color w:val="auto"/>
          <w:sz w:val="24"/>
        </w:rPr>
        <w:t xml:space="preserve"> and </w:t>
      </w:r>
      <w:proofErr w:type="spellStart"/>
      <w:r w:rsidR="00E32AD6" w:rsidRPr="009F09BC" w:rsidDel="005C5C3C">
        <w:rPr>
          <w:rFonts w:asciiTheme="minorHAnsi" w:hAnsiTheme="minorHAnsi"/>
          <w:color w:val="auto"/>
          <w:sz w:val="24"/>
        </w:rPr>
        <w:t>vildagliptin</w:t>
      </w:r>
      <w:proofErr w:type="spellEnd"/>
      <w:r w:rsidR="00E32AD6" w:rsidRPr="009F09BC" w:rsidDel="005C5C3C">
        <w:rPr>
          <w:rFonts w:asciiTheme="minorHAnsi" w:hAnsiTheme="minorHAnsi"/>
          <w:color w:val="auto"/>
          <w:sz w:val="24"/>
        </w:rPr>
        <w:t xml:space="preserve"> have TGA indications for triple therapy with metformin and </w:t>
      </w:r>
      <w:r w:rsidR="00412444" w:rsidRPr="009F09BC" w:rsidDel="005C5C3C">
        <w:rPr>
          <w:rFonts w:asciiTheme="minorHAnsi" w:hAnsiTheme="minorHAnsi"/>
          <w:color w:val="auto"/>
          <w:sz w:val="24"/>
        </w:rPr>
        <w:t>sulfonylurea and</w:t>
      </w:r>
      <w:r w:rsidR="00E32AD6" w:rsidRPr="009F09BC" w:rsidDel="005C5C3C">
        <w:rPr>
          <w:rFonts w:asciiTheme="minorHAnsi" w:hAnsiTheme="minorHAnsi"/>
          <w:color w:val="auto"/>
          <w:sz w:val="24"/>
        </w:rPr>
        <w:t xml:space="preserve"> </w:t>
      </w:r>
      <w:proofErr w:type="spellStart"/>
      <w:r w:rsidR="00E32AD6" w:rsidRPr="009F09BC" w:rsidDel="005C5C3C">
        <w:rPr>
          <w:rFonts w:asciiTheme="minorHAnsi" w:hAnsiTheme="minorHAnsi"/>
          <w:color w:val="auto"/>
          <w:sz w:val="24"/>
        </w:rPr>
        <w:t>alogliptin</w:t>
      </w:r>
      <w:proofErr w:type="spellEnd"/>
      <w:r w:rsidR="00E32AD6" w:rsidRPr="009F09BC" w:rsidDel="005C5C3C">
        <w:rPr>
          <w:rFonts w:asciiTheme="minorHAnsi" w:hAnsiTheme="minorHAnsi"/>
          <w:color w:val="auto"/>
          <w:sz w:val="24"/>
        </w:rPr>
        <w:t xml:space="preserve"> is TGA approved for triple therapy with metformin and thiazolidinedione only.</w:t>
      </w:r>
      <w:r w:rsidR="0028559F" w:rsidRPr="009F09BC" w:rsidDel="005C5C3C">
        <w:rPr>
          <w:rFonts w:asciiTheme="minorHAnsi" w:hAnsiTheme="minorHAnsi"/>
          <w:color w:val="auto"/>
          <w:sz w:val="24"/>
        </w:rPr>
        <w:t xml:space="preserve"> The ESC noted that </w:t>
      </w:r>
      <w:proofErr w:type="spellStart"/>
      <w:r w:rsidR="0028559F" w:rsidRPr="009F09BC" w:rsidDel="005C5C3C">
        <w:rPr>
          <w:rFonts w:asciiTheme="minorHAnsi" w:hAnsiTheme="minorHAnsi"/>
          <w:color w:val="auto"/>
          <w:sz w:val="24"/>
        </w:rPr>
        <w:t>dap</w:t>
      </w:r>
      <w:r w:rsidR="00DB1477" w:rsidRPr="009F09BC" w:rsidDel="005C5C3C">
        <w:rPr>
          <w:rFonts w:asciiTheme="minorHAnsi" w:hAnsiTheme="minorHAnsi"/>
          <w:color w:val="auto"/>
          <w:sz w:val="24"/>
        </w:rPr>
        <w:t>agliflozin</w:t>
      </w:r>
      <w:proofErr w:type="spellEnd"/>
      <w:r w:rsidR="00DB1477" w:rsidRPr="009F09BC" w:rsidDel="005C5C3C">
        <w:rPr>
          <w:rFonts w:asciiTheme="minorHAnsi" w:hAnsiTheme="minorHAnsi"/>
          <w:color w:val="auto"/>
          <w:sz w:val="24"/>
        </w:rPr>
        <w:t xml:space="preserve"> is </w:t>
      </w:r>
      <w:r w:rsidR="005F6004" w:rsidRPr="009F09BC" w:rsidDel="005C5C3C">
        <w:rPr>
          <w:rFonts w:asciiTheme="minorHAnsi" w:hAnsiTheme="minorHAnsi"/>
          <w:color w:val="auto"/>
          <w:sz w:val="24"/>
        </w:rPr>
        <w:t>TGA registered for treatment of</w:t>
      </w:r>
      <w:r w:rsidR="00DB1477" w:rsidRPr="009F09BC" w:rsidDel="005C5C3C">
        <w:rPr>
          <w:rFonts w:asciiTheme="minorHAnsi" w:hAnsiTheme="minorHAnsi"/>
          <w:color w:val="auto"/>
          <w:sz w:val="24"/>
        </w:rPr>
        <w:t xml:space="preserve"> patients with </w:t>
      </w:r>
      <w:r w:rsidR="00445B90" w:rsidRPr="009F09BC" w:rsidDel="005C5C3C">
        <w:rPr>
          <w:rFonts w:asciiTheme="minorHAnsi" w:hAnsiTheme="minorHAnsi"/>
          <w:color w:val="auto"/>
          <w:sz w:val="24"/>
        </w:rPr>
        <w:t>type 2 diabete</w:t>
      </w:r>
      <w:r w:rsidR="00EA3E6C" w:rsidRPr="009F09BC" w:rsidDel="005C5C3C">
        <w:rPr>
          <w:rFonts w:asciiTheme="minorHAnsi" w:hAnsiTheme="minorHAnsi"/>
          <w:color w:val="auto"/>
          <w:sz w:val="24"/>
        </w:rPr>
        <w:t>s</w:t>
      </w:r>
      <w:r w:rsidR="00DB1477" w:rsidRPr="009F09BC" w:rsidDel="005C5C3C">
        <w:rPr>
          <w:rFonts w:asciiTheme="minorHAnsi" w:hAnsiTheme="minorHAnsi"/>
          <w:color w:val="auto"/>
          <w:sz w:val="24"/>
        </w:rPr>
        <w:t xml:space="preserve"> to improve glycaemic control in combination with other anti-hyperglycaemic agents. However,</w:t>
      </w:r>
      <w:r w:rsidR="00E32AD6" w:rsidRPr="009F09BC" w:rsidDel="005C5C3C">
        <w:rPr>
          <w:rFonts w:asciiTheme="minorHAnsi" w:hAnsiTheme="minorHAnsi"/>
          <w:color w:val="auto"/>
          <w:sz w:val="24"/>
        </w:rPr>
        <w:t xml:space="preserve"> </w:t>
      </w:r>
      <w:proofErr w:type="spellStart"/>
      <w:r w:rsidR="002212F9" w:rsidRPr="009F09BC" w:rsidDel="005C5C3C">
        <w:rPr>
          <w:rFonts w:asciiTheme="minorHAnsi" w:hAnsiTheme="minorHAnsi"/>
          <w:color w:val="auto"/>
          <w:sz w:val="24"/>
        </w:rPr>
        <w:t>saxagliptin</w:t>
      </w:r>
      <w:proofErr w:type="spellEnd"/>
      <w:r w:rsidR="002212F9" w:rsidRPr="009F09BC" w:rsidDel="005C5C3C">
        <w:rPr>
          <w:rFonts w:asciiTheme="minorHAnsi" w:hAnsiTheme="minorHAnsi"/>
          <w:color w:val="auto"/>
          <w:sz w:val="24"/>
        </w:rPr>
        <w:t xml:space="preserve"> is the only DPP4 inhibitor </w:t>
      </w:r>
      <w:r w:rsidR="005F6004" w:rsidRPr="009F09BC" w:rsidDel="005C5C3C">
        <w:rPr>
          <w:rFonts w:asciiTheme="minorHAnsi" w:hAnsiTheme="minorHAnsi"/>
          <w:color w:val="auto"/>
          <w:sz w:val="24"/>
        </w:rPr>
        <w:t xml:space="preserve">that </w:t>
      </w:r>
      <w:r w:rsidR="00E32AD6" w:rsidRPr="009F09BC" w:rsidDel="005C5C3C">
        <w:rPr>
          <w:rFonts w:asciiTheme="minorHAnsi" w:hAnsiTheme="minorHAnsi"/>
          <w:color w:val="auto"/>
          <w:sz w:val="24"/>
        </w:rPr>
        <w:t xml:space="preserve">has a TGA indication </w:t>
      </w:r>
      <w:r w:rsidR="005F6004" w:rsidRPr="009F09BC" w:rsidDel="005C5C3C">
        <w:rPr>
          <w:rFonts w:asciiTheme="minorHAnsi" w:hAnsiTheme="minorHAnsi"/>
          <w:color w:val="auto"/>
          <w:sz w:val="24"/>
        </w:rPr>
        <w:t>for</w:t>
      </w:r>
      <w:r w:rsidR="00E32AD6" w:rsidRPr="009F09BC" w:rsidDel="005C5C3C">
        <w:rPr>
          <w:rFonts w:asciiTheme="minorHAnsi" w:hAnsiTheme="minorHAnsi"/>
          <w:color w:val="auto"/>
          <w:sz w:val="24"/>
        </w:rPr>
        <w:t xml:space="preserve"> add-on therapy with </w:t>
      </w:r>
      <w:r w:rsidR="002212F9" w:rsidRPr="009F09BC" w:rsidDel="005C5C3C">
        <w:rPr>
          <w:rFonts w:asciiTheme="minorHAnsi" w:hAnsiTheme="minorHAnsi"/>
          <w:color w:val="auto"/>
          <w:sz w:val="24"/>
        </w:rPr>
        <w:t>a SGLT2 inhibitor and metformin</w:t>
      </w:r>
      <w:r w:rsidR="00E32AD6" w:rsidRPr="009F09BC" w:rsidDel="005C5C3C">
        <w:rPr>
          <w:rFonts w:asciiTheme="minorHAnsi" w:hAnsiTheme="minorHAnsi"/>
          <w:color w:val="auto"/>
          <w:sz w:val="24"/>
        </w:rPr>
        <w:t>.</w:t>
      </w:r>
      <w:r w:rsidRPr="009F09BC" w:rsidDel="005C5C3C">
        <w:rPr>
          <w:rFonts w:asciiTheme="minorHAnsi" w:hAnsiTheme="minorHAnsi"/>
          <w:color w:val="auto"/>
          <w:sz w:val="24"/>
        </w:rPr>
        <w:t xml:space="preserve"> </w:t>
      </w:r>
      <w:r w:rsidR="009A5F9E" w:rsidRPr="009F09BC" w:rsidDel="005C5C3C">
        <w:rPr>
          <w:rFonts w:asciiTheme="minorHAnsi" w:hAnsiTheme="minorHAnsi"/>
          <w:color w:val="auto"/>
          <w:sz w:val="24"/>
        </w:rPr>
        <w:t>Further, this approach assumes that all DPP4 inhibitors are interchangeable.</w:t>
      </w:r>
      <w:r w:rsidR="00C423D9" w:rsidRPr="009F09BC" w:rsidDel="005C5C3C">
        <w:rPr>
          <w:rFonts w:asciiTheme="minorHAnsi" w:hAnsiTheme="minorHAnsi"/>
          <w:color w:val="auto"/>
          <w:sz w:val="24"/>
        </w:rPr>
        <w:t xml:space="preserve"> The submission note</w:t>
      </w:r>
      <w:r w:rsidR="00485501" w:rsidRPr="009F09BC" w:rsidDel="005C5C3C">
        <w:rPr>
          <w:rFonts w:asciiTheme="minorHAnsi" w:hAnsiTheme="minorHAnsi"/>
          <w:color w:val="auto"/>
          <w:sz w:val="24"/>
        </w:rPr>
        <w:t>d</w:t>
      </w:r>
      <w:r w:rsidR="00C423D9" w:rsidRPr="009F09BC" w:rsidDel="005C5C3C">
        <w:rPr>
          <w:rFonts w:asciiTheme="minorHAnsi" w:hAnsiTheme="minorHAnsi"/>
          <w:color w:val="auto"/>
          <w:sz w:val="24"/>
        </w:rPr>
        <w:t xml:space="preserve"> that</w:t>
      </w:r>
      <w:r w:rsidR="00850E76" w:rsidRPr="009F09BC" w:rsidDel="005C5C3C">
        <w:rPr>
          <w:rFonts w:asciiTheme="minorHAnsi" w:hAnsiTheme="minorHAnsi"/>
          <w:color w:val="auto"/>
          <w:sz w:val="24"/>
        </w:rPr>
        <w:t xml:space="preserve"> the </w:t>
      </w:r>
      <w:r w:rsidR="00C423D9" w:rsidRPr="009F09BC" w:rsidDel="005C5C3C">
        <w:rPr>
          <w:rFonts w:asciiTheme="minorHAnsi" w:hAnsiTheme="minorHAnsi"/>
          <w:color w:val="auto"/>
          <w:sz w:val="24"/>
        </w:rPr>
        <w:t xml:space="preserve">PBAC previously </w:t>
      </w:r>
      <w:r w:rsidR="00850E76" w:rsidRPr="009F09BC" w:rsidDel="005C5C3C">
        <w:rPr>
          <w:rFonts w:asciiTheme="minorHAnsi" w:hAnsiTheme="minorHAnsi"/>
          <w:color w:val="auto"/>
          <w:sz w:val="24"/>
        </w:rPr>
        <w:t>recommended that</w:t>
      </w:r>
      <w:r w:rsidR="00C423D9" w:rsidRPr="009F09BC" w:rsidDel="005C5C3C">
        <w:rPr>
          <w:rFonts w:asciiTheme="minorHAnsi" w:hAnsiTheme="minorHAnsi"/>
          <w:color w:val="auto"/>
          <w:sz w:val="24"/>
        </w:rPr>
        <w:t xml:space="preserve"> the </w:t>
      </w:r>
      <w:r w:rsidR="00A62579">
        <w:rPr>
          <w:rFonts w:asciiTheme="minorHAnsi" w:hAnsiTheme="minorHAnsi"/>
          <w:color w:val="auto"/>
          <w:sz w:val="24"/>
        </w:rPr>
        <w:t>DPP4 inhibitors</w:t>
      </w:r>
      <w:r w:rsidR="00A62579" w:rsidRPr="009F09BC" w:rsidDel="005C5C3C">
        <w:rPr>
          <w:rFonts w:asciiTheme="minorHAnsi" w:hAnsiTheme="minorHAnsi"/>
          <w:color w:val="auto"/>
          <w:sz w:val="24"/>
        </w:rPr>
        <w:t xml:space="preserve"> </w:t>
      </w:r>
      <w:r w:rsidR="00850E76" w:rsidRPr="009F09BC" w:rsidDel="005C5C3C">
        <w:rPr>
          <w:rFonts w:asciiTheme="minorHAnsi" w:hAnsiTheme="minorHAnsi"/>
          <w:color w:val="auto"/>
          <w:sz w:val="24"/>
        </w:rPr>
        <w:t xml:space="preserve">be considered </w:t>
      </w:r>
      <w:r w:rsidR="00C423D9" w:rsidRPr="009F09BC" w:rsidDel="005C5C3C">
        <w:rPr>
          <w:rFonts w:asciiTheme="minorHAnsi" w:hAnsiTheme="minorHAnsi"/>
          <w:color w:val="auto"/>
          <w:sz w:val="24"/>
        </w:rPr>
        <w:t>interchangeable</w:t>
      </w:r>
      <w:r w:rsidR="00850E76" w:rsidRPr="009F09BC" w:rsidDel="005C5C3C">
        <w:rPr>
          <w:rFonts w:asciiTheme="minorHAnsi" w:hAnsiTheme="minorHAnsi"/>
          <w:color w:val="auto"/>
          <w:sz w:val="24"/>
        </w:rPr>
        <w:t xml:space="preserve"> on an individual patient basis for the purposes of section 101(3BA) of the National Health Act 1953 (</w:t>
      </w:r>
      <w:proofErr w:type="spellStart"/>
      <w:r w:rsidR="00850E76" w:rsidRPr="009F09BC" w:rsidDel="005C5C3C">
        <w:rPr>
          <w:rFonts w:asciiTheme="minorHAnsi" w:hAnsiTheme="minorHAnsi"/>
          <w:color w:val="auto"/>
          <w:sz w:val="24"/>
        </w:rPr>
        <w:t>Alogliptin</w:t>
      </w:r>
      <w:proofErr w:type="spellEnd"/>
      <w:r w:rsidR="00850E76" w:rsidRPr="009F09BC" w:rsidDel="005C5C3C">
        <w:rPr>
          <w:rFonts w:asciiTheme="minorHAnsi" w:hAnsiTheme="minorHAnsi"/>
          <w:color w:val="auto"/>
          <w:sz w:val="24"/>
        </w:rPr>
        <w:t xml:space="preserve"> PSD July 2013).</w:t>
      </w:r>
      <w:r w:rsidR="008873B7" w:rsidRPr="009F09BC">
        <w:rPr>
          <w:rFonts w:asciiTheme="minorHAnsi" w:hAnsiTheme="minorHAnsi"/>
          <w:color w:val="auto"/>
          <w:sz w:val="24"/>
        </w:rPr>
        <w:t xml:space="preserve"> </w:t>
      </w:r>
    </w:p>
    <w:p w:rsidR="00711D28" w:rsidRPr="00E376B5" w:rsidRDefault="008873B7" w:rsidP="00E376B5">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 xml:space="preserve">The pre-PBAC response (p1) acknowledged the changes proposed by Secretariat and also supported the proposal </w:t>
      </w:r>
      <w:r w:rsidR="00867EEB" w:rsidRPr="009F09BC">
        <w:rPr>
          <w:rFonts w:asciiTheme="minorHAnsi" w:hAnsiTheme="minorHAnsi"/>
          <w:color w:val="auto"/>
          <w:sz w:val="24"/>
        </w:rPr>
        <w:t xml:space="preserve">for </w:t>
      </w:r>
      <w:r w:rsidRPr="009F09BC">
        <w:rPr>
          <w:rFonts w:asciiTheme="minorHAnsi" w:hAnsiTheme="minorHAnsi"/>
          <w:color w:val="auto"/>
          <w:sz w:val="24"/>
        </w:rPr>
        <w:t xml:space="preserve">a General Statement for PBS-listed type </w:t>
      </w:r>
      <w:r w:rsidR="007D0564" w:rsidRPr="009F09BC">
        <w:rPr>
          <w:rFonts w:asciiTheme="minorHAnsi" w:hAnsiTheme="minorHAnsi"/>
          <w:color w:val="auto"/>
          <w:sz w:val="24"/>
        </w:rPr>
        <w:t xml:space="preserve">2 </w:t>
      </w:r>
      <w:r w:rsidRPr="009F09BC">
        <w:rPr>
          <w:rFonts w:asciiTheme="minorHAnsi" w:hAnsiTheme="minorHAnsi"/>
          <w:color w:val="auto"/>
          <w:sz w:val="24"/>
        </w:rPr>
        <w:t>diabetes medicines to be developed.</w:t>
      </w:r>
      <w:r w:rsidR="00867EEB" w:rsidRPr="009F09BC">
        <w:rPr>
          <w:rFonts w:asciiTheme="minorHAnsi" w:hAnsiTheme="minorHAnsi"/>
          <w:color w:val="auto"/>
          <w:sz w:val="24"/>
        </w:rPr>
        <w:t xml:space="preserve"> The PBAC noted that a draft general statement for </w:t>
      </w:r>
      <w:r w:rsidR="007D0564" w:rsidRPr="009F09BC">
        <w:rPr>
          <w:rFonts w:asciiTheme="minorHAnsi" w:hAnsiTheme="minorHAnsi"/>
          <w:color w:val="auto"/>
          <w:sz w:val="24"/>
        </w:rPr>
        <w:t xml:space="preserve">the use of PBS-listed medicines for type 2 diabetes </w:t>
      </w:r>
      <w:r w:rsidR="00E376B5" w:rsidRPr="009F09BC">
        <w:rPr>
          <w:rFonts w:asciiTheme="minorHAnsi" w:hAnsiTheme="minorHAnsi"/>
          <w:color w:val="auto"/>
          <w:sz w:val="24"/>
        </w:rPr>
        <w:t xml:space="preserve">was provided in the pre-PBAC response </w:t>
      </w:r>
      <w:r w:rsidR="00867EEB" w:rsidRPr="009F09BC">
        <w:rPr>
          <w:rFonts w:asciiTheme="minorHAnsi" w:hAnsiTheme="minorHAnsi"/>
          <w:color w:val="auto"/>
          <w:sz w:val="24"/>
        </w:rPr>
        <w:t>(p</w:t>
      </w:r>
      <w:r w:rsidR="007D0564" w:rsidRPr="009F09BC">
        <w:rPr>
          <w:rFonts w:asciiTheme="minorHAnsi" w:hAnsiTheme="minorHAnsi"/>
          <w:color w:val="auto"/>
          <w:sz w:val="24"/>
        </w:rPr>
        <w:t>4</w:t>
      </w:r>
      <w:r w:rsidR="00867EEB" w:rsidRPr="009F09BC">
        <w:rPr>
          <w:rFonts w:asciiTheme="minorHAnsi" w:hAnsiTheme="minorHAnsi"/>
          <w:color w:val="auto"/>
          <w:sz w:val="24"/>
        </w:rPr>
        <w:t>)</w:t>
      </w:r>
      <w:r w:rsidR="009B0F31" w:rsidRPr="009F09BC">
        <w:rPr>
          <w:rFonts w:asciiTheme="minorHAnsi" w:hAnsiTheme="minorHAnsi"/>
          <w:color w:val="auto"/>
          <w:sz w:val="24"/>
        </w:rPr>
        <w:t xml:space="preserve">, but considered that any general statement would need additional </w:t>
      </w:r>
      <w:r w:rsidR="0016666D">
        <w:rPr>
          <w:rFonts w:asciiTheme="minorHAnsi" w:hAnsiTheme="minorHAnsi"/>
          <w:color w:val="auto"/>
          <w:sz w:val="24"/>
        </w:rPr>
        <w:t>development and consultation</w:t>
      </w:r>
      <w:r w:rsidR="009B0F31" w:rsidRPr="009F09BC">
        <w:rPr>
          <w:rFonts w:asciiTheme="minorHAnsi" w:hAnsiTheme="minorHAnsi"/>
          <w:color w:val="auto"/>
          <w:sz w:val="24"/>
        </w:rPr>
        <w:t>.</w:t>
      </w:r>
      <w:bookmarkStart w:id="8" w:name="_Toc413139273"/>
      <w:bookmarkStart w:id="9" w:name="_Toc476306883"/>
      <w:bookmarkStart w:id="10" w:name="_Toc482705426"/>
    </w:p>
    <w:p w:rsidR="003F1DB5" w:rsidRDefault="00BF745E" w:rsidP="003F1DB5">
      <w:pPr>
        <w:pStyle w:val="ESnumberedparablue"/>
        <w:ind w:left="709"/>
        <w:rPr>
          <w:rFonts w:asciiTheme="minorHAnsi" w:hAnsiTheme="minorHAnsi"/>
          <w:i/>
          <w:color w:val="auto"/>
          <w:sz w:val="24"/>
        </w:rPr>
      </w:pPr>
      <w:r w:rsidRPr="003F2089">
        <w:rPr>
          <w:rFonts w:asciiTheme="minorHAnsi" w:hAnsiTheme="minorHAnsi"/>
          <w:i/>
          <w:color w:val="auto"/>
          <w:sz w:val="24"/>
        </w:rPr>
        <w:t>For more detail on PBAC’s view, see section 7 “PBAC outcome.”</w:t>
      </w:r>
    </w:p>
    <w:p w:rsidR="003F1DB5" w:rsidRPr="003F2089" w:rsidRDefault="003F1DB5" w:rsidP="003F1DB5">
      <w:pPr>
        <w:pStyle w:val="ESnumberedparablue"/>
        <w:ind w:left="709"/>
        <w:rPr>
          <w:rFonts w:asciiTheme="minorHAnsi" w:hAnsiTheme="minorHAnsi"/>
          <w:i/>
          <w:color w:val="auto"/>
          <w:sz w:val="24"/>
        </w:rPr>
      </w:pPr>
    </w:p>
    <w:p w:rsidR="00137F8D" w:rsidRPr="00412444" w:rsidRDefault="00647814" w:rsidP="00937D7B">
      <w:pPr>
        <w:pStyle w:val="Heading1"/>
        <w:keepNext/>
        <w:keepLines/>
        <w:widowControl/>
        <w:numPr>
          <w:ilvl w:val="0"/>
          <w:numId w:val="4"/>
        </w:numPr>
        <w:spacing w:before="400" w:after="120"/>
        <w:ind w:left="709" w:hanging="709"/>
        <w:rPr>
          <w:rFonts w:asciiTheme="minorHAnsi" w:eastAsiaTheme="majorEastAsia" w:hAnsiTheme="minorHAnsi" w:cstheme="majorBidi"/>
          <w:caps w:val="0"/>
          <w:snapToGrid/>
          <w:sz w:val="32"/>
          <w:szCs w:val="28"/>
        </w:rPr>
      </w:pPr>
      <w:r w:rsidRPr="00412444">
        <w:rPr>
          <w:rFonts w:asciiTheme="minorHAnsi" w:eastAsiaTheme="majorEastAsia" w:hAnsiTheme="minorHAnsi" w:cstheme="majorBidi"/>
          <w:caps w:val="0"/>
          <w:snapToGrid/>
          <w:sz w:val="32"/>
          <w:szCs w:val="28"/>
        </w:rPr>
        <w:t>Background</w:t>
      </w:r>
      <w:bookmarkEnd w:id="8"/>
      <w:bookmarkEnd w:id="9"/>
      <w:bookmarkEnd w:id="10"/>
    </w:p>
    <w:p w:rsidR="003B27A7" w:rsidRPr="00763BD0" w:rsidRDefault="003B27A7" w:rsidP="00937D7B">
      <w:pPr>
        <w:widowControl/>
        <w:numPr>
          <w:ilvl w:val="0"/>
          <w:numId w:val="3"/>
        </w:numPr>
        <w:spacing w:before="200" w:after="120"/>
        <w:rPr>
          <w:vanish/>
        </w:rPr>
      </w:pPr>
    </w:p>
    <w:p w:rsidR="0014287E" w:rsidRPr="009F09BC" w:rsidRDefault="00137F8D"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TGA status</w:t>
      </w:r>
      <w:r w:rsidR="005C5C3C" w:rsidRPr="009F09BC">
        <w:rPr>
          <w:rFonts w:asciiTheme="minorHAnsi" w:hAnsiTheme="minorHAnsi"/>
          <w:color w:val="auto"/>
          <w:sz w:val="24"/>
        </w:rPr>
        <w:t xml:space="preserve"> at the time of PBAC consideration</w:t>
      </w:r>
      <w:r w:rsidRPr="009F09BC">
        <w:rPr>
          <w:rFonts w:asciiTheme="minorHAnsi" w:hAnsiTheme="minorHAnsi"/>
          <w:color w:val="auto"/>
          <w:sz w:val="24"/>
        </w:rPr>
        <w:t xml:space="preserve">: </w:t>
      </w:r>
      <w:proofErr w:type="spellStart"/>
      <w:r w:rsidR="007D3B2B" w:rsidRPr="009F09BC">
        <w:rPr>
          <w:rFonts w:asciiTheme="minorHAnsi" w:hAnsiTheme="minorHAnsi"/>
          <w:color w:val="auto"/>
          <w:sz w:val="24"/>
        </w:rPr>
        <w:t>Dapagliflozin</w:t>
      </w:r>
      <w:proofErr w:type="spellEnd"/>
      <w:r w:rsidR="007D3B2B" w:rsidRPr="009F09BC">
        <w:rPr>
          <w:rFonts w:asciiTheme="minorHAnsi" w:hAnsiTheme="minorHAnsi"/>
          <w:color w:val="auto"/>
          <w:sz w:val="24"/>
        </w:rPr>
        <w:t xml:space="preserve"> </w:t>
      </w:r>
      <w:r w:rsidR="000A0D9C" w:rsidRPr="009F09BC">
        <w:rPr>
          <w:rFonts w:asciiTheme="minorHAnsi" w:hAnsiTheme="minorHAnsi"/>
          <w:color w:val="auto"/>
          <w:sz w:val="24"/>
        </w:rPr>
        <w:t>was</w:t>
      </w:r>
      <w:r w:rsidR="007D3B2B" w:rsidRPr="009F09BC">
        <w:rPr>
          <w:rFonts w:asciiTheme="minorHAnsi" w:hAnsiTheme="minorHAnsi"/>
          <w:color w:val="auto"/>
          <w:sz w:val="24"/>
        </w:rPr>
        <w:t xml:space="preserve"> TGA registered</w:t>
      </w:r>
      <w:r w:rsidR="000A0D9C" w:rsidRPr="009F09BC">
        <w:rPr>
          <w:rFonts w:asciiTheme="minorHAnsi" w:hAnsiTheme="minorHAnsi"/>
          <w:color w:val="auto"/>
          <w:sz w:val="24"/>
        </w:rPr>
        <w:t xml:space="preserve"> on 26 October 2016</w:t>
      </w:r>
      <w:r w:rsidR="00C17866" w:rsidRPr="009F09BC">
        <w:rPr>
          <w:rFonts w:asciiTheme="minorHAnsi" w:hAnsiTheme="minorHAnsi"/>
          <w:color w:val="auto"/>
          <w:sz w:val="24"/>
        </w:rPr>
        <w:t xml:space="preserve"> </w:t>
      </w:r>
      <w:r w:rsidR="007D3B2B" w:rsidRPr="009F09BC">
        <w:rPr>
          <w:rFonts w:asciiTheme="minorHAnsi" w:hAnsiTheme="minorHAnsi"/>
          <w:color w:val="auto"/>
          <w:sz w:val="24"/>
        </w:rPr>
        <w:t xml:space="preserve">for use in patients with type 2 diabetes </w:t>
      </w:r>
      <w:r w:rsidR="007B31A8">
        <w:rPr>
          <w:rFonts w:asciiTheme="minorHAnsi" w:hAnsiTheme="minorHAnsi"/>
          <w:color w:val="auto"/>
          <w:sz w:val="24"/>
        </w:rPr>
        <w:t xml:space="preserve">in combination with </w:t>
      </w:r>
      <w:proofErr w:type="spellStart"/>
      <w:r w:rsidR="007B31A8">
        <w:rPr>
          <w:rFonts w:asciiTheme="minorHAnsi" w:hAnsiTheme="minorHAnsi"/>
          <w:color w:val="auto"/>
          <w:sz w:val="24"/>
        </w:rPr>
        <w:t>saxagliptin</w:t>
      </w:r>
      <w:proofErr w:type="spellEnd"/>
      <w:r w:rsidR="007B31A8">
        <w:rPr>
          <w:rFonts w:asciiTheme="minorHAnsi" w:hAnsiTheme="minorHAnsi"/>
          <w:color w:val="auto"/>
          <w:sz w:val="24"/>
        </w:rPr>
        <w:t xml:space="preserve"> </w:t>
      </w:r>
      <w:r w:rsidR="002C0A44" w:rsidRPr="009F09BC">
        <w:rPr>
          <w:rFonts w:asciiTheme="minorHAnsi" w:hAnsiTheme="minorHAnsi"/>
          <w:color w:val="auto"/>
          <w:sz w:val="24"/>
        </w:rPr>
        <w:t>as add-on combina</w:t>
      </w:r>
      <w:r w:rsidR="00A60418" w:rsidRPr="009F09BC">
        <w:rPr>
          <w:rFonts w:asciiTheme="minorHAnsi" w:hAnsiTheme="minorHAnsi"/>
          <w:color w:val="auto"/>
          <w:sz w:val="24"/>
        </w:rPr>
        <w:t>tion therapy with other glucose</w:t>
      </w:r>
      <w:r w:rsidR="00792E6B" w:rsidRPr="009F09BC">
        <w:rPr>
          <w:rFonts w:asciiTheme="minorHAnsi" w:hAnsiTheme="minorHAnsi"/>
          <w:color w:val="auto"/>
          <w:sz w:val="24"/>
        </w:rPr>
        <w:noBreakHyphen/>
      </w:r>
      <w:r w:rsidR="002C0A44" w:rsidRPr="009F09BC">
        <w:rPr>
          <w:rFonts w:asciiTheme="minorHAnsi" w:hAnsiTheme="minorHAnsi"/>
          <w:color w:val="auto"/>
          <w:sz w:val="24"/>
        </w:rPr>
        <w:t>lowering medicines including insulin.</w:t>
      </w:r>
      <w:r w:rsidR="00CC2862" w:rsidRPr="009F09BC">
        <w:rPr>
          <w:rFonts w:asciiTheme="minorHAnsi" w:hAnsiTheme="minorHAnsi"/>
          <w:color w:val="auto"/>
          <w:sz w:val="24"/>
        </w:rPr>
        <w:t xml:space="preserve"> </w:t>
      </w:r>
      <w:proofErr w:type="spellStart"/>
      <w:r w:rsidR="00CC2862" w:rsidRPr="009F09BC">
        <w:rPr>
          <w:rFonts w:asciiTheme="minorHAnsi" w:hAnsiTheme="minorHAnsi"/>
          <w:color w:val="auto"/>
          <w:sz w:val="24"/>
        </w:rPr>
        <w:t>Dapagliflozin</w:t>
      </w:r>
      <w:proofErr w:type="spellEnd"/>
      <w:r w:rsidR="00CC2862" w:rsidRPr="009F09BC">
        <w:rPr>
          <w:rFonts w:asciiTheme="minorHAnsi" w:hAnsiTheme="minorHAnsi"/>
          <w:color w:val="auto"/>
          <w:sz w:val="24"/>
        </w:rPr>
        <w:t xml:space="preserve"> was first registered on the ARTG in 2012.</w:t>
      </w:r>
    </w:p>
    <w:p w:rsidR="00802A0E" w:rsidRPr="009F09BC" w:rsidRDefault="0014287E" w:rsidP="009F09BC">
      <w:pPr>
        <w:pStyle w:val="ESnumberedparablue"/>
        <w:numPr>
          <w:ilvl w:val="1"/>
          <w:numId w:val="3"/>
        </w:numPr>
        <w:ind w:left="709" w:hanging="709"/>
        <w:rPr>
          <w:rFonts w:asciiTheme="minorHAnsi" w:hAnsiTheme="minorHAnsi"/>
          <w:color w:val="auto"/>
          <w:sz w:val="24"/>
        </w:rPr>
      </w:pPr>
      <w:proofErr w:type="spellStart"/>
      <w:r w:rsidRPr="009F09BC">
        <w:rPr>
          <w:rFonts w:asciiTheme="minorHAnsi" w:hAnsiTheme="minorHAnsi"/>
          <w:color w:val="auto"/>
          <w:sz w:val="24"/>
        </w:rPr>
        <w:t>Dapagliflozin</w:t>
      </w:r>
      <w:proofErr w:type="spellEnd"/>
      <w:r w:rsidRPr="009F09BC">
        <w:rPr>
          <w:rFonts w:asciiTheme="minorHAnsi" w:hAnsiTheme="minorHAnsi"/>
          <w:color w:val="auto"/>
          <w:sz w:val="24"/>
        </w:rPr>
        <w:t xml:space="preserve"> is currently listed on the PBS </w:t>
      </w:r>
      <w:r w:rsidR="00403F8E" w:rsidRPr="009F09BC">
        <w:rPr>
          <w:rFonts w:asciiTheme="minorHAnsi" w:hAnsiTheme="minorHAnsi"/>
          <w:color w:val="auto"/>
          <w:sz w:val="24"/>
        </w:rPr>
        <w:t xml:space="preserve">for dual therapy </w:t>
      </w:r>
      <w:r w:rsidR="00802A0E" w:rsidRPr="009F09BC">
        <w:rPr>
          <w:rFonts w:asciiTheme="minorHAnsi" w:hAnsiTheme="minorHAnsi"/>
          <w:color w:val="auto"/>
          <w:sz w:val="24"/>
        </w:rPr>
        <w:t>in combination</w:t>
      </w:r>
      <w:r w:rsidR="00403F8E" w:rsidRPr="009F09BC">
        <w:rPr>
          <w:rFonts w:asciiTheme="minorHAnsi" w:hAnsiTheme="minorHAnsi"/>
          <w:color w:val="auto"/>
          <w:sz w:val="24"/>
        </w:rPr>
        <w:t xml:space="preserve"> with metformin or sulfonylurea, as </w:t>
      </w:r>
      <w:r w:rsidR="00802A0E" w:rsidRPr="009F09BC">
        <w:rPr>
          <w:rFonts w:asciiTheme="minorHAnsi" w:hAnsiTheme="minorHAnsi"/>
          <w:color w:val="auto"/>
          <w:sz w:val="24"/>
        </w:rPr>
        <w:t>t</w:t>
      </w:r>
      <w:r w:rsidR="00403F8E" w:rsidRPr="009F09BC">
        <w:rPr>
          <w:rFonts w:asciiTheme="minorHAnsi" w:hAnsiTheme="minorHAnsi"/>
          <w:color w:val="auto"/>
          <w:sz w:val="24"/>
        </w:rPr>
        <w:t xml:space="preserve">riple therapy </w:t>
      </w:r>
      <w:r w:rsidR="00802A0E" w:rsidRPr="009F09BC">
        <w:rPr>
          <w:rFonts w:asciiTheme="minorHAnsi" w:hAnsiTheme="minorHAnsi"/>
          <w:color w:val="auto"/>
          <w:sz w:val="24"/>
        </w:rPr>
        <w:t>w</w:t>
      </w:r>
      <w:r w:rsidR="00403F8E" w:rsidRPr="009F09BC">
        <w:rPr>
          <w:rFonts w:asciiTheme="minorHAnsi" w:hAnsiTheme="minorHAnsi"/>
          <w:color w:val="auto"/>
          <w:sz w:val="24"/>
        </w:rPr>
        <w:t xml:space="preserve">ith metformin and sulfonylurea and as </w:t>
      </w:r>
      <w:r w:rsidR="007B31A8">
        <w:rPr>
          <w:rFonts w:asciiTheme="minorHAnsi" w:hAnsiTheme="minorHAnsi"/>
          <w:color w:val="auto"/>
          <w:sz w:val="24"/>
        </w:rPr>
        <w:t>dual</w:t>
      </w:r>
      <w:r w:rsidR="00403F8E" w:rsidRPr="009F09BC">
        <w:rPr>
          <w:rFonts w:asciiTheme="minorHAnsi" w:hAnsiTheme="minorHAnsi"/>
          <w:color w:val="auto"/>
          <w:sz w:val="24"/>
        </w:rPr>
        <w:t xml:space="preserve"> therapy to insulin.</w:t>
      </w:r>
    </w:p>
    <w:p w:rsidR="00403F8E" w:rsidRPr="009F09BC" w:rsidRDefault="00802A0E" w:rsidP="009F09BC">
      <w:pPr>
        <w:pStyle w:val="ESnumberedparablue"/>
        <w:numPr>
          <w:ilvl w:val="1"/>
          <w:numId w:val="3"/>
        </w:numPr>
        <w:ind w:left="709" w:hanging="709"/>
        <w:rPr>
          <w:rFonts w:asciiTheme="minorHAnsi" w:hAnsiTheme="minorHAnsi"/>
          <w:color w:val="auto"/>
          <w:sz w:val="24"/>
        </w:rPr>
      </w:pPr>
      <w:proofErr w:type="spellStart"/>
      <w:r w:rsidRPr="009F09BC">
        <w:rPr>
          <w:rFonts w:asciiTheme="minorHAnsi" w:hAnsiTheme="minorHAnsi"/>
          <w:color w:val="auto"/>
          <w:sz w:val="24"/>
        </w:rPr>
        <w:t>Dapagliflozin</w:t>
      </w:r>
      <w:proofErr w:type="spellEnd"/>
      <w:r w:rsidRPr="009F09BC">
        <w:rPr>
          <w:rFonts w:asciiTheme="minorHAnsi" w:hAnsiTheme="minorHAnsi"/>
          <w:color w:val="auto"/>
          <w:sz w:val="24"/>
        </w:rPr>
        <w:t xml:space="preserve"> is not currently listed on the PBS for use as monotherapy or in combination therapy with a DPP4 inhibitor, with or without metformin, and this combination has not previously been considered by the PBAC. </w:t>
      </w:r>
      <w:r w:rsidR="00EE2336" w:rsidRPr="009F09BC">
        <w:rPr>
          <w:rFonts w:asciiTheme="minorHAnsi" w:hAnsiTheme="minorHAnsi"/>
          <w:color w:val="auto"/>
          <w:sz w:val="24"/>
        </w:rPr>
        <w:t xml:space="preserve">The PBAC previously considered and rejected a submission for </w:t>
      </w:r>
      <w:proofErr w:type="spellStart"/>
      <w:r w:rsidR="00EE2336" w:rsidRPr="009F09BC">
        <w:rPr>
          <w:rFonts w:asciiTheme="minorHAnsi" w:hAnsiTheme="minorHAnsi"/>
          <w:color w:val="auto"/>
          <w:sz w:val="24"/>
        </w:rPr>
        <w:t>empagliflozin</w:t>
      </w:r>
      <w:proofErr w:type="spellEnd"/>
      <w:r w:rsidR="00EE2336" w:rsidRPr="009F09BC">
        <w:rPr>
          <w:rFonts w:asciiTheme="minorHAnsi" w:hAnsiTheme="minorHAnsi"/>
          <w:color w:val="auto"/>
          <w:sz w:val="24"/>
        </w:rPr>
        <w:t>/</w:t>
      </w:r>
      <w:proofErr w:type="spellStart"/>
      <w:r w:rsidR="00EE2336" w:rsidRPr="009F09BC">
        <w:rPr>
          <w:rFonts w:asciiTheme="minorHAnsi" w:hAnsiTheme="minorHAnsi"/>
          <w:color w:val="auto"/>
          <w:sz w:val="24"/>
        </w:rPr>
        <w:t>linagliptin</w:t>
      </w:r>
      <w:proofErr w:type="spellEnd"/>
      <w:r w:rsidR="00EE2336" w:rsidRPr="009F09BC">
        <w:rPr>
          <w:rFonts w:asciiTheme="minorHAnsi" w:hAnsiTheme="minorHAnsi"/>
          <w:color w:val="auto"/>
          <w:sz w:val="24"/>
        </w:rPr>
        <w:t xml:space="preserve"> FDC at the March 2017 meeting.</w:t>
      </w:r>
    </w:p>
    <w:p w:rsidR="00403F8E" w:rsidRPr="009F09BC" w:rsidRDefault="00403F8E"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 xml:space="preserve">Three concurrent submissions for </w:t>
      </w:r>
      <w:proofErr w:type="spellStart"/>
      <w:r w:rsidRPr="009F09BC">
        <w:rPr>
          <w:rFonts w:asciiTheme="minorHAnsi" w:hAnsiTheme="minorHAnsi"/>
          <w:color w:val="auto"/>
          <w:sz w:val="24"/>
        </w:rPr>
        <w:t>dapagliflozin</w:t>
      </w:r>
      <w:proofErr w:type="spellEnd"/>
      <w:r w:rsidRPr="009F09BC">
        <w:rPr>
          <w:rFonts w:asciiTheme="minorHAnsi" w:hAnsiTheme="minorHAnsi"/>
          <w:color w:val="auto"/>
          <w:sz w:val="24"/>
        </w:rPr>
        <w:t xml:space="preserve"> in type 2 diabetes were presented for consideration at the July 2017 PBAC meeting:</w:t>
      </w:r>
    </w:p>
    <w:p w:rsidR="00403F8E" w:rsidRPr="002531DF" w:rsidRDefault="00403F8E" w:rsidP="00403F8E">
      <w:pPr>
        <w:pStyle w:val="ESnon-numberedpara"/>
        <w:ind w:left="0" w:firstLine="709"/>
        <w:rPr>
          <w:rFonts w:asciiTheme="minorHAnsi" w:hAnsiTheme="minorHAnsi"/>
          <w:sz w:val="24"/>
          <w:szCs w:val="24"/>
        </w:rPr>
      </w:pPr>
      <w:r w:rsidRPr="002531DF">
        <w:rPr>
          <w:rFonts w:asciiTheme="minorHAnsi" w:hAnsiTheme="minorHAnsi"/>
          <w:sz w:val="24"/>
          <w:szCs w:val="24"/>
        </w:rPr>
        <w:t xml:space="preserve">- </w:t>
      </w:r>
      <w:proofErr w:type="spellStart"/>
      <w:r w:rsidRPr="002531DF">
        <w:rPr>
          <w:rFonts w:asciiTheme="minorHAnsi" w:hAnsiTheme="minorHAnsi"/>
          <w:sz w:val="24"/>
          <w:szCs w:val="24"/>
        </w:rPr>
        <w:t>Dapagliflozin</w:t>
      </w:r>
      <w:proofErr w:type="spellEnd"/>
      <w:r w:rsidRPr="002531DF">
        <w:rPr>
          <w:rFonts w:asciiTheme="minorHAnsi" w:hAnsiTheme="minorHAnsi"/>
          <w:sz w:val="24"/>
          <w:szCs w:val="24"/>
        </w:rPr>
        <w:t xml:space="preserve"> add-on to metformin and a DPP4 inhibitor (this submission);</w:t>
      </w:r>
    </w:p>
    <w:p w:rsidR="00403F8E" w:rsidRPr="002531DF" w:rsidRDefault="00403F8E" w:rsidP="00403F8E">
      <w:pPr>
        <w:pStyle w:val="ESnon-numberedpara"/>
        <w:ind w:left="0" w:firstLine="709"/>
        <w:rPr>
          <w:rFonts w:asciiTheme="minorHAnsi" w:hAnsiTheme="minorHAnsi"/>
          <w:sz w:val="24"/>
          <w:szCs w:val="24"/>
        </w:rPr>
      </w:pPr>
      <w:r w:rsidRPr="002531DF">
        <w:rPr>
          <w:rFonts w:asciiTheme="minorHAnsi" w:hAnsiTheme="minorHAnsi"/>
          <w:sz w:val="24"/>
          <w:szCs w:val="24"/>
        </w:rPr>
        <w:t xml:space="preserve">- </w:t>
      </w:r>
      <w:proofErr w:type="spellStart"/>
      <w:r w:rsidRPr="002531DF">
        <w:rPr>
          <w:rFonts w:asciiTheme="minorHAnsi" w:hAnsiTheme="minorHAnsi"/>
          <w:sz w:val="24"/>
          <w:szCs w:val="24"/>
        </w:rPr>
        <w:t>Dapagliflozin</w:t>
      </w:r>
      <w:proofErr w:type="spellEnd"/>
      <w:r w:rsidRPr="002531DF">
        <w:rPr>
          <w:rFonts w:asciiTheme="minorHAnsi" w:hAnsiTheme="minorHAnsi"/>
          <w:sz w:val="24"/>
          <w:szCs w:val="24"/>
        </w:rPr>
        <w:t xml:space="preserve"> with </w:t>
      </w:r>
      <w:proofErr w:type="spellStart"/>
      <w:r w:rsidRPr="002531DF">
        <w:rPr>
          <w:rFonts w:asciiTheme="minorHAnsi" w:hAnsiTheme="minorHAnsi"/>
          <w:sz w:val="24"/>
          <w:szCs w:val="24"/>
        </w:rPr>
        <w:t>saxagliptin</w:t>
      </w:r>
      <w:proofErr w:type="spellEnd"/>
      <w:r w:rsidRPr="002531DF">
        <w:rPr>
          <w:rFonts w:asciiTheme="minorHAnsi" w:hAnsiTheme="minorHAnsi"/>
          <w:sz w:val="24"/>
          <w:szCs w:val="24"/>
        </w:rPr>
        <w:t xml:space="preserve"> FDC (</w:t>
      </w:r>
      <w:r w:rsidR="00B8276C" w:rsidRPr="002531DF">
        <w:rPr>
          <w:rFonts w:asciiTheme="minorHAnsi" w:hAnsiTheme="minorHAnsi"/>
          <w:sz w:val="24"/>
          <w:szCs w:val="24"/>
        </w:rPr>
        <w:t xml:space="preserve">major </w:t>
      </w:r>
      <w:r w:rsidRPr="002531DF">
        <w:rPr>
          <w:rFonts w:asciiTheme="minorHAnsi" w:hAnsiTheme="minorHAnsi"/>
          <w:sz w:val="24"/>
          <w:szCs w:val="24"/>
        </w:rPr>
        <w:t>submission</w:t>
      </w:r>
      <w:r w:rsidR="007B31A8">
        <w:rPr>
          <w:rFonts w:asciiTheme="minorHAnsi" w:hAnsiTheme="minorHAnsi"/>
          <w:sz w:val="24"/>
          <w:szCs w:val="24"/>
        </w:rPr>
        <w:t>; item 5.13 refers</w:t>
      </w:r>
      <w:r w:rsidRPr="002531DF">
        <w:rPr>
          <w:rFonts w:asciiTheme="minorHAnsi" w:hAnsiTheme="minorHAnsi"/>
          <w:sz w:val="24"/>
          <w:szCs w:val="24"/>
        </w:rPr>
        <w:t>); and</w:t>
      </w:r>
    </w:p>
    <w:p w:rsidR="00BF745E" w:rsidRDefault="00403F8E" w:rsidP="007B31A8">
      <w:pPr>
        <w:pStyle w:val="ESnon-numberedpara"/>
        <w:rPr>
          <w:rFonts w:asciiTheme="minorHAnsi" w:hAnsiTheme="minorHAnsi"/>
          <w:sz w:val="24"/>
          <w:szCs w:val="24"/>
        </w:rPr>
      </w:pPr>
      <w:r w:rsidRPr="002531DF">
        <w:rPr>
          <w:rFonts w:asciiTheme="minorHAnsi" w:hAnsiTheme="minorHAnsi"/>
          <w:sz w:val="24"/>
          <w:szCs w:val="24"/>
        </w:rPr>
        <w:t xml:space="preserve">- </w:t>
      </w:r>
      <w:proofErr w:type="spellStart"/>
      <w:r w:rsidRPr="002531DF">
        <w:rPr>
          <w:rFonts w:asciiTheme="minorHAnsi" w:hAnsiTheme="minorHAnsi"/>
          <w:sz w:val="24"/>
          <w:szCs w:val="24"/>
        </w:rPr>
        <w:t>Dapagliflozin</w:t>
      </w:r>
      <w:proofErr w:type="spellEnd"/>
      <w:r w:rsidRPr="002531DF">
        <w:rPr>
          <w:rFonts w:asciiTheme="minorHAnsi" w:hAnsiTheme="minorHAnsi"/>
          <w:sz w:val="24"/>
          <w:szCs w:val="24"/>
        </w:rPr>
        <w:t xml:space="preserve"> with metformin XR FDC (minor submission</w:t>
      </w:r>
      <w:r w:rsidR="007B31A8">
        <w:rPr>
          <w:rFonts w:asciiTheme="minorHAnsi" w:hAnsiTheme="minorHAnsi"/>
          <w:sz w:val="24"/>
          <w:szCs w:val="24"/>
        </w:rPr>
        <w:t>; item 6.08 refers</w:t>
      </w:r>
      <w:r w:rsidRPr="002531DF">
        <w:rPr>
          <w:rFonts w:asciiTheme="minorHAnsi" w:hAnsiTheme="minorHAnsi"/>
          <w:sz w:val="24"/>
          <w:szCs w:val="24"/>
        </w:rPr>
        <w:t>).</w:t>
      </w:r>
    </w:p>
    <w:p w:rsidR="003F1DB5" w:rsidRPr="002531DF" w:rsidRDefault="003F1DB5" w:rsidP="003F1DB5">
      <w:pPr>
        <w:pStyle w:val="ESnon-numberedpara"/>
        <w:ind w:left="0"/>
        <w:rPr>
          <w:rFonts w:asciiTheme="minorHAnsi" w:hAnsiTheme="minorHAnsi"/>
          <w:sz w:val="24"/>
          <w:szCs w:val="24"/>
        </w:rPr>
      </w:pPr>
    </w:p>
    <w:p w:rsidR="00137F8D" w:rsidRPr="00412444" w:rsidRDefault="00137F8D" w:rsidP="00937D7B">
      <w:pPr>
        <w:pStyle w:val="Heading1"/>
        <w:keepNext/>
        <w:keepLines/>
        <w:widowControl/>
        <w:numPr>
          <w:ilvl w:val="0"/>
          <w:numId w:val="3"/>
        </w:numPr>
        <w:spacing w:before="400" w:after="120"/>
        <w:ind w:left="709" w:hanging="709"/>
        <w:jc w:val="left"/>
        <w:rPr>
          <w:rFonts w:asciiTheme="minorHAnsi" w:eastAsiaTheme="majorEastAsia" w:hAnsiTheme="minorHAnsi" w:cstheme="majorBidi"/>
          <w:caps w:val="0"/>
          <w:snapToGrid/>
          <w:sz w:val="32"/>
          <w:szCs w:val="28"/>
        </w:rPr>
      </w:pPr>
      <w:bookmarkStart w:id="11" w:name="_Toc476306884"/>
      <w:bookmarkStart w:id="12" w:name="_Toc482705427"/>
      <w:r w:rsidRPr="00412444">
        <w:rPr>
          <w:rFonts w:asciiTheme="minorHAnsi" w:eastAsiaTheme="majorEastAsia" w:hAnsiTheme="minorHAnsi" w:cstheme="majorBidi"/>
          <w:caps w:val="0"/>
          <w:snapToGrid/>
          <w:sz w:val="32"/>
          <w:szCs w:val="28"/>
        </w:rPr>
        <w:t>Population and disease</w:t>
      </w:r>
      <w:bookmarkEnd w:id="11"/>
      <w:bookmarkEnd w:id="12"/>
    </w:p>
    <w:p w:rsidR="00CC2862" w:rsidRPr="007B31A8" w:rsidRDefault="002A6F9E" w:rsidP="007B31A8">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 xml:space="preserve">The </w:t>
      </w:r>
      <w:r w:rsidR="005B27C2" w:rsidRPr="009F09BC">
        <w:rPr>
          <w:rFonts w:asciiTheme="minorHAnsi" w:hAnsiTheme="minorHAnsi"/>
          <w:color w:val="auto"/>
          <w:sz w:val="24"/>
        </w:rPr>
        <w:t>submission positioned</w:t>
      </w:r>
      <w:r w:rsidRPr="009F09BC">
        <w:rPr>
          <w:rFonts w:asciiTheme="minorHAnsi" w:hAnsiTheme="minorHAnsi"/>
          <w:color w:val="auto"/>
          <w:sz w:val="24"/>
        </w:rPr>
        <w:t xml:space="preserve"> </w:t>
      </w:r>
      <w:proofErr w:type="spellStart"/>
      <w:r w:rsidRPr="009F09BC">
        <w:rPr>
          <w:rFonts w:asciiTheme="minorHAnsi" w:hAnsiTheme="minorHAnsi"/>
          <w:color w:val="auto"/>
          <w:sz w:val="24"/>
        </w:rPr>
        <w:t>dapagliflozin</w:t>
      </w:r>
      <w:proofErr w:type="spellEnd"/>
      <w:r w:rsidRPr="009F09BC">
        <w:rPr>
          <w:rFonts w:asciiTheme="minorHAnsi" w:hAnsiTheme="minorHAnsi"/>
          <w:color w:val="auto"/>
          <w:sz w:val="24"/>
        </w:rPr>
        <w:t xml:space="preserve"> as an alternative add-on therapy</w:t>
      </w:r>
      <w:r w:rsidR="007B31A8">
        <w:rPr>
          <w:rFonts w:asciiTheme="minorHAnsi" w:hAnsiTheme="minorHAnsi"/>
          <w:color w:val="auto"/>
          <w:sz w:val="24"/>
        </w:rPr>
        <w:t xml:space="preserve"> in combination with metformin and a DPP4 inhibitor</w:t>
      </w:r>
      <w:r w:rsidR="000D6209" w:rsidRPr="009F09BC">
        <w:rPr>
          <w:rFonts w:asciiTheme="minorHAnsi" w:hAnsiTheme="minorHAnsi"/>
          <w:color w:val="auto"/>
          <w:sz w:val="24"/>
        </w:rPr>
        <w:t xml:space="preserve"> for </w:t>
      </w:r>
      <w:r w:rsidR="00124232" w:rsidRPr="009F09BC">
        <w:rPr>
          <w:rFonts w:asciiTheme="minorHAnsi" w:hAnsiTheme="minorHAnsi"/>
          <w:color w:val="auto"/>
          <w:sz w:val="24"/>
        </w:rPr>
        <w:t xml:space="preserve">adult </w:t>
      </w:r>
      <w:r w:rsidR="000D6209" w:rsidRPr="009F09BC">
        <w:rPr>
          <w:rFonts w:asciiTheme="minorHAnsi" w:hAnsiTheme="minorHAnsi"/>
          <w:color w:val="auto"/>
          <w:sz w:val="24"/>
        </w:rPr>
        <w:t xml:space="preserve">patients </w:t>
      </w:r>
      <w:r w:rsidR="00124232" w:rsidRPr="009F09BC">
        <w:rPr>
          <w:rFonts w:asciiTheme="minorHAnsi" w:hAnsiTheme="minorHAnsi"/>
          <w:color w:val="auto"/>
          <w:sz w:val="24"/>
        </w:rPr>
        <w:t xml:space="preserve">with type </w:t>
      </w:r>
      <w:proofErr w:type="gramStart"/>
      <w:r w:rsidR="00124232" w:rsidRPr="009F09BC">
        <w:rPr>
          <w:rFonts w:asciiTheme="minorHAnsi" w:hAnsiTheme="minorHAnsi"/>
          <w:color w:val="auto"/>
          <w:sz w:val="24"/>
        </w:rPr>
        <w:t>2 diabetes</w:t>
      </w:r>
      <w:proofErr w:type="gramEnd"/>
      <w:r w:rsidR="00124232" w:rsidRPr="009F09BC">
        <w:rPr>
          <w:rFonts w:asciiTheme="minorHAnsi" w:hAnsiTheme="minorHAnsi"/>
          <w:color w:val="auto"/>
          <w:sz w:val="24"/>
        </w:rPr>
        <w:t xml:space="preserve"> and </w:t>
      </w:r>
      <w:r w:rsidR="00026713" w:rsidRPr="009F09BC">
        <w:rPr>
          <w:rFonts w:asciiTheme="minorHAnsi" w:hAnsiTheme="minorHAnsi"/>
          <w:color w:val="auto"/>
          <w:sz w:val="24"/>
        </w:rPr>
        <w:t>inadequate</w:t>
      </w:r>
      <w:r w:rsidR="000D6209" w:rsidRPr="009F09BC">
        <w:rPr>
          <w:rFonts w:asciiTheme="minorHAnsi" w:hAnsiTheme="minorHAnsi"/>
          <w:color w:val="auto"/>
          <w:sz w:val="24"/>
        </w:rPr>
        <w:t xml:space="preserve"> glycaemic control despite treatment with metformin and a DPP4 inhibitor. </w:t>
      </w:r>
    </w:p>
    <w:p w:rsidR="005B27C2" w:rsidRDefault="005B27C2"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 xml:space="preserve">The </w:t>
      </w:r>
      <w:r w:rsidR="00792E6B">
        <w:rPr>
          <w:rFonts w:asciiTheme="minorHAnsi" w:hAnsiTheme="minorHAnsi"/>
          <w:color w:val="auto"/>
          <w:sz w:val="24"/>
        </w:rPr>
        <w:t xml:space="preserve">PBAC noted that the </w:t>
      </w:r>
      <w:r w:rsidRPr="002531DF">
        <w:rPr>
          <w:rFonts w:asciiTheme="minorHAnsi" w:hAnsiTheme="minorHAnsi"/>
          <w:color w:val="auto"/>
          <w:sz w:val="24"/>
        </w:rPr>
        <w:t xml:space="preserve">proposed clinical place in therapy </w:t>
      </w:r>
      <w:r w:rsidR="00792E6B">
        <w:rPr>
          <w:rFonts w:asciiTheme="minorHAnsi" w:hAnsiTheme="minorHAnsi"/>
          <w:color w:val="auto"/>
          <w:sz w:val="24"/>
        </w:rPr>
        <w:t xml:space="preserve">inappropriately </w:t>
      </w:r>
      <w:r w:rsidRPr="002531DF">
        <w:rPr>
          <w:rFonts w:asciiTheme="minorHAnsi" w:hAnsiTheme="minorHAnsi"/>
          <w:color w:val="auto"/>
          <w:sz w:val="24"/>
        </w:rPr>
        <w:t xml:space="preserve">restricts the initiation of triple therapy </w:t>
      </w:r>
      <w:r w:rsidR="00026713" w:rsidRPr="002531DF">
        <w:rPr>
          <w:rFonts w:asciiTheme="minorHAnsi" w:hAnsiTheme="minorHAnsi"/>
          <w:color w:val="auto"/>
          <w:sz w:val="24"/>
        </w:rPr>
        <w:t xml:space="preserve">to a fixed sequence of </w:t>
      </w:r>
      <w:proofErr w:type="spellStart"/>
      <w:r w:rsidR="00026713" w:rsidRPr="002531DF">
        <w:rPr>
          <w:rFonts w:asciiTheme="minorHAnsi" w:hAnsiTheme="minorHAnsi"/>
          <w:color w:val="auto"/>
          <w:sz w:val="24"/>
        </w:rPr>
        <w:t>dapagliflozin</w:t>
      </w:r>
      <w:proofErr w:type="spellEnd"/>
      <w:r w:rsidR="00026713" w:rsidRPr="002531DF">
        <w:rPr>
          <w:rFonts w:asciiTheme="minorHAnsi" w:hAnsiTheme="minorHAnsi"/>
          <w:color w:val="auto"/>
          <w:sz w:val="24"/>
        </w:rPr>
        <w:t xml:space="preserve"> add-on to metformin and a DPP4 </w:t>
      </w:r>
      <w:proofErr w:type="gramStart"/>
      <w:r w:rsidR="00026713" w:rsidRPr="002531DF">
        <w:rPr>
          <w:rFonts w:asciiTheme="minorHAnsi" w:hAnsiTheme="minorHAnsi"/>
          <w:color w:val="auto"/>
          <w:sz w:val="24"/>
        </w:rPr>
        <w:t>inhibitor</w:t>
      </w:r>
      <w:r w:rsidR="007B31A8">
        <w:rPr>
          <w:rFonts w:asciiTheme="minorHAnsi" w:hAnsiTheme="minorHAnsi"/>
          <w:color w:val="auto"/>
          <w:sz w:val="24"/>
        </w:rPr>
        <w:t>,</w:t>
      </w:r>
      <w:proofErr w:type="gramEnd"/>
      <w:r w:rsidR="00026713" w:rsidRPr="002531DF">
        <w:rPr>
          <w:rFonts w:asciiTheme="minorHAnsi" w:hAnsiTheme="minorHAnsi"/>
          <w:color w:val="auto"/>
          <w:sz w:val="24"/>
        </w:rPr>
        <w:t xml:space="preserve"> </w:t>
      </w:r>
      <w:r w:rsidR="007B31A8">
        <w:rPr>
          <w:rFonts w:asciiTheme="minorHAnsi" w:hAnsiTheme="minorHAnsi"/>
          <w:color w:val="auto"/>
          <w:sz w:val="24"/>
        </w:rPr>
        <w:t>this</w:t>
      </w:r>
      <w:r w:rsidR="007B31A8" w:rsidRPr="002531DF">
        <w:rPr>
          <w:rFonts w:asciiTheme="minorHAnsi" w:hAnsiTheme="minorHAnsi"/>
          <w:color w:val="auto"/>
          <w:sz w:val="24"/>
        </w:rPr>
        <w:t xml:space="preserve"> </w:t>
      </w:r>
      <w:r w:rsidRPr="002531DF">
        <w:rPr>
          <w:rFonts w:asciiTheme="minorHAnsi" w:hAnsiTheme="minorHAnsi"/>
          <w:color w:val="auto"/>
          <w:sz w:val="24"/>
        </w:rPr>
        <w:t xml:space="preserve">is </w:t>
      </w:r>
      <w:r w:rsidR="00445B90" w:rsidRPr="002531DF">
        <w:rPr>
          <w:rFonts w:asciiTheme="minorHAnsi" w:hAnsiTheme="minorHAnsi"/>
          <w:color w:val="auto"/>
          <w:sz w:val="24"/>
        </w:rPr>
        <w:t>narrower than</w:t>
      </w:r>
      <w:r w:rsidRPr="002531DF">
        <w:rPr>
          <w:rFonts w:asciiTheme="minorHAnsi" w:hAnsiTheme="minorHAnsi"/>
          <w:color w:val="auto"/>
          <w:sz w:val="24"/>
        </w:rPr>
        <w:t xml:space="preserve"> published guidelines and clinical practice</w:t>
      </w:r>
      <w:r w:rsidR="007B31A8">
        <w:rPr>
          <w:rFonts w:asciiTheme="minorHAnsi" w:hAnsiTheme="minorHAnsi"/>
          <w:color w:val="auto"/>
          <w:sz w:val="24"/>
        </w:rPr>
        <w:t xml:space="preserve"> which</w:t>
      </w:r>
      <w:r w:rsidR="00445B90" w:rsidRPr="002531DF">
        <w:rPr>
          <w:rFonts w:asciiTheme="minorHAnsi" w:hAnsiTheme="minorHAnsi"/>
          <w:color w:val="auto"/>
          <w:sz w:val="24"/>
        </w:rPr>
        <w:t xml:space="preserve"> </w:t>
      </w:r>
      <w:r w:rsidR="007B31A8" w:rsidRPr="002531DF">
        <w:rPr>
          <w:rFonts w:asciiTheme="minorHAnsi" w:hAnsiTheme="minorHAnsi"/>
          <w:color w:val="auto"/>
          <w:sz w:val="24"/>
        </w:rPr>
        <w:t xml:space="preserve">recommend </w:t>
      </w:r>
      <w:r w:rsidR="00026713" w:rsidRPr="002531DF">
        <w:rPr>
          <w:rFonts w:asciiTheme="minorHAnsi" w:hAnsiTheme="minorHAnsi"/>
          <w:color w:val="auto"/>
          <w:sz w:val="24"/>
        </w:rPr>
        <w:t xml:space="preserve">multiple options for add-on therapy across a range of glucose-lowering drugs at each line of therapy. </w:t>
      </w:r>
    </w:p>
    <w:p w:rsidR="00BF745E" w:rsidRDefault="00BF745E" w:rsidP="00BF745E">
      <w:pPr>
        <w:pStyle w:val="ListParagraph"/>
        <w:rPr>
          <w:rFonts w:asciiTheme="minorHAnsi" w:hAnsiTheme="minorHAnsi"/>
          <w:sz w:val="24"/>
        </w:rPr>
      </w:pPr>
    </w:p>
    <w:p w:rsidR="00BF745E" w:rsidRDefault="00BF745E" w:rsidP="00BF745E">
      <w:pPr>
        <w:pStyle w:val="ESnumberedparablue"/>
        <w:ind w:firstLine="709"/>
        <w:rPr>
          <w:rFonts w:asciiTheme="minorHAnsi" w:hAnsiTheme="minorHAnsi"/>
          <w:i/>
          <w:color w:val="auto"/>
          <w:sz w:val="24"/>
        </w:rPr>
      </w:pPr>
      <w:r w:rsidRPr="003F2089">
        <w:rPr>
          <w:rFonts w:asciiTheme="minorHAnsi" w:hAnsiTheme="minorHAnsi"/>
          <w:i/>
          <w:color w:val="auto"/>
          <w:sz w:val="24"/>
        </w:rPr>
        <w:t>For more detail on PBAC’s view, see section 7 “PBAC outcome.”</w:t>
      </w:r>
    </w:p>
    <w:p w:rsidR="003F1DB5" w:rsidRPr="003F2089" w:rsidRDefault="003F1DB5" w:rsidP="00BF745E">
      <w:pPr>
        <w:pStyle w:val="ESnumberedparablue"/>
        <w:ind w:firstLine="709"/>
        <w:rPr>
          <w:rFonts w:asciiTheme="minorHAnsi" w:hAnsiTheme="minorHAnsi"/>
          <w:i/>
          <w:color w:val="auto"/>
          <w:sz w:val="24"/>
        </w:rPr>
      </w:pPr>
    </w:p>
    <w:p w:rsidR="00137F8D" w:rsidRPr="00412444" w:rsidRDefault="00137F8D" w:rsidP="007B31A8">
      <w:pPr>
        <w:pStyle w:val="Heading1"/>
        <w:keepNext/>
        <w:keepLines/>
        <w:widowControl/>
        <w:numPr>
          <w:ilvl w:val="0"/>
          <w:numId w:val="3"/>
        </w:numPr>
        <w:spacing w:before="400" w:after="120"/>
        <w:ind w:left="709" w:hanging="709"/>
        <w:jc w:val="left"/>
        <w:rPr>
          <w:rFonts w:asciiTheme="minorHAnsi" w:eastAsiaTheme="majorEastAsia" w:hAnsiTheme="minorHAnsi" w:cstheme="majorBidi"/>
          <w:caps w:val="0"/>
          <w:snapToGrid/>
          <w:sz w:val="32"/>
          <w:szCs w:val="28"/>
        </w:rPr>
      </w:pPr>
      <w:bookmarkStart w:id="13" w:name="_Toc413139275"/>
      <w:bookmarkStart w:id="14" w:name="_Toc476306885"/>
      <w:bookmarkStart w:id="15" w:name="_Toc482705428"/>
      <w:r w:rsidRPr="00412444">
        <w:rPr>
          <w:rFonts w:asciiTheme="minorHAnsi" w:eastAsiaTheme="majorEastAsia" w:hAnsiTheme="minorHAnsi" w:cstheme="majorBidi"/>
          <w:caps w:val="0"/>
          <w:snapToGrid/>
          <w:sz w:val="32"/>
          <w:szCs w:val="28"/>
        </w:rPr>
        <w:t>Comparator</w:t>
      </w:r>
      <w:bookmarkEnd w:id="13"/>
      <w:bookmarkEnd w:id="14"/>
      <w:bookmarkEnd w:id="15"/>
    </w:p>
    <w:p w:rsidR="003B27A7" w:rsidRPr="00137642" w:rsidRDefault="003B27A7" w:rsidP="007B31A8">
      <w:pPr>
        <w:keepNext/>
        <w:rPr>
          <w:rFonts w:eastAsiaTheme="majorEastAsia"/>
        </w:rPr>
      </w:pPr>
    </w:p>
    <w:p w:rsidR="006A0EBF" w:rsidRPr="009F09BC" w:rsidRDefault="00792E6B" w:rsidP="007B31A8">
      <w:pPr>
        <w:pStyle w:val="ESnumberedparablue"/>
        <w:keepNext/>
        <w:numPr>
          <w:ilvl w:val="1"/>
          <w:numId w:val="3"/>
        </w:numPr>
        <w:ind w:left="709" w:hanging="709"/>
        <w:rPr>
          <w:rFonts w:asciiTheme="minorHAnsi" w:hAnsiTheme="minorHAnsi"/>
          <w:color w:val="auto"/>
          <w:sz w:val="24"/>
        </w:rPr>
      </w:pPr>
      <w:r>
        <w:rPr>
          <w:rFonts w:asciiTheme="minorHAnsi" w:hAnsiTheme="minorHAnsi"/>
          <w:color w:val="auto"/>
          <w:sz w:val="24"/>
        </w:rPr>
        <w:t>T</w:t>
      </w:r>
      <w:r w:rsidR="00CA7FC9" w:rsidRPr="002531DF">
        <w:rPr>
          <w:rFonts w:asciiTheme="minorHAnsi" w:hAnsiTheme="minorHAnsi"/>
          <w:color w:val="auto"/>
          <w:sz w:val="24"/>
        </w:rPr>
        <w:t>he submission nominated a m</w:t>
      </w:r>
      <w:r w:rsidR="000D6209" w:rsidRPr="002531DF">
        <w:rPr>
          <w:rFonts w:asciiTheme="minorHAnsi" w:hAnsiTheme="minorHAnsi"/>
          <w:color w:val="auto"/>
          <w:sz w:val="24"/>
        </w:rPr>
        <w:t xml:space="preserve">ixed comparator of long-acting insulin </w:t>
      </w:r>
      <w:r w:rsidR="007B31A8">
        <w:rPr>
          <w:rFonts w:asciiTheme="minorHAnsi" w:hAnsiTheme="minorHAnsi"/>
          <w:color w:val="auto"/>
          <w:sz w:val="24"/>
        </w:rPr>
        <w:t xml:space="preserve">in combination with metformin and a DPP4 inhibitor, </w:t>
      </w:r>
      <w:r w:rsidR="000D6209" w:rsidRPr="002531DF">
        <w:rPr>
          <w:rFonts w:asciiTheme="minorHAnsi" w:hAnsiTheme="minorHAnsi"/>
          <w:color w:val="auto"/>
          <w:sz w:val="24"/>
        </w:rPr>
        <w:t>and sulfonylureas</w:t>
      </w:r>
      <w:r w:rsidR="007B31A8">
        <w:rPr>
          <w:rFonts w:asciiTheme="minorHAnsi" w:hAnsiTheme="minorHAnsi"/>
          <w:color w:val="auto"/>
          <w:sz w:val="24"/>
        </w:rPr>
        <w:t xml:space="preserve"> in combination with metformin and a DPP4 inhibitor</w:t>
      </w:r>
      <w:r w:rsidR="000D6209" w:rsidRPr="002531DF">
        <w:rPr>
          <w:rFonts w:asciiTheme="minorHAnsi" w:hAnsiTheme="minorHAnsi"/>
          <w:color w:val="auto"/>
          <w:sz w:val="24"/>
        </w:rPr>
        <w:t>.</w:t>
      </w:r>
    </w:p>
    <w:p w:rsidR="005E5EAC" w:rsidRPr="002531DF" w:rsidDel="00BB046A" w:rsidRDefault="00255D1E" w:rsidP="009F09BC">
      <w:pPr>
        <w:pStyle w:val="ESnumberedparablue"/>
        <w:numPr>
          <w:ilvl w:val="1"/>
          <w:numId w:val="3"/>
        </w:numPr>
        <w:ind w:left="709" w:hanging="709"/>
        <w:rPr>
          <w:rFonts w:asciiTheme="minorHAnsi" w:hAnsiTheme="minorHAnsi"/>
          <w:color w:val="auto"/>
          <w:sz w:val="24"/>
        </w:rPr>
      </w:pPr>
      <w:r>
        <w:rPr>
          <w:rFonts w:asciiTheme="minorHAnsi" w:hAnsiTheme="minorHAnsi"/>
          <w:color w:val="auto"/>
          <w:sz w:val="24"/>
        </w:rPr>
        <w:t>T</w:t>
      </w:r>
      <w:r w:rsidR="005E5EAC" w:rsidRPr="002531DF" w:rsidDel="00BB046A">
        <w:rPr>
          <w:rFonts w:asciiTheme="minorHAnsi" w:hAnsiTheme="minorHAnsi"/>
          <w:color w:val="auto"/>
          <w:sz w:val="24"/>
        </w:rPr>
        <w:t>he submission</w:t>
      </w:r>
      <w:r>
        <w:rPr>
          <w:rFonts w:asciiTheme="minorHAnsi" w:hAnsiTheme="minorHAnsi"/>
          <w:color w:val="auto"/>
          <w:sz w:val="24"/>
        </w:rPr>
        <w:t>s</w:t>
      </w:r>
      <w:r w:rsidR="00C35D16" w:rsidRPr="002531DF" w:rsidDel="00BB046A">
        <w:rPr>
          <w:rFonts w:asciiTheme="minorHAnsi" w:hAnsiTheme="minorHAnsi"/>
          <w:color w:val="auto"/>
          <w:sz w:val="24"/>
        </w:rPr>
        <w:t xml:space="preserve"> </w:t>
      </w:r>
      <w:r w:rsidR="005E5EAC" w:rsidRPr="002531DF" w:rsidDel="00BB046A">
        <w:rPr>
          <w:rFonts w:asciiTheme="minorHAnsi" w:hAnsiTheme="minorHAnsi"/>
          <w:color w:val="auto"/>
          <w:sz w:val="24"/>
        </w:rPr>
        <w:t>claim that the therapy most likely to be replaced was primarily insulin, and to a lesser extent, sulfonylureas</w:t>
      </w:r>
      <w:r>
        <w:rPr>
          <w:rFonts w:asciiTheme="minorHAnsi" w:hAnsiTheme="minorHAnsi"/>
          <w:color w:val="auto"/>
          <w:sz w:val="24"/>
        </w:rPr>
        <w:t xml:space="preserve">, </w:t>
      </w:r>
      <w:r w:rsidR="00CC06D6">
        <w:rPr>
          <w:rFonts w:asciiTheme="minorHAnsi" w:hAnsiTheme="minorHAnsi"/>
          <w:color w:val="auto"/>
          <w:sz w:val="24"/>
        </w:rPr>
        <w:t xml:space="preserve">was </w:t>
      </w:r>
      <w:r w:rsidR="00CC06D6" w:rsidRPr="002531DF" w:rsidDel="00BB046A">
        <w:rPr>
          <w:rFonts w:asciiTheme="minorHAnsi" w:hAnsiTheme="minorHAnsi"/>
          <w:color w:val="auto"/>
          <w:sz w:val="24"/>
        </w:rPr>
        <w:t>based</w:t>
      </w:r>
      <w:r w:rsidR="005E5EAC" w:rsidRPr="002531DF" w:rsidDel="00BB046A">
        <w:rPr>
          <w:rFonts w:asciiTheme="minorHAnsi" w:hAnsiTheme="minorHAnsi"/>
          <w:color w:val="auto"/>
          <w:sz w:val="24"/>
        </w:rPr>
        <w:t xml:space="preserve"> on utilisation data from a 10% Medicare sample analysis and a previous version of the DUSC Diabetes Medicines Review (2016). An updated version of the review (February 2017) </w:t>
      </w:r>
      <w:r w:rsidR="00EE2336" w:rsidRPr="002531DF" w:rsidDel="00BB046A">
        <w:rPr>
          <w:rFonts w:asciiTheme="minorHAnsi" w:hAnsiTheme="minorHAnsi"/>
          <w:color w:val="auto"/>
          <w:sz w:val="24"/>
        </w:rPr>
        <w:t xml:space="preserve">that </w:t>
      </w:r>
      <w:r w:rsidR="005E5EAC" w:rsidRPr="002531DF" w:rsidDel="00BB046A">
        <w:rPr>
          <w:rFonts w:asciiTheme="minorHAnsi" w:hAnsiTheme="minorHAnsi"/>
          <w:color w:val="auto"/>
          <w:sz w:val="24"/>
        </w:rPr>
        <w:t>was provided to the sponsor</w:t>
      </w:r>
      <w:r w:rsidR="00EE2336" w:rsidRPr="002531DF" w:rsidDel="00BB046A">
        <w:rPr>
          <w:rFonts w:asciiTheme="minorHAnsi" w:hAnsiTheme="minorHAnsi"/>
          <w:color w:val="auto"/>
          <w:sz w:val="24"/>
        </w:rPr>
        <w:t xml:space="preserve"> was not used in the submission. </w:t>
      </w:r>
    </w:p>
    <w:p w:rsidR="001A135B" w:rsidRPr="00756289" w:rsidRDefault="005E5EAC" w:rsidP="009F09BC">
      <w:pPr>
        <w:pStyle w:val="ESnumberedparablue"/>
        <w:numPr>
          <w:ilvl w:val="1"/>
          <w:numId w:val="3"/>
        </w:numPr>
        <w:ind w:left="709" w:hanging="709"/>
        <w:rPr>
          <w:rFonts w:asciiTheme="minorHAnsi" w:hAnsiTheme="minorHAnsi"/>
          <w:color w:val="auto"/>
          <w:sz w:val="24"/>
        </w:rPr>
      </w:pPr>
      <w:r w:rsidRPr="00756289">
        <w:rPr>
          <w:rFonts w:asciiTheme="minorHAnsi" w:hAnsiTheme="minorHAnsi"/>
          <w:color w:val="auto"/>
          <w:sz w:val="24"/>
        </w:rPr>
        <w:t>The 10% Medicare sample</w:t>
      </w:r>
      <w:r w:rsidR="0056239E" w:rsidRPr="00756289">
        <w:rPr>
          <w:rFonts w:asciiTheme="minorHAnsi" w:hAnsiTheme="minorHAnsi"/>
          <w:color w:val="auto"/>
          <w:sz w:val="24"/>
        </w:rPr>
        <w:t xml:space="preserve"> analysis</w:t>
      </w:r>
      <w:r w:rsidR="00CE2F4E" w:rsidRPr="00756289">
        <w:rPr>
          <w:rFonts w:asciiTheme="minorHAnsi" w:hAnsiTheme="minorHAnsi"/>
          <w:color w:val="auto"/>
          <w:sz w:val="24"/>
        </w:rPr>
        <w:t xml:space="preserve"> relied on the percentage reductions in insulin and sulfonylureas after metformin with DPP4 inhibitor between 2012 and 2016</w:t>
      </w:r>
      <w:r w:rsidR="00EB1FE9" w:rsidRPr="00756289">
        <w:rPr>
          <w:rFonts w:asciiTheme="minorHAnsi" w:hAnsiTheme="minorHAnsi"/>
          <w:color w:val="auto"/>
          <w:sz w:val="24"/>
        </w:rPr>
        <w:t xml:space="preserve">. </w:t>
      </w:r>
      <w:r w:rsidR="00A118E7" w:rsidRPr="00756289">
        <w:rPr>
          <w:rFonts w:asciiTheme="minorHAnsi" w:hAnsiTheme="minorHAnsi"/>
          <w:color w:val="auto"/>
          <w:sz w:val="24"/>
        </w:rPr>
        <w:t>The PBAC considered that t</w:t>
      </w:r>
      <w:r w:rsidR="00EB1FE9" w:rsidRPr="00756289">
        <w:rPr>
          <w:rFonts w:asciiTheme="minorHAnsi" w:hAnsiTheme="minorHAnsi"/>
          <w:color w:val="auto"/>
          <w:sz w:val="24"/>
        </w:rPr>
        <w:t>his methodology</w:t>
      </w:r>
      <w:r w:rsidR="00BD13DA" w:rsidRPr="00756289">
        <w:rPr>
          <w:rFonts w:asciiTheme="minorHAnsi" w:hAnsiTheme="minorHAnsi"/>
          <w:color w:val="auto"/>
          <w:sz w:val="24"/>
        </w:rPr>
        <w:t xml:space="preserve"> </w:t>
      </w:r>
      <w:r w:rsidR="00A118E7" w:rsidRPr="00756289">
        <w:rPr>
          <w:rFonts w:asciiTheme="minorHAnsi" w:hAnsiTheme="minorHAnsi"/>
          <w:color w:val="auto"/>
          <w:sz w:val="24"/>
        </w:rPr>
        <w:t>was not</w:t>
      </w:r>
      <w:r w:rsidR="0056239E" w:rsidRPr="00756289">
        <w:rPr>
          <w:rFonts w:asciiTheme="minorHAnsi" w:hAnsiTheme="minorHAnsi"/>
          <w:color w:val="auto"/>
          <w:sz w:val="24"/>
        </w:rPr>
        <w:t xml:space="preserve"> reliable due to a number of issues:</w:t>
      </w:r>
      <w:r w:rsidRPr="00756289">
        <w:rPr>
          <w:rFonts w:asciiTheme="minorHAnsi" w:hAnsiTheme="minorHAnsi"/>
          <w:color w:val="auto"/>
          <w:sz w:val="24"/>
        </w:rPr>
        <w:t xml:space="preserve"> </w:t>
      </w:r>
      <w:r w:rsidR="0056239E" w:rsidRPr="00756289">
        <w:rPr>
          <w:rFonts w:asciiTheme="minorHAnsi" w:hAnsiTheme="minorHAnsi"/>
          <w:color w:val="auto"/>
          <w:sz w:val="24"/>
        </w:rPr>
        <w:t>the analysis did not consider the broader population initiating triple therapy after treatment switching or through other sequences of treatment addition (e.g. metformin and SGLT2 inhibitor first, then a DPP4 inhibitor); the analysis presented relative change</w:t>
      </w:r>
      <w:r w:rsidR="003159D3" w:rsidRPr="00756289">
        <w:rPr>
          <w:rFonts w:asciiTheme="minorHAnsi" w:hAnsiTheme="minorHAnsi"/>
          <w:color w:val="auto"/>
          <w:sz w:val="24"/>
        </w:rPr>
        <w:t>s</w:t>
      </w:r>
      <w:r w:rsidR="0056239E" w:rsidRPr="00756289">
        <w:rPr>
          <w:rFonts w:asciiTheme="minorHAnsi" w:hAnsiTheme="minorHAnsi"/>
          <w:color w:val="auto"/>
          <w:sz w:val="24"/>
        </w:rPr>
        <w:t xml:space="preserve"> in triple therapy regimen</w:t>
      </w:r>
      <w:r w:rsidR="003159D3" w:rsidRPr="00756289">
        <w:rPr>
          <w:rFonts w:asciiTheme="minorHAnsi" w:hAnsiTheme="minorHAnsi"/>
          <w:color w:val="auto"/>
          <w:sz w:val="24"/>
        </w:rPr>
        <w:t xml:space="preserve"> utilisation</w:t>
      </w:r>
      <w:r w:rsidR="0056239E" w:rsidRPr="00756289">
        <w:rPr>
          <w:rFonts w:asciiTheme="minorHAnsi" w:hAnsiTheme="minorHAnsi"/>
          <w:color w:val="auto"/>
          <w:sz w:val="24"/>
        </w:rPr>
        <w:t xml:space="preserve"> that may not reflect </w:t>
      </w:r>
      <w:r w:rsidR="003159D3" w:rsidRPr="00756289">
        <w:rPr>
          <w:rFonts w:asciiTheme="minorHAnsi" w:hAnsiTheme="minorHAnsi"/>
          <w:color w:val="auto"/>
          <w:sz w:val="24"/>
        </w:rPr>
        <w:t>absolute market growth</w:t>
      </w:r>
      <w:r w:rsidR="0056239E" w:rsidRPr="00756289">
        <w:rPr>
          <w:rFonts w:asciiTheme="minorHAnsi" w:hAnsiTheme="minorHAnsi"/>
          <w:color w:val="auto"/>
          <w:sz w:val="24"/>
        </w:rPr>
        <w:t xml:space="preserve">; and the </w:t>
      </w:r>
      <w:r w:rsidR="003159D3" w:rsidRPr="00756289">
        <w:rPr>
          <w:rFonts w:asciiTheme="minorHAnsi" w:hAnsiTheme="minorHAnsi"/>
          <w:color w:val="auto"/>
          <w:sz w:val="24"/>
        </w:rPr>
        <w:t>m</w:t>
      </w:r>
      <w:r w:rsidR="00D44BEE" w:rsidRPr="00756289">
        <w:rPr>
          <w:rFonts w:asciiTheme="minorHAnsi" w:hAnsiTheme="minorHAnsi"/>
          <w:color w:val="auto"/>
          <w:sz w:val="24"/>
        </w:rPr>
        <w:t>ethods</w:t>
      </w:r>
      <w:r w:rsidR="003159D3" w:rsidRPr="00756289">
        <w:rPr>
          <w:rFonts w:asciiTheme="minorHAnsi" w:hAnsiTheme="minorHAnsi"/>
          <w:color w:val="auto"/>
          <w:sz w:val="24"/>
        </w:rPr>
        <w:t xml:space="preserve"> used to determine persistence </w:t>
      </w:r>
      <w:r w:rsidR="006776BF" w:rsidRPr="00756289">
        <w:rPr>
          <w:rFonts w:asciiTheme="minorHAnsi" w:hAnsiTheme="minorHAnsi"/>
          <w:color w:val="auto"/>
          <w:sz w:val="24"/>
        </w:rPr>
        <w:t xml:space="preserve">with </w:t>
      </w:r>
      <w:r w:rsidR="003159D3" w:rsidRPr="00756289">
        <w:rPr>
          <w:rFonts w:asciiTheme="minorHAnsi" w:hAnsiTheme="minorHAnsi"/>
          <w:color w:val="auto"/>
          <w:sz w:val="24"/>
        </w:rPr>
        <w:t>non-insulin drug therapy</w:t>
      </w:r>
      <w:r w:rsidR="0056239E" w:rsidRPr="00756289">
        <w:rPr>
          <w:rFonts w:asciiTheme="minorHAnsi" w:hAnsiTheme="minorHAnsi"/>
          <w:color w:val="auto"/>
          <w:sz w:val="24"/>
        </w:rPr>
        <w:t xml:space="preserve"> may overestimate co-administration and underestimate treatment</w:t>
      </w:r>
      <w:r w:rsidR="009A5F9E" w:rsidRPr="00756289">
        <w:rPr>
          <w:rFonts w:asciiTheme="minorHAnsi" w:hAnsiTheme="minorHAnsi"/>
          <w:color w:val="auto"/>
          <w:sz w:val="24"/>
        </w:rPr>
        <w:noBreakHyphen/>
      </w:r>
      <w:r w:rsidR="0056239E" w:rsidRPr="00756289">
        <w:rPr>
          <w:rFonts w:asciiTheme="minorHAnsi" w:hAnsiTheme="minorHAnsi"/>
          <w:color w:val="auto"/>
          <w:sz w:val="24"/>
        </w:rPr>
        <w:t>switching.</w:t>
      </w:r>
      <w:r w:rsidR="00F5313B" w:rsidRPr="00756289">
        <w:rPr>
          <w:rFonts w:asciiTheme="minorHAnsi" w:hAnsiTheme="minorHAnsi"/>
          <w:color w:val="auto"/>
          <w:sz w:val="24"/>
        </w:rPr>
        <w:t xml:space="preserve"> </w:t>
      </w:r>
    </w:p>
    <w:p w:rsidR="006D4948" w:rsidRPr="00756289" w:rsidRDefault="0056239E" w:rsidP="009F09BC">
      <w:pPr>
        <w:pStyle w:val="ESnumberedparablue"/>
        <w:numPr>
          <w:ilvl w:val="1"/>
          <w:numId w:val="3"/>
        </w:numPr>
        <w:ind w:left="709" w:hanging="709"/>
        <w:rPr>
          <w:rFonts w:asciiTheme="minorHAnsi" w:hAnsiTheme="minorHAnsi"/>
          <w:color w:val="auto"/>
          <w:sz w:val="24"/>
        </w:rPr>
      </w:pPr>
      <w:r w:rsidRPr="00756289">
        <w:rPr>
          <w:rFonts w:asciiTheme="minorHAnsi" w:hAnsiTheme="minorHAnsi"/>
          <w:color w:val="auto"/>
          <w:sz w:val="24"/>
        </w:rPr>
        <w:t xml:space="preserve">The analysis presented in the submission was inconsistent with </w:t>
      </w:r>
      <w:r w:rsidR="006D4948" w:rsidRPr="00756289">
        <w:rPr>
          <w:rFonts w:asciiTheme="minorHAnsi" w:hAnsiTheme="minorHAnsi"/>
          <w:color w:val="auto"/>
          <w:sz w:val="24"/>
        </w:rPr>
        <w:t xml:space="preserve">the </w:t>
      </w:r>
      <w:r w:rsidRPr="00756289">
        <w:rPr>
          <w:rFonts w:asciiTheme="minorHAnsi" w:hAnsiTheme="minorHAnsi"/>
          <w:color w:val="auto"/>
          <w:sz w:val="24"/>
        </w:rPr>
        <w:t>DUSC</w:t>
      </w:r>
      <w:r w:rsidR="006D4948" w:rsidRPr="00756289">
        <w:rPr>
          <w:rFonts w:asciiTheme="minorHAnsi" w:hAnsiTheme="minorHAnsi"/>
          <w:color w:val="auto"/>
          <w:sz w:val="24"/>
        </w:rPr>
        <w:t xml:space="preserve"> review</w:t>
      </w:r>
      <w:r w:rsidR="00967643" w:rsidRPr="00756289">
        <w:rPr>
          <w:rFonts w:asciiTheme="minorHAnsi" w:hAnsiTheme="minorHAnsi"/>
          <w:color w:val="auto"/>
          <w:sz w:val="24"/>
        </w:rPr>
        <w:t>,</w:t>
      </w:r>
      <w:r w:rsidR="006D4948" w:rsidRPr="00756289">
        <w:rPr>
          <w:rFonts w:asciiTheme="minorHAnsi" w:hAnsiTheme="minorHAnsi"/>
          <w:color w:val="auto"/>
          <w:sz w:val="24"/>
        </w:rPr>
        <w:t xml:space="preserve"> </w:t>
      </w:r>
      <w:r w:rsidR="006776BF" w:rsidRPr="00756289">
        <w:rPr>
          <w:rFonts w:asciiTheme="minorHAnsi" w:hAnsiTheme="minorHAnsi"/>
          <w:color w:val="auto"/>
          <w:sz w:val="24"/>
        </w:rPr>
        <w:t xml:space="preserve">which </w:t>
      </w:r>
      <w:r w:rsidRPr="00756289">
        <w:rPr>
          <w:rFonts w:asciiTheme="minorHAnsi" w:hAnsiTheme="minorHAnsi"/>
          <w:color w:val="auto"/>
          <w:sz w:val="24"/>
        </w:rPr>
        <w:t>suggest</w:t>
      </w:r>
      <w:r w:rsidR="006776BF" w:rsidRPr="00756289">
        <w:rPr>
          <w:rFonts w:asciiTheme="minorHAnsi" w:hAnsiTheme="minorHAnsi"/>
          <w:color w:val="auto"/>
          <w:sz w:val="24"/>
        </w:rPr>
        <w:t>ed</w:t>
      </w:r>
      <w:r w:rsidRPr="00756289">
        <w:rPr>
          <w:rFonts w:asciiTheme="minorHAnsi" w:hAnsiTheme="minorHAnsi"/>
          <w:color w:val="auto"/>
          <w:sz w:val="24"/>
        </w:rPr>
        <w:t xml:space="preserve"> that the most commonly used agent with metformin and a DPP4 inhibitor in triple therapy is </w:t>
      </w:r>
      <w:r w:rsidR="007B31A8" w:rsidRPr="00756289">
        <w:rPr>
          <w:rFonts w:asciiTheme="minorHAnsi" w:hAnsiTheme="minorHAnsi"/>
          <w:color w:val="auto"/>
          <w:sz w:val="24"/>
        </w:rPr>
        <w:t xml:space="preserve">a </w:t>
      </w:r>
      <w:r w:rsidRPr="00756289">
        <w:rPr>
          <w:rFonts w:asciiTheme="minorHAnsi" w:hAnsiTheme="minorHAnsi"/>
          <w:color w:val="auto"/>
          <w:sz w:val="24"/>
        </w:rPr>
        <w:t>su</w:t>
      </w:r>
      <w:r w:rsidR="006D4948" w:rsidRPr="00756289">
        <w:rPr>
          <w:rFonts w:asciiTheme="minorHAnsi" w:hAnsiTheme="minorHAnsi"/>
          <w:color w:val="auto"/>
          <w:sz w:val="24"/>
        </w:rPr>
        <w:t>lfonylurea</w:t>
      </w:r>
      <w:r w:rsidR="007B31A8" w:rsidRPr="00756289">
        <w:rPr>
          <w:rFonts w:asciiTheme="minorHAnsi" w:hAnsiTheme="minorHAnsi"/>
          <w:color w:val="auto"/>
          <w:sz w:val="24"/>
        </w:rPr>
        <w:t>,</w:t>
      </w:r>
      <w:r w:rsidR="006D4948" w:rsidRPr="00756289">
        <w:rPr>
          <w:rFonts w:asciiTheme="minorHAnsi" w:hAnsiTheme="minorHAnsi"/>
          <w:color w:val="auto"/>
          <w:sz w:val="24"/>
        </w:rPr>
        <w:t xml:space="preserve"> followed by insulin </w:t>
      </w:r>
      <w:r w:rsidRPr="00756289">
        <w:rPr>
          <w:rFonts w:asciiTheme="minorHAnsi" w:hAnsiTheme="minorHAnsi"/>
          <w:color w:val="auto"/>
          <w:sz w:val="24"/>
        </w:rPr>
        <w:t>(Figure 3, p15 of DUSC Diabetes Medicines Review February 2017).</w:t>
      </w:r>
      <w:r w:rsidR="00D44BEE" w:rsidRPr="00756289">
        <w:rPr>
          <w:rFonts w:asciiTheme="minorHAnsi" w:hAnsiTheme="minorHAnsi"/>
          <w:color w:val="auto"/>
          <w:sz w:val="24"/>
        </w:rPr>
        <w:t xml:space="preserve"> </w:t>
      </w:r>
      <w:r w:rsidR="006D4948" w:rsidRPr="00756289">
        <w:rPr>
          <w:rFonts w:asciiTheme="minorHAnsi" w:hAnsiTheme="minorHAnsi"/>
          <w:color w:val="auto"/>
          <w:sz w:val="24"/>
        </w:rPr>
        <w:t xml:space="preserve">The DUSC review </w:t>
      </w:r>
      <w:r w:rsidR="00D44BEE" w:rsidRPr="00756289">
        <w:rPr>
          <w:rFonts w:asciiTheme="minorHAnsi" w:hAnsiTheme="minorHAnsi"/>
          <w:color w:val="auto"/>
          <w:sz w:val="24"/>
        </w:rPr>
        <w:t xml:space="preserve">also </w:t>
      </w:r>
      <w:r w:rsidR="006D4948" w:rsidRPr="00756289">
        <w:rPr>
          <w:rFonts w:asciiTheme="minorHAnsi" w:hAnsiTheme="minorHAnsi"/>
          <w:color w:val="auto"/>
          <w:sz w:val="24"/>
        </w:rPr>
        <w:t xml:space="preserve">notes sharp increases in triple therapy regimens of insulin and </w:t>
      </w:r>
      <w:r w:rsidR="00D44BEE" w:rsidRPr="00756289">
        <w:rPr>
          <w:rFonts w:asciiTheme="minorHAnsi" w:hAnsiTheme="minorHAnsi"/>
          <w:color w:val="auto"/>
          <w:sz w:val="24"/>
        </w:rPr>
        <w:t xml:space="preserve">sulfonylurea with </w:t>
      </w:r>
      <w:r w:rsidR="006D4948" w:rsidRPr="00756289">
        <w:rPr>
          <w:rFonts w:asciiTheme="minorHAnsi" w:hAnsiTheme="minorHAnsi"/>
          <w:color w:val="auto"/>
          <w:sz w:val="24"/>
        </w:rPr>
        <w:t>SGLT2 inhibitor</w:t>
      </w:r>
      <w:r w:rsidR="00D44BEE" w:rsidRPr="00756289">
        <w:rPr>
          <w:rFonts w:asciiTheme="minorHAnsi" w:hAnsiTheme="minorHAnsi"/>
          <w:color w:val="auto"/>
          <w:sz w:val="24"/>
        </w:rPr>
        <w:t>s</w:t>
      </w:r>
      <w:r w:rsidR="006D4948" w:rsidRPr="00756289">
        <w:rPr>
          <w:rFonts w:asciiTheme="minorHAnsi" w:hAnsiTheme="minorHAnsi"/>
          <w:color w:val="auto"/>
          <w:sz w:val="24"/>
        </w:rPr>
        <w:t xml:space="preserve"> since PBS-listings of </w:t>
      </w:r>
      <w:proofErr w:type="spellStart"/>
      <w:r w:rsidR="006D4948" w:rsidRPr="00756289">
        <w:rPr>
          <w:rFonts w:asciiTheme="minorHAnsi" w:hAnsiTheme="minorHAnsi"/>
          <w:color w:val="auto"/>
          <w:sz w:val="24"/>
        </w:rPr>
        <w:t>dapagliflozin</w:t>
      </w:r>
      <w:proofErr w:type="spellEnd"/>
      <w:r w:rsidR="007B31A8" w:rsidRPr="00756289">
        <w:rPr>
          <w:rFonts w:asciiTheme="minorHAnsi" w:hAnsiTheme="minorHAnsi"/>
          <w:color w:val="auto"/>
          <w:sz w:val="24"/>
        </w:rPr>
        <w:t>,</w:t>
      </w:r>
      <w:r w:rsidR="006D4948" w:rsidRPr="00756289">
        <w:rPr>
          <w:rFonts w:asciiTheme="minorHAnsi" w:hAnsiTheme="minorHAnsi"/>
          <w:color w:val="auto"/>
          <w:sz w:val="24"/>
        </w:rPr>
        <w:t xml:space="preserve"> </w:t>
      </w:r>
      <w:r w:rsidR="00D44BEE" w:rsidRPr="00756289">
        <w:rPr>
          <w:rFonts w:asciiTheme="minorHAnsi" w:hAnsiTheme="minorHAnsi"/>
          <w:color w:val="auto"/>
          <w:sz w:val="24"/>
        </w:rPr>
        <w:t>and</w:t>
      </w:r>
      <w:r w:rsidR="006D4948" w:rsidRPr="00756289">
        <w:rPr>
          <w:rFonts w:asciiTheme="minorHAnsi" w:hAnsiTheme="minorHAnsi"/>
          <w:color w:val="auto"/>
          <w:sz w:val="24"/>
        </w:rPr>
        <w:t xml:space="preserve"> a growing number of patients on regimens containing both an SGLT2 inhibitor and a DPP4 inhibitor which is not </w:t>
      </w:r>
      <w:r w:rsidR="00792F23" w:rsidRPr="00756289">
        <w:rPr>
          <w:rFonts w:asciiTheme="minorHAnsi" w:hAnsiTheme="minorHAnsi"/>
          <w:color w:val="auto"/>
          <w:sz w:val="24"/>
        </w:rPr>
        <w:t xml:space="preserve">subsidised </w:t>
      </w:r>
      <w:r w:rsidR="006D4948" w:rsidRPr="00756289">
        <w:rPr>
          <w:rFonts w:asciiTheme="minorHAnsi" w:hAnsiTheme="minorHAnsi"/>
          <w:color w:val="auto"/>
          <w:sz w:val="24"/>
        </w:rPr>
        <w:t xml:space="preserve">under current restrictions. </w:t>
      </w:r>
      <w:r w:rsidR="007B31A8" w:rsidRPr="00756289">
        <w:rPr>
          <w:rFonts w:asciiTheme="minorHAnsi" w:hAnsiTheme="minorHAnsi"/>
          <w:color w:val="auto"/>
          <w:sz w:val="24"/>
        </w:rPr>
        <w:t>The PBAC also noted the advice from DUSC that multiple pathways can lead to this triple therapy regimen in clinical practice.</w:t>
      </w:r>
    </w:p>
    <w:p w:rsidR="00137F8D" w:rsidRDefault="007B31A8" w:rsidP="009F09BC">
      <w:pPr>
        <w:pStyle w:val="ESnumberedparablue"/>
        <w:numPr>
          <w:ilvl w:val="1"/>
          <w:numId w:val="3"/>
        </w:numPr>
        <w:ind w:left="709" w:hanging="709"/>
        <w:rPr>
          <w:rFonts w:asciiTheme="minorHAnsi" w:hAnsiTheme="minorHAnsi"/>
          <w:color w:val="auto"/>
          <w:sz w:val="24"/>
        </w:rPr>
      </w:pPr>
      <w:r w:rsidRPr="00756289">
        <w:rPr>
          <w:rFonts w:asciiTheme="minorHAnsi" w:hAnsiTheme="minorHAnsi"/>
          <w:color w:val="auto"/>
          <w:sz w:val="24"/>
        </w:rPr>
        <w:t>The PBAC noted that the submission did not consider other less costly triple therapy</w:t>
      </w:r>
      <w:r w:rsidRPr="002531DF">
        <w:rPr>
          <w:rFonts w:asciiTheme="minorHAnsi" w:hAnsiTheme="minorHAnsi"/>
          <w:color w:val="auto"/>
          <w:sz w:val="24"/>
        </w:rPr>
        <w:t xml:space="preserve"> regimens that could have a component replaced by </w:t>
      </w:r>
      <w:proofErr w:type="spellStart"/>
      <w:r w:rsidRPr="002531DF">
        <w:rPr>
          <w:rFonts w:asciiTheme="minorHAnsi" w:hAnsiTheme="minorHAnsi"/>
          <w:color w:val="auto"/>
          <w:sz w:val="24"/>
        </w:rPr>
        <w:t>dapagliflozin</w:t>
      </w:r>
      <w:proofErr w:type="spellEnd"/>
      <w:r w:rsidRPr="002531DF">
        <w:rPr>
          <w:rFonts w:asciiTheme="minorHAnsi" w:hAnsiTheme="minorHAnsi"/>
          <w:color w:val="auto"/>
          <w:sz w:val="24"/>
        </w:rPr>
        <w:t xml:space="preserve"> as alternative comparators. </w:t>
      </w:r>
      <w:r w:rsidR="00D756F5" w:rsidRPr="002531DF">
        <w:rPr>
          <w:rFonts w:asciiTheme="minorHAnsi" w:hAnsiTheme="minorHAnsi"/>
          <w:color w:val="auto"/>
          <w:sz w:val="24"/>
        </w:rPr>
        <w:t xml:space="preserve">In triple therapy, any of the sulfonylureas (e.g. </w:t>
      </w:r>
      <w:proofErr w:type="spellStart"/>
      <w:r w:rsidR="00D756F5" w:rsidRPr="002531DF">
        <w:rPr>
          <w:rFonts w:asciiTheme="minorHAnsi" w:hAnsiTheme="minorHAnsi"/>
          <w:color w:val="auto"/>
          <w:sz w:val="24"/>
        </w:rPr>
        <w:t>glibenclamide</w:t>
      </w:r>
      <w:proofErr w:type="spellEnd"/>
      <w:r w:rsidR="00D756F5" w:rsidRPr="002531DF">
        <w:rPr>
          <w:rFonts w:asciiTheme="minorHAnsi" w:hAnsiTheme="minorHAnsi"/>
          <w:color w:val="auto"/>
          <w:sz w:val="24"/>
        </w:rPr>
        <w:t xml:space="preserve">, </w:t>
      </w:r>
      <w:proofErr w:type="spellStart"/>
      <w:r w:rsidR="00D756F5" w:rsidRPr="002531DF">
        <w:rPr>
          <w:rFonts w:asciiTheme="minorHAnsi" w:hAnsiTheme="minorHAnsi"/>
          <w:color w:val="auto"/>
          <w:sz w:val="24"/>
        </w:rPr>
        <w:t>gliclazide</w:t>
      </w:r>
      <w:proofErr w:type="spellEnd"/>
      <w:r w:rsidR="00D756F5" w:rsidRPr="002531DF">
        <w:rPr>
          <w:rFonts w:asciiTheme="minorHAnsi" w:hAnsiTheme="minorHAnsi"/>
          <w:color w:val="auto"/>
          <w:sz w:val="24"/>
        </w:rPr>
        <w:t xml:space="preserve">, glimepiride, glipizide), </w:t>
      </w:r>
      <w:proofErr w:type="spellStart"/>
      <w:r w:rsidR="00D756F5" w:rsidRPr="002531DF">
        <w:rPr>
          <w:rFonts w:asciiTheme="minorHAnsi" w:hAnsiTheme="minorHAnsi"/>
          <w:color w:val="auto"/>
          <w:sz w:val="24"/>
        </w:rPr>
        <w:t>thiazolidinediones</w:t>
      </w:r>
      <w:proofErr w:type="spellEnd"/>
      <w:r w:rsidR="00D756F5" w:rsidRPr="002531DF">
        <w:rPr>
          <w:rFonts w:asciiTheme="minorHAnsi" w:hAnsiTheme="minorHAnsi"/>
          <w:color w:val="auto"/>
          <w:sz w:val="24"/>
        </w:rPr>
        <w:t xml:space="preserve"> (e.g. pioglitazone), DPP4 inhibitors (e.g. </w:t>
      </w:r>
      <w:proofErr w:type="spellStart"/>
      <w:r w:rsidR="00D756F5" w:rsidRPr="002531DF">
        <w:rPr>
          <w:rFonts w:asciiTheme="minorHAnsi" w:hAnsiTheme="minorHAnsi"/>
          <w:color w:val="auto"/>
          <w:sz w:val="24"/>
        </w:rPr>
        <w:t>alogliptin</w:t>
      </w:r>
      <w:proofErr w:type="spellEnd"/>
      <w:r w:rsidR="00D756F5" w:rsidRPr="002531DF">
        <w:rPr>
          <w:rFonts w:asciiTheme="minorHAnsi" w:hAnsiTheme="minorHAnsi"/>
          <w:color w:val="auto"/>
          <w:sz w:val="24"/>
        </w:rPr>
        <w:t xml:space="preserve">, </w:t>
      </w:r>
      <w:proofErr w:type="spellStart"/>
      <w:r w:rsidR="00D756F5" w:rsidRPr="002531DF">
        <w:rPr>
          <w:rFonts w:asciiTheme="minorHAnsi" w:hAnsiTheme="minorHAnsi"/>
          <w:color w:val="auto"/>
          <w:sz w:val="24"/>
        </w:rPr>
        <w:t>linagliptin</w:t>
      </w:r>
      <w:proofErr w:type="spellEnd"/>
      <w:r w:rsidR="00D756F5" w:rsidRPr="002531DF">
        <w:rPr>
          <w:rFonts w:asciiTheme="minorHAnsi" w:hAnsiTheme="minorHAnsi"/>
          <w:color w:val="auto"/>
          <w:sz w:val="24"/>
        </w:rPr>
        <w:t xml:space="preserve">, </w:t>
      </w:r>
      <w:proofErr w:type="spellStart"/>
      <w:r w:rsidR="00D756F5" w:rsidRPr="002531DF">
        <w:rPr>
          <w:rFonts w:asciiTheme="minorHAnsi" w:hAnsiTheme="minorHAnsi"/>
          <w:color w:val="auto"/>
          <w:sz w:val="24"/>
        </w:rPr>
        <w:t>saxagliptin</w:t>
      </w:r>
      <w:proofErr w:type="spellEnd"/>
      <w:r w:rsidR="00D756F5" w:rsidRPr="002531DF">
        <w:rPr>
          <w:rFonts w:asciiTheme="minorHAnsi" w:hAnsiTheme="minorHAnsi"/>
          <w:color w:val="auto"/>
          <w:sz w:val="24"/>
        </w:rPr>
        <w:t xml:space="preserve">, </w:t>
      </w:r>
      <w:proofErr w:type="spellStart"/>
      <w:r w:rsidR="00D756F5" w:rsidRPr="002531DF">
        <w:rPr>
          <w:rFonts w:asciiTheme="minorHAnsi" w:hAnsiTheme="minorHAnsi"/>
          <w:color w:val="auto"/>
          <w:sz w:val="24"/>
        </w:rPr>
        <w:t>sitagliptin</w:t>
      </w:r>
      <w:proofErr w:type="spellEnd"/>
      <w:r w:rsidR="00D756F5" w:rsidRPr="002531DF">
        <w:rPr>
          <w:rFonts w:asciiTheme="minorHAnsi" w:hAnsiTheme="minorHAnsi"/>
          <w:color w:val="auto"/>
          <w:sz w:val="24"/>
        </w:rPr>
        <w:t xml:space="preserve">, </w:t>
      </w:r>
      <w:proofErr w:type="spellStart"/>
      <w:r w:rsidR="00D756F5" w:rsidRPr="002531DF">
        <w:rPr>
          <w:rFonts w:asciiTheme="minorHAnsi" w:hAnsiTheme="minorHAnsi"/>
          <w:color w:val="auto"/>
          <w:sz w:val="24"/>
        </w:rPr>
        <w:t>vildagliptin</w:t>
      </w:r>
      <w:proofErr w:type="spellEnd"/>
      <w:r w:rsidR="00D756F5" w:rsidRPr="002531DF">
        <w:rPr>
          <w:rFonts w:asciiTheme="minorHAnsi" w:hAnsiTheme="minorHAnsi"/>
          <w:color w:val="auto"/>
          <w:sz w:val="24"/>
        </w:rPr>
        <w:t xml:space="preserve">), GLP-1 analogues (e.g. </w:t>
      </w:r>
      <w:proofErr w:type="spellStart"/>
      <w:r w:rsidR="00D756F5" w:rsidRPr="002531DF">
        <w:rPr>
          <w:rFonts w:asciiTheme="minorHAnsi" w:hAnsiTheme="minorHAnsi"/>
          <w:color w:val="auto"/>
          <w:sz w:val="24"/>
        </w:rPr>
        <w:t>exenatide</w:t>
      </w:r>
      <w:proofErr w:type="spellEnd"/>
      <w:r w:rsidR="00D756F5" w:rsidRPr="002531DF">
        <w:rPr>
          <w:rFonts w:asciiTheme="minorHAnsi" w:hAnsiTheme="minorHAnsi"/>
          <w:color w:val="auto"/>
          <w:sz w:val="24"/>
        </w:rPr>
        <w:t xml:space="preserve">), SGLT2 inhibitors (e.g. </w:t>
      </w:r>
      <w:proofErr w:type="spellStart"/>
      <w:r w:rsidR="00D756F5" w:rsidRPr="002531DF">
        <w:rPr>
          <w:rFonts w:asciiTheme="minorHAnsi" w:hAnsiTheme="minorHAnsi"/>
          <w:color w:val="auto"/>
          <w:sz w:val="24"/>
        </w:rPr>
        <w:t>empagliflozin</w:t>
      </w:r>
      <w:proofErr w:type="spellEnd"/>
      <w:r w:rsidR="00D756F5" w:rsidRPr="002531DF">
        <w:rPr>
          <w:rFonts w:asciiTheme="minorHAnsi" w:hAnsiTheme="minorHAnsi"/>
          <w:color w:val="auto"/>
          <w:sz w:val="24"/>
        </w:rPr>
        <w:t xml:space="preserve">), insulins (e.g. long-acting, intermediate-acting, short-acting) and </w:t>
      </w:r>
      <w:proofErr w:type="spellStart"/>
      <w:r w:rsidR="00D756F5" w:rsidRPr="002531DF">
        <w:rPr>
          <w:rFonts w:asciiTheme="minorHAnsi" w:hAnsiTheme="minorHAnsi"/>
          <w:color w:val="auto"/>
          <w:sz w:val="24"/>
        </w:rPr>
        <w:t>acarbose</w:t>
      </w:r>
      <w:proofErr w:type="spellEnd"/>
      <w:r w:rsidR="00D756F5" w:rsidRPr="002531DF">
        <w:rPr>
          <w:rFonts w:asciiTheme="minorHAnsi" w:hAnsiTheme="minorHAnsi"/>
          <w:color w:val="auto"/>
          <w:sz w:val="24"/>
        </w:rPr>
        <w:t xml:space="preserve"> could potentially be substituted by </w:t>
      </w:r>
      <w:proofErr w:type="spellStart"/>
      <w:r w:rsidR="00D756F5" w:rsidRPr="002531DF">
        <w:rPr>
          <w:rFonts w:asciiTheme="minorHAnsi" w:hAnsiTheme="minorHAnsi"/>
          <w:color w:val="auto"/>
          <w:sz w:val="24"/>
        </w:rPr>
        <w:t>dapagliflozin</w:t>
      </w:r>
      <w:proofErr w:type="spellEnd"/>
      <w:r w:rsidR="00D756F5" w:rsidRPr="002531DF">
        <w:rPr>
          <w:rFonts w:asciiTheme="minorHAnsi" w:hAnsiTheme="minorHAnsi"/>
          <w:color w:val="auto"/>
          <w:sz w:val="24"/>
        </w:rPr>
        <w:t>.</w:t>
      </w:r>
    </w:p>
    <w:p w:rsidR="00137F8D" w:rsidRPr="009B7E32" w:rsidRDefault="00CC06D6"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 xml:space="preserve">The PBAC also noted that the submission did not </w:t>
      </w:r>
      <w:r w:rsidR="00255D1E" w:rsidRPr="009F09BC">
        <w:rPr>
          <w:rFonts w:asciiTheme="minorHAnsi" w:hAnsiTheme="minorHAnsi"/>
          <w:color w:val="auto"/>
          <w:sz w:val="24"/>
        </w:rPr>
        <w:t xml:space="preserve">adequately identify distinct groups of patients in whom one therapy is appropriate but the other therapy is not. </w:t>
      </w:r>
      <w:r w:rsidRPr="009F09BC">
        <w:rPr>
          <w:rFonts w:asciiTheme="minorHAnsi" w:hAnsiTheme="minorHAnsi"/>
          <w:color w:val="auto"/>
          <w:sz w:val="24"/>
        </w:rPr>
        <w:t>Whilst the pre</w:t>
      </w:r>
      <w:r w:rsidRPr="009F09BC">
        <w:rPr>
          <w:rFonts w:asciiTheme="minorHAnsi" w:hAnsiTheme="minorHAnsi"/>
          <w:color w:val="auto"/>
          <w:sz w:val="24"/>
        </w:rPr>
        <w:noBreakHyphen/>
      </w:r>
      <w:r w:rsidR="00255D1E" w:rsidRPr="009F09BC">
        <w:rPr>
          <w:rFonts w:asciiTheme="minorHAnsi" w:hAnsiTheme="minorHAnsi"/>
          <w:color w:val="auto"/>
          <w:sz w:val="24"/>
        </w:rPr>
        <w:t>PBAC response</w:t>
      </w:r>
      <w:r w:rsidR="004E5702" w:rsidRPr="009F09BC">
        <w:rPr>
          <w:rFonts w:asciiTheme="minorHAnsi" w:hAnsiTheme="minorHAnsi"/>
          <w:color w:val="auto"/>
          <w:sz w:val="24"/>
        </w:rPr>
        <w:t xml:space="preserve"> (p2)</w:t>
      </w:r>
      <w:r w:rsidR="00255D1E" w:rsidRPr="009F09BC">
        <w:rPr>
          <w:rFonts w:asciiTheme="minorHAnsi" w:hAnsiTheme="minorHAnsi"/>
          <w:color w:val="auto"/>
          <w:sz w:val="24"/>
        </w:rPr>
        <w:t xml:space="preserve"> identified that it would be inappropriate for very elderly patients to use sulfonylureas because of the increased risk of hypoglycaemia, this would not account for </w:t>
      </w:r>
      <w:r w:rsidRPr="009F09BC">
        <w:rPr>
          <w:rFonts w:asciiTheme="minorHAnsi" w:hAnsiTheme="minorHAnsi"/>
          <w:color w:val="auto"/>
          <w:sz w:val="24"/>
        </w:rPr>
        <w:t xml:space="preserve">the </w:t>
      </w:r>
      <w:r w:rsidR="00255D1E" w:rsidRPr="009F09BC">
        <w:rPr>
          <w:rFonts w:asciiTheme="minorHAnsi" w:hAnsiTheme="minorHAnsi"/>
          <w:color w:val="auto"/>
          <w:sz w:val="24"/>
        </w:rPr>
        <w:t xml:space="preserve">70% of the cohort </w:t>
      </w:r>
      <w:r w:rsidRPr="009F09BC">
        <w:rPr>
          <w:rFonts w:asciiTheme="minorHAnsi" w:hAnsiTheme="minorHAnsi"/>
          <w:color w:val="auto"/>
          <w:sz w:val="24"/>
        </w:rPr>
        <w:t xml:space="preserve">the submission </w:t>
      </w:r>
      <w:r w:rsidR="00255D1E" w:rsidRPr="009F09BC">
        <w:rPr>
          <w:rFonts w:asciiTheme="minorHAnsi" w:hAnsiTheme="minorHAnsi"/>
          <w:color w:val="auto"/>
          <w:sz w:val="24"/>
        </w:rPr>
        <w:t xml:space="preserve">proposed </w:t>
      </w:r>
      <w:r w:rsidRPr="009F09BC">
        <w:rPr>
          <w:rFonts w:asciiTheme="minorHAnsi" w:hAnsiTheme="minorHAnsi"/>
          <w:color w:val="auto"/>
          <w:sz w:val="24"/>
        </w:rPr>
        <w:t>would</w:t>
      </w:r>
      <w:r w:rsidR="009B7E32" w:rsidRPr="009F09BC">
        <w:rPr>
          <w:rFonts w:asciiTheme="minorHAnsi" w:hAnsiTheme="minorHAnsi"/>
          <w:color w:val="auto"/>
          <w:sz w:val="24"/>
        </w:rPr>
        <w:t xml:space="preserve"> </w:t>
      </w:r>
      <w:r w:rsidR="00255D1E" w:rsidRPr="009F09BC">
        <w:rPr>
          <w:rFonts w:asciiTheme="minorHAnsi" w:hAnsiTheme="minorHAnsi"/>
          <w:color w:val="auto"/>
          <w:sz w:val="24"/>
        </w:rPr>
        <w:t>otherwise use insulin.</w:t>
      </w:r>
      <w:r w:rsidRPr="009F09BC">
        <w:rPr>
          <w:rFonts w:asciiTheme="minorHAnsi" w:hAnsiTheme="minorHAnsi"/>
          <w:color w:val="auto"/>
          <w:sz w:val="24"/>
        </w:rPr>
        <w:t xml:space="preserve"> </w:t>
      </w:r>
    </w:p>
    <w:p w:rsidR="00BF745E" w:rsidRDefault="00BF745E" w:rsidP="00255D1E">
      <w:pPr>
        <w:pStyle w:val="ESnumberedparablue"/>
        <w:ind w:firstLine="709"/>
        <w:rPr>
          <w:rFonts w:asciiTheme="minorHAnsi" w:hAnsiTheme="minorHAnsi"/>
          <w:i/>
          <w:color w:val="auto"/>
          <w:sz w:val="24"/>
        </w:rPr>
      </w:pPr>
      <w:r w:rsidRPr="009B7E32">
        <w:rPr>
          <w:rFonts w:asciiTheme="minorHAnsi" w:hAnsiTheme="minorHAnsi"/>
          <w:i/>
          <w:color w:val="auto"/>
          <w:sz w:val="24"/>
        </w:rPr>
        <w:t>For more detail on PBAC’s view, see section 7 “PBAC outcome.”</w:t>
      </w:r>
    </w:p>
    <w:p w:rsidR="003F1DB5" w:rsidRPr="009B7E32" w:rsidRDefault="003F1DB5" w:rsidP="00255D1E">
      <w:pPr>
        <w:pStyle w:val="ESnumberedparablue"/>
        <w:ind w:firstLine="709"/>
        <w:rPr>
          <w:rFonts w:asciiTheme="minorHAnsi" w:hAnsiTheme="minorHAnsi"/>
          <w:i/>
          <w:color w:val="auto"/>
          <w:sz w:val="24"/>
        </w:rPr>
      </w:pPr>
    </w:p>
    <w:p w:rsidR="00137F8D" w:rsidRPr="00763BD0" w:rsidRDefault="00137F8D" w:rsidP="00937D7B">
      <w:pPr>
        <w:pStyle w:val="Heading1"/>
        <w:keepNext/>
        <w:keepLines/>
        <w:widowControl/>
        <w:numPr>
          <w:ilvl w:val="0"/>
          <w:numId w:val="3"/>
        </w:numPr>
        <w:spacing w:before="400" w:after="120"/>
        <w:ind w:left="709" w:hanging="709"/>
        <w:jc w:val="left"/>
        <w:rPr>
          <w:rFonts w:asciiTheme="minorHAnsi" w:eastAsiaTheme="majorEastAsia" w:hAnsiTheme="minorHAnsi" w:cstheme="majorBidi"/>
          <w:caps w:val="0"/>
          <w:snapToGrid/>
          <w:sz w:val="32"/>
          <w:szCs w:val="28"/>
        </w:rPr>
      </w:pPr>
      <w:bookmarkStart w:id="16" w:name="_Toc413139276"/>
      <w:bookmarkStart w:id="17" w:name="_Toc476306886"/>
      <w:bookmarkStart w:id="18" w:name="_Toc482705429"/>
      <w:r w:rsidRPr="00763BD0">
        <w:rPr>
          <w:rFonts w:asciiTheme="minorHAnsi" w:eastAsiaTheme="majorEastAsia" w:hAnsiTheme="minorHAnsi" w:cstheme="majorBidi"/>
          <w:caps w:val="0"/>
          <w:snapToGrid/>
          <w:sz w:val="32"/>
          <w:szCs w:val="28"/>
        </w:rPr>
        <w:t>Consideration of the evidence</w:t>
      </w:r>
      <w:bookmarkEnd w:id="16"/>
      <w:bookmarkEnd w:id="17"/>
      <w:bookmarkEnd w:id="18"/>
    </w:p>
    <w:p w:rsidR="00BF745E" w:rsidRPr="00BF745E" w:rsidRDefault="00BF745E" w:rsidP="00BF745E">
      <w:pPr>
        <w:pStyle w:val="Heading2"/>
        <w:keepNext/>
        <w:keepLines/>
        <w:widowControl/>
        <w:spacing w:before="240" w:after="120"/>
        <w:rPr>
          <w:rFonts w:asciiTheme="minorHAnsi" w:eastAsiaTheme="majorEastAsia" w:hAnsiTheme="minorHAnsi" w:cstheme="majorBidi"/>
          <w:i/>
          <w:snapToGrid/>
          <w:sz w:val="28"/>
          <w:szCs w:val="28"/>
        </w:rPr>
      </w:pPr>
      <w:bookmarkStart w:id="19" w:name="_Toc413139277"/>
      <w:bookmarkStart w:id="20" w:name="_Toc476306887"/>
      <w:bookmarkStart w:id="21" w:name="_Toc482705430"/>
      <w:r w:rsidRPr="00BF745E">
        <w:rPr>
          <w:rFonts w:asciiTheme="minorHAnsi" w:eastAsiaTheme="majorEastAsia" w:hAnsiTheme="minorHAnsi" w:cstheme="majorBidi"/>
          <w:i/>
          <w:snapToGrid/>
          <w:sz w:val="28"/>
          <w:szCs w:val="28"/>
        </w:rPr>
        <w:t>Sponsor hearing</w:t>
      </w:r>
    </w:p>
    <w:p w:rsidR="00BF745E" w:rsidRPr="009F09BC" w:rsidRDefault="00BF745E"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There was no hearing for this item.</w:t>
      </w:r>
    </w:p>
    <w:p w:rsidR="00BF745E" w:rsidRPr="00127ACD" w:rsidRDefault="00BF745E" w:rsidP="00BD0BDF">
      <w:pPr>
        <w:spacing w:before="240" w:after="120" w:line="276" w:lineRule="auto"/>
        <w:outlineLvl w:val="1"/>
        <w:rPr>
          <w:rFonts w:asciiTheme="minorHAnsi" w:hAnsiTheme="minorHAnsi"/>
          <w:b/>
          <w:bCs/>
          <w:i/>
          <w:sz w:val="28"/>
          <w:szCs w:val="28"/>
        </w:rPr>
      </w:pPr>
      <w:r w:rsidRPr="00127ACD">
        <w:rPr>
          <w:rFonts w:asciiTheme="minorHAnsi" w:hAnsiTheme="minorHAnsi"/>
          <w:b/>
          <w:bCs/>
          <w:i/>
          <w:sz w:val="28"/>
          <w:szCs w:val="28"/>
        </w:rPr>
        <w:t>Consumer comments</w:t>
      </w:r>
    </w:p>
    <w:p w:rsidR="00BF745E" w:rsidRPr="009F09BC" w:rsidRDefault="00BF745E"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The PBAC noted that no consumer comments were received for this item.</w:t>
      </w:r>
    </w:p>
    <w:p w:rsidR="00137F8D" w:rsidRPr="00412444"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r w:rsidRPr="00412444">
        <w:rPr>
          <w:rFonts w:asciiTheme="minorHAnsi" w:eastAsiaTheme="majorEastAsia" w:hAnsiTheme="minorHAnsi" w:cstheme="majorBidi"/>
          <w:i/>
          <w:snapToGrid/>
          <w:sz w:val="28"/>
          <w:szCs w:val="28"/>
        </w:rPr>
        <w:t>Clinical trials</w:t>
      </w:r>
      <w:bookmarkEnd w:id="19"/>
      <w:bookmarkEnd w:id="20"/>
      <w:bookmarkEnd w:id="21"/>
    </w:p>
    <w:p w:rsidR="00137F8D" w:rsidRPr="00763BD0" w:rsidRDefault="00137F8D" w:rsidP="00937D7B">
      <w:pPr>
        <w:widowControl/>
        <w:numPr>
          <w:ilvl w:val="0"/>
          <w:numId w:val="34"/>
        </w:numPr>
        <w:spacing w:before="200" w:after="120"/>
        <w:rPr>
          <w:b/>
          <w:vanish/>
        </w:rPr>
      </w:pPr>
    </w:p>
    <w:p w:rsidR="00137F8D" w:rsidRPr="00763BD0" w:rsidRDefault="0026677D"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The submission presented an indirect comparison of </w:t>
      </w:r>
      <w:proofErr w:type="spellStart"/>
      <w:r w:rsidRPr="00763BD0">
        <w:rPr>
          <w:rFonts w:asciiTheme="minorHAnsi" w:hAnsiTheme="minorHAnsi"/>
          <w:color w:val="auto"/>
          <w:sz w:val="24"/>
        </w:rPr>
        <w:t>dapagliflozin</w:t>
      </w:r>
      <w:proofErr w:type="spellEnd"/>
      <w:r w:rsidR="002E788C" w:rsidRPr="00763BD0">
        <w:rPr>
          <w:rFonts w:asciiTheme="minorHAnsi" w:hAnsiTheme="minorHAnsi"/>
          <w:color w:val="auto"/>
          <w:sz w:val="24"/>
        </w:rPr>
        <w:t xml:space="preserve"> versus insulin </w:t>
      </w:r>
      <w:proofErr w:type="spellStart"/>
      <w:r w:rsidR="002E788C" w:rsidRPr="00763BD0">
        <w:rPr>
          <w:rFonts w:asciiTheme="minorHAnsi" w:hAnsiTheme="minorHAnsi"/>
          <w:color w:val="auto"/>
          <w:sz w:val="24"/>
        </w:rPr>
        <w:t>detemir</w:t>
      </w:r>
      <w:proofErr w:type="spellEnd"/>
      <w:r w:rsidR="002E788C" w:rsidRPr="00763BD0">
        <w:rPr>
          <w:rFonts w:asciiTheme="minorHAnsi" w:hAnsiTheme="minorHAnsi"/>
          <w:color w:val="auto"/>
          <w:sz w:val="24"/>
        </w:rPr>
        <w:t xml:space="preserve"> based on a meta-analysis of two </w:t>
      </w:r>
      <w:proofErr w:type="spellStart"/>
      <w:r w:rsidR="002E788C" w:rsidRPr="00763BD0">
        <w:rPr>
          <w:rFonts w:asciiTheme="minorHAnsi" w:hAnsiTheme="minorHAnsi"/>
          <w:color w:val="auto"/>
          <w:sz w:val="24"/>
        </w:rPr>
        <w:t>dapagliflozin</w:t>
      </w:r>
      <w:proofErr w:type="spellEnd"/>
      <w:r w:rsidR="002E788C" w:rsidRPr="00763BD0">
        <w:rPr>
          <w:rFonts w:asciiTheme="minorHAnsi" w:hAnsiTheme="minorHAnsi"/>
          <w:color w:val="auto"/>
          <w:sz w:val="24"/>
        </w:rPr>
        <w:t xml:space="preserve"> trials (Study 129 and Study 10 [stratum 2</w:t>
      </w:r>
      <w:r w:rsidR="00CC138C" w:rsidRPr="00763BD0">
        <w:rPr>
          <w:rFonts w:asciiTheme="minorHAnsi" w:hAnsiTheme="minorHAnsi"/>
          <w:color w:val="auto"/>
          <w:sz w:val="24"/>
        </w:rPr>
        <w:t xml:space="preserve">]) </w:t>
      </w:r>
      <w:r w:rsidR="002E788C" w:rsidRPr="00763BD0">
        <w:rPr>
          <w:rFonts w:asciiTheme="minorHAnsi" w:hAnsiTheme="minorHAnsi"/>
          <w:color w:val="auto"/>
          <w:sz w:val="24"/>
        </w:rPr>
        <w:t xml:space="preserve">and an insulin </w:t>
      </w:r>
      <w:proofErr w:type="spellStart"/>
      <w:r w:rsidR="002E788C" w:rsidRPr="00763BD0">
        <w:rPr>
          <w:rFonts w:asciiTheme="minorHAnsi" w:hAnsiTheme="minorHAnsi"/>
          <w:color w:val="auto"/>
          <w:sz w:val="24"/>
        </w:rPr>
        <w:t>detemir</w:t>
      </w:r>
      <w:proofErr w:type="spellEnd"/>
      <w:r w:rsidR="002E788C" w:rsidRPr="00763BD0">
        <w:rPr>
          <w:rFonts w:asciiTheme="minorHAnsi" w:hAnsiTheme="minorHAnsi"/>
          <w:color w:val="auto"/>
          <w:sz w:val="24"/>
        </w:rPr>
        <w:t xml:space="preserve"> trial (TRANSITION) with metformin and a DPP4 inhibitor as the common reference arm.</w:t>
      </w:r>
      <w:r w:rsidR="004C69AB">
        <w:rPr>
          <w:rFonts w:asciiTheme="minorHAnsi" w:hAnsiTheme="minorHAnsi"/>
          <w:color w:val="auto"/>
          <w:sz w:val="24"/>
        </w:rPr>
        <w:t xml:space="preserve"> The PBAC noted that these studies were identified on the basis of a strict progression through one sequence of treatment, and therefore may have excluded relevant studies.</w:t>
      </w:r>
    </w:p>
    <w:p w:rsidR="007B36F3" w:rsidRPr="00763BD0" w:rsidRDefault="007B36F3"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Study 10 contained two strata assessing </w:t>
      </w:r>
      <w:proofErr w:type="spellStart"/>
      <w:r w:rsidRPr="00763BD0">
        <w:rPr>
          <w:rFonts w:asciiTheme="minorHAnsi" w:hAnsiTheme="minorHAnsi"/>
          <w:color w:val="auto"/>
          <w:sz w:val="24"/>
        </w:rPr>
        <w:t>dapagliflozin</w:t>
      </w:r>
      <w:proofErr w:type="spellEnd"/>
      <w:r w:rsidRPr="00763BD0">
        <w:rPr>
          <w:rFonts w:asciiTheme="minorHAnsi" w:hAnsiTheme="minorHAnsi"/>
          <w:color w:val="auto"/>
          <w:sz w:val="24"/>
        </w:rPr>
        <w:t xml:space="preserve"> in dual therapy [Stratum 1] and triple therapy [Stratum 2</w:t>
      </w:r>
      <w:r w:rsidR="00260ADC" w:rsidRPr="00763BD0">
        <w:rPr>
          <w:rFonts w:asciiTheme="minorHAnsi" w:hAnsiTheme="minorHAnsi"/>
          <w:color w:val="auto"/>
          <w:sz w:val="24"/>
        </w:rPr>
        <w:t xml:space="preserve">; </w:t>
      </w:r>
      <w:proofErr w:type="spellStart"/>
      <w:r w:rsidR="00260ADC" w:rsidRPr="00763BD0">
        <w:rPr>
          <w:rFonts w:asciiTheme="minorHAnsi" w:hAnsiTheme="minorHAnsi"/>
          <w:color w:val="auto"/>
          <w:sz w:val="24"/>
        </w:rPr>
        <w:t>dapagliflozin</w:t>
      </w:r>
      <w:proofErr w:type="spellEnd"/>
      <w:r w:rsidR="00260ADC" w:rsidRPr="00763BD0">
        <w:rPr>
          <w:rFonts w:asciiTheme="minorHAnsi" w:hAnsiTheme="minorHAnsi"/>
          <w:color w:val="auto"/>
          <w:sz w:val="24"/>
        </w:rPr>
        <w:t xml:space="preserve"> + DPP4 + metformin</w:t>
      </w:r>
      <w:r w:rsidRPr="00763BD0">
        <w:rPr>
          <w:rFonts w:asciiTheme="minorHAnsi" w:hAnsiTheme="minorHAnsi"/>
          <w:color w:val="auto"/>
          <w:sz w:val="24"/>
        </w:rPr>
        <w:t xml:space="preserve">]. The submission appropriately included Study 10 [stratum 2] only as Study 10 [stratum 1] was not applicable to patients eligible for </w:t>
      </w:r>
      <w:proofErr w:type="spellStart"/>
      <w:r w:rsidRPr="00763BD0">
        <w:rPr>
          <w:rFonts w:asciiTheme="minorHAnsi" w:hAnsiTheme="minorHAnsi"/>
          <w:color w:val="auto"/>
          <w:sz w:val="24"/>
        </w:rPr>
        <w:t>dapagliflozin</w:t>
      </w:r>
      <w:proofErr w:type="spellEnd"/>
      <w:r w:rsidRPr="00763BD0">
        <w:rPr>
          <w:rFonts w:asciiTheme="minorHAnsi" w:hAnsiTheme="minorHAnsi"/>
          <w:color w:val="auto"/>
          <w:sz w:val="24"/>
        </w:rPr>
        <w:t xml:space="preserve"> as in triple therapy.</w:t>
      </w:r>
    </w:p>
    <w:p w:rsidR="00A77C55" w:rsidRPr="00763BD0" w:rsidRDefault="00A77C55"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The submission argued that insulin </w:t>
      </w:r>
      <w:proofErr w:type="spellStart"/>
      <w:r w:rsidRPr="00763BD0">
        <w:rPr>
          <w:rFonts w:asciiTheme="minorHAnsi" w:hAnsiTheme="minorHAnsi"/>
          <w:color w:val="auto"/>
          <w:sz w:val="24"/>
        </w:rPr>
        <w:t>detemir</w:t>
      </w:r>
      <w:proofErr w:type="spellEnd"/>
      <w:r w:rsidRPr="00763BD0">
        <w:rPr>
          <w:rFonts w:asciiTheme="minorHAnsi" w:hAnsiTheme="minorHAnsi"/>
          <w:color w:val="auto"/>
          <w:sz w:val="24"/>
        </w:rPr>
        <w:t xml:space="preserve"> is a reasonable proxy for long-acting insulin used in type 2 diabetes based on previous PBAC recommendations for insulin </w:t>
      </w:r>
      <w:proofErr w:type="spellStart"/>
      <w:r w:rsidRPr="00763BD0">
        <w:rPr>
          <w:rFonts w:asciiTheme="minorHAnsi" w:hAnsiTheme="minorHAnsi"/>
          <w:color w:val="auto"/>
          <w:sz w:val="24"/>
        </w:rPr>
        <w:t>detemir</w:t>
      </w:r>
      <w:proofErr w:type="spellEnd"/>
      <w:r w:rsidRPr="00763BD0">
        <w:rPr>
          <w:rFonts w:asciiTheme="minorHAnsi" w:hAnsiTheme="minorHAnsi"/>
          <w:color w:val="auto"/>
          <w:sz w:val="24"/>
        </w:rPr>
        <w:t xml:space="preserve">. </w:t>
      </w:r>
    </w:p>
    <w:p w:rsidR="00A77C55" w:rsidRPr="002531DF" w:rsidRDefault="00CA7FC9"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Previously</w:t>
      </w:r>
      <w:r w:rsidR="00A77C55" w:rsidRPr="002531DF">
        <w:rPr>
          <w:rFonts w:asciiTheme="minorHAnsi" w:hAnsiTheme="minorHAnsi"/>
          <w:color w:val="auto"/>
          <w:sz w:val="24"/>
        </w:rPr>
        <w:t xml:space="preserve">, the PBAC recommended insulin </w:t>
      </w:r>
      <w:proofErr w:type="spellStart"/>
      <w:r w:rsidR="00A77C55" w:rsidRPr="002531DF">
        <w:rPr>
          <w:rFonts w:asciiTheme="minorHAnsi" w:hAnsiTheme="minorHAnsi"/>
          <w:color w:val="auto"/>
          <w:sz w:val="24"/>
        </w:rPr>
        <w:t>detemir</w:t>
      </w:r>
      <w:proofErr w:type="spellEnd"/>
      <w:r w:rsidR="00A77C55" w:rsidRPr="002531DF">
        <w:rPr>
          <w:rFonts w:asciiTheme="minorHAnsi" w:hAnsiTheme="minorHAnsi"/>
          <w:color w:val="auto"/>
          <w:sz w:val="24"/>
        </w:rPr>
        <w:t xml:space="preserve"> for type 1 diabetes on a cost-minimisation basis compared with insulin glargine</w:t>
      </w:r>
      <w:r w:rsidR="00575508" w:rsidRPr="002531DF">
        <w:rPr>
          <w:rFonts w:asciiTheme="minorHAnsi" w:hAnsiTheme="minorHAnsi"/>
          <w:color w:val="auto"/>
          <w:sz w:val="24"/>
        </w:rPr>
        <w:t xml:space="preserve"> in March 2006</w:t>
      </w:r>
      <w:r w:rsidR="00A77C55" w:rsidRPr="002531DF">
        <w:rPr>
          <w:rFonts w:asciiTheme="minorHAnsi" w:hAnsiTheme="minorHAnsi"/>
          <w:color w:val="auto"/>
          <w:sz w:val="24"/>
        </w:rPr>
        <w:t xml:space="preserve"> and for type 2 diabetes (unrestricted listing) on a cost-minimisation basis compared with insulin glargine in November 2007. </w:t>
      </w:r>
      <w:r w:rsidRPr="002531DF">
        <w:rPr>
          <w:rFonts w:asciiTheme="minorHAnsi" w:hAnsiTheme="minorHAnsi"/>
          <w:color w:val="auto"/>
          <w:sz w:val="24"/>
        </w:rPr>
        <w:t xml:space="preserve">In recommending insulin </w:t>
      </w:r>
      <w:proofErr w:type="spellStart"/>
      <w:r w:rsidRPr="002531DF">
        <w:rPr>
          <w:rFonts w:asciiTheme="minorHAnsi" w:hAnsiTheme="minorHAnsi"/>
          <w:color w:val="auto"/>
          <w:sz w:val="24"/>
        </w:rPr>
        <w:t>detemir</w:t>
      </w:r>
      <w:proofErr w:type="spellEnd"/>
      <w:r w:rsidRPr="002531DF">
        <w:rPr>
          <w:rFonts w:asciiTheme="minorHAnsi" w:hAnsiTheme="minorHAnsi"/>
          <w:color w:val="auto"/>
          <w:sz w:val="24"/>
        </w:rPr>
        <w:t xml:space="preserve"> for type 2 diabetes, the PBAC considered that the </w:t>
      </w:r>
      <w:r w:rsidR="00CF4DCE" w:rsidRPr="002531DF">
        <w:rPr>
          <w:rFonts w:asciiTheme="minorHAnsi" w:hAnsiTheme="minorHAnsi"/>
          <w:color w:val="auto"/>
          <w:sz w:val="24"/>
        </w:rPr>
        <w:t xml:space="preserve">dose </w:t>
      </w:r>
      <w:r w:rsidRPr="002531DF">
        <w:rPr>
          <w:rFonts w:asciiTheme="minorHAnsi" w:hAnsiTheme="minorHAnsi"/>
          <w:color w:val="auto"/>
          <w:sz w:val="24"/>
        </w:rPr>
        <w:t>relativity to insulin glargine should be</w:t>
      </w:r>
      <w:r w:rsidR="0006586C" w:rsidRPr="002531DF">
        <w:rPr>
          <w:rFonts w:asciiTheme="minorHAnsi" w:hAnsiTheme="minorHAnsi"/>
          <w:color w:val="auto"/>
          <w:sz w:val="24"/>
        </w:rPr>
        <w:t xml:space="preserve"> </w:t>
      </w:r>
      <w:r w:rsidRPr="002531DF">
        <w:rPr>
          <w:rFonts w:asciiTheme="minorHAnsi" w:hAnsiTheme="minorHAnsi"/>
          <w:color w:val="auto"/>
          <w:sz w:val="24"/>
        </w:rPr>
        <w:t>1.10:1,</w:t>
      </w:r>
      <w:r w:rsidR="0006586C" w:rsidRPr="002531DF">
        <w:rPr>
          <w:rFonts w:asciiTheme="minorHAnsi" w:hAnsiTheme="minorHAnsi"/>
          <w:color w:val="auto"/>
          <w:sz w:val="24"/>
        </w:rPr>
        <w:t xml:space="preserve"> </w:t>
      </w:r>
      <w:r w:rsidR="00CF4DCE" w:rsidRPr="002531DF">
        <w:rPr>
          <w:rFonts w:asciiTheme="minorHAnsi" w:hAnsiTheme="minorHAnsi"/>
          <w:color w:val="auto"/>
          <w:sz w:val="24"/>
        </w:rPr>
        <w:t>based on the analysis of trials in the submission</w:t>
      </w:r>
      <w:r w:rsidR="00B26F4A" w:rsidRPr="002531DF">
        <w:rPr>
          <w:rFonts w:asciiTheme="minorHAnsi" w:hAnsiTheme="minorHAnsi"/>
          <w:color w:val="auto"/>
          <w:sz w:val="24"/>
        </w:rPr>
        <w:t xml:space="preserve"> (November 2007 P</w:t>
      </w:r>
      <w:r w:rsidR="00927534">
        <w:rPr>
          <w:rFonts w:asciiTheme="minorHAnsi" w:hAnsiTheme="minorHAnsi"/>
          <w:color w:val="auto"/>
          <w:sz w:val="24"/>
        </w:rPr>
        <w:t>SD</w:t>
      </w:r>
      <w:r w:rsidR="00B26F4A" w:rsidRPr="002531DF">
        <w:rPr>
          <w:rFonts w:asciiTheme="minorHAnsi" w:hAnsiTheme="minorHAnsi"/>
          <w:color w:val="auto"/>
          <w:sz w:val="24"/>
        </w:rPr>
        <w:t>)</w:t>
      </w:r>
      <w:r w:rsidR="00CF4DCE" w:rsidRPr="002531DF">
        <w:rPr>
          <w:rFonts w:asciiTheme="minorHAnsi" w:hAnsiTheme="minorHAnsi"/>
          <w:color w:val="auto"/>
          <w:sz w:val="24"/>
        </w:rPr>
        <w:t>.</w:t>
      </w:r>
      <w:r w:rsidR="00254BC1" w:rsidRPr="002531DF">
        <w:rPr>
          <w:rFonts w:asciiTheme="minorHAnsi" w:hAnsiTheme="minorHAnsi"/>
          <w:color w:val="auto"/>
          <w:sz w:val="24"/>
        </w:rPr>
        <w:t xml:space="preserve"> </w:t>
      </w:r>
      <w:r w:rsidRPr="002531DF">
        <w:rPr>
          <w:rFonts w:asciiTheme="minorHAnsi" w:hAnsiTheme="minorHAnsi"/>
          <w:color w:val="auto"/>
          <w:sz w:val="24"/>
        </w:rPr>
        <w:t>This was subsequently confirmed by the PBPA</w:t>
      </w:r>
      <w:r w:rsidR="00A77C55" w:rsidRPr="002531DF">
        <w:rPr>
          <w:rFonts w:asciiTheme="minorHAnsi" w:hAnsiTheme="minorHAnsi"/>
          <w:color w:val="auto"/>
          <w:sz w:val="24"/>
        </w:rPr>
        <w:t xml:space="preserve">. </w:t>
      </w:r>
      <w:r w:rsidR="000D66FC" w:rsidRPr="002531DF">
        <w:rPr>
          <w:rFonts w:asciiTheme="minorHAnsi" w:hAnsiTheme="minorHAnsi"/>
          <w:color w:val="auto"/>
          <w:sz w:val="24"/>
        </w:rPr>
        <w:t>I</w:t>
      </w:r>
      <w:r w:rsidR="00A77C55" w:rsidRPr="002531DF">
        <w:rPr>
          <w:rFonts w:asciiTheme="minorHAnsi" w:hAnsiTheme="minorHAnsi"/>
          <w:color w:val="auto"/>
          <w:sz w:val="24"/>
        </w:rPr>
        <w:t xml:space="preserve">nsulin </w:t>
      </w:r>
      <w:proofErr w:type="spellStart"/>
      <w:r w:rsidR="00A77C55" w:rsidRPr="002531DF">
        <w:rPr>
          <w:rFonts w:asciiTheme="minorHAnsi" w:hAnsiTheme="minorHAnsi"/>
          <w:color w:val="auto"/>
          <w:sz w:val="24"/>
        </w:rPr>
        <w:t>detemir</w:t>
      </w:r>
      <w:proofErr w:type="spellEnd"/>
      <w:r w:rsidR="00A77C55" w:rsidRPr="002531DF">
        <w:rPr>
          <w:rFonts w:asciiTheme="minorHAnsi" w:hAnsiTheme="minorHAnsi"/>
          <w:color w:val="auto"/>
          <w:sz w:val="24"/>
        </w:rPr>
        <w:t xml:space="preserve"> </w:t>
      </w:r>
      <w:r w:rsidR="000D66FC" w:rsidRPr="002531DF">
        <w:rPr>
          <w:rFonts w:asciiTheme="minorHAnsi" w:hAnsiTheme="minorHAnsi"/>
          <w:color w:val="auto"/>
          <w:sz w:val="24"/>
        </w:rPr>
        <w:t>has</w:t>
      </w:r>
      <w:r w:rsidR="00A77C55" w:rsidRPr="002531DF">
        <w:rPr>
          <w:rFonts w:asciiTheme="minorHAnsi" w:hAnsiTheme="minorHAnsi"/>
          <w:color w:val="auto"/>
          <w:sz w:val="24"/>
        </w:rPr>
        <w:t xml:space="preserve"> not </w:t>
      </w:r>
      <w:r w:rsidR="000D66FC" w:rsidRPr="002531DF">
        <w:rPr>
          <w:rFonts w:asciiTheme="minorHAnsi" w:hAnsiTheme="minorHAnsi"/>
          <w:color w:val="auto"/>
          <w:sz w:val="24"/>
        </w:rPr>
        <w:t xml:space="preserve">subsequently been </w:t>
      </w:r>
      <w:r w:rsidR="00A77C55" w:rsidRPr="002531DF">
        <w:rPr>
          <w:rFonts w:asciiTheme="minorHAnsi" w:hAnsiTheme="minorHAnsi"/>
          <w:color w:val="auto"/>
          <w:sz w:val="24"/>
        </w:rPr>
        <w:t xml:space="preserve">PBS-listed for treatment of type 2 diabetes. </w:t>
      </w:r>
      <w:r w:rsidR="00255D1E">
        <w:rPr>
          <w:rFonts w:asciiTheme="minorHAnsi" w:hAnsiTheme="minorHAnsi"/>
          <w:color w:val="auto"/>
          <w:sz w:val="24"/>
        </w:rPr>
        <w:t xml:space="preserve">The PBAC considered that it may be reasonable to use the dose relativity for insulin </w:t>
      </w:r>
      <w:proofErr w:type="spellStart"/>
      <w:r w:rsidR="00255D1E">
        <w:rPr>
          <w:rFonts w:asciiTheme="minorHAnsi" w:hAnsiTheme="minorHAnsi"/>
          <w:color w:val="auto"/>
          <w:sz w:val="24"/>
        </w:rPr>
        <w:t>detemir</w:t>
      </w:r>
      <w:proofErr w:type="spellEnd"/>
      <w:r w:rsidR="00255D1E">
        <w:rPr>
          <w:rFonts w:asciiTheme="minorHAnsi" w:hAnsiTheme="minorHAnsi"/>
          <w:color w:val="auto"/>
          <w:sz w:val="24"/>
        </w:rPr>
        <w:t xml:space="preserve"> to insulin glargine </w:t>
      </w:r>
      <w:r w:rsidR="004C69AB">
        <w:rPr>
          <w:rFonts w:asciiTheme="minorHAnsi" w:hAnsiTheme="minorHAnsi"/>
          <w:color w:val="auto"/>
          <w:sz w:val="24"/>
        </w:rPr>
        <w:t xml:space="preserve">previously recommended. </w:t>
      </w:r>
    </w:p>
    <w:p w:rsidR="002E788C" w:rsidRPr="002531DF" w:rsidRDefault="002E788C"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 xml:space="preserve">No data were presented comparing the efficacy or safety of </w:t>
      </w:r>
      <w:proofErr w:type="spellStart"/>
      <w:r w:rsidRPr="002531DF">
        <w:rPr>
          <w:rFonts w:asciiTheme="minorHAnsi" w:hAnsiTheme="minorHAnsi"/>
          <w:color w:val="auto"/>
          <w:sz w:val="24"/>
        </w:rPr>
        <w:t>dapagliflozin</w:t>
      </w:r>
      <w:proofErr w:type="spellEnd"/>
      <w:r w:rsidRPr="002531DF">
        <w:rPr>
          <w:rFonts w:asciiTheme="minorHAnsi" w:hAnsiTheme="minorHAnsi"/>
          <w:color w:val="auto"/>
          <w:sz w:val="24"/>
        </w:rPr>
        <w:t xml:space="preserve"> versus sulfonylureas.</w:t>
      </w:r>
    </w:p>
    <w:p w:rsidR="00137F8D" w:rsidRPr="002531DF" w:rsidRDefault="00137F8D"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Details of the trials presented in the submission are provided in the table below</w:t>
      </w:r>
      <w:r w:rsidR="002E788C" w:rsidRPr="002531DF">
        <w:rPr>
          <w:rFonts w:asciiTheme="minorHAnsi" w:hAnsiTheme="minorHAnsi"/>
          <w:color w:val="auto"/>
          <w:sz w:val="24"/>
        </w:rPr>
        <w:t>.</w:t>
      </w:r>
    </w:p>
    <w:p w:rsidR="00641642" w:rsidRDefault="00641642" w:rsidP="00641642">
      <w:pPr>
        <w:pStyle w:val="TableHeading0"/>
      </w:pPr>
      <w:r>
        <w:t xml:space="preserve">Table </w:t>
      </w:r>
      <w:fldSimple w:instr=" SEQ Table \* ARABIC ">
        <w:r w:rsidR="00B975C4">
          <w:rPr>
            <w:noProof/>
          </w:rPr>
          <w:t>2</w:t>
        </w:r>
      </w:fldSimple>
      <w:r w:rsidRPr="004C7FBB">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66"/>
        <w:gridCol w:w="5569"/>
        <w:gridCol w:w="1947"/>
      </w:tblGrid>
      <w:tr w:rsidR="00AD5C7E" w:rsidRPr="00763BD0" w:rsidTr="00AD5C7E">
        <w:trPr>
          <w:tblHeader/>
        </w:trPr>
        <w:tc>
          <w:tcPr>
            <w:tcW w:w="862" w:type="pct"/>
            <w:tcBorders>
              <w:top w:val="single" w:sz="4" w:space="0" w:color="auto"/>
              <w:left w:val="single" w:sz="4" w:space="0" w:color="auto"/>
              <w:bottom w:val="single" w:sz="4" w:space="0" w:color="auto"/>
              <w:right w:val="single" w:sz="4" w:space="0" w:color="auto"/>
            </w:tcBorders>
          </w:tcPr>
          <w:p w:rsidR="00AD5C7E" w:rsidRPr="00763BD0" w:rsidRDefault="00AD5C7E" w:rsidP="000C058F">
            <w:pPr>
              <w:pStyle w:val="TableText1"/>
              <w:rPr>
                <w:b/>
              </w:rPr>
            </w:pPr>
            <w:r w:rsidRPr="00763BD0">
              <w:rPr>
                <w:b/>
              </w:rPr>
              <w:t>Trial ID</w:t>
            </w:r>
          </w:p>
        </w:tc>
        <w:tc>
          <w:tcPr>
            <w:tcW w:w="3066" w:type="pct"/>
            <w:tcBorders>
              <w:top w:val="single" w:sz="4" w:space="0" w:color="auto"/>
              <w:left w:val="single" w:sz="4" w:space="0" w:color="auto"/>
              <w:bottom w:val="single" w:sz="4" w:space="0" w:color="auto"/>
              <w:right w:val="single" w:sz="4" w:space="0" w:color="auto"/>
            </w:tcBorders>
          </w:tcPr>
          <w:p w:rsidR="00AD5C7E" w:rsidRPr="00763BD0" w:rsidRDefault="00AD5C7E" w:rsidP="000C058F">
            <w:pPr>
              <w:pStyle w:val="TableText1"/>
              <w:rPr>
                <w:b/>
              </w:rPr>
            </w:pPr>
            <w:r w:rsidRPr="00763BD0">
              <w:rPr>
                <w:b/>
              </w:rPr>
              <w:t>Protocol title/ Publication title</w:t>
            </w:r>
          </w:p>
        </w:tc>
        <w:tc>
          <w:tcPr>
            <w:tcW w:w="1072" w:type="pct"/>
            <w:tcBorders>
              <w:top w:val="single" w:sz="4" w:space="0" w:color="auto"/>
              <w:left w:val="single" w:sz="4" w:space="0" w:color="auto"/>
              <w:bottom w:val="single" w:sz="4" w:space="0" w:color="auto"/>
              <w:right w:val="single" w:sz="4" w:space="0" w:color="auto"/>
            </w:tcBorders>
          </w:tcPr>
          <w:p w:rsidR="00AD5C7E" w:rsidRPr="00763BD0" w:rsidRDefault="00AD5C7E" w:rsidP="000C058F">
            <w:pPr>
              <w:pStyle w:val="TableText1"/>
              <w:rPr>
                <w:b/>
              </w:rPr>
            </w:pPr>
            <w:r w:rsidRPr="00763BD0">
              <w:rPr>
                <w:b/>
              </w:rPr>
              <w:t>Publication citation</w:t>
            </w:r>
          </w:p>
        </w:tc>
      </w:tr>
      <w:tr w:rsidR="00AD5C7E" w:rsidRPr="00763BD0" w:rsidTr="00743597">
        <w:tc>
          <w:tcPr>
            <w:tcW w:w="5000" w:type="pct"/>
            <w:gridSpan w:val="3"/>
          </w:tcPr>
          <w:p w:rsidR="00AD5C7E" w:rsidRPr="00763BD0" w:rsidRDefault="00AD5C7E" w:rsidP="000C058F">
            <w:pPr>
              <w:keepNext/>
              <w:jc w:val="left"/>
              <w:rPr>
                <w:rFonts w:ascii="Arial Narrow" w:hAnsi="Arial Narrow"/>
                <w:b/>
                <w:sz w:val="20"/>
              </w:rPr>
            </w:pPr>
            <w:proofErr w:type="spellStart"/>
            <w:r w:rsidRPr="00763BD0">
              <w:rPr>
                <w:rFonts w:ascii="Arial Narrow" w:hAnsi="Arial Narrow"/>
                <w:b/>
                <w:sz w:val="20"/>
              </w:rPr>
              <w:t>Dapagliflozin</w:t>
            </w:r>
            <w:proofErr w:type="spellEnd"/>
            <w:r w:rsidRPr="00763BD0">
              <w:rPr>
                <w:rFonts w:ascii="Arial Narrow" w:hAnsi="Arial Narrow"/>
                <w:b/>
                <w:sz w:val="20"/>
              </w:rPr>
              <w:t xml:space="preserve"> add-on to metformin and DPP4 inhibitor randomised trials</w:t>
            </w:r>
          </w:p>
        </w:tc>
      </w:tr>
      <w:tr w:rsidR="00AD5C7E" w:rsidRPr="00763BD0" w:rsidTr="00743597">
        <w:trPr>
          <w:trHeight w:val="2475"/>
        </w:trPr>
        <w:tc>
          <w:tcPr>
            <w:tcW w:w="862" w:type="pct"/>
            <w:vMerge w:val="restart"/>
          </w:tcPr>
          <w:p w:rsidR="00AD5C7E" w:rsidRPr="00763BD0" w:rsidRDefault="00AD5C7E" w:rsidP="000C058F">
            <w:pPr>
              <w:keepNext/>
              <w:jc w:val="left"/>
              <w:rPr>
                <w:rFonts w:ascii="Arial Narrow" w:hAnsi="Arial Narrow"/>
                <w:sz w:val="20"/>
              </w:rPr>
            </w:pPr>
            <w:r w:rsidRPr="00763BD0">
              <w:rPr>
                <w:rFonts w:ascii="Arial Narrow" w:hAnsi="Arial Narrow"/>
                <w:sz w:val="20"/>
              </w:rPr>
              <w:t>Study 129</w:t>
            </w:r>
          </w:p>
          <w:p w:rsidR="00AD5C7E" w:rsidRPr="00763BD0" w:rsidRDefault="00AD5C7E" w:rsidP="000C058F">
            <w:pPr>
              <w:keepNext/>
              <w:jc w:val="left"/>
              <w:rPr>
                <w:rFonts w:ascii="Arial Narrow" w:hAnsi="Arial Narrow"/>
                <w:sz w:val="20"/>
              </w:rPr>
            </w:pPr>
            <w:r w:rsidRPr="00763BD0">
              <w:rPr>
                <w:rFonts w:ascii="Arial Narrow" w:hAnsi="Arial Narrow"/>
                <w:sz w:val="20"/>
              </w:rPr>
              <w:t>(NCT0164632)</w:t>
            </w:r>
          </w:p>
        </w:tc>
        <w:tc>
          <w:tcPr>
            <w:tcW w:w="3066" w:type="pct"/>
          </w:tcPr>
          <w:p w:rsidR="00AD5C7E" w:rsidRPr="00763BD0" w:rsidRDefault="00AD5C7E" w:rsidP="000C058F">
            <w:pPr>
              <w:keepNext/>
              <w:jc w:val="left"/>
              <w:rPr>
                <w:rFonts w:ascii="Arial Narrow" w:hAnsi="Arial Narrow"/>
                <w:sz w:val="20"/>
              </w:rPr>
            </w:pPr>
            <w:r w:rsidRPr="00763BD0">
              <w:rPr>
                <w:rFonts w:ascii="Arial Narrow" w:hAnsi="Arial Narrow"/>
                <w:sz w:val="20"/>
              </w:rPr>
              <w:t xml:space="preserve">A multicentre, randomized, double blind, placebo controlled, parallel group, phase 3 trial to evaluate the safety and efficacy of therapy with </w:t>
            </w:r>
            <w:proofErr w:type="spellStart"/>
            <w:r w:rsidRPr="00763BD0">
              <w:rPr>
                <w:rFonts w:ascii="Arial Narrow" w:hAnsi="Arial Narrow"/>
                <w:sz w:val="20"/>
              </w:rPr>
              <w:t>dapagliflozin</w:t>
            </w:r>
            <w:proofErr w:type="spellEnd"/>
            <w:r w:rsidRPr="00763BD0">
              <w:rPr>
                <w:rFonts w:ascii="Arial Narrow" w:hAnsi="Arial Narrow"/>
                <w:sz w:val="20"/>
              </w:rPr>
              <w:t xml:space="preserve"> added to </w:t>
            </w:r>
            <w:proofErr w:type="spellStart"/>
            <w:r w:rsidRPr="00763BD0">
              <w:rPr>
                <w:rFonts w:ascii="Arial Narrow" w:hAnsi="Arial Narrow"/>
                <w:sz w:val="20"/>
              </w:rPr>
              <w:t>saxagliptin</w:t>
            </w:r>
            <w:proofErr w:type="spellEnd"/>
            <w:r w:rsidRPr="00763BD0">
              <w:rPr>
                <w:rFonts w:ascii="Arial Narrow" w:hAnsi="Arial Narrow"/>
                <w:sz w:val="20"/>
              </w:rPr>
              <w:t xml:space="preserve"> in combination with metformin compared to therapy with placebo added to </w:t>
            </w:r>
            <w:proofErr w:type="spellStart"/>
            <w:r w:rsidRPr="00763BD0">
              <w:rPr>
                <w:rFonts w:ascii="Arial Narrow" w:hAnsi="Arial Narrow"/>
                <w:sz w:val="20"/>
              </w:rPr>
              <w:t>saxagliptin</w:t>
            </w:r>
            <w:proofErr w:type="spellEnd"/>
            <w:r w:rsidRPr="00763BD0">
              <w:rPr>
                <w:rFonts w:ascii="Arial Narrow" w:hAnsi="Arial Narrow"/>
                <w:sz w:val="20"/>
              </w:rPr>
              <w:t xml:space="preserve"> in combination with metformin in subjects with type 2 diabetes who have inadequate </w:t>
            </w:r>
            <w:proofErr w:type="spellStart"/>
            <w:r w:rsidRPr="00763BD0">
              <w:rPr>
                <w:rFonts w:ascii="Arial Narrow" w:hAnsi="Arial Narrow"/>
                <w:sz w:val="20"/>
              </w:rPr>
              <w:t>glycemic</w:t>
            </w:r>
            <w:proofErr w:type="spellEnd"/>
            <w:r w:rsidRPr="00763BD0">
              <w:rPr>
                <w:rFonts w:ascii="Arial Narrow" w:hAnsi="Arial Narrow"/>
                <w:sz w:val="20"/>
              </w:rPr>
              <w:t xml:space="preserve"> control on metformin and </w:t>
            </w:r>
            <w:proofErr w:type="spellStart"/>
            <w:r w:rsidRPr="00763BD0">
              <w:rPr>
                <w:rFonts w:ascii="Arial Narrow" w:hAnsi="Arial Narrow"/>
                <w:sz w:val="20"/>
              </w:rPr>
              <w:t>saxagliptin</w:t>
            </w:r>
            <w:proofErr w:type="spellEnd"/>
            <w:r w:rsidRPr="00763BD0">
              <w:rPr>
                <w:rFonts w:ascii="Arial Narrow" w:hAnsi="Arial Narrow"/>
                <w:sz w:val="20"/>
              </w:rPr>
              <w:t>.</w:t>
            </w: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r w:rsidRPr="00763BD0">
              <w:rPr>
                <w:rFonts w:ascii="Arial Narrow" w:hAnsi="Arial Narrow"/>
                <w:sz w:val="20"/>
              </w:rPr>
              <w:t>Final clinical study report for study MB102129 (Week 24).</w:t>
            </w: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r w:rsidRPr="00763BD0">
              <w:rPr>
                <w:rFonts w:ascii="Arial Narrow" w:hAnsi="Arial Narrow"/>
                <w:sz w:val="20"/>
              </w:rPr>
              <w:t>Final short-term + long-term clinical study report for study MB102129 (Week 52).</w:t>
            </w:r>
          </w:p>
        </w:tc>
        <w:tc>
          <w:tcPr>
            <w:tcW w:w="1072" w:type="pct"/>
          </w:tcPr>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r w:rsidRPr="00763BD0">
              <w:rPr>
                <w:rFonts w:ascii="Arial Narrow" w:hAnsi="Arial Narrow"/>
                <w:sz w:val="20"/>
              </w:rPr>
              <w:t>Internal study report, December 2014.</w:t>
            </w:r>
          </w:p>
          <w:p w:rsidR="00AD5C7E" w:rsidRPr="00763BD0" w:rsidRDefault="00AD5C7E" w:rsidP="000C058F">
            <w:pPr>
              <w:keepNext/>
              <w:jc w:val="left"/>
              <w:rPr>
                <w:rFonts w:ascii="Arial Narrow" w:hAnsi="Arial Narrow"/>
                <w:sz w:val="20"/>
              </w:rPr>
            </w:pPr>
            <w:r w:rsidRPr="00763BD0">
              <w:rPr>
                <w:rFonts w:ascii="Arial Narrow" w:hAnsi="Arial Narrow"/>
                <w:sz w:val="20"/>
              </w:rPr>
              <w:t>Internal study report, July 2015.</w:t>
            </w:r>
          </w:p>
        </w:tc>
      </w:tr>
      <w:tr w:rsidR="00AD5C7E" w:rsidRPr="00763BD0" w:rsidTr="00743597">
        <w:tc>
          <w:tcPr>
            <w:tcW w:w="862" w:type="pct"/>
            <w:vMerge/>
          </w:tcPr>
          <w:p w:rsidR="00AD5C7E" w:rsidRPr="00763BD0" w:rsidRDefault="00AD5C7E" w:rsidP="000C058F">
            <w:pPr>
              <w:keepNext/>
              <w:jc w:val="left"/>
              <w:rPr>
                <w:rFonts w:ascii="Arial Narrow" w:hAnsi="Arial Narrow"/>
                <w:sz w:val="20"/>
              </w:rPr>
            </w:pPr>
          </w:p>
        </w:tc>
        <w:tc>
          <w:tcPr>
            <w:tcW w:w="3066" w:type="pct"/>
          </w:tcPr>
          <w:p w:rsidR="00AD5C7E" w:rsidRPr="00763BD0" w:rsidRDefault="00AD5C7E" w:rsidP="000C058F">
            <w:pPr>
              <w:keepNext/>
              <w:jc w:val="left"/>
              <w:rPr>
                <w:rFonts w:ascii="Arial Narrow" w:hAnsi="Arial Narrow"/>
                <w:sz w:val="20"/>
              </w:rPr>
            </w:pPr>
            <w:r w:rsidRPr="00763BD0">
              <w:rPr>
                <w:rFonts w:ascii="Arial Narrow" w:hAnsi="Arial Narrow"/>
                <w:sz w:val="20"/>
              </w:rPr>
              <w:t xml:space="preserve">Mathieu C, </w:t>
            </w:r>
            <w:proofErr w:type="spellStart"/>
            <w:r w:rsidRPr="00763BD0">
              <w:rPr>
                <w:rFonts w:ascii="Arial Narrow" w:hAnsi="Arial Narrow"/>
                <w:sz w:val="20"/>
              </w:rPr>
              <w:t>Ranetti</w:t>
            </w:r>
            <w:proofErr w:type="spellEnd"/>
            <w:r w:rsidRPr="00763BD0">
              <w:rPr>
                <w:rFonts w:ascii="Arial Narrow" w:hAnsi="Arial Narrow"/>
                <w:sz w:val="20"/>
              </w:rPr>
              <w:t xml:space="preserve"> AE, Li D, et al. Randomized, double</w:t>
            </w:r>
            <w:r w:rsidRPr="00763BD0">
              <w:rPr>
                <w:rFonts w:ascii="Arial Narrow" w:hAnsi="Arial Narrow"/>
                <w:sz w:val="20"/>
              </w:rPr>
              <w:noBreakHyphen/>
              <w:t xml:space="preserve">blind, phase 3 trial of triple therapy with </w:t>
            </w:r>
            <w:proofErr w:type="spellStart"/>
            <w:r w:rsidRPr="00763BD0">
              <w:rPr>
                <w:rFonts w:ascii="Arial Narrow" w:hAnsi="Arial Narrow"/>
                <w:sz w:val="20"/>
              </w:rPr>
              <w:t>dapagliflozin</w:t>
            </w:r>
            <w:proofErr w:type="spellEnd"/>
            <w:r w:rsidRPr="00763BD0">
              <w:rPr>
                <w:rFonts w:ascii="Arial Narrow" w:hAnsi="Arial Narrow"/>
                <w:sz w:val="20"/>
              </w:rPr>
              <w:t xml:space="preserve"> add</w:t>
            </w:r>
            <w:r w:rsidRPr="00763BD0">
              <w:rPr>
                <w:rFonts w:ascii="Arial Narrow" w:hAnsi="Arial Narrow"/>
                <w:sz w:val="20"/>
              </w:rPr>
              <w:noBreakHyphen/>
              <w:t xml:space="preserve">on to </w:t>
            </w:r>
            <w:proofErr w:type="spellStart"/>
            <w:r w:rsidRPr="00763BD0">
              <w:rPr>
                <w:rFonts w:ascii="Arial Narrow" w:hAnsi="Arial Narrow"/>
                <w:sz w:val="20"/>
              </w:rPr>
              <w:t>saxagliptin</w:t>
            </w:r>
            <w:proofErr w:type="spellEnd"/>
            <w:r w:rsidRPr="00763BD0">
              <w:rPr>
                <w:rFonts w:ascii="Arial Narrow" w:hAnsi="Arial Narrow"/>
                <w:sz w:val="20"/>
              </w:rPr>
              <w:t xml:space="preserve"> plus metformin in type 2 diabetes.</w:t>
            </w:r>
          </w:p>
        </w:tc>
        <w:tc>
          <w:tcPr>
            <w:tcW w:w="1072" w:type="pct"/>
          </w:tcPr>
          <w:p w:rsidR="00AD5C7E" w:rsidRPr="00763BD0" w:rsidRDefault="00AD5C7E" w:rsidP="000C058F">
            <w:pPr>
              <w:keepNext/>
              <w:jc w:val="left"/>
              <w:rPr>
                <w:rFonts w:ascii="Arial Narrow" w:hAnsi="Arial Narrow"/>
                <w:sz w:val="20"/>
              </w:rPr>
            </w:pPr>
            <w:r w:rsidRPr="00763BD0">
              <w:rPr>
                <w:rFonts w:ascii="Arial Narrow" w:hAnsi="Arial Narrow"/>
                <w:sz w:val="20"/>
              </w:rPr>
              <w:t>Diabetes Care 2015; 38:2009-2017.</w:t>
            </w:r>
          </w:p>
        </w:tc>
      </w:tr>
      <w:tr w:rsidR="00AD5C7E" w:rsidRPr="00763BD0" w:rsidTr="00743597">
        <w:trPr>
          <w:trHeight w:val="1836"/>
        </w:trPr>
        <w:tc>
          <w:tcPr>
            <w:tcW w:w="862" w:type="pct"/>
            <w:vMerge w:val="restart"/>
          </w:tcPr>
          <w:p w:rsidR="00AD5C7E" w:rsidRPr="00763BD0" w:rsidRDefault="00AD5C7E" w:rsidP="000C058F">
            <w:pPr>
              <w:keepNext/>
              <w:jc w:val="left"/>
              <w:rPr>
                <w:rFonts w:ascii="Arial Narrow" w:hAnsi="Arial Narrow"/>
                <w:sz w:val="20"/>
              </w:rPr>
            </w:pPr>
            <w:r w:rsidRPr="00763BD0">
              <w:rPr>
                <w:rFonts w:ascii="Arial Narrow" w:hAnsi="Arial Narrow"/>
                <w:sz w:val="20"/>
              </w:rPr>
              <w:t>Study 10</w:t>
            </w:r>
          </w:p>
          <w:p w:rsidR="00AD5C7E" w:rsidRPr="00763BD0" w:rsidRDefault="00AD5C7E" w:rsidP="000C058F">
            <w:pPr>
              <w:keepNext/>
              <w:jc w:val="left"/>
              <w:rPr>
                <w:rFonts w:ascii="Arial Narrow" w:hAnsi="Arial Narrow"/>
                <w:sz w:val="20"/>
              </w:rPr>
            </w:pPr>
            <w:r w:rsidRPr="00763BD0">
              <w:rPr>
                <w:rFonts w:ascii="Arial Narrow" w:hAnsi="Arial Narrow"/>
                <w:sz w:val="20"/>
              </w:rPr>
              <w:t>(NCT00984867)</w:t>
            </w:r>
          </w:p>
        </w:tc>
        <w:tc>
          <w:tcPr>
            <w:tcW w:w="3066" w:type="pct"/>
          </w:tcPr>
          <w:p w:rsidR="00AD5C7E" w:rsidRPr="00763BD0" w:rsidRDefault="00AD5C7E" w:rsidP="000C058F">
            <w:pPr>
              <w:keepNext/>
              <w:jc w:val="left"/>
              <w:rPr>
                <w:rFonts w:ascii="Arial Narrow" w:hAnsi="Arial Narrow"/>
                <w:sz w:val="20"/>
              </w:rPr>
            </w:pPr>
            <w:r w:rsidRPr="00763BD0">
              <w:rPr>
                <w:rFonts w:ascii="Arial Narrow" w:hAnsi="Arial Narrow"/>
                <w:sz w:val="20"/>
              </w:rPr>
              <w:t xml:space="preserve">A 24 week, multicentre, randomised, double blind, placebo controlled, parallel group, international phase III study with a 24 week extension period to evaluate the safety and efficacy of </w:t>
            </w:r>
            <w:proofErr w:type="spellStart"/>
            <w:r w:rsidRPr="00763BD0">
              <w:rPr>
                <w:rFonts w:ascii="Arial Narrow" w:hAnsi="Arial Narrow"/>
                <w:sz w:val="20"/>
              </w:rPr>
              <w:t>dapagliflozin</w:t>
            </w:r>
            <w:proofErr w:type="spellEnd"/>
            <w:r w:rsidRPr="00763BD0">
              <w:rPr>
                <w:rFonts w:ascii="Arial Narrow" w:hAnsi="Arial Narrow"/>
                <w:sz w:val="20"/>
              </w:rPr>
              <w:t xml:space="preserve"> 10 mg daily in patients with type 2 diabetes who have inadequate glycaemic control on a DPP4 inhibitor (</w:t>
            </w:r>
            <w:proofErr w:type="spellStart"/>
            <w:r w:rsidRPr="00763BD0">
              <w:rPr>
                <w:rFonts w:ascii="Arial Narrow" w:hAnsi="Arial Narrow"/>
                <w:sz w:val="20"/>
              </w:rPr>
              <w:t>sitagliptin</w:t>
            </w:r>
            <w:proofErr w:type="spellEnd"/>
            <w:r w:rsidRPr="00763BD0">
              <w:rPr>
                <w:rFonts w:ascii="Arial Narrow" w:hAnsi="Arial Narrow"/>
                <w:sz w:val="20"/>
              </w:rPr>
              <w:t>) alone or in combination with metformin.</w:t>
            </w: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r w:rsidRPr="00763BD0">
              <w:rPr>
                <w:rFonts w:ascii="Arial Narrow" w:hAnsi="Arial Narrow"/>
                <w:sz w:val="20"/>
              </w:rPr>
              <w:t>Report for the 24 week short term treatment period.</w:t>
            </w: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r w:rsidRPr="00763BD0">
              <w:rPr>
                <w:rFonts w:ascii="Arial Narrow" w:hAnsi="Arial Narrow"/>
                <w:sz w:val="20"/>
              </w:rPr>
              <w:t>Report for the 24 week short term treatment period plus the 24-week long-term extension period.</w:t>
            </w:r>
          </w:p>
        </w:tc>
        <w:tc>
          <w:tcPr>
            <w:tcW w:w="1072" w:type="pct"/>
          </w:tcPr>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p>
          <w:p w:rsidR="00AD5C7E" w:rsidRPr="00763BD0" w:rsidRDefault="00AD5C7E" w:rsidP="000C058F">
            <w:pPr>
              <w:keepNext/>
              <w:jc w:val="left"/>
              <w:rPr>
                <w:rFonts w:ascii="Arial Narrow" w:hAnsi="Arial Narrow"/>
                <w:sz w:val="20"/>
              </w:rPr>
            </w:pPr>
            <w:r w:rsidRPr="00763BD0">
              <w:rPr>
                <w:rFonts w:ascii="Arial Narrow" w:hAnsi="Arial Narrow"/>
                <w:sz w:val="20"/>
              </w:rPr>
              <w:t>Internal study report, December 2011.</w:t>
            </w:r>
          </w:p>
          <w:p w:rsidR="00AD5C7E" w:rsidRPr="00763BD0" w:rsidRDefault="00AD5C7E" w:rsidP="000C058F">
            <w:pPr>
              <w:keepNext/>
              <w:jc w:val="left"/>
              <w:rPr>
                <w:rFonts w:ascii="Arial Narrow" w:hAnsi="Arial Narrow"/>
                <w:sz w:val="20"/>
              </w:rPr>
            </w:pPr>
            <w:r w:rsidRPr="00763BD0">
              <w:rPr>
                <w:rFonts w:ascii="Arial Narrow" w:hAnsi="Arial Narrow"/>
                <w:sz w:val="20"/>
              </w:rPr>
              <w:t>Internal study report, March 2012.</w:t>
            </w:r>
          </w:p>
        </w:tc>
      </w:tr>
      <w:tr w:rsidR="00AD5C7E" w:rsidRPr="00763BD0" w:rsidTr="00743597">
        <w:tc>
          <w:tcPr>
            <w:tcW w:w="862" w:type="pct"/>
            <w:vMerge/>
          </w:tcPr>
          <w:p w:rsidR="00AD5C7E" w:rsidRPr="00763BD0" w:rsidRDefault="00AD5C7E" w:rsidP="000C058F">
            <w:pPr>
              <w:keepNext/>
              <w:jc w:val="left"/>
              <w:rPr>
                <w:rFonts w:ascii="Arial Narrow" w:hAnsi="Arial Narrow"/>
                <w:sz w:val="20"/>
              </w:rPr>
            </w:pPr>
          </w:p>
        </w:tc>
        <w:tc>
          <w:tcPr>
            <w:tcW w:w="3066" w:type="pct"/>
          </w:tcPr>
          <w:p w:rsidR="00AD5C7E" w:rsidRPr="00763BD0" w:rsidRDefault="00AD5C7E" w:rsidP="000C058F">
            <w:pPr>
              <w:keepNext/>
              <w:jc w:val="left"/>
              <w:rPr>
                <w:rFonts w:ascii="Arial Narrow" w:hAnsi="Arial Narrow"/>
                <w:sz w:val="20"/>
              </w:rPr>
            </w:pPr>
            <w:proofErr w:type="spellStart"/>
            <w:r w:rsidRPr="00763BD0">
              <w:rPr>
                <w:rFonts w:ascii="Arial Narrow" w:hAnsi="Arial Narrow"/>
                <w:sz w:val="20"/>
              </w:rPr>
              <w:t>Jabbour</w:t>
            </w:r>
            <w:proofErr w:type="spellEnd"/>
            <w:r w:rsidRPr="00763BD0">
              <w:rPr>
                <w:rFonts w:ascii="Arial Narrow" w:hAnsi="Arial Narrow"/>
                <w:sz w:val="20"/>
              </w:rPr>
              <w:t xml:space="preserve"> SA, Hardy E, </w:t>
            </w:r>
            <w:proofErr w:type="spellStart"/>
            <w:r w:rsidRPr="00763BD0">
              <w:rPr>
                <w:rFonts w:ascii="Arial Narrow" w:hAnsi="Arial Narrow"/>
                <w:sz w:val="20"/>
              </w:rPr>
              <w:t>Sugg</w:t>
            </w:r>
            <w:proofErr w:type="spellEnd"/>
            <w:r w:rsidRPr="00763BD0">
              <w:rPr>
                <w:rFonts w:ascii="Arial Narrow" w:hAnsi="Arial Narrow"/>
                <w:sz w:val="20"/>
              </w:rPr>
              <w:t xml:space="preserve"> J, et al. </w:t>
            </w:r>
            <w:proofErr w:type="spellStart"/>
            <w:r w:rsidRPr="00763BD0">
              <w:rPr>
                <w:rFonts w:ascii="Arial Narrow" w:hAnsi="Arial Narrow"/>
                <w:sz w:val="20"/>
              </w:rPr>
              <w:t>Dapagliflozin</w:t>
            </w:r>
            <w:proofErr w:type="spellEnd"/>
            <w:r w:rsidRPr="00763BD0">
              <w:rPr>
                <w:rFonts w:ascii="Arial Narrow" w:hAnsi="Arial Narrow"/>
                <w:sz w:val="20"/>
              </w:rPr>
              <w:t xml:space="preserve"> is effective as add on therapy to </w:t>
            </w:r>
            <w:proofErr w:type="spellStart"/>
            <w:r w:rsidRPr="00763BD0">
              <w:rPr>
                <w:rFonts w:ascii="Arial Narrow" w:hAnsi="Arial Narrow"/>
                <w:sz w:val="20"/>
              </w:rPr>
              <w:t>sitagliptin</w:t>
            </w:r>
            <w:proofErr w:type="spellEnd"/>
            <w:r w:rsidRPr="00763BD0">
              <w:rPr>
                <w:rFonts w:ascii="Arial Narrow" w:hAnsi="Arial Narrow"/>
                <w:sz w:val="20"/>
              </w:rPr>
              <w:t xml:space="preserve"> with or without metformin: a 24 week, </w:t>
            </w:r>
            <w:proofErr w:type="spellStart"/>
            <w:r w:rsidRPr="00763BD0">
              <w:rPr>
                <w:rFonts w:ascii="Arial Narrow" w:hAnsi="Arial Narrow"/>
                <w:sz w:val="20"/>
              </w:rPr>
              <w:t>multicenter</w:t>
            </w:r>
            <w:proofErr w:type="spellEnd"/>
            <w:r w:rsidRPr="00763BD0">
              <w:rPr>
                <w:rFonts w:ascii="Arial Narrow" w:hAnsi="Arial Narrow"/>
                <w:sz w:val="20"/>
              </w:rPr>
              <w:t>, randomized, double blind, placebo controlled study.</w:t>
            </w:r>
          </w:p>
        </w:tc>
        <w:tc>
          <w:tcPr>
            <w:tcW w:w="1072" w:type="pct"/>
          </w:tcPr>
          <w:p w:rsidR="00AD5C7E" w:rsidRPr="00763BD0" w:rsidRDefault="00AD5C7E" w:rsidP="000C058F">
            <w:pPr>
              <w:keepNext/>
              <w:jc w:val="left"/>
              <w:rPr>
                <w:rFonts w:ascii="Arial Narrow" w:hAnsi="Arial Narrow"/>
                <w:sz w:val="20"/>
              </w:rPr>
            </w:pPr>
            <w:r w:rsidRPr="00763BD0">
              <w:rPr>
                <w:rFonts w:ascii="Arial Narrow" w:hAnsi="Arial Narrow"/>
                <w:sz w:val="20"/>
              </w:rPr>
              <w:t>Diabetes Care 2014; 37:740-750.</w:t>
            </w:r>
          </w:p>
          <w:p w:rsidR="00AD5C7E" w:rsidRPr="00763BD0" w:rsidRDefault="00AD5C7E" w:rsidP="000C058F">
            <w:pPr>
              <w:keepNext/>
              <w:jc w:val="left"/>
              <w:rPr>
                <w:rFonts w:ascii="Arial Narrow" w:hAnsi="Arial Narrow"/>
                <w:sz w:val="20"/>
              </w:rPr>
            </w:pPr>
          </w:p>
        </w:tc>
      </w:tr>
      <w:tr w:rsidR="00AD5C7E" w:rsidRPr="00763BD0" w:rsidTr="00743597">
        <w:tc>
          <w:tcPr>
            <w:tcW w:w="5000" w:type="pct"/>
            <w:gridSpan w:val="3"/>
          </w:tcPr>
          <w:p w:rsidR="00AD5C7E" w:rsidRPr="00763BD0" w:rsidRDefault="00AD5C7E" w:rsidP="000C058F">
            <w:pPr>
              <w:keepNext/>
              <w:jc w:val="left"/>
              <w:rPr>
                <w:rFonts w:ascii="Arial Narrow" w:hAnsi="Arial Narrow"/>
                <w:b/>
                <w:sz w:val="20"/>
              </w:rPr>
            </w:pPr>
            <w:r w:rsidRPr="00763BD0">
              <w:rPr>
                <w:rFonts w:ascii="Arial Narrow" w:hAnsi="Arial Narrow"/>
                <w:b/>
                <w:sz w:val="20"/>
              </w:rPr>
              <w:t xml:space="preserve">Insulin </w:t>
            </w:r>
            <w:proofErr w:type="spellStart"/>
            <w:r w:rsidRPr="00763BD0">
              <w:rPr>
                <w:rFonts w:ascii="Arial Narrow" w:hAnsi="Arial Narrow"/>
                <w:b/>
                <w:sz w:val="20"/>
              </w:rPr>
              <w:t>detemir</w:t>
            </w:r>
            <w:proofErr w:type="spellEnd"/>
            <w:r w:rsidRPr="00763BD0">
              <w:rPr>
                <w:rFonts w:ascii="Arial Narrow" w:hAnsi="Arial Narrow"/>
                <w:b/>
                <w:sz w:val="20"/>
              </w:rPr>
              <w:t xml:space="preserve"> randomised trial</w:t>
            </w:r>
          </w:p>
        </w:tc>
      </w:tr>
      <w:tr w:rsidR="00AD5C7E" w:rsidRPr="00763BD0" w:rsidTr="00743597">
        <w:tc>
          <w:tcPr>
            <w:tcW w:w="862" w:type="pct"/>
          </w:tcPr>
          <w:p w:rsidR="00AD5C7E" w:rsidRPr="00763BD0" w:rsidRDefault="00AD5C7E" w:rsidP="000C058F">
            <w:pPr>
              <w:keepNext/>
              <w:jc w:val="left"/>
              <w:rPr>
                <w:rFonts w:ascii="Arial Narrow" w:hAnsi="Arial Narrow"/>
                <w:sz w:val="20"/>
              </w:rPr>
            </w:pPr>
            <w:r w:rsidRPr="00763BD0">
              <w:rPr>
                <w:rFonts w:ascii="Arial Narrow" w:hAnsi="Arial Narrow"/>
                <w:sz w:val="20"/>
              </w:rPr>
              <w:t>TRANSITION</w:t>
            </w:r>
          </w:p>
          <w:p w:rsidR="00AD5C7E" w:rsidRPr="00763BD0" w:rsidRDefault="00AD5C7E" w:rsidP="000C058F">
            <w:pPr>
              <w:keepNext/>
              <w:jc w:val="left"/>
              <w:rPr>
                <w:rFonts w:ascii="Arial Narrow" w:hAnsi="Arial Narrow"/>
                <w:sz w:val="20"/>
              </w:rPr>
            </w:pPr>
            <w:r w:rsidRPr="00763BD0">
              <w:rPr>
                <w:rFonts w:ascii="Arial Narrow" w:hAnsi="Arial Narrow"/>
                <w:sz w:val="20"/>
              </w:rPr>
              <w:t>(NCT00789191)</w:t>
            </w:r>
          </w:p>
        </w:tc>
        <w:tc>
          <w:tcPr>
            <w:tcW w:w="3066" w:type="pct"/>
          </w:tcPr>
          <w:p w:rsidR="00AD5C7E" w:rsidRPr="00763BD0" w:rsidRDefault="00AD5C7E" w:rsidP="000C058F">
            <w:pPr>
              <w:keepNext/>
              <w:jc w:val="left"/>
              <w:rPr>
                <w:rFonts w:ascii="Arial Narrow" w:hAnsi="Arial Narrow"/>
                <w:sz w:val="20"/>
              </w:rPr>
            </w:pPr>
            <w:r w:rsidRPr="00763BD0">
              <w:rPr>
                <w:rFonts w:ascii="Arial Narrow" w:hAnsi="Arial Narrow"/>
                <w:sz w:val="20"/>
              </w:rPr>
              <w:t xml:space="preserve">Hollander P, </w:t>
            </w:r>
            <w:proofErr w:type="spellStart"/>
            <w:r w:rsidRPr="00763BD0">
              <w:rPr>
                <w:rFonts w:ascii="Arial Narrow" w:hAnsi="Arial Narrow"/>
                <w:sz w:val="20"/>
              </w:rPr>
              <w:t>Raslova</w:t>
            </w:r>
            <w:proofErr w:type="spellEnd"/>
            <w:r w:rsidRPr="00763BD0">
              <w:rPr>
                <w:rFonts w:ascii="Arial Narrow" w:hAnsi="Arial Narrow"/>
                <w:sz w:val="20"/>
              </w:rPr>
              <w:t xml:space="preserve"> K, </w:t>
            </w:r>
            <w:proofErr w:type="spellStart"/>
            <w:r w:rsidRPr="00763BD0">
              <w:rPr>
                <w:rFonts w:ascii="Arial Narrow" w:hAnsi="Arial Narrow"/>
                <w:sz w:val="20"/>
              </w:rPr>
              <w:t>Skjoth</w:t>
            </w:r>
            <w:proofErr w:type="spellEnd"/>
            <w:r w:rsidRPr="00763BD0">
              <w:rPr>
                <w:rFonts w:ascii="Arial Narrow" w:hAnsi="Arial Narrow"/>
                <w:sz w:val="20"/>
              </w:rPr>
              <w:t xml:space="preserve"> TV, et al. Efficacy and safety of insulin </w:t>
            </w:r>
            <w:proofErr w:type="spellStart"/>
            <w:r w:rsidRPr="00763BD0">
              <w:rPr>
                <w:rFonts w:ascii="Arial Narrow" w:hAnsi="Arial Narrow"/>
                <w:sz w:val="20"/>
              </w:rPr>
              <w:t>detemir</w:t>
            </w:r>
            <w:proofErr w:type="spellEnd"/>
            <w:r w:rsidRPr="00763BD0">
              <w:rPr>
                <w:rFonts w:ascii="Arial Narrow" w:hAnsi="Arial Narrow"/>
                <w:sz w:val="20"/>
              </w:rPr>
              <w:t xml:space="preserve"> once daily in combination with </w:t>
            </w:r>
            <w:proofErr w:type="spellStart"/>
            <w:r w:rsidRPr="00763BD0">
              <w:rPr>
                <w:rFonts w:ascii="Arial Narrow" w:hAnsi="Arial Narrow"/>
                <w:sz w:val="20"/>
              </w:rPr>
              <w:t>sitagliptin</w:t>
            </w:r>
            <w:proofErr w:type="spellEnd"/>
            <w:r w:rsidRPr="00763BD0">
              <w:rPr>
                <w:rFonts w:ascii="Arial Narrow" w:hAnsi="Arial Narrow"/>
                <w:sz w:val="20"/>
              </w:rPr>
              <w:t xml:space="preserve"> and metformin: the TRANSITION randomized controlled trial.</w:t>
            </w:r>
          </w:p>
        </w:tc>
        <w:tc>
          <w:tcPr>
            <w:tcW w:w="1072" w:type="pct"/>
          </w:tcPr>
          <w:p w:rsidR="00AD5C7E" w:rsidRPr="00763BD0" w:rsidRDefault="00AD5C7E" w:rsidP="000C058F">
            <w:pPr>
              <w:keepNext/>
              <w:jc w:val="left"/>
              <w:rPr>
                <w:rFonts w:ascii="Arial Narrow" w:hAnsi="Arial Narrow"/>
                <w:sz w:val="20"/>
              </w:rPr>
            </w:pPr>
            <w:r w:rsidRPr="00763BD0">
              <w:rPr>
                <w:rFonts w:ascii="Arial Narrow" w:hAnsi="Arial Narrow"/>
                <w:sz w:val="20"/>
              </w:rPr>
              <w:t xml:space="preserve">Diabetes, obesity &amp; metabolism 2011; 13(3):268-75. </w:t>
            </w:r>
          </w:p>
        </w:tc>
      </w:tr>
    </w:tbl>
    <w:p w:rsidR="00137F8D" w:rsidRPr="00763BD0" w:rsidRDefault="00AD5C7E" w:rsidP="000C058F">
      <w:pPr>
        <w:pStyle w:val="TableFooter"/>
        <w:keepNext/>
        <w:spacing w:after="240"/>
        <w:contextualSpacing/>
      </w:pPr>
      <w:r w:rsidRPr="00763BD0">
        <w:t>Source: Table B.3, p34 of the submission</w:t>
      </w:r>
    </w:p>
    <w:p w:rsidR="00137F8D" w:rsidRPr="00763BD0" w:rsidRDefault="00137F8D"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The key features o</w:t>
      </w:r>
      <w:r w:rsidR="002E788C" w:rsidRPr="00763BD0">
        <w:rPr>
          <w:rFonts w:asciiTheme="minorHAnsi" w:hAnsiTheme="minorHAnsi"/>
          <w:color w:val="auto"/>
          <w:sz w:val="24"/>
        </w:rPr>
        <w:t>f the randomised trials</w:t>
      </w:r>
      <w:r w:rsidR="000D66FC" w:rsidRPr="00763BD0">
        <w:rPr>
          <w:rFonts w:asciiTheme="minorHAnsi" w:hAnsiTheme="minorHAnsi"/>
          <w:color w:val="auto"/>
          <w:sz w:val="24"/>
        </w:rPr>
        <w:t xml:space="preserve"> used in the indirect comparison</w:t>
      </w:r>
      <w:r w:rsidRPr="00763BD0">
        <w:rPr>
          <w:rFonts w:asciiTheme="minorHAnsi" w:hAnsiTheme="minorHAnsi"/>
          <w:color w:val="auto"/>
          <w:sz w:val="24"/>
        </w:rPr>
        <w:t xml:space="preserve"> are summarised in the table below. </w:t>
      </w:r>
    </w:p>
    <w:p w:rsidR="00575F80" w:rsidRDefault="00575F80">
      <w:pPr>
        <w:widowControl/>
        <w:jc w:val="left"/>
        <w:rPr>
          <w:rFonts w:ascii="Arial Narrow" w:eastAsiaTheme="minorHAnsi" w:hAnsi="Arial Narrow" w:cstheme="minorBidi"/>
          <w:b/>
          <w:snapToGrid/>
          <w:sz w:val="20"/>
          <w:szCs w:val="22"/>
        </w:rPr>
      </w:pPr>
      <w:r>
        <w:br w:type="page"/>
      </w:r>
    </w:p>
    <w:p w:rsidR="00641642" w:rsidRDefault="00641642" w:rsidP="00641642">
      <w:pPr>
        <w:pStyle w:val="TableHeading0"/>
        <w:spacing w:before="0"/>
      </w:pPr>
      <w:r>
        <w:t xml:space="preserve">Table </w:t>
      </w:r>
      <w:fldSimple w:instr=" SEQ Table \* ARABIC ">
        <w:r w:rsidR="00B975C4">
          <w:rPr>
            <w:noProof/>
          </w:rPr>
          <w:t>3</w:t>
        </w:r>
      </w:fldSimple>
      <w:r w:rsidRPr="0082538C">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7"/>
        <w:gridCol w:w="852"/>
        <w:gridCol w:w="2147"/>
        <w:gridCol w:w="712"/>
        <w:gridCol w:w="2714"/>
        <w:gridCol w:w="1520"/>
      </w:tblGrid>
      <w:tr w:rsidR="00675EAF" w:rsidRPr="00763BD0" w:rsidTr="005F31BF">
        <w:trPr>
          <w:tblHeader/>
        </w:trPr>
        <w:tc>
          <w:tcPr>
            <w:tcW w:w="626" w:type="pct"/>
            <w:shd w:val="clear" w:color="auto" w:fill="auto"/>
            <w:vAlign w:val="center"/>
          </w:tcPr>
          <w:p w:rsidR="00675EAF" w:rsidRPr="00763BD0" w:rsidRDefault="00675EAF" w:rsidP="00E94275">
            <w:pPr>
              <w:pStyle w:val="TableText1"/>
              <w:rPr>
                <w:b/>
              </w:rPr>
            </w:pPr>
            <w:r w:rsidRPr="00763BD0">
              <w:rPr>
                <w:b/>
              </w:rPr>
              <w:t>Trial</w:t>
            </w:r>
          </w:p>
        </w:tc>
        <w:tc>
          <w:tcPr>
            <w:tcW w:w="469" w:type="pct"/>
            <w:shd w:val="clear" w:color="auto" w:fill="auto"/>
            <w:vAlign w:val="center"/>
          </w:tcPr>
          <w:p w:rsidR="00675EAF" w:rsidRPr="00763BD0" w:rsidRDefault="00675EAF" w:rsidP="006047A8">
            <w:pPr>
              <w:pStyle w:val="TableText1"/>
              <w:jc w:val="center"/>
              <w:rPr>
                <w:b/>
              </w:rPr>
            </w:pPr>
            <w:r w:rsidRPr="00763BD0">
              <w:rPr>
                <w:b/>
              </w:rPr>
              <w:t>N</w:t>
            </w:r>
          </w:p>
        </w:tc>
        <w:tc>
          <w:tcPr>
            <w:tcW w:w="1182" w:type="pct"/>
            <w:shd w:val="clear" w:color="auto" w:fill="auto"/>
            <w:vAlign w:val="center"/>
          </w:tcPr>
          <w:p w:rsidR="00675EAF" w:rsidRPr="00763BD0" w:rsidRDefault="00675EAF" w:rsidP="006047A8">
            <w:pPr>
              <w:pStyle w:val="TableText1"/>
              <w:jc w:val="center"/>
              <w:rPr>
                <w:b/>
              </w:rPr>
            </w:pPr>
            <w:r w:rsidRPr="00763BD0">
              <w:rPr>
                <w:b/>
              </w:rPr>
              <w:t>Design/ duration of follow-up</w:t>
            </w:r>
          </w:p>
        </w:tc>
        <w:tc>
          <w:tcPr>
            <w:tcW w:w="392" w:type="pct"/>
            <w:shd w:val="clear" w:color="auto" w:fill="auto"/>
            <w:vAlign w:val="center"/>
          </w:tcPr>
          <w:p w:rsidR="00675EAF" w:rsidRPr="00763BD0" w:rsidRDefault="00675EAF" w:rsidP="006047A8">
            <w:pPr>
              <w:pStyle w:val="TableText1"/>
              <w:jc w:val="center"/>
              <w:rPr>
                <w:b/>
              </w:rPr>
            </w:pPr>
            <w:r w:rsidRPr="00763BD0">
              <w:rPr>
                <w:b/>
              </w:rPr>
              <w:t>Risk of bias</w:t>
            </w:r>
          </w:p>
        </w:tc>
        <w:tc>
          <w:tcPr>
            <w:tcW w:w="1494" w:type="pct"/>
            <w:shd w:val="clear" w:color="auto" w:fill="auto"/>
            <w:vAlign w:val="center"/>
          </w:tcPr>
          <w:p w:rsidR="00675EAF" w:rsidRPr="00763BD0" w:rsidRDefault="00675EAF" w:rsidP="006047A8">
            <w:pPr>
              <w:pStyle w:val="TableText1"/>
              <w:jc w:val="center"/>
              <w:rPr>
                <w:b/>
              </w:rPr>
            </w:pPr>
            <w:r w:rsidRPr="00763BD0">
              <w:rPr>
                <w:b/>
              </w:rPr>
              <w:t>Patient population</w:t>
            </w:r>
          </w:p>
        </w:tc>
        <w:tc>
          <w:tcPr>
            <w:tcW w:w="837" w:type="pct"/>
            <w:shd w:val="clear" w:color="auto" w:fill="auto"/>
            <w:vAlign w:val="center"/>
          </w:tcPr>
          <w:p w:rsidR="00675EAF" w:rsidRPr="00763BD0" w:rsidRDefault="002E788C" w:rsidP="006047A8">
            <w:pPr>
              <w:pStyle w:val="TableText1"/>
              <w:jc w:val="center"/>
              <w:rPr>
                <w:b/>
              </w:rPr>
            </w:pPr>
            <w:r w:rsidRPr="00763BD0">
              <w:rPr>
                <w:b/>
              </w:rPr>
              <w:t>Outcome</w:t>
            </w:r>
          </w:p>
        </w:tc>
      </w:tr>
      <w:tr w:rsidR="00137F8D" w:rsidRPr="00763BD0" w:rsidTr="00675EAF">
        <w:tc>
          <w:tcPr>
            <w:tcW w:w="5000" w:type="pct"/>
            <w:gridSpan w:val="6"/>
            <w:shd w:val="clear" w:color="auto" w:fill="auto"/>
            <w:vAlign w:val="center"/>
          </w:tcPr>
          <w:p w:rsidR="00137F8D" w:rsidRPr="00763BD0" w:rsidRDefault="00675EAF" w:rsidP="00675EAF">
            <w:pPr>
              <w:pStyle w:val="TableText1"/>
              <w:rPr>
                <w:b/>
              </w:rPr>
            </w:pPr>
            <w:r w:rsidRPr="00763BD0">
              <w:rPr>
                <w:b/>
              </w:rPr>
              <w:t xml:space="preserve">MET + DPP4 inhibitor + </w:t>
            </w:r>
            <w:proofErr w:type="spellStart"/>
            <w:r w:rsidRPr="00763BD0">
              <w:rPr>
                <w:b/>
              </w:rPr>
              <w:t>dapagliflozin</w:t>
            </w:r>
            <w:proofErr w:type="spellEnd"/>
            <w:r w:rsidRPr="00763BD0">
              <w:rPr>
                <w:b/>
              </w:rPr>
              <w:t xml:space="preserve"> </w:t>
            </w:r>
            <w:r w:rsidR="000B1D42" w:rsidRPr="00763BD0">
              <w:rPr>
                <w:b/>
              </w:rPr>
              <w:t>10 mg</w:t>
            </w:r>
            <w:r w:rsidRPr="00763BD0">
              <w:rPr>
                <w:b/>
              </w:rPr>
              <w:t xml:space="preserve"> </w:t>
            </w:r>
            <w:r w:rsidR="00412444" w:rsidRPr="00763BD0">
              <w:rPr>
                <w:b/>
              </w:rPr>
              <w:t>vs.</w:t>
            </w:r>
            <w:r w:rsidRPr="00763BD0">
              <w:rPr>
                <w:b/>
              </w:rPr>
              <w:t xml:space="preserve"> MET + DPP4 inhibitor </w:t>
            </w:r>
          </w:p>
        </w:tc>
      </w:tr>
      <w:tr w:rsidR="00675EAF" w:rsidRPr="00763BD0" w:rsidTr="005F31BF">
        <w:tc>
          <w:tcPr>
            <w:tcW w:w="626" w:type="pct"/>
            <w:shd w:val="clear" w:color="auto" w:fill="auto"/>
            <w:vAlign w:val="center"/>
          </w:tcPr>
          <w:p w:rsidR="00675EAF" w:rsidRPr="00763BD0" w:rsidRDefault="00675EAF" w:rsidP="006047A8">
            <w:pPr>
              <w:pStyle w:val="TableText1"/>
              <w:jc w:val="left"/>
            </w:pPr>
            <w:r w:rsidRPr="00763BD0">
              <w:t>Study 129</w:t>
            </w:r>
          </w:p>
        </w:tc>
        <w:tc>
          <w:tcPr>
            <w:tcW w:w="469" w:type="pct"/>
            <w:shd w:val="clear" w:color="auto" w:fill="auto"/>
            <w:vAlign w:val="center"/>
          </w:tcPr>
          <w:p w:rsidR="00675EAF" w:rsidRPr="00763BD0" w:rsidRDefault="00675EAF" w:rsidP="006047A8">
            <w:pPr>
              <w:pStyle w:val="TableText1"/>
              <w:jc w:val="center"/>
            </w:pPr>
            <w:r w:rsidRPr="00763BD0">
              <w:t>320</w:t>
            </w:r>
          </w:p>
        </w:tc>
        <w:tc>
          <w:tcPr>
            <w:tcW w:w="1182" w:type="pct"/>
            <w:shd w:val="clear" w:color="auto" w:fill="auto"/>
            <w:vAlign w:val="center"/>
          </w:tcPr>
          <w:p w:rsidR="00675EAF" w:rsidRPr="00763BD0" w:rsidRDefault="00A600B8" w:rsidP="00CC138C">
            <w:pPr>
              <w:pStyle w:val="TableText1"/>
              <w:jc w:val="center"/>
            </w:pPr>
            <w:r w:rsidRPr="00763BD0">
              <w:t>R</w:t>
            </w:r>
            <w:r w:rsidR="00CC138C" w:rsidRPr="00763BD0">
              <w:t>andomised</w:t>
            </w:r>
            <w:r w:rsidRPr="00763BD0">
              <w:t xml:space="preserve">, </w:t>
            </w:r>
            <w:r w:rsidR="00CC138C" w:rsidRPr="00763BD0">
              <w:t>double blind</w:t>
            </w:r>
            <w:r w:rsidRPr="00763BD0">
              <w:t xml:space="preserve">, </w:t>
            </w:r>
            <w:r w:rsidR="00CC138C" w:rsidRPr="00763BD0">
              <w:t>multicentre</w:t>
            </w:r>
            <w:r w:rsidRPr="00763BD0">
              <w:t>, 24 weeks plus 28 weeks extension</w:t>
            </w:r>
          </w:p>
        </w:tc>
        <w:tc>
          <w:tcPr>
            <w:tcW w:w="392" w:type="pct"/>
            <w:shd w:val="clear" w:color="auto" w:fill="auto"/>
            <w:vAlign w:val="center"/>
          </w:tcPr>
          <w:p w:rsidR="00675EAF" w:rsidRPr="00763BD0" w:rsidRDefault="00A600B8" w:rsidP="006047A8">
            <w:pPr>
              <w:pStyle w:val="TableText1"/>
              <w:jc w:val="center"/>
            </w:pPr>
            <w:r w:rsidRPr="00763BD0">
              <w:t>Low</w:t>
            </w:r>
          </w:p>
        </w:tc>
        <w:tc>
          <w:tcPr>
            <w:tcW w:w="1494" w:type="pct"/>
            <w:shd w:val="clear" w:color="auto" w:fill="auto"/>
            <w:vAlign w:val="center"/>
          </w:tcPr>
          <w:p w:rsidR="00675EAF" w:rsidRPr="00763BD0" w:rsidRDefault="00A600B8" w:rsidP="006047A8">
            <w:pPr>
              <w:pStyle w:val="TableText1"/>
              <w:jc w:val="center"/>
            </w:pPr>
            <w:r w:rsidRPr="00763BD0">
              <w:t xml:space="preserve">HbA1c 7.0-10.5% on metformin  ≥1500 mg plus </w:t>
            </w:r>
            <w:proofErr w:type="spellStart"/>
            <w:r w:rsidRPr="00763BD0">
              <w:t>saxagliptin</w:t>
            </w:r>
            <w:proofErr w:type="spellEnd"/>
            <w:r w:rsidRPr="00763BD0">
              <w:t xml:space="preserve"> 5 mg daily </w:t>
            </w:r>
          </w:p>
        </w:tc>
        <w:tc>
          <w:tcPr>
            <w:tcW w:w="837" w:type="pct"/>
            <w:shd w:val="clear" w:color="auto" w:fill="auto"/>
            <w:vAlign w:val="center"/>
          </w:tcPr>
          <w:p w:rsidR="00675EAF" w:rsidRPr="00763BD0" w:rsidRDefault="00A600B8" w:rsidP="006047A8">
            <w:pPr>
              <w:pStyle w:val="TableText1"/>
              <w:jc w:val="center"/>
            </w:pPr>
            <w:r w:rsidRPr="00763BD0">
              <w:t>Mean change in HbA1c</w:t>
            </w:r>
          </w:p>
        </w:tc>
      </w:tr>
      <w:tr w:rsidR="00675EAF" w:rsidRPr="00763BD0" w:rsidTr="005F31BF">
        <w:tc>
          <w:tcPr>
            <w:tcW w:w="626" w:type="pct"/>
            <w:shd w:val="clear" w:color="auto" w:fill="auto"/>
            <w:vAlign w:val="center"/>
          </w:tcPr>
          <w:p w:rsidR="00675EAF" w:rsidRPr="00763BD0" w:rsidRDefault="00675EAF" w:rsidP="006047A8">
            <w:pPr>
              <w:pStyle w:val="TableText1"/>
              <w:jc w:val="left"/>
            </w:pPr>
            <w:r w:rsidRPr="00763BD0">
              <w:t>Study 10 [stratum 2]</w:t>
            </w:r>
          </w:p>
        </w:tc>
        <w:tc>
          <w:tcPr>
            <w:tcW w:w="469" w:type="pct"/>
            <w:shd w:val="clear" w:color="auto" w:fill="auto"/>
            <w:vAlign w:val="center"/>
          </w:tcPr>
          <w:p w:rsidR="006B3048" w:rsidRPr="00763BD0" w:rsidRDefault="007E3515" w:rsidP="007E3515">
            <w:pPr>
              <w:pStyle w:val="TableText1"/>
            </w:pPr>
            <w:r w:rsidRPr="00763BD0">
              <w:t>447 [n=226 for stratum 2]</w:t>
            </w:r>
          </w:p>
        </w:tc>
        <w:tc>
          <w:tcPr>
            <w:tcW w:w="1182" w:type="pct"/>
            <w:shd w:val="clear" w:color="auto" w:fill="auto"/>
            <w:vAlign w:val="center"/>
          </w:tcPr>
          <w:p w:rsidR="00675EAF" w:rsidRPr="00763BD0" w:rsidRDefault="00A600B8" w:rsidP="00CC138C">
            <w:pPr>
              <w:pStyle w:val="TableText1"/>
              <w:jc w:val="center"/>
            </w:pPr>
            <w:r w:rsidRPr="00763BD0">
              <w:t>R</w:t>
            </w:r>
            <w:r w:rsidR="00CC138C" w:rsidRPr="00763BD0">
              <w:t>andomised</w:t>
            </w:r>
            <w:r w:rsidRPr="00763BD0">
              <w:t xml:space="preserve">, </w:t>
            </w:r>
            <w:r w:rsidR="00CC138C" w:rsidRPr="00763BD0">
              <w:t>double blind</w:t>
            </w:r>
            <w:r w:rsidRPr="00763BD0">
              <w:t xml:space="preserve">, </w:t>
            </w:r>
            <w:r w:rsidR="00CC138C" w:rsidRPr="00763BD0">
              <w:t>multicentre</w:t>
            </w:r>
            <w:r w:rsidRPr="00763BD0">
              <w:t>, 24 weeks plus 24 weeks extension</w:t>
            </w:r>
          </w:p>
        </w:tc>
        <w:tc>
          <w:tcPr>
            <w:tcW w:w="392" w:type="pct"/>
            <w:shd w:val="clear" w:color="auto" w:fill="auto"/>
            <w:vAlign w:val="center"/>
          </w:tcPr>
          <w:p w:rsidR="00675EAF" w:rsidRPr="00763BD0" w:rsidRDefault="00A600B8" w:rsidP="006047A8">
            <w:pPr>
              <w:pStyle w:val="TableText1"/>
              <w:jc w:val="center"/>
            </w:pPr>
            <w:r w:rsidRPr="00763BD0">
              <w:t>Low</w:t>
            </w:r>
          </w:p>
        </w:tc>
        <w:tc>
          <w:tcPr>
            <w:tcW w:w="1494" w:type="pct"/>
            <w:shd w:val="clear" w:color="auto" w:fill="auto"/>
            <w:vAlign w:val="center"/>
          </w:tcPr>
          <w:p w:rsidR="00675EAF" w:rsidRPr="00763BD0" w:rsidRDefault="00A600B8" w:rsidP="006047A8">
            <w:pPr>
              <w:pStyle w:val="TableText1"/>
              <w:jc w:val="center"/>
            </w:pPr>
            <w:r w:rsidRPr="00763BD0">
              <w:t xml:space="preserve">HbA1c 7.0-10.0% on metformin ≥1500 mg plus </w:t>
            </w:r>
            <w:proofErr w:type="spellStart"/>
            <w:r w:rsidRPr="00763BD0">
              <w:t>sitagliptin</w:t>
            </w:r>
            <w:proofErr w:type="spellEnd"/>
            <w:r w:rsidRPr="00763BD0">
              <w:t xml:space="preserve"> 100 mg daily</w:t>
            </w:r>
          </w:p>
        </w:tc>
        <w:tc>
          <w:tcPr>
            <w:tcW w:w="837" w:type="pct"/>
            <w:shd w:val="clear" w:color="auto" w:fill="auto"/>
            <w:vAlign w:val="center"/>
          </w:tcPr>
          <w:p w:rsidR="00675EAF" w:rsidRPr="00763BD0" w:rsidRDefault="00A600B8" w:rsidP="006047A8">
            <w:pPr>
              <w:pStyle w:val="TableText1"/>
              <w:jc w:val="center"/>
            </w:pPr>
            <w:r w:rsidRPr="00763BD0">
              <w:t>Mean change in HbA1c</w:t>
            </w:r>
          </w:p>
        </w:tc>
      </w:tr>
      <w:tr w:rsidR="00675EAF" w:rsidRPr="00763BD0" w:rsidTr="005F31BF">
        <w:tc>
          <w:tcPr>
            <w:tcW w:w="626" w:type="pct"/>
            <w:shd w:val="clear" w:color="auto" w:fill="auto"/>
            <w:vAlign w:val="center"/>
          </w:tcPr>
          <w:p w:rsidR="00675EAF" w:rsidRPr="00763BD0" w:rsidRDefault="00675EAF" w:rsidP="00675EAF">
            <w:pPr>
              <w:pStyle w:val="TableText1"/>
            </w:pPr>
            <w:r w:rsidRPr="00763BD0">
              <w:t>Meta-analysis</w:t>
            </w:r>
          </w:p>
        </w:tc>
        <w:tc>
          <w:tcPr>
            <w:tcW w:w="469" w:type="pct"/>
            <w:shd w:val="clear" w:color="auto" w:fill="auto"/>
            <w:vAlign w:val="center"/>
          </w:tcPr>
          <w:p w:rsidR="00675EAF" w:rsidRPr="00763BD0" w:rsidRDefault="009F154B" w:rsidP="009F154B">
            <w:pPr>
              <w:pStyle w:val="TableText1"/>
              <w:jc w:val="center"/>
            </w:pPr>
            <w:r w:rsidRPr="00763BD0">
              <w:t>546</w:t>
            </w:r>
          </w:p>
        </w:tc>
        <w:tc>
          <w:tcPr>
            <w:tcW w:w="3905" w:type="pct"/>
            <w:gridSpan w:val="4"/>
            <w:shd w:val="clear" w:color="auto" w:fill="auto"/>
            <w:vAlign w:val="center"/>
          </w:tcPr>
          <w:p w:rsidR="00675EAF" w:rsidRPr="00763BD0" w:rsidRDefault="009F154B" w:rsidP="00675EAF">
            <w:pPr>
              <w:pStyle w:val="TableText1"/>
            </w:pPr>
            <w:r w:rsidRPr="00763BD0">
              <w:t>Included Study 129 and Study 10 [stratum 2]; assessed mean change in HbA1c</w:t>
            </w:r>
          </w:p>
        </w:tc>
      </w:tr>
      <w:tr w:rsidR="00137F8D" w:rsidRPr="00763BD0" w:rsidTr="00675EAF">
        <w:tc>
          <w:tcPr>
            <w:tcW w:w="5000" w:type="pct"/>
            <w:gridSpan w:val="6"/>
            <w:shd w:val="clear" w:color="auto" w:fill="auto"/>
            <w:vAlign w:val="center"/>
          </w:tcPr>
          <w:p w:rsidR="00137F8D" w:rsidRPr="00763BD0" w:rsidRDefault="00675EAF" w:rsidP="00675EAF">
            <w:pPr>
              <w:pStyle w:val="TableText1"/>
              <w:rPr>
                <w:b/>
              </w:rPr>
            </w:pPr>
            <w:r w:rsidRPr="00763BD0">
              <w:rPr>
                <w:b/>
              </w:rPr>
              <w:t xml:space="preserve">MET + DPP4 inhibitor + insulin </w:t>
            </w:r>
            <w:proofErr w:type="spellStart"/>
            <w:r w:rsidRPr="00763BD0">
              <w:rPr>
                <w:b/>
              </w:rPr>
              <w:t>detemir</w:t>
            </w:r>
            <w:proofErr w:type="spellEnd"/>
            <w:r w:rsidRPr="00763BD0">
              <w:rPr>
                <w:b/>
              </w:rPr>
              <w:t xml:space="preserve"> </w:t>
            </w:r>
            <w:r w:rsidR="00412444" w:rsidRPr="00763BD0">
              <w:rPr>
                <w:b/>
              </w:rPr>
              <w:t>vs.</w:t>
            </w:r>
            <w:r w:rsidRPr="00763BD0">
              <w:rPr>
                <w:b/>
              </w:rPr>
              <w:t xml:space="preserve"> MET + SU + DPP4 inhibitor or MET + DPP4 inhibitor </w:t>
            </w:r>
          </w:p>
        </w:tc>
      </w:tr>
      <w:tr w:rsidR="00675EAF" w:rsidRPr="00763BD0" w:rsidTr="005F31BF">
        <w:tc>
          <w:tcPr>
            <w:tcW w:w="626" w:type="pct"/>
            <w:shd w:val="clear" w:color="auto" w:fill="auto"/>
            <w:vAlign w:val="center"/>
          </w:tcPr>
          <w:p w:rsidR="00675EAF" w:rsidRPr="00763BD0" w:rsidRDefault="008133BC" w:rsidP="00675EAF">
            <w:pPr>
              <w:pStyle w:val="TableText1"/>
            </w:pPr>
            <w:r w:rsidRPr="00763BD0">
              <w:t>TRANSITION</w:t>
            </w:r>
          </w:p>
        </w:tc>
        <w:tc>
          <w:tcPr>
            <w:tcW w:w="469" w:type="pct"/>
            <w:shd w:val="clear" w:color="auto" w:fill="auto"/>
            <w:vAlign w:val="center"/>
          </w:tcPr>
          <w:p w:rsidR="00675EAF" w:rsidRPr="00763BD0" w:rsidRDefault="008133BC" w:rsidP="006047A8">
            <w:pPr>
              <w:pStyle w:val="TableText1"/>
              <w:jc w:val="center"/>
            </w:pPr>
            <w:r w:rsidRPr="00763BD0">
              <w:t>222</w:t>
            </w:r>
          </w:p>
        </w:tc>
        <w:tc>
          <w:tcPr>
            <w:tcW w:w="1182" w:type="pct"/>
            <w:shd w:val="clear" w:color="auto" w:fill="auto"/>
            <w:vAlign w:val="center"/>
          </w:tcPr>
          <w:p w:rsidR="00675EAF" w:rsidRPr="00763BD0" w:rsidRDefault="008133BC" w:rsidP="00CC138C">
            <w:pPr>
              <w:pStyle w:val="TableText1"/>
              <w:jc w:val="center"/>
            </w:pPr>
            <w:r w:rsidRPr="00763BD0">
              <w:t>R</w:t>
            </w:r>
            <w:r w:rsidR="00CC138C" w:rsidRPr="00763BD0">
              <w:t>andomised</w:t>
            </w:r>
            <w:r w:rsidRPr="00763BD0">
              <w:t xml:space="preserve">, </w:t>
            </w:r>
            <w:r w:rsidR="00CC138C" w:rsidRPr="00763BD0">
              <w:t>open label</w:t>
            </w:r>
            <w:r w:rsidRPr="00763BD0">
              <w:t xml:space="preserve">, </w:t>
            </w:r>
            <w:r w:rsidR="00CC138C" w:rsidRPr="00763BD0">
              <w:t>multicentre</w:t>
            </w:r>
            <w:r w:rsidRPr="00763BD0">
              <w:t>, 26 weeks</w:t>
            </w:r>
          </w:p>
        </w:tc>
        <w:tc>
          <w:tcPr>
            <w:tcW w:w="392" w:type="pct"/>
            <w:shd w:val="clear" w:color="auto" w:fill="auto"/>
            <w:vAlign w:val="center"/>
          </w:tcPr>
          <w:p w:rsidR="00675EAF" w:rsidRPr="00763BD0" w:rsidRDefault="008133BC" w:rsidP="006047A8">
            <w:pPr>
              <w:pStyle w:val="TableText1"/>
              <w:jc w:val="center"/>
            </w:pPr>
            <w:r w:rsidRPr="00763BD0">
              <w:t>High</w:t>
            </w:r>
          </w:p>
        </w:tc>
        <w:tc>
          <w:tcPr>
            <w:tcW w:w="1494" w:type="pct"/>
            <w:shd w:val="clear" w:color="auto" w:fill="auto"/>
            <w:vAlign w:val="center"/>
          </w:tcPr>
          <w:p w:rsidR="00675EAF" w:rsidRPr="00763BD0" w:rsidRDefault="008133BC" w:rsidP="00A600B8">
            <w:pPr>
              <w:pStyle w:val="TableText1"/>
              <w:jc w:val="center"/>
            </w:pPr>
            <w:r w:rsidRPr="00763BD0">
              <w:t>HbA1c 7.5-10.0%</w:t>
            </w:r>
            <w:r w:rsidR="00A600B8" w:rsidRPr="00763BD0">
              <w:t xml:space="preserve"> on metformin</w:t>
            </w:r>
            <w:r w:rsidR="006047A8" w:rsidRPr="00763BD0">
              <w:t xml:space="preserve"> ≥1000 mg per day as monotherapy or in combination with another glucose-lowering drug</w:t>
            </w:r>
          </w:p>
        </w:tc>
        <w:tc>
          <w:tcPr>
            <w:tcW w:w="837" w:type="pct"/>
            <w:shd w:val="clear" w:color="auto" w:fill="auto"/>
            <w:vAlign w:val="center"/>
          </w:tcPr>
          <w:p w:rsidR="00675EAF" w:rsidRPr="00763BD0" w:rsidRDefault="006047A8" w:rsidP="006047A8">
            <w:pPr>
              <w:pStyle w:val="TableText1"/>
              <w:jc w:val="center"/>
            </w:pPr>
            <w:r w:rsidRPr="00763BD0">
              <w:t xml:space="preserve">Mean change in HbA1c </w:t>
            </w:r>
          </w:p>
        </w:tc>
      </w:tr>
    </w:tbl>
    <w:p w:rsidR="006047A8" w:rsidRPr="00763BD0" w:rsidRDefault="006047A8" w:rsidP="00137F8D">
      <w:pPr>
        <w:pStyle w:val="TableFooter"/>
      </w:pPr>
      <w:r w:rsidRPr="00763BD0">
        <w:t>Source: compiled during the evaluation</w:t>
      </w:r>
    </w:p>
    <w:p w:rsidR="00137F8D" w:rsidRPr="00763BD0" w:rsidRDefault="006047A8" w:rsidP="00137F8D">
      <w:pPr>
        <w:pStyle w:val="TableFooter"/>
      </w:pPr>
      <w:r w:rsidRPr="00763BD0">
        <w:t xml:space="preserve">Abbreviations: </w:t>
      </w:r>
      <w:r w:rsidR="00A600B8" w:rsidRPr="00763BD0">
        <w:t>DPP4, dipeptidyl peptidase</w:t>
      </w:r>
      <w:r w:rsidR="004324DF" w:rsidRPr="00763BD0">
        <w:t xml:space="preserve"> </w:t>
      </w:r>
      <w:r w:rsidR="00A600B8" w:rsidRPr="00763BD0">
        <w:t>4;</w:t>
      </w:r>
      <w:r w:rsidR="000C058F" w:rsidRPr="00763BD0">
        <w:t xml:space="preserve"> HbA1c, glycosylated haemoglobin;</w:t>
      </w:r>
      <w:r w:rsidRPr="00763BD0">
        <w:t xml:space="preserve"> </w:t>
      </w:r>
      <w:r w:rsidR="00A600B8" w:rsidRPr="00763BD0">
        <w:t xml:space="preserve">MET, metformin; </w:t>
      </w:r>
      <w:r w:rsidRPr="00763BD0">
        <w:t xml:space="preserve">OS, </w:t>
      </w:r>
      <w:r w:rsidR="008133BC" w:rsidRPr="00763BD0">
        <w:t>overall survival</w:t>
      </w:r>
    </w:p>
    <w:p w:rsidR="00137F8D" w:rsidRPr="00412444"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22" w:name="_Toc413139278"/>
      <w:bookmarkStart w:id="23" w:name="_Toc476306888"/>
      <w:bookmarkStart w:id="24" w:name="_Toc482705431"/>
      <w:r w:rsidRPr="00412444">
        <w:rPr>
          <w:rFonts w:asciiTheme="minorHAnsi" w:eastAsiaTheme="majorEastAsia" w:hAnsiTheme="minorHAnsi" w:cstheme="majorBidi"/>
          <w:i/>
          <w:snapToGrid/>
          <w:sz w:val="28"/>
          <w:szCs w:val="28"/>
        </w:rPr>
        <w:t>Comparative effectiveness</w:t>
      </w:r>
      <w:bookmarkEnd w:id="22"/>
      <w:bookmarkEnd w:id="23"/>
      <w:bookmarkEnd w:id="24"/>
      <w:r w:rsidRPr="00412444">
        <w:rPr>
          <w:rFonts w:asciiTheme="minorHAnsi" w:eastAsiaTheme="majorEastAsia" w:hAnsiTheme="minorHAnsi" w:cstheme="majorBidi"/>
          <w:i/>
          <w:snapToGrid/>
          <w:sz w:val="28"/>
          <w:szCs w:val="28"/>
        </w:rPr>
        <w:t xml:space="preserve"> </w:t>
      </w:r>
    </w:p>
    <w:p w:rsidR="00FA23E1" w:rsidRPr="00763BD0" w:rsidRDefault="00FA23E1"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No efficacy data were presented comparing </w:t>
      </w:r>
      <w:proofErr w:type="spellStart"/>
      <w:r w:rsidRPr="00763BD0">
        <w:rPr>
          <w:rFonts w:asciiTheme="minorHAnsi" w:hAnsiTheme="minorHAnsi"/>
          <w:color w:val="auto"/>
          <w:sz w:val="24"/>
        </w:rPr>
        <w:t>dapagliflozin</w:t>
      </w:r>
      <w:proofErr w:type="spellEnd"/>
      <w:r w:rsidRPr="00763BD0">
        <w:rPr>
          <w:rFonts w:asciiTheme="minorHAnsi" w:hAnsiTheme="minorHAnsi"/>
          <w:color w:val="auto"/>
          <w:sz w:val="24"/>
        </w:rPr>
        <w:t xml:space="preserve"> versus sulfonylureas. </w:t>
      </w:r>
    </w:p>
    <w:p w:rsidR="00FA23E1" w:rsidRPr="00763BD0" w:rsidRDefault="00FA23E1"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Table 4 is a summary of the indirect comparison of mean change in HbA1c between </w:t>
      </w:r>
      <w:proofErr w:type="spellStart"/>
      <w:r w:rsidRPr="00763BD0">
        <w:rPr>
          <w:rFonts w:asciiTheme="minorHAnsi" w:hAnsiTheme="minorHAnsi"/>
          <w:color w:val="auto"/>
          <w:sz w:val="24"/>
        </w:rPr>
        <w:t>dapagliflozin</w:t>
      </w:r>
      <w:proofErr w:type="spellEnd"/>
      <w:r w:rsidRPr="00763BD0">
        <w:rPr>
          <w:rFonts w:asciiTheme="minorHAnsi" w:hAnsiTheme="minorHAnsi"/>
          <w:color w:val="auto"/>
          <w:sz w:val="24"/>
        </w:rPr>
        <w:t xml:space="preserve"> and insulin </w:t>
      </w:r>
      <w:proofErr w:type="spellStart"/>
      <w:r w:rsidRPr="00763BD0">
        <w:rPr>
          <w:rFonts w:asciiTheme="minorHAnsi" w:hAnsiTheme="minorHAnsi"/>
          <w:color w:val="auto"/>
          <w:sz w:val="24"/>
        </w:rPr>
        <w:t>detemir</w:t>
      </w:r>
      <w:proofErr w:type="spellEnd"/>
      <w:r w:rsidRPr="00763BD0">
        <w:rPr>
          <w:rFonts w:asciiTheme="minorHAnsi" w:hAnsiTheme="minorHAnsi"/>
          <w:color w:val="auto"/>
          <w:sz w:val="24"/>
        </w:rPr>
        <w:t xml:space="preserve">. </w:t>
      </w:r>
    </w:p>
    <w:p w:rsidR="00641642" w:rsidRPr="00641642" w:rsidRDefault="00641642" w:rsidP="00641642">
      <w:pPr>
        <w:rPr>
          <w:rFonts w:ascii="Arial Narrow" w:hAnsi="Arial Narrow"/>
          <w:b/>
          <w:sz w:val="20"/>
        </w:rPr>
      </w:pPr>
      <w:r w:rsidRPr="00641642">
        <w:rPr>
          <w:rFonts w:ascii="Arial Narrow" w:hAnsi="Arial Narrow"/>
          <w:b/>
          <w:sz w:val="20"/>
        </w:rPr>
        <w:t xml:space="preserve">Table </w:t>
      </w:r>
      <w:r w:rsidRPr="00641642">
        <w:rPr>
          <w:rFonts w:ascii="Arial Narrow" w:hAnsi="Arial Narrow"/>
          <w:b/>
          <w:sz w:val="20"/>
        </w:rPr>
        <w:fldChar w:fldCharType="begin"/>
      </w:r>
      <w:r w:rsidRPr="00641642">
        <w:rPr>
          <w:rFonts w:ascii="Arial Narrow" w:hAnsi="Arial Narrow"/>
          <w:b/>
          <w:sz w:val="20"/>
        </w:rPr>
        <w:instrText xml:space="preserve"> SEQ Table \* ARABIC </w:instrText>
      </w:r>
      <w:r w:rsidRPr="00641642">
        <w:rPr>
          <w:rFonts w:ascii="Arial Narrow" w:hAnsi="Arial Narrow"/>
          <w:b/>
          <w:sz w:val="20"/>
        </w:rPr>
        <w:fldChar w:fldCharType="separate"/>
      </w:r>
      <w:r w:rsidR="00B975C4">
        <w:rPr>
          <w:rFonts w:ascii="Arial Narrow" w:hAnsi="Arial Narrow"/>
          <w:b/>
          <w:noProof/>
          <w:sz w:val="20"/>
        </w:rPr>
        <w:t>4</w:t>
      </w:r>
      <w:r w:rsidRPr="00641642">
        <w:rPr>
          <w:rFonts w:ascii="Arial Narrow" w:hAnsi="Arial Narrow"/>
          <w:b/>
          <w:sz w:val="20"/>
        </w:rPr>
        <w:fldChar w:fldCharType="end"/>
      </w:r>
      <w:r w:rsidRPr="00641642">
        <w:rPr>
          <w:rFonts w:ascii="Arial Narrow" w:hAnsi="Arial Narrow"/>
          <w:b/>
          <w:sz w:val="20"/>
        </w:rPr>
        <w:t>: Mean change in HbA1c from baseline for Study 129, Study 10 [stratum 2] and TRANSITION to Week 24 and Week 26</w:t>
      </w:r>
    </w:p>
    <w:tbl>
      <w:tblPr>
        <w:tblStyle w:val="TableGrid"/>
        <w:tblW w:w="0" w:type="auto"/>
        <w:tblInd w:w="9" w:type="dxa"/>
        <w:tblLook w:val="04A0" w:firstRow="1" w:lastRow="0" w:firstColumn="1" w:lastColumn="0" w:noHBand="0" w:noVBand="1"/>
        <w:tblCaption w:val="Mean change in HbA1c from baseline for Study 129, Study 10 [stratum 2] and TRANSITION to Week 24 and Week 26"/>
      </w:tblPr>
      <w:tblGrid>
        <w:gridCol w:w="1780"/>
        <w:gridCol w:w="1896"/>
        <w:gridCol w:w="1896"/>
        <w:gridCol w:w="1896"/>
        <w:gridCol w:w="1539"/>
      </w:tblGrid>
      <w:tr w:rsidR="006E3AEC" w:rsidRPr="00763BD0" w:rsidTr="00EA2AF9">
        <w:trPr>
          <w:trHeight w:val="337"/>
          <w:tblHeader/>
        </w:trPr>
        <w:tc>
          <w:tcPr>
            <w:tcW w:w="1780" w:type="dxa"/>
            <w:vAlign w:val="center"/>
          </w:tcPr>
          <w:p w:rsidR="006E3AEC" w:rsidRPr="00763BD0" w:rsidRDefault="006E3AEC" w:rsidP="00861413">
            <w:pPr>
              <w:ind w:left="-80"/>
              <w:rPr>
                <w:rFonts w:ascii="Arial Narrow" w:hAnsi="Arial Narrow"/>
                <w:b/>
                <w:sz w:val="20"/>
              </w:rPr>
            </w:pPr>
            <w:r w:rsidRPr="00763BD0">
              <w:rPr>
                <w:rFonts w:ascii="Arial Narrow" w:hAnsi="Arial Narrow"/>
                <w:b/>
                <w:sz w:val="20"/>
              </w:rPr>
              <w:t>Trial ID</w:t>
            </w:r>
          </w:p>
        </w:tc>
        <w:tc>
          <w:tcPr>
            <w:tcW w:w="5688" w:type="dxa"/>
            <w:gridSpan w:val="3"/>
            <w:vAlign w:val="center"/>
          </w:tcPr>
          <w:p w:rsidR="006E3AEC" w:rsidRPr="00763BD0" w:rsidRDefault="006E3AEC" w:rsidP="00861413">
            <w:pPr>
              <w:jc w:val="center"/>
              <w:rPr>
                <w:rFonts w:ascii="Arial Narrow" w:hAnsi="Arial Narrow"/>
                <w:b/>
                <w:sz w:val="20"/>
              </w:rPr>
            </w:pPr>
            <w:r w:rsidRPr="00763BD0">
              <w:rPr>
                <w:rFonts w:ascii="Arial Narrow" w:hAnsi="Arial Narrow"/>
                <w:b/>
                <w:sz w:val="20"/>
              </w:rPr>
              <w:t>Mean change in HbA1c (SE)</w:t>
            </w:r>
          </w:p>
        </w:tc>
        <w:tc>
          <w:tcPr>
            <w:tcW w:w="1539" w:type="dxa"/>
            <w:vAlign w:val="center"/>
          </w:tcPr>
          <w:p w:rsidR="006E3AEC" w:rsidRPr="00763BD0" w:rsidRDefault="006E3AEC" w:rsidP="00861413">
            <w:pPr>
              <w:ind w:left="-76" w:right="-65"/>
              <w:jc w:val="center"/>
              <w:rPr>
                <w:rFonts w:ascii="Arial Narrow" w:hAnsi="Arial Narrow"/>
                <w:b/>
                <w:sz w:val="20"/>
              </w:rPr>
            </w:pPr>
            <w:r w:rsidRPr="00763BD0">
              <w:rPr>
                <w:rFonts w:ascii="Arial Narrow" w:hAnsi="Arial Narrow"/>
                <w:b/>
                <w:sz w:val="20"/>
              </w:rPr>
              <w:t>Mean difference (95% CI)</w:t>
            </w:r>
          </w:p>
        </w:tc>
      </w:tr>
      <w:tr w:rsidR="006E3AEC" w:rsidRPr="00763BD0" w:rsidTr="00861413">
        <w:tc>
          <w:tcPr>
            <w:tcW w:w="9007" w:type="dxa"/>
            <w:gridSpan w:val="5"/>
          </w:tcPr>
          <w:p w:rsidR="006E3AEC" w:rsidRPr="00763BD0" w:rsidRDefault="006E3AEC" w:rsidP="00861413">
            <w:pPr>
              <w:ind w:left="-80"/>
              <w:rPr>
                <w:rFonts w:ascii="Arial Narrow" w:hAnsi="Arial Narrow"/>
                <w:b/>
                <w:sz w:val="20"/>
              </w:rPr>
            </w:pPr>
            <w:proofErr w:type="spellStart"/>
            <w:r w:rsidRPr="00763BD0">
              <w:rPr>
                <w:rFonts w:ascii="Arial Narrow" w:hAnsi="Arial Narrow"/>
                <w:b/>
                <w:sz w:val="20"/>
              </w:rPr>
              <w:t>Dapagliflozin</w:t>
            </w:r>
            <w:proofErr w:type="spellEnd"/>
            <w:r w:rsidRPr="00763BD0">
              <w:rPr>
                <w:rFonts w:ascii="Arial Narrow" w:hAnsi="Arial Narrow"/>
                <w:b/>
                <w:sz w:val="20"/>
              </w:rPr>
              <w:t xml:space="preserve"> with metformin and a DPP4 inhibitor vs placebo with metformin and a DPP4 inhibitor</w:t>
            </w:r>
          </w:p>
        </w:tc>
      </w:tr>
      <w:tr w:rsidR="006E3AEC" w:rsidRPr="00763BD0" w:rsidTr="00861413">
        <w:tc>
          <w:tcPr>
            <w:tcW w:w="1780" w:type="dxa"/>
            <w:vMerge w:val="restart"/>
            <w:vAlign w:val="center"/>
          </w:tcPr>
          <w:p w:rsidR="006E3AEC" w:rsidRPr="00763BD0" w:rsidRDefault="006E3AEC" w:rsidP="00861413">
            <w:pPr>
              <w:ind w:left="-80"/>
              <w:rPr>
                <w:rFonts w:ascii="Arial Narrow" w:hAnsi="Arial Narrow"/>
                <w:sz w:val="20"/>
              </w:rPr>
            </w:pPr>
            <w:r w:rsidRPr="00763BD0">
              <w:rPr>
                <w:rFonts w:ascii="Arial Narrow" w:hAnsi="Arial Narrow"/>
                <w:sz w:val="20"/>
              </w:rPr>
              <w:t xml:space="preserve">Study 129 </w:t>
            </w:r>
          </w:p>
          <w:p w:rsidR="006E3AEC" w:rsidRPr="00763BD0" w:rsidRDefault="006E3AEC" w:rsidP="00861413">
            <w:pPr>
              <w:ind w:left="-80"/>
              <w:rPr>
                <w:rFonts w:ascii="Arial Narrow" w:hAnsi="Arial Narrow"/>
                <w:sz w:val="20"/>
              </w:rPr>
            </w:pPr>
            <w:r w:rsidRPr="00763BD0">
              <w:rPr>
                <w:rFonts w:ascii="Arial Narrow" w:hAnsi="Arial Narrow"/>
                <w:sz w:val="20"/>
              </w:rPr>
              <w:t>(Week 24)</w:t>
            </w:r>
          </w:p>
        </w:tc>
        <w:tc>
          <w:tcPr>
            <w:tcW w:w="1896" w:type="dxa"/>
          </w:tcPr>
          <w:p w:rsidR="006E3AEC" w:rsidRPr="00763BD0" w:rsidRDefault="006E3AEC" w:rsidP="00861413">
            <w:pPr>
              <w:ind w:left="-89" w:right="-87"/>
              <w:jc w:val="center"/>
              <w:rPr>
                <w:rFonts w:ascii="Arial Narrow" w:hAnsi="Arial Narrow"/>
                <w:b/>
                <w:sz w:val="20"/>
              </w:rPr>
            </w:pPr>
            <w:r w:rsidRPr="00763BD0">
              <w:rPr>
                <w:rFonts w:ascii="Arial Narrow" w:hAnsi="Arial Narrow"/>
                <w:b/>
                <w:sz w:val="20"/>
              </w:rPr>
              <w:t>DAPA (+ MET + SAXA)</w:t>
            </w:r>
          </w:p>
          <w:p w:rsidR="006E3AEC" w:rsidRPr="00763BD0" w:rsidRDefault="006E3AEC" w:rsidP="00861413">
            <w:pPr>
              <w:ind w:left="-89" w:right="-87"/>
              <w:jc w:val="center"/>
              <w:rPr>
                <w:rFonts w:ascii="Arial Narrow" w:hAnsi="Arial Narrow"/>
                <w:b/>
                <w:sz w:val="20"/>
              </w:rPr>
            </w:pPr>
            <w:r w:rsidRPr="00763BD0">
              <w:rPr>
                <w:rFonts w:ascii="Arial Narrow" w:hAnsi="Arial Narrow"/>
                <w:b/>
                <w:sz w:val="20"/>
              </w:rPr>
              <w:t>N=160</w:t>
            </w:r>
          </w:p>
        </w:tc>
        <w:tc>
          <w:tcPr>
            <w:tcW w:w="1896" w:type="dxa"/>
          </w:tcPr>
          <w:p w:rsidR="006E3AEC" w:rsidRPr="00763BD0" w:rsidRDefault="006E3AEC" w:rsidP="00861413">
            <w:pPr>
              <w:ind w:left="-89" w:right="-87"/>
              <w:jc w:val="center"/>
              <w:rPr>
                <w:rFonts w:ascii="Arial Narrow" w:hAnsi="Arial Narrow"/>
                <w:b/>
                <w:sz w:val="20"/>
              </w:rPr>
            </w:pPr>
            <w:r w:rsidRPr="00763BD0">
              <w:rPr>
                <w:rFonts w:ascii="Arial Narrow" w:hAnsi="Arial Narrow"/>
                <w:b/>
                <w:sz w:val="20"/>
              </w:rPr>
              <w:t>PBO (+ MET + SAXA)</w:t>
            </w:r>
          </w:p>
          <w:p w:rsidR="006E3AEC" w:rsidRPr="00763BD0" w:rsidRDefault="006E3AEC" w:rsidP="00861413">
            <w:pPr>
              <w:ind w:left="-89" w:right="-87"/>
              <w:jc w:val="center"/>
              <w:rPr>
                <w:rFonts w:ascii="Arial Narrow" w:hAnsi="Arial Narrow"/>
                <w:b/>
                <w:sz w:val="20"/>
              </w:rPr>
            </w:pPr>
            <w:r w:rsidRPr="00763BD0">
              <w:rPr>
                <w:rFonts w:ascii="Arial Narrow" w:hAnsi="Arial Narrow"/>
                <w:b/>
                <w:sz w:val="20"/>
              </w:rPr>
              <w:t>N=160</w:t>
            </w:r>
          </w:p>
        </w:tc>
        <w:tc>
          <w:tcPr>
            <w:tcW w:w="1896" w:type="dxa"/>
            <w:tcBorders>
              <w:bottom w:val="nil"/>
              <w:right w:val="single" w:sz="4" w:space="0" w:color="auto"/>
            </w:tcBorders>
          </w:tcPr>
          <w:p w:rsidR="006E3AEC" w:rsidRPr="00763BD0" w:rsidRDefault="006E3AEC" w:rsidP="00861413">
            <w:pPr>
              <w:jc w:val="center"/>
              <w:rPr>
                <w:rFonts w:ascii="Arial Narrow" w:hAnsi="Arial Narrow"/>
                <w:sz w:val="20"/>
              </w:rPr>
            </w:pPr>
          </w:p>
        </w:tc>
        <w:tc>
          <w:tcPr>
            <w:tcW w:w="1539" w:type="dxa"/>
            <w:tcBorders>
              <w:left w:val="single" w:sz="4" w:space="0" w:color="auto"/>
            </w:tcBorders>
          </w:tcPr>
          <w:p w:rsidR="006E3AEC" w:rsidRPr="00763BD0" w:rsidRDefault="006E3AEC" w:rsidP="00861413">
            <w:pPr>
              <w:ind w:left="-76" w:right="-79"/>
              <w:jc w:val="center"/>
              <w:rPr>
                <w:rFonts w:ascii="Arial Narrow" w:hAnsi="Arial Narrow"/>
                <w:sz w:val="20"/>
              </w:rPr>
            </w:pPr>
          </w:p>
        </w:tc>
      </w:tr>
      <w:tr w:rsidR="006E3AEC" w:rsidRPr="00763BD0" w:rsidTr="00861413">
        <w:tc>
          <w:tcPr>
            <w:tcW w:w="1780" w:type="dxa"/>
            <w:vMerge/>
            <w:vAlign w:val="center"/>
          </w:tcPr>
          <w:p w:rsidR="006E3AEC" w:rsidRPr="00763BD0" w:rsidRDefault="006E3AEC" w:rsidP="00861413">
            <w:pPr>
              <w:ind w:left="-80"/>
              <w:rPr>
                <w:rFonts w:ascii="Arial Narrow" w:hAnsi="Arial Narrow"/>
                <w:sz w:val="20"/>
              </w:rPr>
            </w:pPr>
          </w:p>
        </w:tc>
        <w:tc>
          <w:tcPr>
            <w:tcW w:w="1896" w:type="dxa"/>
          </w:tcPr>
          <w:p w:rsidR="006E3AEC" w:rsidRPr="00763BD0" w:rsidRDefault="006E3AEC" w:rsidP="00861413">
            <w:pPr>
              <w:jc w:val="center"/>
              <w:rPr>
                <w:rFonts w:ascii="Arial Narrow" w:hAnsi="Arial Narrow"/>
                <w:sz w:val="20"/>
              </w:rPr>
            </w:pPr>
            <w:r w:rsidRPr="00763BD0">
              <w:rPr>
                <w:rFonts w:ascii="Arial Narrow" w:hAnsi="Arial Narrow"/>
                <w:sz w:val="20"/>
              </w:rPr>
              <w:t>-0.82 (0.07)</w:t>
            </w:r>
          </w:p>
        </w:tc>
        <w:tc>
          <w:tcPr>
            <w:tcW w:w="1896" w:type="dxa"/>
          </w:tcPr>
          <w:p w:rsidR="006E3AEC" w:rsidRPr="00763BD0" w:rsidRDefault="006E3AEC" w:rsidP="00861413">
            <w:pPr>
              <w:jc w:val="center"/>
              <w:rPr>
                <w:rFonts w:ascii="Arial Narrow" w:hAnsi="Arial Narrow"/>
                <w:sz w:val="20"/>
              </w:rPr>
            </w:pPr>
            <w:r w:rsidRPr="00763BD0">
              <w:rPr>
                <w:rFonts w:ascii="Arial Narrow" w:hAnsi="Arial Narrow"/>
                <w:sz w:val="20"/>
              </w:rPr>
              <w:t>-0.10 (0.07)</w:t>
            </w:r>
          </w:p>
        </w:tc>
        <w:tc>
          <w:tcPr>
            <w:tcW w:w="1896" w:type="dxa"/>
            <w:tcBorders>
              <w:top w:val="nil"/>
              <w:bottom w:val="single" w:sz="4" w:space="0" w:color="auto"/>
            </w:tcBorders>
          </w:tcPr>
          <w:p w:rsidR="006E3AEC" w:rsidRPr="00763BD0" w:rsidRDefault="006E3AEC" w:rsidP="00861413">
            <w:pPr>
              <w:jc w:val="center"/>
              <w:rPr>
                <w:rFonts w:ascii="Arial Narrow" w:hAnsi="Arial Narrow"/>
                <w:sz w:val="20"/>
              </w:rPr>
            </w:pPr>
          </w:p>
        </w:tc>
        <w:tc>
          <w:tcPr>
            <w:tcW w:w="1539" w:type="dxa"/>
          </w:tcPr>
          <w:p w:rsidR="006E3AEC" w:rsidRPr="00763BD0" w:rsidRDefault="006E3AEC" w:rsidP="00861413">
            <w:pPr>
              <w:ind w:left="-76" w:right="-79"/>
              <w:jc w:val="center"/>
              <w:rPr>
                <w:rFonts w:ascii="Arial Narrow" w:hAnsi="Arial Narrow"/>
                <w:sz w:val="20"/>
              </w:rPr>
            </w:pPr>
            <w:r w:rsidRPr="00763BD0">
              <w:rPr>
                <w:rFonts w:ascii="Arial Narrow" w:hAnsi="Arial Narrow"/>
                <w:sz w:val="20"/>
              </w:rPr>
              <w:t>-0.72 (-0.91, -0.53)</w:t>
            </w:r>
          </w:p>
        </w:tc>
      </w:tr>
      <w:tr w:rsidR="006E3AEC" w:rsidRPr="00763BD0" w:rsidTr="00861413">
        <w:tc>
          <w:tcPr>
            <w:tcW w:w="1780" w:type="dxa"/>
            <w:vMerge w:val="restart"/>
            <w:vAlign w:val="center"/>
          </w:tcPr>
          <w:p w:rsidR="006E3AEC" w:rsidRPr="00763BD0" w:rsidRDefault="006E3AEC" w:rsidP="00861413">
            <w:pPr>
              <w:ind w:left="-80"/>
              <w:rPr>
                <w:rFonts w:ascii="Arial Narrow" w:hAnsi="Arial Narrow"/>
                <w:sz w:val="20"/>
              </w:rPr>
            </w:pPr>
            <w:r w:rsidRPr="00763BD0">
              <w:rPr>
                <w:rFonts w:ascii="Arial Narrow" w:hAnsi="Arial Narrow"/>
                <w:sz w:val="20"/>
              </w:rPr>
              <w:t xml:space="preserve">Study 10 [stratum 2] </w:t>
            </w:r>
          </w:p>
          <w:p w:rsidR="006E3AEC" w:rsidRPr="00763BD0" w:rsidRDefault="006E3AEC" w:rsidP="00861413">
            <w:pPr>
              <w:ind w:left="-80"/>
              <w:rPr>
                <w:rFonts w:ascii="Arial Narrow" w:hAnsi="Arial Narrow"/>
                <w:sz w:val="20"/>
              </w:rPr>
            </w:pPr>
            <w:r w:rsidRPr="00763BD0">
              <w:rPr>
                <w:rFonts w:ascii="Arial Narrow" w:hAnsi="Arial Narrow"/>
                <w:sz w:val="20"/>
              </w:rPr>
              <w:t>(Week 24)</w:t>
            </w:r>
          </w:p>
        </w:tc>
        <w:tc>
          <w:tcPr>
            <w:tcW w:w="1896" w:type="dxa"/>
            <w:vAlign w:val="center"/>
          </w:tcPr>
          <w:p w:rsidR="006E3AEC" w:rsidRPr="00763BD0" w:rsidRDefault="006E3AEC" w:rsidP="00861413">
            <w:pPr>
              <w:ind w:left="-89" w:right="-87"/>
              <w:jc w:val="center"/>
              <w:rPr>
                <w:rFonts w:ascii="Arial Narrow" w:hAnsi="Arial Narrow"/>
                <w:b/>
                <w:sz w:val="20"/>
              </w:rPr>
            </w:pPr>
            <w:r w:rsidRPr="00763BD0">
              <w:rPr>
                <w:rFonts w:ascii="Arial Narrow" w:hAnsi="Arial Narrow"/>
                <w:b/>
                <w:sz w:val="20"/>
              </w:rPr>
              <w:t>DAPA (+ MET + SITA)</w:t>
            </w:r>
          </w:p>
          <w:p w:rsidR="006E3AEC" w:rsidRPr="00763BD0" w:rsidRDefault="006E3AEC" w:rsidP="00861413">
            <w:pPr>
              <w:ind w:left="-89" w:right="-87"/>
              <w:jc w:val="center"/>
              <w:rPr>
                <w:rFonts w:ascii="Arial Narrow" w:hAnsi="Arial Narrow"/>
                <w:b/>
                <w:sz w:val="20"/>
              </w:rPr>
            </w:pPr>
            <w:r w:rsidRPr="00763BD0">
              <w:rPr>
                <w:rFonts w:ascii="Arial Narrow" w:hAnsi="Arial Narrow"/>
                <w:b/>
                <w:sz w:val="20"/>
              </w:rPr>
              <w:t>N=113</w:t>
            </w:r>
          </w:p>
        </w:tc>
        <w:tc>
          <w:tcPr>
            <w:tcW w:w="1896" w:type="dxa"/>
            <w:vAlign w:val="center"/>
          </w:tcPr>
          <w:p w:rsidR="006E3AEC" w:rsidRPr="00763BD0" w:rsidRDefault="006E3AEC" w:rsidP="00861413">
            <w:pPr>
              <w:ind w:left="-89" w:right="-87"/>
              <w:jc w:val="center"/>
              <w:rPr>
                <w:rFonts w:ascii="Arial Narrow" w:hAnsi="Arial Narrow"/>
                <w:b/>
                <w:sz w:val="20"/>
              </w:rPr>
            </w:pPr>
            <w:r w:rsidRPr="00763BD0">
              <w:rPr>
                <w:rFonts w:ascii="Arial Narrow" w:hAnsi="Arial Narrow"/>
                <w:b/>
                <w:sz w:val="20"/>
              </w:rPr>
              <w:t>PBO (+ MET + SITA)</w:t>
            </w:r>
          </w:p>
          <w:p w:rsidR="006E3AEC" w:rsidRPr="00763BD0" w:rsidRDefault="006E3AEC" w:rsidP="00861413">
            <w:pPr>
              <w:ind w:left="-89" w:right="-87"/>
              <w:jc w:val="center"/>
              <w:rPr>
                <w:rFonts w:ascii="Arial Narrow" w:hAnsi="Arial Narrow"/>
                <w:b/>
                <w:sz w:val="20"/>
              </w:rPr>
            </w:pPr>
            <w:r w:rsidRPr="00763BD0">
              <w:rPr>
                <w:rFonts w:ascii="Arial Narrow" w:hAnsi="Arial Narrow"/>
                <w:b/>
                <w:sz w:val="20"/>
              </w:rPr>
              <w:t>N=113</w:t>
            </w:r>
          </w:p>
        </w:tc>
        <w:tc>
          <w:tcPr>
            <w:tcW w:w="1896" w:type="dxa"/>
            <w:tcBorders>
              <w:top w:val="single" w:sz="4" w:space="0" w:color="auto"/>
              <w:bottom w:val="nil"/>
              <w:right w:val="single" w:sz="4" w:space="0" w:color="auto"/>
            </w:tcBorders>
            <w:vAlign w:val="center"/>
          </w:tcPr>
          <w:p w:rsidR="006E3AEC" w:rsidRPr="00763BD0" w:rsidRDefault="006E3AEC" w:rsidP="00861413">
            <w:pPr>
              <w:ind w:left="-89" w:right="-87"/>
              <w:jc w:val="center"/>
              <w:rPr>
                <w:rFonts w:ascii="Arial Narrow" w:hAnsi="Arial Narrow"/>
                <w:b/>
                <w:sz w:val="20"/>
              </w:rPr>
            </w:pPr>
          </w:p>
        </w:tc>
        <w:tc>
          <w:tcPr>
            <w:tcW w:w="1539" w:type="dxa"/>
            <w:tcBorders>
              <w:left w:val="single" w:sz="4" w:space="0" w:color="auto"/>
            </w:tcBorders>
            <w:vAlign w:val="center"/>
          </w:tcPr>
          <w:p w:rsidR="006E3AEC" w:rsidRPr="00763BD0" w:rsidRDefault="006E3AEC" w:rsidP="00861413">
            <w:pPr>
              <w:ind w:left="-76" w:right="-79"/>
              <w:jc w:val="center"/>
              <w:rPr>
                <w:rFonts w:ascii="Arial Narrow" w:hAnsi="Arial Narrow"/>
                <w:sz w:val="20"/>
              </w:rPr>
            </w:pPr>
          </w:p>
        </w:tc>
      </w:tr>
      <w:tr w:rsidR="006E3AEC" w:rsidRPr="00763BD0" w:rsidTr="00861413">
        <w:tc>
          <w:tcPr>
            <w:tcW w:w="1780" w:type="dxa"/>
            <w:vMerge/>
          </w:tcPr>
          <w:p w:rsidR="006E3AEC" w:rsidRPr="00763BD0" w:rsidRDefault="006E3AEC" w:rsidP="00861413">
            <w:pPr>
              <w:ind w:left="-80"/>
              <w:rPr>
                <w:rFonts w:ascii="Arial Narrow" w:hAnsi="Arial Narrow"/>
                <w:sz w:val="20"/>
              </w:rPr>
            </w:pPr>
          </w:p>
        </w:tc>
        <w:tc>
          <w:tcPr>
            <w:tcW w:w="1896" w:type="dxa"/>
            <w:vAlign w:val="center"/>
          </w:tcPr>
          <w:p w:rsidR="006E3AEC" w:rsidRPr="00763BD0" w:rsidRDefault="006E3AEC" w:rsidP="00861413">
            <w:pPr>
              <w:jc w:val="center"/>
              <w:rPr>
                <w:rFonts w:ascii="Arial Narrow" w:hAnsi="Arial Narrow"/>
                <w:sz w:val="20"/>
              </w:rPr>
            </w:pPr>
            <w:r w:rsidRPr="00763BD0">
              <w:rPr>
                <w:rFonts w:ascii="Arial Narrow" w:hAnsi="Arial Narrow"/>
                <w:sz w:val="20"/>
              </w:rPr>
              <w:t>-0.43 (0.06)</w:t>
            </w:r>
          </w:p>
        </w:tc>
        <w:tc>
          <w:tcPr>
            <w:tcW w:w="1896" w:type="dxa"/>
            <w:vAlign w:val="center"/>
          </w:tcPr>
          <w:p w:rsidR="006E3AEC" w:rsidRPr="00763BD0" w:rsidRDefault="006E3AEC" w:rsidP="00861413">
            <w:pPr>
              <w:jc w:val="center"/>
              <w:rPr>
                <w:rFonts w:ascii="Arial Narrow" w:hAnsi="Arial Narrow"/>
                <w:sz w:val="20"/>
              </w:rPr>
            </w:pPr>
            <w:r w:rsidRPr="00763BD0">
              <w:rPr>
                <w:rFonts w:ascii="Arial Narrow" w:hAnsi="Arial Narrow"/>
                <w:sz w:val="20"/>
              </w:rPr>
              <w:t>-0.02 (0.06)</w:t>
            </w:r>
          </w:p>
        </w:tc>
        <w:tc>
          <w:tcPr>
            <w:tcW w:w="1896" w:type="dxa"/>
            <w:tcBorders>
              <w:top w:val="nil"/>
            </w:tcBorders>
            <w:vAlign w:val="center"/>
          </w:tcPr>
          <w:p w:rsidR="006E3AEC" w:rsidRPr="00763BD0" w:rsidRDefault="006E3AEC" w:rsidP="00861413">
            <w:pPr>
              <w:jc w:val="center"/>
              <w:rPr>
                <w:rFonts w:ascii="Arial Narrow" w:hAnsi="Arial Narrow"/>
                <w:sz w:val="20"/>
              </w:rPr>
            </w:pPr>
          </w:p>
        </w:tc>
        <w:tc>
          <w:tcPr>
            <w:tcW w:w="1539" w:type="dxa"/>
            <w:vAlign w:val="center"/>
          </w:tcPr>
          <w:p w:rsidR="006E3AEC" w:rsidRPr="00763BD0" w:rsidRDefault="006E3AEC" w:rsidP="00861413">
            <w:pPr>
              <w:ind w:left="-76" w:right="-79"/>
              <w:jc w:val="center"/>
              <w:rPr>
                <w:rFonts w:ascii="Arial Narrow" w:hAnsi="Arial Narrow"/>
                <w:sz w:val="20"/>
              </w:rPr>
            </w:pPr>
            <w:r w:rsidRPr="00763BD0">
              <w:rPr>
                <w:rFonts w:ascii="Arial Narrow" w:hAnsi="Arial Narrow"/>
                <w:sz w:val="20"/>
              </w:rPr>
              <w:t>-0.40 (-0.58, -0.23)</w:t>
            </w:r>
          </w:p>
        </w:tc>
      </w:tr>
      <w:tr w:rsidR="006E3AEC" w:rsidRPr="00763BD0" w:rsidTr="00861413">
        <w:tc>
          <w:tcPr>
            <w:tcW w:w="7468" w:type="dxa"/>
            <w:gridSpan w:val="4"/>
          </w:tcPr>
          <w:p w:rsidR="006E3AEC" w:rsidRPr="00763BD0" w:rsidRDefault="006E3AEC" w:rsidP="00861413">
            <w:pPr>
              <w:ind w:left="-80"/>
              <w:jc w:val="right"/>
              <w:rPr>
                <w:rFonts w:ascii="Arial Narrow" w:hAnsi="Arial Narrow"/>
                <w:sz w:val="20"/>
              </w:rPr>
            </w:pPr>
            <w:r w:rsidRPr="00763BD0">
              <w:rPr>
                <w:rFonts w:ascii="Arial Narrow" w:hAnsi="Arial Narrow"/>
                <w:sz w:val="20"/>
              </w:rPr>
              <w:t>Meta-analysis of Studies 129 and 10 [stratum 2]</w:t>
            </w:r>
          </w:p>
          <w:p w:rsidR="006E3AEC" w:rsidRPr="00763BD0" w:rsidRDefault="006E3AEC" w:rsidP="00861413">
            <w:pPr>
              <w:ind w:left="-80"/>
              <w:jc w:val="right"/>
              <w:rPr>
                <w:rFonts w:ascii="Arial Narrow" w:hAnsi="Arial Narrow"/>
                <w:sz w:val="20"/>
              </w:rPr>
            </w:pPr>
            <w:r w:rsidRPr="00763BD0">
              <w:rPr>
                <w:rFonts w:ascii="Arial Narrow" w:hAnsi="Arial Narrow"/>
                <w:sz w:val="20"/>
              </w:rPr>
              <w:t>Heterogeneity: I</w:t>
            </w:r>
            <w:r w:rsidRPr="00763BD0">
              <w:rPr>
                <w:rFonts w:ascii="Arial Narrow" w:hAnsi="Arial Narrow"/>
                <w:sz w:val="20"/>
                <w:vertAlign w:val="superscript"/>
              </w:rPr>
              <w:t>2</w:t>
            </w:r>
            <w:r w:rsidRPr="00763BD0">
              <w:rPr>
                <w:rFonts w:ascii="Arial Narrow" w:hAnsi="Arial Narrow"/>
                <w:sz w:val="20"/>
              </w:rPr>
              <w:t xml:space="preserve"> = 82%; Test for overall effect: P = 0.0003</w:t>
            </w:r>
          </w:p>
        </w:tc>
        <w:tc>
          <w:tcPr>
            <w:tcW w:w="1539" w:type="dxa"/>
            <w:vAlign w:val="center"/>
          </w:tcPr>
          <w:p w:rsidR="006E3AEC" w:rsidRPr="00763BD0" w:rsidRDefault="006E3AEC" w:rsidP="00861413">
            <w:pPr>
              <w:ind w:left="-76" w:right="-79"/>
              <w:jc w:val="center"/>
              <w:rPr>
                <w:rFonts w:ascii="Arial Narrow" w:hAnsi="Arial Narrow"/>
                <w:sz w:val="20"/>
              </w:rPr>
            </w:pPr>
            <w:r w:rsidRPr="00763BD0">
              <w:rPr>
                <w:rFonts w:ascii="Arial Narrow" w:hAnsi="Arial Narrow"/>
                <w:sz w:val="20"/>
              </w:rPr>
              <w:t>-0.56 (-0.86, -0.26)</w:t>
            </w:r>
          </w:p>
        </w:tc>
      </w:tr>
      <w:tr w:rsidR="006E3AEC" w:rsidRPr="00763BD0" w:rsidTr="00861413">
        <w:tc>
          <w:tcPr>
            <w:tcW w:w="9007" w:type="dxa"/>
            <w:gridSpan w:val="5"/>
          </w:tcPr>
          <w:p w:rsidR="006E3AEC" w:rsidRPr="00763BD0" w:rsidRDefault="006E3AEC" w:rsidP="00861413">
            <w:pPr>
              <w:ind w:left="-80"/>
              <w:jc w:val="left"/>
              <w:rPr>
                <w:rFonts w:ascii="Arial Narrow" w:hAnsi="Arial Narrow"/>
                <w:b/>
                <w:sz w:val="20"/>
              </w:rPr>
            </w:pPr>
            <w:r w:rsidRPr="00763BD0">
              <w:rPr>
                <w:rFonts w:ascii="Arial Narrow" w:hAnsi="Arial Narrow"/>
                <w:b/>
                <w:sz w:val="20"/>
              </w:rPr>
              <w:t xml:space="preserve">Insulin </w:t>
            </w:r>
            <w:proofErr w:type="spellStart"/>
            <w:r w:rsidRPr="00763BD0">
              <w:rPr>
                <w:rFonts w:ascii="Arial Narrow" w:hAnsi="Arial Narrow"/>
                <w:b/>
                <w:sz w:val="20"/>
              </w:rPr>
              <w:t>detemir</w:t>
            </w:r>
            <w:proofErr w:type="spellEnd"/>
            <w:r w:rsidRPr="00763BD0">
              <w:rPr>
                <w:rFonts w:ascii="Arial Narrow" w:hAnsi="Arial Narrow"/>
                <w:b/>
                <w:sz w:val="20"/>
              </w:rPr>
              <w:t xml:space="preserve"> with metformin and a DPP4 inhibitor  </w:t>
            </w:r>
            <w:r w:rsidR="00412444" w:rsidRPr="00763BD0">
              <w:rPr>
                <w:rFonts w:ascii="Arial Narrow" w:hAnsi="Arial Narrow"/>
                <w:b/>
                <w:sz w:val="20"/>
              </w:rPr>
              <w:t>vs.</w:t>
            </w:r>
            <w:r w:rsidRPr="00763BD0">
              <w:rPr>
                <w:rFonts w:ascii="Arial Narrow" w:hAnsi="Arial Narrow"/>
                <w:b/>
                <w:sz w:val="20"/>
              </w:rPr>
              <w:t xml:space="preserve"> metformin with </w:t>
            </w:r>
            <w:proofErr w:type="spellStart"/>
            <w:r w:rsidRPr="00763BD0">
              <w:rPr>
                <w:rFonts w:ascii="Arial Narrow" w:hAnsi="Arial Narrow"/>
                <w:b/>
                <w:sz w:val="20"/>
              </w:rPr>
              <w:t>sitagliptin</w:t>
            </w:r>
            <w:proofErr w:type="spellEnd"/>
            <w:r w:rsidRPr="00763BD0">
              <w:rPr>
                <w:rFonts w:ascii="Arial Narrow" w:hAnsi="Arial Narrow"/>
                <w:b/>
                <w:sz w:val="20"/>
              </w:rPr>
              <w:t xml:space="preserve"> ± a sulfonylurea</w:t>
            </w:r>
          </w:p>
        </w:tc>
      </w:tr>
      <w:tr w:rsidR="006E3AEC" w:rsidRPr="00763BD0" w:rsidTr="00861413">
        <w:tc>
          <w:tcPr>
            <w:tcW w:w="1780" w:type="dxa"/>
            <w:vMerge w:val="restart"/>
          </w:tcPr>
          <w:p w:rsidR="006E3AEC" w:rsidRPr="00763BD0" w:rsidRDefault="006E3AEC" w:rsidP="00861413">
            <w:pPr>
              <w:ind w:left="-80" w:right="-108"/>
              <w:rPr>
                <w:rFonts w:ascii="Arial Narrow" w:hAnsi="Arial Narrow"/>
                <w:sz w:val="20"/>
              </w:rPr>
            </w:pPr>
            <w:r w:rsidRPr="00763BD0">
              <w:rPr>
                <w:rFonts w:ascii="Arial Narrow" w:hAnsi="Arial Narrow"/>
                <w:sz w:val="20"/>
              </w:rPr>
              <w:t xml:space="preserve">TRANSITION </w:t>
            </w:r>
          </w:p>
          <w:p w:rsidR="006E3AEC" w:rsidRPr="00763BD0" w:rsidRDefault="006E3AEC" w:rsidP="00861413">
            <w:pPr>
              <w:ind w:left="-80" w:right="-108"/>
              <w:rPr>
                <w:rFonts w:ascii="Arial Narrow" w:hAnsi="Arial Narrow"/>
                <w:sz w:val="20"/>
              </w:rPr>
            </w:pPr>
            <w:r w:rsidRPr="00763BD0">
              <w:rPr>
                <w:rFonts w:ascii="Arial Narrow" w:hAnsi="Arial Narrow"/>
                <w:sz w:val="20"/>
              </w:rPr>
              <w:t>(Week 26)</w:t>
            </w:r>
          </w:p>
        </w:tc>
        <w:tc>
          <w:tcPr>
            <w:tcW w:w="1896" w:type="dxa"/>
            <w:tcBorders>
              <w:bottom w:val="nil"/>
            </w:tcBorders>
            <w:vAlign w:val="center"/>
          </w:tcPr>
          <w:p w:rsidR="006E3AEC" w:rsidRPr="00763BD0" w:rsidRDefault="006E3AEC" w:rsidP="00861413">
            <w:pPr>
              <w:jc w:val="center"/>
              <w:rPr>
                <w:rFonts w:ascii="Arial Narrow" w:hAnsi="Arial Narrow"/>
                <w:b/>
                <w:sz w:val="20"/>
              </w:rPr>
            </w:pPr>
          </w:p>
        </w:tc>
        <w:tc>
          <w:tcPr>
            <w:tcW w:w="1896" w:type="dxa"/>
            <w:vAlign w:val="center"/>
          </w:tcPr>
          <w:p w:rsidR="006E3AEC" w:rsidRPr="00763BD0" w:rsidRDefault="006E3AEC" w:rsidP="00861413">
            <w:pPr>
              <w:jc w:val="center"/>
              <w:rPr>
                <w:rFonts w:ascii="Arial Narrow" w:hAnsi="Arial Narrow"/>
                <w:b/>
                <w:sz w:val="20"/>
              </w:rPr>
            </w:pPr>
            <w:r w:rsidRPr="00763BD0">
              <w:rPr>
                <w:rFonts w:ascii="Arial Narrow" w:hAnsi="Arial Narrow"/>
                <w:b/>
                <w:sz w:val="20"/>
              </w:rPr>
              <w:t>SITA + MET ± SU</w:t>
            </w:r>
          </w:p>
          <w:p w:rsidR="006E3AEC" w:rsidRPr="00763BD0" w:rsidRDefault="006E3AEC" w:rsidP="00861413">
            <w:pPr>
              <w:jc w:val="center"/>
              <w:rPr>
                <w:rFonts w:ascii="Arial Narrow" w:hAnsi="Arial Narrow"/>
                <w:b/>
                <w:sz w:val="20"/>
              </w:rPr>
            </w:pPr>
            <w:r w:rsidRPr="00763BD0">
              <w:rPr>
                <w:rFonts w:ascii="Arial Narrow" w:hAnsi="Arial Narrow"/>
                <w:b/>
                <w:sz w:val="20"/>
              </w:rPr>
              <w:t>N=107</w:t>
            </w:r>
          </w:p>
        </w:tc>
        <w:tc>
          <w:tcPr>
            <w:tcW w:w="1896" w:type="dxa"/>
            <w:vAlign w:val="center"/>
          </w:tcPr>
          <w:p w:rsidR="006E3AEC" w:rsidRPr="00763BD0" w:rsidRDefault="006E3AEC" w:rsidP="00861413">
            <w:pPr>
              <w:jc w:val="center"/>
              <w:rPr>
                <w:rFonts w:ascii="Arial Narrow" w:hAnsi="Arial Narrow"/>
                <w:b/>
                <w:sz w:val="20"/>
              </w:rPr>
            </w:pPr>
            <w:r w:rsidRPr="00763BD0">
              <w:rPr>
                <w:rFonts w:ascii="Arial Narrow" w:hAnsi="Arial Narrow"/>
                <w:b/>
                <w:sz w:val="20"/>
              </w:rPr>
              <w:t>IDET (+ SITA + MET)</w:t>
            </w:r>
          </w:p>
          <w:p w:rsidR="006E3AEC" w:rsidRPr="00763BD0" w:rsidRDefault="006E3AEC" w:rsidP="00861413">
            <w:pPr>
              <w:jc w:val="center"/>
              <w:rPr>
                <w:rFonts w:ascii="Arial Narrow" w:hAnsi="Arial Narrow"/>
                <w:b/>
                <w:sz w:val="20"/>
              </w:rPr>
            </w:pPr>
            <w:r w:rsidRPr="00763BD0">
              <w:rPr>
                <w:rFonts w:ascii="Arial Narrow" w:hAnsi="Arial Narrow"/>
                <w:b/>
                <w:sz w:val="20"/>
              </w:rPr>
              <w:t>N=110</w:t>
            </w:r>
          </w:p>
        </w:tc>
        <w:tc>
          <w:tcPr>
            <w:tcW w:w="1539" w:type="dxa"/>
            <w:vAlign w:val="center"/>
          </w:tcPr>
          <w:p w:rsidR="006E3AEC" w:rsidRPr="00763BD0" w:rsidRDefault="006E3AEC" w:rsidP="00861413">
            <w:pPr>
              <w:ind w:left="-62" w:right="-65"/>
              <w:jc w:val="center"/>
              <w:rPr>
                <w:rFonts w:ascii="Arial Narrow" w:hAnsi="Arial Narrow"/>
                <w:sz w:val="20"/>
              </w:rPr>
            </w:pPr>
          </w:p>
        </w:tc>
      </w:tr>
      <w:tr w:rsidR="006E3AEC" w:rsidRPr="00763BD0" w:rsidTr="00861413">
        <w:tc>
          <w:tcPr>
            <w:tcW w:w="1780" w:type="dxa"/>
            <w:vMerge/>
          </w:tcPr>
          <w:p w:rsidR="006E3AEC" w:rsidRPr="00763BD0" w:rsidRDefault="006E3AEC" w:rsidP="00861413">
            <w:pPr>
              <w:ind w:left="-80" w:right="-108"/>
              <w:rPr>
                <w:rFonts w:ascii="Arial Narrow" w:hAnsi="Arial Narrow"/>
                <w:sz w:val="20"/>
              </w:rPr>
            </w:pPr>
          </w:p>
        </w:tc>
        <w:tc>
          <w:tcPr>
            <w:tcW w:w="1896" w:type="dxa"/>
            <w:tcBorders>
              <w:top w:val="nil"/>
            </w:tcBorders>
            <w:vAlign w:val="center"/>
          </w:tcPr>
          <w:p w:rsidR="006E3AEC" w:rsidRPr="00763BD0" w:rsidRDefault="006E3AEC" w:rsidP="00861413">
            <w:pPr>
              <w:jc w:val="center"/>
              <w:rPr>
                <w:rFonts w:ascii="Arial Narrow" w:hAnsi="Arial Narrow"/>
                <w:sz w:val="20"/>
              </w:rPr>
            </w:pPr>
          </w:p>
        </w:tc>
        <w:tc>
          <w:tcPr>
            <w:tcW w:w="1896" w:type="dxa"/>
            <w:vAlign w:val="center"/>
          </w:tcPr>
          <w:p w:rsidR="006E3AEC" w:rsidRPr="00763BD0" w:rsidRDefault="006E3AEC" w:rsidP="00861413">
            <w:pPr>
              <w:jc w:val="center"/>
              <w:rPr>
                <w:rFonts w:ascii="Arial Narrow" w:hAnsi="Arial Narrow"/>
                <w:sz w:val="20"/>
              </w:rPr>
            </w:pPr>
            <w:r w:rsidRPr="00763BD0">
              <w:rPr>
                <w:rFonts w:ascii="Arial Narrow" w:hAnsi="Arial Narrow"/>
                <w:sz w:val="20"/>
              </w:rPr>
              <w:t>-0.89 (NR)</w:t>
            </w:r>
          </w:p>
        </w:tc>
        <w:tc>
          <w:tcPr>
            <w:tcW w:w="1896" w:type="dxa"/>
            <w:vAlign w:val="center"/>
          </w:tcPr>
          <w:p w:rsidR="006E3AEC" w:rsidRPr="00763BD0" w:rsidRDefault="006E3AEC" w:rsidP="00861413">
            <w:pPr>
              <w:jc w:val="center"/>
              <w:rPr>
                <w:rFonts w:ascii="Arial Narrow" w:hAnsi="Arial Narrow"/>
                <w:sz w:val="20"/>
              </w:rPr>
            </w:pPr>
            <w:r w:rsidRPr="00763BD0">
              <w:rPr>
                <w:rFonts w:ascii="Arial Narrow" w:hAnsi="Arial Narrow"/>
                <w:sz w:val="20"/>
              </w:rPr>
              <w:t>-1.44 (NR)</w:t>
            </w:r>
          </w:p>
        </w:tc>
        <w:tc>
          <w:tcPr>
            <w:tcW w:w="1539" w:type="dxa"/>
            <w:vAlign w:val="center"/>
          </w:tcPr>
          <w:p w:rsidR="006E3AEC" w:rsidRPr="00763BD0" w:rsidRDefault="006E3AEC" w:rsidP="00861413">
            <w:pPr>
              <w:ind w:left="-62" w:right="-65"/>
              <w:jc w:val="center"/>
              <w:rPr>
                <w:rFonts w:ascii="Arial Narrow" w:hAnsi="Arial Narrow"/>
                <w:sz w:val="20"/>
              </w:rPr>
            </w:pPr>
            <w:r w:rsidRPr="00763BD0">
              <w:rPr>
                <w:rFonts w:ascii="Arial Narrow" w:hAnsi="Arial Narrow"/>
                <w:sz w:val="20"/>
              </w:rPr>
              <w:t>-0.55 (-0.77, -0.33)</w:t>
            </w:r>
          </w:p>
        </w:tc>
      </w:tr>
      <w:tr w:rsidR="006E3AEC" w:rsidRPr="00763BD0" w:rsidTr="00861413">
        <w:tc>
          <w:tcPr>
            <w:tcW w:w="7468" w:type="dxa"/>
            <w:gridSpan w:val="4"/>
          </w:tcPr>
          <w:p w:rsidR="006E3AEC" w:rsidRPr="00763BD0" w:rsidRDefault="006E3AEC" w:rsidP="00861413">
            <w:pPr>
              <w:ind w:left="-80"/>
              <w:jc w:val="right"/>
              <w:rPr>
                <w:rFonts w:ascii="Arial Narrow" w:hAnsi="Arial Narrow"/>
                <w:sz w:val="20"/>
              </w:rPr>
            </w:pPr>
            <w:r w:rsidRPr="00763BD0">
              <w:rPr>
                <w:rFonts w:ascii="Arial Narrow" w:hAnsi="Arial Narrow"/>
                <w:sz w:val="20"/>
              </w:rPr>
              <w:t xml:space="preserve">Indirect comparison </w:t>
            </w:r>
            <w:proofErr w:type="spellStart"/>
            <w:r w:rsidRPr="00763BD0">
              <w:rPr>
                <w:rFonts w:ascii="Arial Narrow" w:hAnsi="Arial Narrow"/>
                <w:sz w:val="20"/>
              </w:rPr>
              <w:t>dapagliflozin</w:t>
            </w:r>
            <w:proofErr w:type="spellEnd"/>
            <w:r w:rsidRPr="00763BD0">
              <w:rPr>
                <w:rFonts w:ascii="Arial Narrow" w:hAnsi="Arial Narrow"/>
                <w:sz w:val="20"/>
              </w:rPr>
              <w:t xml:space="preserve"> vs insulin </w:t>
            </w:r>
            <w:proofErr w:type="spellStart"/>
            <w:r w:rsidRPr="00763BD0">
              <w:rPr>
                <w:rFonts w:ascii="Arial Narrow" w:hAnsi="Arial Narrow"/>
                <w:sz w:val="20"/>
              </w:rPr>
              <w:t>detemir</w:t>
            </w:r>
            <w:proofErr w:type="spellEnd"/>
            <w:r w:rsidRPr="00763BD0">
              <w:rPr>
                <w:rFonts w:ascii="Arial Narrow" w:hAnsi="Arial Narrow"/>
                <w:sz w:val="20"/>
              </w:rPr>
              <w:t xml:space="preserve">, (Week 24 and Week 26) </w:t>
            </w:r>
          </w:p>
        </w:tc>
        <w:tc>
          <w:tcPr>
            <w:tcW w:w="1539" w:type="dxa"/>
            <w:vAlign w:val="center"/>
          </w:tcPr>
          <w:p w:rsidR="006E3AEC" w:rsidRPr="00763BD0" w:rsidRDefault="006E3AEC" w:rsidP="00861413">
            <w:pPr>
              <w:ind w:left="-62" w:right="-65"/>
              <w:jc w:val="center"/>
              <w:rPr>
                <w:rFonts w:ascii="Arial Narrow" w:hAnsi="Arial Narrow"/>
                <w:sz w:val="20"/>
              </w:rPr>
            </w:pPr>
            <w:r w:rsidRPr="00763BD0">
              <w:rPr>
                <w:rFonts w:ascii="Arial Narrow" w:hAnsi="Arial Narrow"/>
                <w:sz w:val="20"/>
              </w:rPr>
              <w:t>-0.01 (-0.38, 0.36)</w:t>
            </w:r>
          </w:p>
        </w:tc>
      </w:tr>
    </w:tbl>
    <w:p w:rsidR="006E3AEC" w:rsidRPr="00763BD0" w:rsidRDefault="006E3AEC" w:rsidP="006E3AEC">
      <w:pPr>
        <w:pStyle w:val="TableFooter"/>
      </w:pPr>
      <w:bookmarkStart w:id="25" w:name="_Toc413139279"/>
      <w:bookmarkStart w:id="26" w:name="_Toc476306889"/>
      <w:r w:rsidRPr="00763BD0">
        <w:t>Source: Table B.24, p86 of the submission</w:t>
      </w:r>
    </w:p>
    <w:p w:rsidR="006E3AEC" w:rsidRPr="00763BD0" w:rsidRDefault="006E3AEC" w:rsidP="006E3AEC">
      <w:pPr>
        <w:pStyle w:val="TableFooter"/>
      </w:pPr>
      <w:r w:rsidRPr="00763BD0">
        <w:t xml:space="preserve">Abbreviations: CI, confidence interval; DAPA, </w:t>
      </w:r>
      <w:proofErr w:type="spellStart"/>
      <w:r w:rsidRPr="00763BD0">
        <w:t>dapagliflozin</w:t>
      </w:r>
      <w:proofErr w:type="spellEnd"/>
      <w:r w:rsidRPr="00763BD0">
        <w:t xml:space="preserve">; FAS, full analysis set; </w:t>
      </w:r>
      <w:r w:rsidR="000C058F" w:rsidRPr="00763BD0">
        <w:t xml:space="preserve">HbA1c, glycosylated haemoglobin; </w:t>
      </w:r>
      <w:r w:rsidRPr="00763BD0">
        <w:t xml:space="preserve">IDET, insulin </w:t>
      </w:r>
      <w:proofErr w:type="spellStart"/>
      <w:r w:rsidRPr="00763BD0">
        <w:t>detemir</w:t>
      </w:r>
      <w:proofErr w:type="spellEnd"/>
      <w:r w:rsidRPr="00763BD0">
        <w:t xml:space="preserve">; MET, metformin; NR, not reported; PBO, placebo; SAXA, </w:t>
      </w:r>
      <w:proofErr w:type="spellStart"/>
      <w:r w:rsidRPr="00763BD0">
        <w:t>saxagliptin</w:t>
      </w:r>
      <w:proofErr w:type="spellEnd"/>
      <w:r w:rsidRPr="00763BD0">
        <w:t xml:space="preserve">; SITA, </w:t>
      </w:r>
      <w:proofErr w:type="spellStart"/>
      <w:r w:rsidRPr="00763BD0">
        <w:t>sitagliptin</w:t>
      </w:r>
      <w:proofErr w:type="spellEnd"/>
      <w:r w:rsidRPr="00763BD0">
        <w:t>; SU, sulfonylurea</w:t>
      </w:r>
    </w:p>
    <w:p w:rsidR="006E3AEC" w:rsidRPr="00763BD0" w:rsidRDefault="006E3AEC" w:rsidP="006E3AEC">
      <w:pPr>
        <w:pStyle w:val="TableFooter"/>
        <w:rPr>
          <w:sz w:val="22"/>
        </w:rPr>
      </w:pPr>
    </w:p>
    <w:p w:rsidR="006E3AEC" w:rsidRPr="00763BD0" w:rsidRDefault="00174A13" w:rsidP="009F09BC">
      <w:pPr>
        <w:pStyle w:val="ESnumberedparablue"/>
        <w:numPr>
          <w:ilvl w:val="1"/>
          <w:numId w:val="3"/>
        </w:numPr>
        <w:ind w:left="709" w:hanging="709"/>
        <w:rPr>
          <w:rFonts w:asciiTheme="minorHAnsi" w:hAnsiTheme="minorHAnsi"/>
          <w:color w:val="auto"/>
          <w:sz w:val="24"/>
        </w:rPr>
      </w:pPr>
      <w:proofErr w:type="gramStart"/>
      <w:r w:rsidRPr="00763BD0">
        <w:rPr>
          <w:rFonts w:asciiTheme="minorHAnsi" w:hAnsiTheme="minorHAnsi"/>
          <w:color w:val="auto"/>
          <w:sz w:val="24"/>
        </w:rPr>
        <w:t xml:space="preserve">Treatment with </w:t>
      </w:r>
      <w:proofErr w:type="spellStart"/>
      <w:r w:rsidRPr="00763BD0">
        <w:rPr>
          <w:rFonts w:asciiTheme="minorHAnsi" w:hAnsiTheme="minorHAnsi"/>
          <w:color w:val="auto"/>
          <w:sz w:val="24"/>
        </w:rPr>
        <w:t>dapagliflozin</w:t>
      </w:r>
      <w:proofErr w:type="spellEnd"/>
      <w:r w:rsidRPr="00763BD0">
        <w:rPr>
          <w:rFonts w:asciiTheme="minorHAnsi" w:hAnsiTheme="minorHAnsi"/>
          <w:color w:val="auto"/>
          <w:sz w:val="24"/>
        </w:rPr>
        <w:t xml:space="preserve"> and insulin </w:t>
      </w:r>
      <w:proofErr w:type="spellStart"/>
      <w:r w:rsidRPr="00763BD0">
        <w:rPr>
          <w:rFonts w:asciiTheme="minorHAnsi" w:hAnsiTheme="minorHAnsi"/>
          <w:color w:val="auto"/>
          <w:sz w:val="24"/>
        </w:rPr>
        <w:t>detemir</w:t>
      </w:r>
      <w:proofErr w:type="spellEnd"/>
      <w:r w:rsidRPr="00763BD0">
        <w:rPr>
          <w:rFonts w:asciiTheme="minorHAnsi" w:hAnsiTheme="minorHAnsi"/>
          <w:color w:val="auto"/>
          <w:sz w:val="24"/>
        </w:rPr>
        <w:t xml:space="preserve"> </w:t>
      </w:r>
      <w:r w:rsidR="002B20F8" w:rsidRPr="00763BD0">
        <w:rPr>
          <w:rFonts w:asciiTheme="minorHAnsi" w:hAnsiTheme="minorHAnsi"/>
          <w:color w:val="auto"/>
          <w:sz w:val="24"/>
        </w:rPr>
        <w:t>were</w:t>
      </w:r>
      <w:proofErr w:type="gramEnd"/>
      <w:r w:rsidR="002B20F8" w:rsidRPr="00763BD0">
        <w:rPr>
          <w:rFonts w:asciiTheme="minorHAnsi" w:hAnsiTheme="minorHAnsi"/>
          <w:color w:val="auto"/>
          <w:sz w:val="24"/>
        </w:rPr>
        <w:t xml:space="preserve"> both associated with statistically significant reductions in HbA1c when added-on to metformin and a DPP4 inhibitor. </w:t>
      </w:r>
    </w:p>
    <w:p w:rsidR="002B20F8" w:rsidRPr="00763BD0" w:rsidRDefault="002B20F8"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Results from the insulin </w:t>
      </w:r>
      <w:proofErr w:type="spellStart"/>
      <w:r w:rsidRPr="00763BD0">
        <w:rPr>
          <w:rFonts w:asciiTheme="minorHAnsi" w:hAnsiTheme="minorHAnsi"/>
          <w:color w:val="auto"/>
          <w:sz w:val="24"/>
        </w:rPr>
        <w:t>detemir</w:t>
      </w:r>
      <w:proofErr w:type="spellEnd"/>
      <w:r w:rsidRPr="00763BD0">
        <w:rPr>
          <w:rFonts w:asciiTheme="minorHAnsi" w:hAnsiTheme="minorHAnsi"/>
          <w:color w:val="auto"/>
          <w:sz w:val="24"/>
        </w:rPr>
        <w:t xml:space="preserve"> trial (TRANSITION) should be interpreted with caution given the high risk of bias </w:t>
      </w:r>
      <w:r w:rsidR="00095175" w:rsidRPr="00763BD0">
        <w:rPr>
          <w:rFonts w:asciiTheme="minorHAnsi" w:hAnsiTheme="minorHAnsi"/>
          <w:color w:val="auto"/>
          <w:sz w:val="24"/>
        </w:rPr>
        <w:t>due to</w:t>
      </w:r>
      <w:r w:rsidRPr="00763BD0">
        <w:rPr>
          <w:rFonts w:asciiTheme="minorHAnsi" w:hAnsiTheme="minorHAnsi"/>
          <w:color w:val="auto"/>
          <w:sz w:val="24"/>
        </w:rPr>
        <w:t xml:space="preserve"> the trial design (open-label, complex treatment switching, comparator arm mix).</w:t>
      </w:r>
    </w:p>
    <w:p w:rsidR="002B20F8" w:rsidRPr="00763BD0" w:rsidRDefault="002B20F8"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The indirect comparison between the meta-analysis of the </w:t>
      </w:r>
      <w:proofErr w:type="spellStart"/>
      <w:r w:rsidRPr="00763BD0">
        <w:rPr>
          <w:rFonts w:asciiTheme="minorHAnsi" w:hAnsiTheme="minorHAnsi"/>
          <w:color w:val="auto"/>
          <w:sz w:val="24"/>
        </w:rPr>
        <w:t>dapagliflozin</w:t>
      </w:r>
      <w:proofErr w:type="spellEnd"/>
      <w:r w:rsidRPr="00763BD0">
        <w:rPr>
          <w:rFonts w:asciiTheme="minorHAnsi" w:hAnsiTheme="minorHAnsi"/>
          <w:color w:val="auto"/>
          <w:sz w:val="24"/>
        </w:rPr>
        <w:t xml:space="preserve"> trials and the insulin </w:t>
      </w:r>
      <w:proofErr w:type="spellStart"/>
      <w:r w:rsidRPr="00763BD0">
        <w:rPr>
          <w:rFonts w:asciiTheme="minorHAnsi" w:hAnsiTheme="minorHAnsi"/>
          <w:color w:val="auto"/>
          <w:sz w:val="24"/>
        </w:rPr>
        <w:t>detemir</w:t>
      </w:r>
      <w:proofErr w:type="spellEnd"/>
      <w:r w:rsidRPr="00763BD0">
        <w:rPr>
          <w:rFonts w:asciiTheme="minorHAnsi" w:hAnsiTheme="minorHAnsi"/>
          <w:color w:val="auto"/>
          <w:sz w:val="24"/>
        </w:rPr>
        <w:t xml:space="preserve"> trial indicated that non-inferiority was met when a margin of 0.4% is considered.  </w:t>
      </w:r>
    </w:p>
    <w:p w:rsidR="00174A13" w:rsidRPr="00763BD0" w:rsidRDefault="00792F23"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The submission noted statistically significant heterogeneity between Study 129 and 10 [stratum 2]</w:t>
      </w:r>
      <w:r w:rsidR="0091160F" w:rsidRPr="00763BD0">
        <w:rPr>
          <w:rFonts w:asciiTheme="minorHAnsi" w:hAnsiTheme="minorHAnsi"/>
          <w:color w:val="auto"/>
          <w:sz w:val="24"/>
        </w:rPr>
        <w:t xml:space="preserve">. There were differences between the trial populations in terms of baseline glycaemic control, treatment regimens in the comparator arms (different DPP4 inhibitors), and </w:t>
      </w:r>
      <w:r w:rsidR="00D6795C" w:rsidRPr="00763BD0">
        <w:rPr>
          <w:rFonts w:asciiTheme="minorHAnsi" w:hAnsiTheme="minorHAnsi"/>
          <w:color w:val="auto"/>
          <w:sz w:val="24"/>
        </w:rPr>
        <w:t xml:space="preserve">a </w:t>
      </w:r>
      <w:r w:rsidR="0091160F" w:rsidRPr="00763BD0">
        <w:rPr>
          <w:rFonts w:asciiTheme="minorHAnsi" w:hAnsiTheme="minorHAnsi"/>
          <w:color w:val="auto"/>
          <w:sz w:val="24"/>
        </w:rPr>
        <w:t xml:space="preserve">large difference in observed treatment effect between the trials. The meta-analysis of Study 129 and Study 10 [stratum 2] may not be appropriate. </w:t>
      </w:r>
    </w:p>
    <w:p w:rsidR="00174A13" w:rsidRDefault="002B20F8"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The</w:t>
      </w:r>
      <w:r w:rsidR="00255D1E">
        <w:rPr>
          <w:rFonts w:asciiTheme="minorHAnsi" w:hAnsiTheme="minorHAnsi"/>
          <w:color w:val="auto"/>
          <w:sz w:val="24"/>
        </w:rPr>
        <w:t xml:space="preserve"> PBAC considered that the</w:t>
      </w:r>
      <w:r w:rsidRPr="00763BD0">
        <w:rPr>
          <w:rFonts w:asciiTheme="minorHAnsi" w:hAnsiTheme="minorHAnsi"/>
          <w:color w:val="auto"/>
          <w:sz w:val="24"/>
        </w:rPr>
        <w:t xml:space="preserve"> indirect comparison </w:t>
      </w:r>
      <w:r w:rsidR="00255D1E">
        <w:rPr>
          <w:rFonts w:asciiTheme="minorHAnsi" w:hAnsiTheme="minorHAnsi"/>
          <w:color w:val="auto"/>
          <w:sz w:val="24"/>
        </w:rPr>
        <w:t>was</w:t>
      </w:r>
      <w:r w:rsidR="00255D1E" w:rsidRPr="00763BD0">
        <w:rPr>
          <w:rFonts w:asciiTheme="minorHAnsi" w:hAnsiTheme="minorHAnsi"/>
          <w:color w:val="auto"/>
          <w:sz w:val="24"/>
        </w:rPr>
        <w:t xml:space="preserve"> </w:t>
      </w:r>
      <w:r w:rsidRPr="00763BD0">
        <w:rPr>
          <w:rFonts w:asciiTheme="minorHAnsi" w:hAnsiTheme="minorHAnsi"/>
          <w:color w:val="auto"/>
          <w:sz w:val="24"/>
        </w:rPr>
        <w:t xml:space="preserve">not appropriate given the substantial heterogeneity between Studies 129 and 10, applicability and exchangeability issues with the TRANSITION trial, and large differences in the magnitude of effect between the common reference arms. </w:t>
      </w:r>
      <w:r w:rsidR="00255D1E">
        <w:rPr>
          <w:rFonts w:asciiTheme="minorHAnsi" w:hAnsiTheme="minorHAnsi"/>
          <w:color w:val="auto"/>
          <w:sz w:val="24"/>
        </w:rPr>
        <w:t>In particular, the PBAC noted that there were baseline differences in HbA1c and disease severity, as well as in the baseline metformin dose and whether patients were able to also take a sulfonylurea.</w:t>
      </w:r>
      <w:r w:rsidR="0089099B">
        <w:rPr>
          <w:rFonts w:asciiTheme="minorHAnsi" w:hAnsiTheme="minorHAnsi"/>
          <w:color w:val="auto"/>
          <w:sz w:val="24"/>
        </w:rPr>
        <w:t xml:space="preserve"> The PBAC considered that the indirect comparison was not sufficiently reliable to determine non-inferior efficacy.</w:t>
      </w:r>
    </w:p>
    <w:p w:rsidR="00137F8D" w:rsidRPr="00412444"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27" w:name="_Toc482705432"/>
      <w:r w:rsidRPr="00412444">
        <w:rPr>
          <w:rFonts w:asciiTheme="minorHAnsi" w:eastAsiaTheme="majorEastAsia" w:hAnsiTheme="minorHAnsi" w:cstheme="majorBidi"/>
          <w:i/>
          <w:snapToGrid/>
          <w:sz w:val="28"/>
          <w:szCs w:val="28"/>
        </w:rPr>
        <w:t>Comparative harms</w:t>
      </w:r>
      <w:bookmarkEnd w:id="25"/>
      <w:bookmarkEnd w:id="26"/>
      <w:bookmarkEnd w:id="27"/>
    </w:p>
    <w:p w:rsidR="00137F8D" w:rsidRPr="00763BD0" w:rsidRDefault="00FA0AF8"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No safety data were presented comparing </w:t>
      </w:r>
      <w:proofErr w:type="spellStart"/>
      <w:r w:rsidRPr="00763BD0">
        <w:rPr>
          <w:rFonts w:asciiTheme="minorHAnsi" w:hAnsiTheme="minorHAnsi"/>
          <w:color w:val="auto"/>
          <w:sz w:val="24"/>
        </w:rPr>
        <w:t>dapagliflozin</w:t>
      </w:r>
      <w:proofErr w:type="spellEnd"/>
      <w:r w:rsidRPr="00763BD0">
        <w:rPr>
          <w:rFonts w:asciiTheme="minorHAnsi" w:hAnsiTheme="minorHAnsi"/>
          <w:color w:val="auto"/>
          <w:sz w:val="24"/>
        </w:rPr>
        <w:t xml:space="preserve"> versus sulfonylureas. </w:t>
      </w:r>
      <w:r w:rsidR="0089099B" w:rsidRPr="009F09BC">
        <w:rPr>
          <w:rFonts w:asciiTheme="minorHAnsi" w:hAnsiTheme="minorHAnsi"/>
          <w:color w:val="auto"/>
          <w:sz w:val="24"/>
        </w:rPr>
        <w:t xml:space="preserve">The pre-PBAC response (p3) presented data from a study comparing </w:t>
      </w:r>
      <w:proofErr w:type="spellStart"/>
      <w:r w:rsidR="0089099B" w:rsidRPr="009F09BC">
        <w:rPr>
          <w:rFonts w:asciiTheme="minorHAnsi" w:hAnsiTheme="minorHAnsi"/>
          <w:color w:val="auto"/>
          <w:sz w:val="24"/>
        </w:rPr>
        <w:t>dapagliflozin</w:t>
      </w:r>
      <w:proofErr w:type="spellEnd"/>
      <w:r w:rsidR="0089099B" w:rsidRPr="009F09BC">
        <w:rPr>
          <w:rFonts w:asciiTheme="minorHAnsi" w:hAnsiTheme="minorHAnsi"/>
          <w:color w:val="auto"/>
          <w:sz w:val="24"/>
        </w:rPr>
        <w:t xml:space="preserve"> with glipizide (a sulfonylurea) as add-on therapy to metformin monotherapy (Study CT-004). The submission argued that these data demonstrated superior safety due to a reduced rate of hypoglycaemic events in patients taking </w:t>
      </w:r>
      <w:proofErr w:type="spellStart"/>
      <w:r w:rsidR="0089099B" w:rsidRPr="009F09BC">
        <w:rPr>
          <w:rFonts w:asciiTheme="minorHAnsi" w:hAnsiTheme="minorHAnsi"/>
          <w:color w:val="auto"/>
          <w:sz w:val="24"/>
        </w:rPr>
        <w:t>dapagliflozin</w:t>
      </w:r>
      <w:proofErr w:type="spellEnd"/>
      <w:r w:rsidR="0089099B" w:rsidRPr="009F09BC">
        <w:rPr>
          <w:rFonts w:asciiTheme="minorHAnsi" w:hAnsiTheme="minorHAnsi"/>
          <w:color w:val="auto"/>
          <w:sz w:val="24"/>
        </w:rPr>
        <w:t xml:space="preserve"> compared to </w:t>
      </w:r>
      <w:proofErr w:type="gramStart"/>
      <w:r w:rsidR="0089099B" w:rsidRPr="009F09BC">
        <w:rPr>
          <w:rFonts w:asciiTheme="minorHAnsi" w:hAnsiTheme="minorHAnsi"/>
          <w:color w:val="auto"/>
          <w:sz w:val="24"/>
        </w:rPr>
        <w:t>glipizide .</w:t>
      </w:r>
      <w:proofErr w:type="gramEnd"/>
      <w:r w:rsidR="0089099B" w:rsidRPr="009F09BC">
        <w:rPr>
          <w:rFonts w:asciiTheme="minorHAnsi" w:hAnsiTheme="minorHAnsi"/>
          <w:color w:val="auto"/>
          <w:sz w:val="24"/>
        </w:rPr>
        <w:t xml:space="preserve"> However, the sponsor did not adequately address the applicability of these results (i.e. dual therapy vs. triple therapy in the submission). Furthermore, the PBAC previously considered that glipizide was rarely used in Australia and this sulfonylurea has been associated with higher rates of hypoglycaemia and lower efficacy than other sulfonylureas that were more commonly used in Australian clinical practice (</w:t>
      </w:r>
      <w:proofErr w:type="spellStart"/>
      <w:r w:rsidR="0089099B" w:rsidRPr="009F09BC">
        <w:rPr>
          <w:rFonts w:asciiTheme="minorHAnsi" w:hAnsiTheme="minorHAnsi"/>
          <w:color w:val="auto"/>
          <w:sz w:val="24"/>
        </w:rPr>
        <w:t>dapagliflozin</w:t>
      </w:r>
      <w:proofErr w:type="spellEnd"/>
      <w:r w:rsidR="0089099B" w:rsidRPr="009F09BC">
        <w:rPr>
          <w:rFonts w:asciiTheme="minorHAnsi" w:hAnsiTheme="minorHAnsi"/>
          <w:color w:val="auto"/>
          <w:sz w:val="24"/>
        </w:rPr>
        <w:t xml:space="preserve"> Public Summary Document, March 2012 PBAC Meeting).</w:t>
      </w:r>
    </w:p>
    <w:p w:rsidR="003E3E10" w:rsidRPr="00763BD0" w:rsidRDefault="003E3E10" w:rsidP="009F09BC">
      <w:pPr>
        <w:pStyle w:val="ESnumberedparablue"/>
        <w:numPr>
          <w:ilvl w:val="1"/>
          <w:numId w:val="3"/>
        </w:numPr>
        <w:ind w:left="709" w:hanging="709"/>
        <w:rPr>
          <w:rFonts w:asciiTheme="minorHAnsi" w:hAnsiTheme="minorHAnsi"/>
          <w:color w:val="auto"/>
          <w:sz w:val="24"/>
        </w:rPr>
      </w:pPr>
      <w:proofErr w:type="spellStart"/>
      <w:r w:rsidRPr="00763BD0">
        <w:rPr>
          <w:rFonts w:asciiTheme="minorHAnsi" w:hAnsiTheme="minorHAnsi"/>
          <w:color w:val="auto"/>
          <w:sz w:val="24"/>
        </w:rPr>
        <w:t>Da</w:t>
      </w:r>
      <w:r w:rsidR="008F3535" w:rsidRPr="00763BD0">
        <w:rPr>
          <w:rFonts w:asciiTheme="minorHAnsi" w:hAnsiTheme="minorHAnsi"/>
          <w:color w:val="auto"/>
          <w:sz w:val="24"/>
        </w:rPr>
        <w:t>pagliflozin</w:t>
      </w:r>
      <w:proofErr w:type="spellEnd"/>
      <w:r w:rsidR="008F3535" w:rsidRPr="00763BD0">
        <w:rPr>
          <w:rFonts w:asciiTheme="minorHAnsi" w:hAnsiTheme="minorHAnsi"/>
          <w:color w:val="auto"/>
          <w:sz w:val="24"/>
        </w:rPr>
        <w:t xml:space="preserve"> was associated with</w:t>
      </w:r>
      <w:r w:rsidR="007206E5" w:rsidRPr="00763BD0">
        <w:rPr>
          <w:rFonts w:asciiTheme="minorHAnsi" w:hAnsiTheme="minorHAnsi"/>
          <w:color w:val="auto"/>
          <w:sz w:val="24"/>
        </w:rPr>
        <w:t xml:space="preserve"> </w:t>
      </w:r>
      <w:r w:rsidRPr="00763BD0">
        <w:rPr>
          <w:rFonts w:asciiTheme="minorHAnsi" w:hAnsiTheme="minorHAnsi"/>
          <w:color w:val="auto"/>
          <w:sz w:val="24"/>
        </w:rPr>
        <w:t>higher incidence</w:t>
      </w:r>
      <w:r w:rsidR="008F3535" w:rsidRPr="00763BD0">
        <w:rPr>
          <w:rFonts w:asciiTheme="minorHAnsi" w:hAnsiTheme="minorHAnsi"/>
          <w:color w:val="auto"/>
          <w:sz w:val="24"/>
        </w:rPr>
        <w:t>s</w:t>
      </w:r>
      <w:r w:rsidRPr="00763BD0">
        <w:rPr>
          <w:rFonts w:asciiTheme="minorHAnsi" w:hAnsiTheme="minorHAnsi"/>
          <w:color w:val="auto"/>
          <w:sz w:val="24"/>
        </w:rPr>
        <w:t xml:space="preserve"> of urogenital infections and hypoglycaemic events compared to placebo when added-on to metformin and a DPP4 inhibitor</w:t>
      </w:r>
      <w:r w:rsidR="007E3515" w:rsidRPr="00763BD0">
        <w:rPr>
          <w:rFonts w:asciiTheme="minorHAnsi" w:hAnsiTheme="minorHAnsi"/>
          <w:color w:val="auto"/>
          <w:sz w:val="24"/>
        </w:rPr>
        <w:t xml:space="preserve"> (Study 129 and Study 10 [stratum 2])</w:t>
      </w:r>
      <w:r w:rsidR="003963EA" w:rsidRPr="00763BD0">
        <w:rPr>
          <w:rFonts w:asciiTheme="minorHAnsi" w:hAnsiTheme="minorHAnsi"/>
          <w:color w:val="auto"/>
          <w:sz w:val="24"/>
        </w:rPr>
        <w:t>.</w:t>
      </w:r>
      <w:r w:rsidRPr="00763BD0">
        <w:rPr>
          <w:rFonts w:asciiTheme="minorHAnsi" w:hAnsiTheme="minorHAnsi"/>
          <w:color w:val="auto"/>
          <w:sz w:val="24"/>
        </w:rPr>
        <w:t xml:space="preserve"> </w:t>
      </w:r>
    </w:p>
    <w:p w:rsidR="003E3E10" w:rsidRPr="00763BD0" w:rsidRDefault="003E3E10"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Insulin </w:t>
      </w:r>
      <w:proofErr w:type="spellStart"/>
      <w:r w:rsidRPr="00763BD0">
        <w:rPr>
          <w:rFonts w:asciiTheme="minorHAnsi" w:hAnsiTheme="minorHAnsi"/>
          <w:color w:val="auto"/>
          <w:sz w:val="24"/>
        </w:rPr>
        <w:t>detemir</w:t>
      </w:r>
      <w:proofErr w:type="spellEnd"/>
      <w:r w:rsidRPr="00763BD0">
        <w:rPr>
          <w:rFonts w:asciiTheme="minorHAnsi" w:hAnsiTheme="minorHAnsi"/>
          <w:color w:val="auto"/>
          <w:sz w:val="24"/>
        </w:rPr>
        <w:t xml:space="preserve"> </w:t>
      </w:r>
      <w:r w:rsidR="0089099B">
        <w:rPr>
          <w:rFonts w:asciiTheme="minorHAnsi" w:hAnsiTheme="minorHAnsi"/>
          <w:color w:val="auto"/>
          <w:sz w:val="24"/>
        </w:rPr>
        <w:t>with</w:t>
      </w:r>
      <w:r w:rsidR="0089099B" w:rsidRPr="00763BD0">
        <w:rPr>
          <w:rFonts w:asciiTheme="minorHAnsi" w:hAnsiTheme="minorHAnsi"/>
          <w:color w:val="auto"/>
          <w:sz w:val="24"/>
        </w:rPr>
        <w:t xml:space="preserve"> </w:t>
      </w:r>
      <w:proofErr w:type="spellStart"/>
      <w:r w:rsidRPr="00763BD0">
        <w:rPr>
          <w:rFonts w:asciiTheme="minorHAnsi" w:hAnsiTheme="minorHAnsi"/>
          <w:color w:val="auto"/>
          <w:sz w:val="24"/>
        </w:rPr>
        <w:t>sitagliptin</w:t>
      </w:r>
      <w:proofErr w:type="spellEnd"/>
      <w:r w:rsidRPr="00763BD0">
        <w:rPr>
          <w:rFonts w:asciiTheme="minorHAnsi" w:hAnsiTheme="minorHAnsi"/>
          <w:color w:val="auto"/>
          <w:sz w:val="24"/>
        </w:rPr>
        <w:t xml:space="preserve"> </w:t>
      </w:r>
      <w:r w:rsidR="0089099B">
        <w:rPr>
          <w:rFonts w:asciiTheme="minorHAnsi" w:hAnsiTheme="minorHAnsi"/>
          <w:color w:val="auto"/>
          <w:sz w:val="24"/>
        </w:rPr>
        <w:t>and</w:t>
      </w:r>
      <w:r w:rsidRPr="00763BD0">
        <w:rPr>
          <w:rFonts w:asciiTheme="minorHAnsi" w:hAnsiTheme="minorHAnsi"/>
          <w:color w:val="auto"/>
          <w:sz w:val="24"/>
        </w:rPr>
        <w:t xml:space="preserve"> metformin was a</w:t>
      </w:r>
      <w:r w:rsidR="008F3535" w:rsidRPr="00763BD0">
        <w:rPr>
          <w:rFonts w:asciiTheme="minorHAnsi" w:hAnsiTheme="minorHAnsi"/>
          <w:color w:val="auto"/>
          <w:sz w:val="24"/>
        </w:rPr>
        <w:t>ssociated with a higher incidence</w:t>
      </w:r>
      <w:r w:rsidRPr="00763BD0">
        <w:rPr>
          <w:rFonts w:asciiTheme="minorHAnsi" w:hAnsiTheme="minorHAnsi"/>
          <w:color w:val="auto"/>
          <w:sz w:val="24"/>
        </w:rPr>
        <w:t xml:space="preserve"> of hypoglycaemia compared to metformin and </w:t>
      </w:r>
      <w:proofErr w:type="spellStart"/>
      <w:r w:rsidRPr="00763BD0">
        <w:rPr>
          <w:rFonts w:asciiTheme="minorHAnsi" w:hAnsiTheme="minorHAnsi"/>
          <w:color w:val="auto"/>
          <w:sz w:val="24"/>
        </w:rPr>
        <w:t>sitagliptin</w:t>
      </w:r>
      <w:proofErr w:type="spellEnd"/>
      <w:r w:rsidRPr="00763BD0">
        <w:rPr>
          <w:rFonts w:asciiTheme="minorHAnsi" w:hAnsiTheme="minorHAnsi"/>
          <w:color w:val="auto"/>
          <w:sz w:val="24"/>
        </w:rPr>
        <w:t xml:space="preserve"> (with or without sulfonylureas). </w:t>
      </w:r>
    </w:p>
    <w:p w:rsidR="00FA0AF8" w:rsidRPr="00763BD0" w:rsidRDefault="00FA0AF8"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Based on the indirect comparison of </w:t>
      </w:r>
      <w:proofErr w:type="spellStart"/>
      <w:r w:rsidRPr="00763BD0">
        <w:rPr>
          <w:rFonts w:asciiTheme="minorHAnsi" w:hAnsiTheme="minorHAnsi"/>
          <w:color w:val="auto"/>
          <w:sz w:val="24"/>
        </w:rPr>
        <w:t>dapagliflozin</w:t>
      </w:r>
      <w:proofErr w:type="spellEnd"/>
      <w:r w:rsidRPr="00763BD0">
        <w:rPr>
          <w:rFonts w:asciiTheme="minorHAnsi" w:hAnsiTheme="minorHAnsi"/>
          <w:color w:val="auto"/>
          <w:sz w:val="24"/>
        </w:rPr>
        <w:t xml:space="preserve"> and insulin </w:t>
      </w:r>
      <w:proofErr w:type="spellStart"/>
      <w:r w:rsidRPr="00763BD0">
        <w:rPr>
          <w:rFonts w:asciiTheme="minorHAnsi" w:hAnsiTheme="minorHAnsi"/>
          <w:color w:val="auto"/>
          <w:sz w:val="24"/>
        </w:rPr>
        <w:t>detemir</w:t>
      </w:r>
      <w:proofErr w:type="spellEnd"/>
      <w:r w:rsidRPr="00763BD0">
        <w:rPr>
          <w:rFonts w:asciiTheme="minorHAnsi" w:hAnsiTheme="minorHAnsi"/>
          <w:color w:val="auto"/>
          <w:sz w:val="24"/>
        </w:rPr>
        <w:t xml:space="preserve">, there </w:t>
      </w:r>
      <w:r w:rsidR="00AE58DD" w:rsidRPr="00763BD0">
        <w:rPr>
          <w:rFonts w:asciiTheme="minorHAnsi" w:hAnsiTheme="minorHAnsi"/>
          <w:color w:val="auto"/>
          <w:sz w:val="24"/>
        </w:rPr>
        <w:t xml:space="preserve">were </w:t>
      </w:r>
      <w:r w:rsidRPr="00763BD0">
        <w:rPr>
          <w:rFonts w:asciiTheme="minorHAnsi" w:hAnsiTheme="minorHAnsi"/>
          <w:color w:val="auto"/>
          <w:sz w:val="24"/>
        </w:rPr>
        <w:t>no statistically significant difference</w:t>
      </w:r>
      <w:r w:rsidR="00AE58DD" w:rsidRPr="00763BD0">
        <w:rPr>
          <w:rFonts w:asciiTheme="minorHAnsi" w:hAnsiTheme="minorHAnsi"/>
          <w:color w:val="auto"/>
          <w:sz w:val="24"/>
        </w:rPr>
        <w:t>s</w:t>
      </w:r>
      <w:r w:rsidRPr="00763BD0">
        <w:rPr>
          <w:rFonts w:asciiTheme="minorHAnsi" w:hAnsiTheme="minorHAnsi"/>
          <w:color w:val="auto"/>
          <w:sz w:val="24"/>
        </w:rPr>
        <w:t xml:space="preserve"> between treatments in the occurrence of any adverse events, adverse events leading to discontinuation, serious adverse events and hypoglycaemia. </w:t>
      </w:r>
    </w:p>
    <w:p w:rsidR="0089099B" w:rsidRDefault="00FA0AF8"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Results from the meta-analysis of Studies 129 and 10 [stratum 2] and indirect comparison with the TRANSITION trial should be interpreted with caution given issues with applicability of the TRANSITION trial to the PBS population, substantial heterogeneity between Studies 10 and 129 and exchangeability issues with the TRANSITION trial. </w:t>
      </w:r>
    </w:p>
    <w:p w:rsidR="00792E6B" w:rsidRPr="00763BD0" w:rsidRDefault="0089099B" w:rsidP="0089099B">
      <w:pPr>
        <w:pStyle w:val="ESnumberedparablue"/>
        <w:numPr>
          <w:ilvl w:val="1"/>
          <w:numId w:val="3"/>
        </w:numPr>
        <w:ind w:left="709" w:hanging="709"/>
        <w:rPr>
          <w:rFonts w:asciiTheme="minorHAnsi" w:hAnsiTheme="minorHAnsi"/>
          <w:color w:val="auto"/>
          <w:sz w:val="24"/>
        </w:rPr>
      </w:pPr>
      <w:r w:rsidRPr="0089099B">
        <w:rPr>
          <w:rFonts w:asciiTheme="minorHAnsi" w:hAnsiTheme="minorHAnsi"/>
          <w:color w:val="auto"/>
          <w:sz w:val="24"/>
        </w:rPr>
        <w:t xml:space="preserve">The PBAC considered that the indirect comparison was not sufficiently reliable to determine non-inferior </w:t>
      </w:r>
      <w:r>
        <w:rPr>
          <w:rFonts w:asciiTheme="minorHAnsi" w:hAnsiTheme="minorHAnsi"/>
          <w:color w:val="auto"/>
          <w:sz w:val="24"/>
        </w:rPr>
        <w:t>safety</w:t>
      </w:r>
      <w:r w:rsidRPr="0089099B">
        <w:rPr>
          <w:rFonts w:asciiTheme="minorHAnsi" w:hAnsiTheme="minorHAnsi"/>
          <w:color w:val="auto"/>
          <w:sz w:val="24"/>
        </w:rPr>
        <w:t>.</w:t>
      </w:r>
    </w:p>
    <w:p w:rsidR="00137F8D" w:rsidRPr="00412444"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28" w:name="_Toc413139281"/>
      <w:bookmarkStart w:id="29" w:name="_Toc476306891"/>
      <w:bookmarkStart w:id="30" w:name="_Toc482705433"/>
      <w:r w:rsidRPr="00412444">
        <w:rPr>
          <w:rFonts w:asciiTheme="minorHAnsi" w:eastAsiaTheme="majorEastAsia" w:hAnsiTheme="minorHAnsi" w:cstheme="majorBidi"/>
          <w:i/>
          <w:snapToGrid/>
          <w:sz w:val="28"/>
          <w:szCs w:val="28"/>
        </w:rPr>
        <w:t>Clinical claim</w:t>
      </w:r>
      <w:bookmarkEnd w:id="28"/>
      <w:bookmarkEnd w:id="29"/>
      <w:bookmarkEnd w:id="30"/>
    </w:p>
    <w:p w:rsidR="00137F8D" w:rsidRPr="00763BD0" w:rsidRDefault="00FA0AF8"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 xml:space="preserve">The submission described </w:t>
      </w:r>
      <w:proofErr w:type="spellStart"/>
      <w:r w:rsidRPr="00763BD0">
        <w:rPr>
          <w:rFonts w:asciiTheme="minorHAnsi" w:hAnsiTheme="minorHAnsi"/>
          <w:color w:val="auto"/>
          <w:sz w:val="24"/>
        </w:rPr>
        <w:t>dapagliflozin</w:t>
      </w:r>
      <w:proofErr w:type="spellEnd"/>
      <w:r w:rsidRPr="00763BD0">
        <w:rPr>
          <w:rFonts w:asciiTheme="minorHAnsi" w:hAnsiTheme="minorHAnsi"/>
          <w:color w:val="auto"/>
          <w:sz w:val="24"/>
        </w:rPr>
        <w:t xml:space="preserve"> as non-inferior </w:t>
      </w:r>
      <w:r w:rsidR="007A0939" w:rsidRPr="00763BD0">
        <w:rPr>
          <w:rFonts w:asciiTheme="minorHAnsi" w:hAnsiTheme="minorHAnsi"/>
          <w:color w:val="auto"/>
          <w:sz w:val="24"/>
        </w:rPr>
        <w:t xml:space="preserve">in terms of efficacy and </w:t>
      </w:r>
      <w:r w:rsidR="008F3535" w:rsidRPr="00763BD0">
        <w:rPr>
          <w:rFonts w:asciiTheme="minorHAnsi" w:hAnsiTheme="minorHAnsi"/>
          <w:color w:val="auto"/>
          <w:sz w:val="24"/>
        </w:rPr>
        <w:t xml:space="preserve">similar in terms of </w:t>
      </w:r>
      <w:r w:rsidR="007A0939" w:rsidRPr="00763BD0">
        <w:rPr>
          <w:rFonts w:asciiTheme="minorHAnsi" w:hAnsiTheme="minorHAnsi"/>
          <w:color w:val="auto"/>
          <w:sz w:val="24"/>
        </w:rPr>
        <w:t xml:space="preserve">safety compared with long-acting insulin, when added-on to metformin and a DPP4 inhibitor. </w:t>
      </w:r>
      <w:r w:rsidR="002D52EA" w:rsidRPr="001D5654">
        <w:rPr>
          <w:rFonts w:asciiTheme="minorHAnsi" w:hAnsiTheme="minorHAnsi"/>
          <w:color w:val="auto"/>
          <w:sz w:val="24"/>
        </w:rPr>
        <w:t xml:space="preserve">The </w:t>
      </w:r>
      <w:r w:rsidR="004C69AB">
        <w:rPr>
          <w:rFonts w:asciiTheme="minorHAnsi" w:hAnsiTheme="minorHAnsi"/>
          <w:color w:val="auto"/>
          <w:sz w:val="24"/>
        </w:rPr>
        <w:t>PBAC</w:t>
      </w:r>
      <w:r w:rsidR="004C69AB" w:rsidRPr="001D5654">
        <w:rPr>
          <w:rFonts w:asciiTheme="minorHAnsi" w:hAnsiTheme="minorHAnsi"/>
          <w:color w:val="auto"/>
          <w:sz w:val="24"/>
        </w:rPr>
        <w:t xml:space="preserve"> </w:t>
      </w:r>
      <w:r w:rsidR="002D52EA" w:rsidRPr="001D5654">
        <w:rPr>
          <w:rFonts w:asciiTheme="minorHAnsi" w:hAnsiTheme="minorHAnsi"/>
          <w:color w:val="auto"/>
          <w:sz w:val="24"/>
        </w:rPr>
        <w:t xml:space="preserve">considered that this </w:t>
      </w:r>
      <w:r w:rsidR="007A0939" w:rsidRPr="001D5654">
        <w:rPr>
          <w:rFonts w:asciiTheme="minorHAnsi" w:hAnsiTheme="minorHAnsi"/>
          <w:color w:val="auto"/>
          <w:sz w:val="24"/>
        </w:rPr>
        <w:t xml:space="preserve">claim was </w:t>
      </w:r>
      <w:r w:rsidR="0029744E">
        <w:rPr>
          <w:rFonts w:asciiTheme="minorHAnsi" w:hAnsiTheme="minorHAnsi"/>
          <w:color w:val="auto"/>
          <w:sz w:val="24"/>
        </w:rPr>
        <w:t>uncertain</w:t>
      </w:r>
      <w:r w:rsidR="004C69AB">
        <w:rPr>
          <w:rFonts w:asciiTheme="minorHAnsi" w:hAnsiTheme="minorHAnsi"/>
          <w:color w:val="auto"/>
          <w:sz w:val="24"/>
        </w:rPr>
        <w:t xml:space="preserve"> because</w:t>
      </w:r>
      <w:r w:rsidR="007A0939" w:rsidRPr="001D5654">
        <w:rPr>
          <w:rFonts w:asciiTheme="minorHAnsi" w:hAnsiTheme="minorHAnsi"/>
          <w:color w:val="auto"/>
          <w:sz w:val="24"/>
        </w:rPr>
        <w:t>:</w:t>
      </w:r>
    </w:p>
    <w:p w:rsidR="007A0939" w:rsidRPr="002531DF" w:rsidRDefault="001F1C7F" w:rsidP="00937D7B">
      <w:pPr>
        <w:pStyle w:val="ESnumberedparablue"/>
        <w:numPr>
          <w:ilvl w:val="0"/>
          <w:numId w:val="26"/>
        </w:numPr>
        <w:rPr>
          <w:rFonts w:asciiTheme="minorHAnsi" w:hAnsiTheme="minorHAnsi"/>
          <w:color w:val="auto"/>
          <w:sz w:val="24"/>
          <w:szCs w:val="24"/>
        </w:rPr>
      </w:pPr>
      <w:proofErr w:type="gramStart"/>
      <w:r w:rsidRPr="002531DF">
        <w:rPr>
          <w:rFonts w:asciiTheme="minorHAnsi" w:hAnsiTheme="minorHAnsi"/>
          <w:color w:val="auto"/>
          <w:sz w:val="24"/>
          <w:szCs w:val="24"/>
        </w:rPr>
        <w:t>the</w:t>
      </w:r>
      <w:proofErr w:type="gramEnd"/>
      <w:r w:rsidRPr="002531DF">
        <w:rPr>
          <w:rFonts w:asciiTheme="minorHAnsi" w:hAnsiTheme="minorHAnsi"/>
          <w:color w:val="auto"/>
          <w:sz w:val="24"/>
          <w:szCs w:val="24"/>
        </w:rPr>
        <w:t xml:space="preserve"> submission</w:t>
      </w:r>
      <w:r w:rsidR="007A0939" w:rsidRPr="002531DF">
        <w:rPr>
          <w:rFonts w:asciiTheme="minorHAnsi" w:hAnsiTheme="minorHAnsi"/>
          <w:color w:val="auto"/>
          <w:sz w:val="24"/>
          <w:szCs w:val="24"/>
        </w:rPr>
        <w:t xml:space="preserve"> exclude</w:t>
      </w:r>
      <w:r w:rsidRPr="002531DF">
        <w:rPr>
          <w:rFonts w:asciiTheme="minorHAnsi" w:hAnsiTheme="minorHAnsi"/>
          <w:color w:val="auto"/>
          <w:sz w:val="24"/>
          <w:szCs w:val="24"/>
        </w:rPr>
        <w:t>d</w:t>
      </w:r>
      <w:r w:rsidR="007A0939" w:rsidRPr="002531DF">
        <w:rPr>
          <w:rFonts w:asciiTheme="minorHAnsi" w:hAnsiTheme="minorHAnsi"/>
          <w:color w:val="auto"/>
          <w:sz w:val="24"/>
          <w:szCs w:val="24"/>
        </w:rPr>
        <w:t xml:space="preserve"> trials that did not follow a fixed sequence approach to achieve triple therapy</w:t>
      </w:r>
      <w:r w:rsidR="005F6004" w:rsidRPr="002531DF">
        <w:rPr>
          <w:rFonts w:asciiTheme="minorHAnsi" w:hAnsiTheme="minorHAnsi"/>
          <w:color w:val="auto"/>
          <w:sz w:val="24"/>
          <w:szCs w:val="24"/>
        </w:rPr>
        <w:t>.</w:t>
      </w:r>
      <w:r w:rsidR="007A0939" w:rsidRPr="002531DF">
        <w:rPr>
          <w:rFonts w:asciiTheme="minorHAnsi" w:hAnsiTheme="minorHAnsi"/>
          <w:color w:val="auto"/>
          <w:sz w:val="24"/>
          <w:szCs w:val="24"/>
        </w:rPr>
        <w:t xml:space="preserve"> </w:t>
      </w:r>
      <w:r w:rsidR="005F6004" w:rsidRPr="002531DF">
        <w:rPr>
          <w:rFonts w:asciiTheme="minorHAnsi" w:hAnsiTheme="minorHAnsi"/>
          <w:color w:val="auto"/>
          <w:sz w:val="24"/>
          <w:szCs w:val="24"/>
        </w:rPr>
        <w:t xml:space="preserve">This is inconsistent with guidelines and clinical practice </w:t>
      </w:r>
      <w:r w:rsidR="002D52EA" w:rsidRPr="002531DF">
        <w:rPr>
          <w:rFonts w:asciiTheme="minorHAnsi" w:hAnsiTheme="minorHAnsi"/>
          <w:color w:val="auto"/>
          <w:sz w:val="24"/>
          <w:szCs w:val="24"/>
        </w:rPr>
        <w:t xml:space="preserve">and therefore the applicability of the presented trial results was limited </w:t>
      </w:r>
      <w:r w:rsidR="007A0939" w:rsidRPr="002531DF">
        <w:rPr>
          <w:rFonts w:asciiTheme="minorHAnsi" w:hAnsiTheme="minorHAnsi"/>
          <w:color w:val="auto"/>
          <w:sz w:val="24"/>
          <w:szCs w:val="24"/>
        </w:rPr>
        <w:t xml:space="preserve">(i.e. metformin and DPP4 inhibitor first, then add-on </w:t>
      </w:r>
      <w:proofErr w:type="spellStart"/>
      <w:r w:rsidR="007A0939" w:rsidRPr="002531DF">
        <w:rPr>
          <w:rFonts w:asciiTheme="minorHAnsi" w:hAnsiTheme="minorHAnsi"/>
          <w:color w:val="auto"/>
          <w:sz w:val="24"/>
          <w:szCs w:val="24"/>
        </w:rPr>
        <w:t>dapagliflozin</w:t>
      </w:r>
      <w:proofErr w:type="spellEnd"/>
      <w:r w:rsidR="007A0939" w:rsidRPr="002531DF">
        <w:rPr>
          <w:rFonts w:asciiTheme="minorHAnsi" w:hAnsiTheme="minorHAnsi"/>
          <w:color w:val="auto"/>
          <w:sz w:val="24"/>
          <w:szCs w:val="24"/>
        </w:rPr>
        <w:t>);</w:t>
      </w:r>
    </w:p>
    <w:p w:rsidR="003E3E10" w:rsidRPr="002531DF" w:rsidRDefault="007A0939" w:rsidP="00937D7B">
      <w:pPr>
        <w:pStyle w:val="ESnumberedparablue"/>
        <w:numPr>
          <w:ilvl w:val="0"/>
          <w:numId w:val="26"/>
        </w:numPr>
        <w:rPr>
          <w:rFonts w:asciiTheme="minorHAnsi" w:hAnsiTheme="minorHAnsi"/>
          <w:color w:val="auto"/>
          <w:sz w:val="24"/>
          <w:szCs w:val="24"/>
        </w:rPr>
      </w:pPr>
      <w:r w:rsidRPr="002531DF">
        <w:rPr>
          <w:rFonts w:asciiTheme="minorHAnsi" w:hAnsiTheme="minorHAnsi"/>
          <w:color w:val="auto"/>
          <w:sz w:val="24"/>
          <w:szCs w:val="24"/>
        </w:rPr>
        <w:t xml:space="preserve">the clinical evidence presented for long-acting insulin may not be reasonable given it was a trial assessing the addition of insulin </w:t>
      </w:r>
      <w:proofErr w:type="spellStart"/>
      <w:r w:rsidRPr="002531DF">
        <w:rPr>
          <w:rFonts w:asciiTheme="minorHAnsi" w:hAnsiTheme="minorHAnsi"/>
          <w:color w:val="auto"/>
          <w:sz w:val="24"/>
          <w:szCs w:val="24"/>
        </w:rPr>
        <w:t>detemir</w:t>
      </w:r>
      <w:proofErr w:type="spellEnd"/>
      <w:r w:rsidRPr="002531DF">
        <w:rPr>
          <w:rFonts w:asciiTheme="minorHAnsi" w:hAnsiTheme="minorHAnsi"/>
          <w:color w:val="auto"/>
          <w:sz w:val="24"/>
          <w:szCs w:val="24"/>
        </w:rPr>
        <w:t xml:space="preserve"> and </w:t>
      </w:r>
      <w:proofErr w:type="spellStart"/>
      <w:r w:rsidRPr="002531DF">
        <w:rPr>
          <w:rFonts w:asciiTheme="minorHAnsi" w:hAnsiTheme="minorHAnsi"/>
          <w:color w:val="auto"/>
          <w:sz w:val="24"/>
          <w:szCs w:val="24"/>
        </w:rPr>
        <w:t>sitagliptin</w:t>
      </w:r>
      <w:proofErr w:type="spellEnd"/>
      <w:r w:rsidRPr="002531DF">
        <w:rPr>
          <w:rFonts w:asciiTheme="minorHAnsi" w:hAnsiTheme="minorHAnsi"/>
          <w:color w:val="auto"/>
          <w:sz w:val="24"/>
          <w:szCs w:val="24"/>
        </w:rPr>
        <w:t xml:space="preserve"> (dual agents) to metformin monotherapy</w:t>
      </w:r>
      <w:r w:rsidR="004C69AB">
        <w:rPr>
          <w:rFonts w:asciiTheme="minorHAnsi" w:hAnsiTheme="minorHAnsi"/>
          <w:color w:val="auto"/>
          <w:sz w:val="24"/>
          <w:szCs w:val="24"/>
        </w:rPr>
        <w:t>,</w:t>
      </w:r>
      <w:r w:rsidRPr="002531DF">
        <w:rPr>
          <w:rFonts w:asciiTheme="minorHAnsi" w:hAnsiTheme="minorHAnsi"/>
          <w:color w:val="auto"/>
          <w:sz w:val="24"/>
          <w:szCs w:val="24"/>
        </w:rPr>
        <w:t xml:space="preserve"> which is inconsistent with clinical practice; </w:t>
      </w:r>
    </w:p>
    <w:p w:rsidR="003E3E10" w:rsidRPr="002531DF" w:rsidRDefault="007A0939" w:rsidP="00937D7B">
      <w:pPr>
        <w:pStyle w:val="ESnumberedparablue"/>
        <w:numPr>
          <w:ilvl w:val="0"/>
          <w:numId w:val="26"/>
        </w:numPr>
        <w:rPr>
          <w:rFonts w:asciiTheme="minorHAnsi" w:hAnsiTheme="minorHAnsi"/>
          <w:color w:val="auto"/>
          <w:sz w:val="24"/>
          <w:szCs w:val="24"/>
        </w:rPr>
      </w:pPr>
      <w:r w:rsidRPr="002531DF">
        <w:rPr>
          <w:rFonts w:asciiTheme="minorHAnsi" w:hAnsiTheme="minorHAnsi"/>
          <w:color w:val="auto"/>
          <w:sz w:val="24"/>
          <w:szCs w:val="24"/>
        </w:rPr>
        <w:t xml:space="preserve">it is difficult to draw any reliable conclusions regarding the relative efficacy and safety of </w:t>
      </w:r>
      <w:proofErr w:type="spellStart"/>
      <w:r w:rsidRPr="002531DF">
        <w:rPr>
          <w:rFonts w:asciiTheme="minorHAnsi" w:hAnsiTheme="minorHAnsi"/>
          <w:color w:val="auto"/>
          <w:sz w:val="24"/>
          <w:szCs w:val="24"/>
        </w:rPr>
        <w:t>dapagliflozin</w:t>
      </w:r>
      <w:proofErr w:type="spellEnd"/>
      <w:r w:rsidRPr="002531DF">
        <w:rPr>
          <w:rFonts w:asciiTheme="minorHAnsi" w:hAnsiTheme="minorHAnsi"/>
          <w:color w:val="auto"/>
          <w:sz w:val="24"/>
          <w:szCs w:val="24"/>
        </w:rPr>
        <w:t xml:space="preserve"> and long-acting insulin given the uncertainties and discrepancies in the clinical evidence (high risk of bias, issues with applicability, heterogeneity and exchangeability of included studies)</w:t>
      </w:r>
      <w:r w:rsidR="002D52EA" w:rsidRPr="002531DF">
        <w:rPr>
          <w:rFonts w:asciiTheme="minorHAnsi" w:hAnsiTheme="minorHAnsi"/>
          <w:color w:val="auto"/>
          <w:sz w:val="24"/>
          <w:szCs w:val="24"/>
        </w:rPr>
        <w:t>; and,</w:t>
      </w:r>
    </w:p>
    <w:p w:rsidR="002D52EA" w:rsidRPr="002531DF" w:rsidRDefault="002D52EA" w:rsidP="00937D7B">
      <w:pPr>
        <w:pStyle w:val="ESnumberedparablue"/>
        <w:numPr>
          <w:ilvl w:val="0"/>
          <w:numId w:val="26"/>
        </w:numPr>
        <w:rPr>
          <w:rFonts w:asciiTheme="minorHAnsi" w:hAnsiTheme="minorHAnsi"/>
          <w:color w:val="auto"/>
          <w:sz w:val="24"/>
          <w:szCs w:val="24"/>
        </w:rPr>
      </w:pPr>
      <w:proofErr w:type="gramStart"/>
      <w:r w:rsidRPr="002531DF">
        <w:rPr>
          <w:rFonts w:asciiTheme="minorHAnsi" w:hAnsiTheme="minorHAnsi"/>
          <w:color w:val="auto"/>
          <w:sz w:val="24"/>
          <w:szCs w:val="24"/>
        </w:rPr>
        <w:t>the</w:t>
      </w:r>
      <w:proofErr w:type="gramEnd"/>
      <w:r w:rsidRPr="002531DF">
        <w:rPr>
          <w:rFonts w:asciiTheme="minorHAnsi" w:hAnsiTheme="minorHAnsi"/>
          <w:color w:val="auto"/>
          <w:sz w:val="24"/>
          <w:szCs w:val="24"/>
        </w:rPr>
        <w:t xml:space="preserve"> assessment of safety was limited by </w:t>
      </w:r>
      <w:r w:rsidR="00A25254" w:rsidRPr="002531DF">
        <w:rPr>
          <w:rFonts w:asciiTheme="minorHAnsi" w:hAnsiTheme="minorHAnsi"/>
          <w:color w:val="auto"/>
          <w:sz w:val="24"/>
          <w:szCs w:val="24"/>
        </w:rPr>
        <w:t xml:space="preserve">a lack of comparative data </w:t>
      </w:r>
      <w:r w:rsidR="00CC3D10" w:rsidRPr="002531DF">
        <w:rPr>
          <w:rFonts w:asciiTheme="minorHAnsi" w:hAnsiTheme="minorHAnsi"/>
          <w:color w:val="auto"/>
          <w:sz w:val="24"/>
          <w:szCs w:val="24"/>
        </w:rPr>
        <w:t>versus</w:t>
      </w:r>
      <w:r w:rsidR="00A25254" w:rsidRPr="002531DF">
        <w:rPr>
          <w:rFonts w:asciiTheme="minorHAnsi" w:hAnsiTheme="minorHAnsi"/>
          <w:color w:val="auto"/>
          <w:sz w:val="24"/>
          <w:szCs w:val="24"/>
        </w:rPr>
        <w:t xml:space="preserve"> </w:t>
      </w:r>
      <w:r w:rsidRPr="002531DF">
        <w:rPr>
          <w:rFonts w:asciiTheme="minorHAnsi" w:hAnsiTheme="minorHAnsi"/>
          <w:color w:val="auto"/>
          <w:sz w:val="24"/>
          <w:szCs w:val="24"/>
        </w:rPr>
        <w:t xml:space="preserve">sulfonylureas, which </w:t>
      </w:r>
      <w:r w:rsidR="00A25254" w:rsidRPr="002531DF">
        <w:rPr>
          <w:rFonts w:asciiTheme="minorHAnsi" w:hAnsiTheme="minorHAnsi"/>
          <w:color w:val="auto"/>
          <w:sz w:val="24"/>
          <w:szCs w:val="24"/>
        </w:rPr>
        <w:t xml:space="preserve">excludes consideration of some </w:t>
      </w:r>
      <w:r w:rsidR="0001485E" w:rsidRPr="002531DF">
        <w:rPr>
          <w:rFonts w:asciiTheme="minorHAnsi" w:hAnsiTheme="minorHAnsi"/>
          <w:color w:val="auto"/>
          <w:sz w:val="24"/>
          <w:szCs w:val="24"/>
        </w:rPr>
        <w:t>adverse</w:t>
      </w:r>
      <w:r w:rsidR="005F6004" w:rsidRPr="002531DF">
        <w:rPr>
          <w:rFonts w:asciiTheme="minorHAnsi" w:hAnsiTheme="minorHAnsi"/>
          <w:color w:val="auto"/>
          <w:sz w:val="24"/>
          <w:szCs w:val="24"/>
        </w:rPr>
        <w:t xml:space="preserve"> effects, such as </w:t>
      </w:r>
      <w:r w:rsidR="00A25254" w:rsidRPr="002531DF">
        <w:rPr>
          <w:rFonts w:asciiTheme="minorHAnsi" w:hAnsiTheme="minorHAnsi"/>
          <w:color w:val="auto"/>
          <w:sz w:val="24"/>
          <w:szCs w:val="24"/>
        </w:rPr>
        <w:t>hypoglycaemi</w:t>
      </w:r>
      <w:r w:rsidR="005F6004" w:rsidRPr="002531DF">
        <w:rPr>
          <w:rFonts w:asciiTheme="minorHAnsi" w:hAnsiTheme="minorHAnsi"/>
          <w:color w:val="auto"/>
          <w:sz w:val="24"/>
          <w:szCs w:val="24"/>
        </w:rPr>
        <w:t>a</w:t>
      </w:r>
      <w:r w:rsidRPr="002531DF">
        <w:rPr>
          <w:rFonts w:asciiTheme="minorHAnsi" w:hAnsiTheme="minorHAnsi"/>
          <w:color w:val="auto"/>
          <w:sz w:val="24"/>
          <w:szCs w:val="24"/>
        </w:rPr>
        <w:t>.</w:t>
      </w:r>
    </w:p>
    <w:p w:rsidR="00212789" w:rsidRDefault="00212789"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 xml:space="preserve">The </w:t>
      </w:r>
      <w:r>
        <w:rPr>
          <w:rFonts w:asciiTheme="minorHAnsi" w:hAnsiTheme="minorHAnsi"/>
          <w:color w:val="auto"/>
          <w:sz w:val="24"/>
        </w:rPr>
        <w:t>PBAC</w:t>
      </w:r>
      <w:r w:rsidRPr="002531DF">
        <w:rPr>
          <w:rFonts w:asciiTheme="minorHAnsi" w:hAnsiTheme="minorHAnsi"/>
          <w:color w:val="auto"/>
          <w:sz w:val="24"/>
        </w:rPr>
        <w:t xml:space="preserve"> considered that although the indirect comparison between trials indicated non-inferiority between </w:t>
      </w:r>
      <w:proofErr w:type="spellStart"/>
      <w:r w:rsidRPr="002531DF">
        <w:rPr>
          <w:rFonts w:asciiTheme="minorHAnsi" w:hAnsiTheme="minorHAnsi"/>
          <w:color w:val="auto"/>
          <w:sz w:val="24"/>
        </w:rPr>
        <w:t>dapagliflozin</w:t>
      </w:r>
      <w:proofErr w:type="spellEnd"/>
      <w:r w:rsidRPr="002531DF">
        <w:rPr>
          <w:rFonts w:asciiTheme="minorHAnsi" w:hAnsiTheme="minorHAnsi"/>
          <w:color w:val="auto"/>
          <w:sz w:val="24"/>
        </w:rPr>
        <w:t xml:space="preserve"> and insulin </w:t>
      </w:r>
      <w:proofErr w:type="spellStart"/>
      <w:r w:rsidRPr="002531DF">
        <w:rPr>
          <w:rFonts w:asciiTheme="minorHAnsi" w:hAnsiTheme="minorHAnsi"/>
          <w:color w:val="auto"/>
          <w:sz w:val="24"/>
        </w:rPr>
        <w:t>detemir</w:t>
      </w:r>
      <w:proofErr w:type="spellEnd"/>
      <w:r w:rsidRPr="002531DF">
        <w:rPr>
          <w:rFonts w:asciiTheme="minorHAnsi" w:hAnsiTheme="minorHAnsi"/>
          <w:color w:val="auto"/>
          <w:sz w:val="24"/>
        </w:rPr>
        <w:t>, the significant heterogeneity between studies meant that the validity of the indirect comparison was questionable, and therefore the claim of non</w:t>
      </w:r>
      <w:r w:rsidRPr="002531DF">
        <w:rPr>
          <w:rFonts w:asciiTheme="minorHAnsi" w:hAnsiTheme="minorHAnsi"/>
          <w:color w:val="auto"/>
          <w:sz w:val="24"/>
        </w:rPr>
        <w:noBreakHyphen/>
        <w:t xml:space="preserve">inferiority between </w:t>
      </w:r>
      <w:proofErr w:type="spellStart"/>
      <w:r w:rsidRPr="002531DF">
        <w:rPr>
          <w:rFonts w:asciiTheme="minorHAnsi" w:hAnsiTheme="minorHAnsi"/>
          <w:color w:val="auto"/>
          <w:sz w:val="24"/>
        </w:rPr>
        <w:t>dapagliflozin</w:t>
      </w:r>
      <w:proofErr w:type="spellEnd"/>
      <w:r w:rsidRPr="002531DF">
        <w:rPr>
          <w:rFonts w:asciiTheme="minorHAnsi" w:hAnsiTheme="minorHAnsi"/>
          <w:color w:val="auto"/>
          <w:sz w:val="24"/>
        </w:rPr>
        <w:t xml:space="preserve"> and insulin </w:t>
      </w:r>
      <w:proofErr w:type="spellStart"/>
      <w:r w:rsidRPr="002531DF">
        <w:rPr>
          <w:rFonts w:asciiTheme="minorHAnsi" w:hAnsiTheme="minorHAnsi"/>
          <w:color w:val="auto"/>
          <w:sz w:val="24"/>
        </w:rPr>
        <w:t>detemir</w:t>
      </w:r>
      <w:proofErr w:type="spellEnd"/>
      <w:r w:rsidRPr="002531DF">
        <w:rPr>
          <w:rFonts w:asciiTheme="minorHAnsi" w:hAnsiTheme="minorHAnsi"/>
          <w:color w:val="auto"/>
          <w:sz w:val="24"/>
        </w:rPr>
        <w:t xml:space="preserve"> was </w:t>
      </w:r>
      <w:r w:rsidR="0029744E">
        <w:rPr>
          <w:rFonts w:asciiTheme="minorHAnsi" w:hAnsiTheme="minorHAnsi"/>
          <w:color w:val="auto"/>
          <w:sz w:val="24"/>
        </w:rPr>
        <w:t>uncertain</w:t>
      </w:r>
      <w:r w:rsidRPr="002531DF">
        <w:rPr>
          <w:rFonts w:asciiTheme="minorHAnsi" w:hAnsiTheme="minorHAnsi"/>
          <w:color w:val="auto"/>
          <w:sz w:val="24"/>
        </w:rPr>
        <w:t>.</w:t>
      </w:r>
    </w:p>
    <w:p w:rsidR="00212789" w:rsidRDefault="000E7579" w:rsidP="009F09BC">
      <w:pPr>
        <w:pStyle w:val="ESnumberedparablue"/>
        <w:numPr>
          <w:ilvl w:val="1"/>
          <w:numId w:val="3"/>
        </w:numPr>
        <w:ind w:left="709" w:hanging="709"/>
        <w:rPr>
          <w:rFonts w:asciiTheme="minorHAnsi" w:hAnsiTheme="minorHAnsi"/>
          <w:color w:val="auto"/>
          <w:sz w:val="24"/>
        </w:rPr>
      </w:pPr>
      <w:r w:rsidRPr="00755E55">
        <w:rPr>
          <w:rFonts w:asciiTheme="minorHAnsi" w:hAnsiTheme="minorHAnsi"/>
          <w:color w:val="auto"/>
          <w:sz w:val="24"/>
        </w:rPr>
        <w:t xml:space="preserve">The PBAC noted that the submission did not make a claim in regards to the comparative efficacy and safety of </w:t>
      </w:r>
      <w:proofErr w:type="spellStart"/>
      <w:r w:rsidRPr="00755E55">
        <w:rPr>
          <w:rFonts w:asciiTheme="minorHAnsi" w:hAnsiTheme="minorHAnsi"/>
          <w:color w:val="auto"/>
          <w:sz w:val="24"/>
        </w:rPr>
        <w:t>dapagliflozin</w:t>
      </w:r>
      <w:proofErr w:type="spellEnd"/>
      <w:r w:rsidRPr="00755E55">
        <w:rPr>
          <w:rFonts w:asciiTheme="minorHAnsi" w:hAnsiTheme="minorHAnsi"/>
          <w:color w:val="auto"/>
          <w:sz w:val="24"/>
        </w:rPr>
        <w:t xml:space="preserve"> versus sulfonylureas.</w:t>
      </w:r>
      <w:r>
        <w:rPr>
          <w:rFonts w:asciiTheme="minorHAnsi" w:hAnsiTheme="minorHAnsi"/>
          <w:color w:val="auto"/>
          <w:sz w:val="24"/>
        </w:rPr>
        <w:t xml:space="preserve"> The PBAC </w:t>
      </w:r>
      <w:r w:rsidRPr="00212789">
        <w:rPr>
          <w:rFonts w:asciiTheme="minorHAnsi" w:hAnsiTheme="minorHAnsi"/>
          <w:color w:val="auto"/>
          <w:sz w:val="24"/>
        </w:rPr>
        <w:t xml:space="preserve">acknowledged that it was reasonable to assume that the addition of </w:t>
      </w:r>
      <w:proofErr w:type="spellStart"/>
      <w:r w:rsidRPr="00212789">
        <w:rPr>
          <w:rFonts w:asciiTheme="minorHAnsi" w:hAnsiTheme="minorHAnsi"/>
          <w:color w:val="auto"/>
          <w:sz w:val="24"/>
        </w:rPr>
        <w:t>dapagliflozin</w:t>
      </w:r>
      <w:proofErr w:type="spellEnd"/>
      <w:r w:rsidRPr="00212789">
        <w:rPr>
          <w:rFonts w:asciiTheme="minorHAnsi" w:hAnsiTheme="minorHAnsi"/>
          <w:color w:val="auto"/>
          <w:sz w:val="24"/>
        </w:rPr>
        <w:t xml:space="preserve"> to metformin and a </w:t>
      </w:r>
      <w:r>
        <w:rPr>
          <w:rFonts w:asciiTheme="minorHAnsi" w:hAnsiTheme="minorHAnsi"/>
          <w:color w:val="auto"/>
          <w:sz w:val="24"/>
        </w:rPr>
        <w:t>DPP4 inhibitor</w:t>
      </w:r>
      <w:r w:rsidRPr="00212789">
        <w:rPr>
          <w:rFonts w:asciiTheme="minorHAnsi" w:hAnsiTheme="minorHAnsi"/>
          <w:color w:val="auto"/>
          <w:sz w:val="24"/>
        </w:rPr>
        <w:t xml:space="preserve"> would have some therapeutic benefit. </w:t>
      </w:r>
      <w:r w:rsidR="00212789" w:rsidRPr="00212789">
        <w:rPr>
          <w:rFonts w:asciiTheme="minorHAnsi" w:hAnsiTheme="minorHAnsi"/>
          <w:color w:val="auto"/>
          <w:sz w:val="24"/>
        </w:rPr>
        <w:t xml:space="preserve">However, the PBAC considered that there was no evidence to suggest that the benefit of metformin + </w:t>
      </w:r>
      <w:proofErr w:type="spellStart"/>
      <w:r w:rsidR="00212789" w:rsidRPr="00212789">
        <w:rPr>
          <w:rFonts w:asciiTheme="minorHAnsi" w:hAnsiTheme="minorHAnsi"/>
          <w:color w:val="auto"/>
          <w:sz w:val="24"/>
        </w:rPr>
        <w:t>dapagliflozin</w:t>
      </w:r>
      <w:proofErr w:type="spellEnd"/>
      <w:r w:rsidR="00212789" w:rsidRPr="00212789">
        <w:rPr>
          <w:rFonts w:asciiTheme="minorHAnsi" w:hAnsiTheme="minorHAnsi"/>
          <w:color w:val="auto"/>
          <w:sz w:val="24"/>
        </w:rPr>
        <w:t xml:space="preserve"> + a DPP4 inhibitor would be of the same magnitude as the incremental benefit of adding either </w:t>
      </w:r>
      <w:proofErr w:type="spellStart"/>
      <w:r w:rsidR="00212789" w:rsidRPr="00212789">
        <w:rPr>
          <w:rFonts w:asciiTheme="minorHAnsi" w:hAnsiTheme="minorHAnsi"/>
          <w:color w:val="auto"/>
          <w:sz w:val="24"/>
        </w:rPr>
        <w:t>dapagliflozin</w:t>
      </w:r>
      <w:proofErr w:type="spellEnd"/>
      <w:r w:rsidR="00212789" w:rsidRPr="00212789">
        <w:rPr>
          <w:rFonts w:asciiTheme="minorHAnsi" w:hAnsiTheme="minorHAnsi"/>
          <w:color w:val="auto"/>
          <w:sz w:val="24"/>
        </w:rPr>
        <w:t xml:space="preserve"> or a DPP4 inhibitor to metformin. The PBAC noted a number of upcoming trials which may more informative for future PBAC consideration</w:t>
      </w:r>
      <w:r w:rsidR="00212789" w:rsidRPr="009F09BC">
        <w:rPr>
          <w:rFonts w:asciiTheme="minorHAnsi" w:hAnsiTheme="minorHAnsi"/>
          <w:color w:val="auto"/>
          <w:sz w:val="24"/>
          <w:vertAlign w:val="superscript"/>
        </w:rPr>
        <w:footnoteReference w:id="1"/>
      </w:r>
      <w:r w:rsidR="00212789" w:rsidRPr="00212789">
        <w:rPr>
          <w:rFonts w:asciiTheme="minorHAnsi" w:hAnsiTheme="minorHAnsi"/>
          <w:color w:val="auto"/>
          <w:sz w:val="24"/>
        </w:rPr>
        <w:t>.</w:t>
      </w:r>
    </w:p>
    <w:p w:rsidR="009B7E32" w:rsidRPr="009B7E32" w:rsidRDefault="009B7E32" w:rsidP="009B7E32">
      <w:pPr>
        <w:pStyle w:val="ESnumberedparablue"/>
        <w:ind w:left="720"/>
        <w:rPr>
          <w:rFonts w:asciiTheme="minorHAnsi" w:hAnsiTheme="minorHAnsi"/>
          <w:i/>
          <w:color w:val="auto"/>
          <w:sz w:val="24"/>
        </w:rPr>
      </w:pPr>
      <w:r w:rsidRPr="009B7E32">
        <w:rPr>
          <w:rFonts w:asciiTheme="minorHAnsi" w:hAnsiTheme="minorHAnsi"/>
          <w:i/>
          <w:color w:val="auto"/>
          <w:sz w:val="24"/>
        </w:rPr>
        <w:t>For more detail on PBAC’s view, see section 7 “PBAC outcome.”</w:t>
      </w:r>
    </w:p>
    <w:p w:rsidR="00137F8D" w:rsidRPr="00412444"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31" w:name="_Toc413139282"/>
      <w:bookmarkStart w:id="32" w:name="_Toc476306892"/>
      <w:bookmarkStart w:id="33" w:name="_Toc482705434"/>
      <w:r w:rsidRPr="00412444">
        <w:rPr>
          <w:rFonts w:asciiTheme="minorHAnsi" w:eastAsiaTheme="majorEastAsia" w:hAnsiTheme="minorHAnsi" w:cstheme="majorBidi"/>
          <w:i/>
          <w:snapToGrid/>
          <w:sz w:val="28"/>
          <w:szCs w:val="28"/>
        </w:rPr>
        <w:t>Economic analysis</w:t>
      </w:r>
      <w:bookmarkEnd w:id="31"/>
      <w:bookmarkEnd w:id="32"/>
      <w:bookmarkEnd w:id="33"/>
    </w:p>
    <w:p w:rsidR="002D52EA" w:rsidRPr="002531DF" w:rsidRDefault="00A030F7"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 xml:space="preserve">A cost-minimisation analysis of </w:t>
      </w:r>
      <w:proofErr w:type="spellStart"/>
      <w:r w:rsidRPr="002531DF">
        <w:rPr>
          <w:rFonts w:asciiTheme="minorHAnsi" w:hAnsiTheme="minorHAnsi"/>
          <w:color w:val="auto"/>
          <w:sz w:val="24"/>
        </w:rPr>
        <w:t>dapagliflozin</w:t>
      </w:r>
      <w:proofErr w:type="spellEnd"/>
      <w:r w:rsidRPr="002531DF">
        <w:rPr>
          <w:rFonts w:asciiTheme="minorHAnsi" w:hAnsiTheme="minorHAnsi"/>
          <w:color w:val="auto"/>
          <w:sz w:val="24"/>
        </w:rPr>
        <w:t xml:space="preserve"> versus a mixed comparator of insulin glargine and sulfonylureas was presented. </w:t>
      </w:r>
      <w:r w:rsidR="002D52EA" w:rsidRPr="002531DF">
        <w:rPr>
          <w:rFonts w:asciiTheme="minorHAnsi" w:hAnsiTheme="minorHAnsi"/>
          <w:color w:val="auto"/>
          <w:sz w:val="24"/>
        </w:rPr>
        <w:t>However, the sponsor proposed a price (DPMQ</w:t>
      </w:r>
      <w:r w:rsidR="007B1069" w:rsidRPr="002531DF">
        <w:rPr>
          <w:rFonts w:asciiTheme="minorHAnsi" w:hAnsiTheme="minorHAnsi"/>
          <w:color w:val="auto"/>
          <w:sz w:val="24"/>
        </w:rPr>
        <w:t xml:space="preserve"> </w:t>
      </w:r>
      <w:r w:rsidR="002D52EA" w:rsidRPr="002531DF">
        <w:rPr>
          <w:rFonts w:asciiTheme="minorHAnsi" w:hAnsiTheme="minorHAnsi"/>
          <w:color w:val="auto"/>
          <w:sz w:val="24"/>
        </w:rPr>
        <w:t>$</w:t>
      </w:r>
      <w:r w:rsidR="002D52EA" w:rsidRPr="003F2089">
        <w:rPr>
          <w:rFonts w:asciiTheme="minorHAnsi" w:hAnsiTheme="minorHAnsi"/>
          <w:color w:val="auto"/>
          <w:sz w:val="24"/>
        </w:rPr>
        <w:t>57.74</w:t>
      </w:r>
      <w:r w:rsidR="002D52EA" w:rsidRPr="002531DF">
        <w:rPr>
          <w:rFonts w:asciiTheme="minorHAnsi" w:hAnsiTheme="minorHAnsi"/>
          <w:color w:val="auto"/>
          <w:sz w:val="24"/>
        </w:rPr>
        <w:t xml:space="preserve">) for </w:t>
      </w:r>
      <w:proofErr w:type="spellStart"/>
      <w:r w:rsidR="002D52EA" w:rsidRPr="002531DF">
        <w:rPr>
          <w:rFonts w:asciiTheme="minorHAnsi" w:hAnsiTheme="minorHAnsi"/>
          <w:color w:val="auto"/>
          <w:sz w:val="24"/>
        </w:rPr>
        <w:t>dapagliflozin</w:t>
      </w:r>
      <w:proofErr w:type="spellEnd"/>
      <w:r w:rsidR="002D52EA" w:rsidRPr="002531DF">
        <w:rPr>
          <w:rFonts w:asciiTheme="minorHAnsi" w:hAnsiTheme="minorHAnsi"/>
          <w:color w:val="auto"/>
          <w:sz w:val="24"/>
        </w:rPr>
        <w:t xml:space="preserve"> equivalent to </w:t>
      </w:r>
      <w:r w:rsidR="00BD49E0" w:rsidRPr="002531DF">
        <w:rPr>
          <w:rFonts w:asciiTheme="minorHAnsi" w:hAnsiTheme="minorHAnsi"/>
          <w:color w:val="auto"/>
          <w:sz w:val="24"/>
        </w:rPr>
        <w:t xml:space="preserve">the </w:t>
      </w:r>
      <w:r w:rsidR="002D52EA" w:rsidRPr="002531DF">
        <w:rPr>
          <w:rFonts w:asciiTheme="minorHAnsi" w:hAnsiTheme="minorHAnsi"/>
          <w:color w:val="auto"/>
          <w:sz w:val="24"/>
        </w:rPr>
        <w:t>current PBS</w:t>
      </w:r>
      <w:r w:rsidR="00A25254" w:rsidRPr="002531DF">
        <w:rPr>
          <w:rFonts w:asciiTheme="minorHAnsi" w:hAnsiTheme="minorHAnsi"/>
          <w:color w:val="auto"/>
          <w:sz w:val="24"/>
        </w:rPr>
        <w:noBreakHyphen/>
      </w:r>
      <w:r w:rsidR="002D52EA" w:rsidRPr="002531DF">
        <w:rPr>
          <w:rFonts w:asciiTheme="minorHAnsi" w:hAnsiTheme="minorHAnsi"/>
          <w:color w:val="auto"/>
          <w:sz w:val="24"/>
        </w:rPr>
        <w:t>listed price</w:t>
      </w:r>
      <w:r w:rsidR="00BD49E0" w:rsidRPr="002531DF">
        <w:rPr>
          <w:rFonts w:asciiTheme="minorHAnsi" w:hAnsiTheme="minorHAnsi"/>
          <w:color w:val="auto"/>
          <w:sz w:val="24"/>
        </w:rPr>
        <w:t xml:space="preserve"> for other indications</w:t>
      </w:r>
      <w:r w:rsidR="002D52EA" w:rsidRPr="002531DF">
        <w:rPr>
          <w:rFonts w:asciiTheme="minorHAnsi" w:hAnsiTheme="minorHAnsi"/>
          <w:color w:val="auto"/>
          <w:sz w:val="24"/>
        </w:rPr>
        <w:t>, which is lower than the price calculated using the cost</w:t>
      </w:r>
      <w:r w:rsidR="002D52EA" w:rsidRPr="002531DF">
        <w:rPr>
          <w:rFonts w:asciiTheme="minorHAnsi" w:hAnsiTheme="minorHAnsi"/>
          <w:color w:val="auto"/>
          <w:sz w:val="24"/>
        </w:rPr>
        <w:noBreakHyphen/>
        <w:t>minimisation approach (</w:t>
      </w:r>
      <w:r w:rsidR="007B1069" w:rsidRPr="002531DF">
        <w:rPr>
          <w:rFonts w:asciiTheme="minorHAnsi" w:hAnsiTheme="minorHAnsi"/>
          <w:color w:val="auto"/>
          <w:sz w:val="24"/>
        </w:rPr>
        <w:t xml:space="preserve">DPMQ </w:t>
      </w:r>
      <w:r w:rsidR="002D52EA" w:rsidRPr="002531DF">
        <w:rPr>
          <w:rFonts w:asciiTheme="minorHAnsi" w:hAnsiTheme="minorHAnsi"/>
          <w:color w:val="auto"/>
          <w:sz w:val="24"/>
        </w:rPr>
        <w:t>$</w:t>
      </w:r>
      <w:r w:rsidR="00B02444">
        <w:rPr>
          <w:rFonts w:asciiTheme="minorHAnsi" w:hAnsiTheme="minorHAnsi"/>
          <w:noProof/>
          <w:color w:val="000000"/>
          <w:sz w:val="24"/>
          <w:highlight w:val="black"/>
        </w:rPr>
        <w:t>'''''''''''</w:t>
      </w:r>
      <w:r w:rsidR="002D52EA" w:rsidRPr="002531DF">
        <w:rPr>
          <w:rFonts w:asciiTheme="minorHAnsi" w:hAnsiTheme="minorHAnsi"/>
          <w:color w:val="auto"/>
          <w:sz w:val="24"/>
        </w:rPr>
        <w:t xml:space="preserve">). </w:t>
      </w:r>
      <w:r w:rsidR="00FE4869" w:rsidRPr="002531DF">
        <w:rPr>
          <w:rFonts w:asciiTheme="minorHAnsi" w:hAnsiTheme="minorHAnsi"/>
          <w:color w:val="auto"/>
          <w:sz w:val="24"/>
        </w:rPr>
        <w:t xml:space="preserve">The higher price calculated for </w:t>
      </w:r>
      <w:proofErr w:type="spellStart"/>
      <w:r w:rsidR="00FE4869" w:rsidRPr="002531DF">
        <w:rPr>
          <w:rFonts w:asciiTheme="minorHAnsi" w:hAnsiTheme="minorHAnsi"/>
          <w:color w:val="auto"/>
          <w:sz w:val="24"/>
        </w:rPr>
        <w:t>dapagliflozin</w:t>
      </w:r>
      <w:proofErr w:type="spellEnd"/>
      <w:r w:rsidR="00FE4869" w:rsidRPr="002531DF">
        <w:rPr>
          <w:rFonts w:asciiTheme="minorHAnsi" w:hAnsiTheme="minorHAnsi"/>
          <w:color w:val="auto"/>
          <w:sz w:val="24"/>
        </w:rPr>
        <w:t xml:space="preserve"> for this indication through the cost-minimisation analysis, compared to the current PBS price </w:t>
      </w:r>
      <w:r w:rsidR="0089099B">
        <w:rPr>
          <w:rFonts w:asciiTheme="minorHAnsi" w:hAnsiTheme="minorHAnsi"/>
          <w:color w:val="auto"/>
          <w:sz w:val="24"/>
        </w:rPr>
        <w:t>wa</w:t>
      </w:r>
      <w:r w:rsidR="00FE4869" w:rsidRPr="002531DF">
        <w:rPr>
          <w:rFonts w:asciiTheme="minorHAnsi" w:hAnsiTheme="minorHAnsi"/>
          <w:color w:val="auto"/>
          <w:sz w:val="24"/>
        </w:rPr>
        <w:t>s primarily driven by the insulin component of the cost-minimisation, due to higher drug costs and claimed cost-offsets for reduced needle use, glucose test strips and diabetes education visits.</w:t>
      </w:r>
    </w:p>
    <w:p w:rsidR="00297A5C" w:rsidRPr="002531DF" w:rsidRDefault="002B5627" w:rsidP="009F09BC">
      <w:pPr>
        <w:pStyle w:val="ESnumberedparablue"/>
        <w:numPr>
          <w:ilvl w:val="1"/>
          <w:numId w:val="3"/>
        </w:numPr>
        <w:ind w:left="709" w:hanging="709"/>
        <w:rPr>
          <w:rFonts w:asciiTheme="minorHAnsi" w:hAnsiTheme="minorHAnsi"/>
          <w:color w:val="auto"/>
          <w:sz w:val="24"/>
        </w:rPr>
      </w:pPr>
      <w:r w:rsidRPr="00927534">
        <w:rPr>
          <w:rFonts w:asciiTheme="minorHAnsi" w:hAnsiTheme="minorHAnsi"/>
          <w:color w:val="auto"/>
          <w:sz w:val="24"/>
        </w:rPr>
        <w:t xml:space="preserve">The </w:t>
      </w:r>
      <w:r w:rsidR="0052371B" w:rsidRPr="00927534">
        <w:rPr>
          <w:rFonts w:asciiTheme="minorHAnsi" w:hAnsiTheme="minorHAnsi"/>
          <w:color w:val="auto"/>
          <w:sz w:val="24"/>
        </w:rPr>
        <w:t xml:space="preserve">PBAC </w:t>
      </w:r>
      <w:r w:rsidR="002D52EA" w:rsidRPr="00927534">
        <w:rPr>
          <w:rFonts w:asciiTheme="minorHAnsi" w:hAnsiTheme="minorHAnsi"/>
          <w:color w:val="auto"/>
          <w:sz w:val="24"/>
        </w:rPr>
        <w:t xml:space="preserve">considered that </w:t>
      </w:r>
      <w:r w:rsidR="00927534" w:rsidRPr="00927534">
        <w:rPr>
          <w:rFonts w:asciiTheme="minorHAnsi" w:hAnsiTheme="minorHAnsi"/>
          <w:color w:val="auto"/>
          <w:sz w:val="24"/>
        </w:rPr>
        <w:t>a</w:t>
      </w:r>
      <w:r w:rsidR="0052371B" w:rsidRPr="00927534">
        <w:rPr>
          <w:rFonts w:asciiTheme="minorHAnsi" w:hAnsiTheme="minorHAnsi"/>
          <w:color w:val="auto"/>
          <w:sz w:val="24"/>
        </w:rPr>
        <w:t>lthough the pr</w:t>
      </w:r>
      <w:r w:rsidR="0052371B">
        <w:rPr>
          <w:rFonts w:asciiTheme="minorHAnsi" w:hAnsiTheme="minorHAnsi"/>
          <w:color w:val="auto"/>
          <w:sz w:val="24"/>
        </w:rPr>
        <w:t>e-PBAC response (p</w:t>
      </w:r>
      <w:r w:rsidR="00B87000">
        <w:rPr>
          <w:rFonts w:asciiTheme="minorHAnsi" w:hAnsiTheme="minorHAnsi"/>
          <w:color w:val="auto"/>
          <w:sz w:val="24"/>
        </w:rPr>
        <w:t>3</w:t>
      </w:r>
      <w:r w:rsidR="0052371B">
        <w:rPr>
          <w:rFonts w:asciiTheme="minorHAnsi" w:hAnsiTheme="minorHAnsi"/>
          <w:color w:val="auto"/>
          <w:sz w:val="24"/>
        </w:rPr>
        <w:t xml:space="preserve">) indicated that very elderly patients would be contraindicated to </w:t>
      </w:r>
      <w:proofErr w:type="spellStart"/>
      <w:r w:rsidR="0052371B">
        <w:rPr>
          <w:rFonts w:asciiTheme="minorHAnsi" w:hAnsiTheme="minorHAnsi"/>
          <w:color w:val="auto"/>
          <w:sz w:val="24"/>
        </w:rPr>
        <w:t>sulphonylureas</w:t>
      </w:r>
      <w:proofErr w:type="spellEnd"/>
      <w:r w:rsidR="0052371B">
        <w:rPr>
          <w:rFonts w:asciiTheme="minorHAnsi" w:hAnsiTheme="minorHAnsi"/>
          <w:color w:val="auto"/>
          <w:sz w:val="24"/>
        </w:rPr>
        <w:t xml:space="preserve">, this did not adequately justify the 70:30 split proposed. </w:t>
      </w:r>
    </w:p>
    <w:p w:rsidR="002B5627" w:rsidRPr="002531DF" w:rsidRDefault="002B5627"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 xml:space="preserve">The </w:t>
      </w:r>
      <w:proofErr w:type="spellStart"/>
      <w:r w:rsidRPr="002531DF">
        <w:rPr>
          <w:rFonts w:asciiTheme="minorHAnsi" w:hAnsiTheme="minorHAnsi"/>
          <w:color w:val="auto"/>
          <w:sz w:val="24"/>
        </w:rPr>
        <w:t>equi</w:t>
      </w:r>
      <w:proofErr w:type="spellEnd"/>
      <w:r w:rsidRPr="002531DF">
        <w:rPr>
          <w:rFonts w:asciiTheme="minorHAnsi" w:hAnsiTheme="minorHAnsi"/>
          <w:color w:val="auto"/>
          <w:sz w:val="24"/>
        </w:rPr>
        <w:t xml:space="preserve">-effective doses were estimated as </w:t>
      </w:r>
      <w:proofErr w:type="spellStart"/>
      <w:r w:rsidRPr="002531DF">
        <w:rPr>
          <w:rFonts w:asciiTheme="minorHAnsi" w:hAnsiTheme="minorHAnsi"/>
          <w:color w:val="auto"/>
          <w:sz w:val="24"/>
        </w:rPr>
        <w:t>dapagliflozin</w:t>
      </w:r>
      <w:proofErr w:type="spellEnd"/>
      <w:r w:rsidRPr="002531DF">
        <w:rPr>
          <w:rFonts w:asciiTheme="minorHAnsi" w:hAnsiTheme="minorHAnsi"/>
          <w:color w:val="auto"/>
          <w:sz w:val="24"/>
        </w:rPr>
        <w:t xml:space="preserve"> 10 mg </w:t>
      </w:r>
      <w:r w:rsidR="00286A0F" w:rsidRPr="002531DF">
        <w:rPr>
          <w:rFonts w:asciiTheme="minorHAnsi" w:hAnsiTheme="minorHAnsi"/>
          <w:color w:val="auto"/>
          <w:sz w:val="24"/>
        </w:rPr>
        <w:t>daily</w:t>
      </w:r>
      <w:r w:rsidRPr="002531DF">
        <w:rPr>
          <w:rFonts w:asciiTheme="minorHAnsi" w:hAnsiTheme="minorHAnsi"/>
          <w:color w:val="auto"/>
          <w:sz w:val="24"/>
        </w:rPr>
        <w:t xml:space="preserve"> and ins</w:t>
      </w:r>
      <w:r w:rsidR="00286A0F" w:rsidRPr="002531DF">
        <w:rPr>
          <w:rFonts w:asciiTheme="minorHAnsi" w:hAnsiTheme="minorHAnsi"/>
          <w:color w:val="auto"/>
          <w:sz w:val="24"/>
        </w:rPr>
        <w:t>ulin glargine 50.6 IU daily</w:t>
      </w:r>
      <w:r w:rsidRPr="002531DF">
        <w:rPr>
          <w:rFonts w:asciiTheme="minorHAnsi" w:hAnsiTheme="minorHAnsi"/>
          <w:color w:val="auto"/>
          <w:sz w:val="24"/>
        </w:rPr>
        <w:t xml:space="preserve">. The </w:t>
      </w:r>
      <w:r w:rsidR="00600571" w:rsidRPr="002531DF">
        <w:rPr>
          <w:rFonts w:asciiTheme="minorHAnsi" w:hAnsiTheme="minorHAnsi"/>
          <w:color w:val="auto"/>
          <w:sz w:val="24"/>
        </w:rPr>
        <w:t xml:space="preserve">estimates were based on a 10% Medicare sample analysis that may not be </w:t>
      </w:r>
      <w:r w:rsidR="00600571" w:rsidRPr="00756289">
        <w:rPr>
          <w:rFonts w:asciiTheme="minorHAnsi" w:hAnsiTheme="minorHAnsi"/>
          <w:color w:val="auto"/>
          <w:sz w:val="24"/>
        </w:rPr>
        <w:t>reliable due to restrictive inclusion criteria (i.e. fixed treatment sequence)</w:t>
      </w:r>
      <w:r w:rsidR="00600571" w:rsidRPr="002531DF">
        <w:rPr>
          <w:rFonts w:asciiTheme="minorHAnsi" w:hAnsiTheme="minorHAnsi"/>
          <w:color w:val="auto"/>
          <w:sz w:val="24"/>
        </w:rPr>
        <w:t xml:space="preserve"> that did not consider the</w:t>
      </w:r>
      <w:r w:rsidR="00286A0F" w:rsidRPr="002531DF">
        <w:rPr>
          <w:rFonts w:asciiTheme="minorHAnsi" w:hAnsiTheme="minorHAnsi"/>
          <w:color w:val="auto"/>
          <w:sz w:val="24"/>
        </w:rPr>
        <w:t xml:space="preserve"> broader PBS population</w:t>
      </w:r>
      <w:r w:rsidR="00B47F82" w:rsidRPr="002531DF">
        <w:rPr>
          <w:rFonts w:asciiTheme="minorHAnsi" w:hAnsiTheme="minorHAnsi"/>
          <w:color w:val="auto"/>
          <w:sz w:val="24"/>
        </w:rPr>
        <w:t>,</w:t>
      </w:r>
      <w:r w:rsidR="00286A0F" w:rsidRPr="002531DF">
        <w:rPr>
          <w:rFonts w:asciiTheme="minorHAnsi" w:hAnsiTheme="minorHAnsi"/>
          <w:color w:val="auto"/>
          <w:sz w:val="24"/>
        </w:rPr>
        <w:t xml:space="preserve"> and </w:t>
      </w:r>
      <w:r w:rsidR="00B47F82" w:rsidRPr="002531DF">
        <w:rPr>
          <w:rFonts w:asciiTheme="minorHAnsi" w:hAnsiTheme="minorHAnsi"/>
          <w:color w:val="auto"/>
          <w:sz w:val="24"/>
        </w:rPr>
        <w:t xml:space="preserve">the </w:t>
      </w:r>
      <w:r w:rsidR="00600571" w:rsidRPr="002531DF">
        <w:rPr>
          <w:rFonts w:asciiTheme="minorHAnsi" w:hAnsiTheme="minorHAnsi"/>
          <w:color w:val="auto"/>
          <w:sz w:val="24"/>
        </w:rPr>
        <w:t>complex methodology</w:t>
      </w:r>
      <w:r w:rsidR="00B47F82" w:rsidRPr="002531DF">
        <w:rPr>
          <w:rFonts w:asciiTheme="minorHAnsi" w:hAnsiTheme="minorHAnsi"/>
          <w:color w:val="auto"/>
          <w:sz w:val="24"/>
        </w:rPr>
        <w:t xml:space="preserve"> that was used</w:t>
      </w:r>
      <w:r w:rsidR="00600571" w:rsidRPr="002531DF">
        <w:rPr>
          <w:rFonts w:asciiTheme="minorHAnsi" w:hAnsiTheme="minorHAnsi"/>
          <w:color w:val="auto"/>
          <w:sz w:val="24"/>
        </w:rPr>
        <w:t xml:space="preserve"> to calculate a mean daily dose of insulin </w:t>
      </w:r>
      <w:r w:rsidR="00B47F82" w:rsidRPr="002531DF">
        <w:rPr>
          <w:rFonts w:asciiTheme="minorHAnsi" w:hAnsiTheme="minorHAnsi"/>
          <w:color w:val="auto"/>
          <w:sz w:val="24"/>
        </w:rPr>
        <w:t xml:space="preserve">which </w:t>
      </w:r>
      <w:r w:rsidR="00600571" w:rsidRPr="002531DF">
        <w:rPr>
          <w:rFonts w:asciiTheme="minorHAnsi" w:hAnsiTheme="minorHAnsi"/>
          <w:color w:val="auto"/>
          <w:sz w:val="24"/>
        </w:rPr>
        <w:t>may not represent the dose likely to be used in practice.</w:t>
      </w:r>
      <w:r w:rsidR="00565621" w:rsidRPr="002531DF">
        <w:rPr>
          <w:rFonts w:asciiTheme="minorHAnsi" w:hAnsiTheme="minorHAnsi"/>
          <w:color w:val="auto"/>
          <w:sz w:val="24"/>
        </w:rPr>
        <w:t xml:space="preserve"> </w:t>
      </w:r>
      <w:r w:rsidR="00FC2916">
        <w:rPr>
          <w:rFonts w:asciiTheme="minorHAnsi" w:hAnsiTheme="minorHAnsi"/>
          <w:color w:val="auto"/>
          <w:sz w:val="24"/>
        </w:rPr>
        <w:t xml:space="preserve">The PBAC </w:t>
      </w:r>
      <w:r w:rsidR="00A25254" w:rsidRPr="002531DF">
        <w:rPr>
          <w:rFonts w:asciiTheme="minorHAnsi" w:hAnsiTheme="minorHAnsi"/>
          <w:color w:val="auto"/>
          <w:sz w:val="24"/>
        </w:rPr>
        <w:t xml:space="preserve">considered that the methods limited the applicability of the </w:t>
      </w:r>
      <w:proofErr w:type="spellStart"/>
      <w:r w:rsidR="00A25254" w:rsidRPr="002531DF">
        <w:rPr>
          <w:rFonts w:asciiTheme="minorHAnsi" w:hAnsiTheme="minorHAnsi"/>
          <w:color w:val="auto"/>
          <w:sz w:val="24"/>
        </w:rPr>
        <w:t>equi</w:t>
      </w:r>
      <w:proofErr w:type="spellEnd"/>
      <w:r w:rsidR="00A25254" w:rsidRPr="002531DF">
        <w:rPr>
          <w:rFonts w:asciiTheme="minorHAnsi" w:hAnsiTheme="minorHAnsi"/>
          <w:color w:val="auto"/>
          <w:sz w:val="24"/>
        </w:rPr>
        <w:t>-effective dose</w:t>
      </w:r>
      <w:r w:rsidR="0052371B">
        <w:rPr>
          <w:rFonts w:asciiTheme="minorHAnsi" w:hAnsiTheme="minorHAnsi"/>
          <w:color w:val="auto"/>
          <w:sz w:val="24"/>
        </w:rPr>
        <w:t xml:space="preserve">. Furthermore, the PBAC </w:t>
      </w:r>
      <w:r w:rsidR="007B1069" w:rsidRPr="002531DF">
        <w:rPr>
          <w:rFonts w:asciiTheme="minorHAnsi" w:hAnsiTheme="minorHAnsi"/>
          <w:color w:val="auto"/>
          <w:sz w:val="24"/>
        </w:rPr>
        <w:t xml:space="preserve">recalled that previously recommended </w:t>
      </w:r>
      <w:proofErr w:type="spellStart"/>
      <w:r w:rsidR="007B1069" w:rsidRPr="002531DF">
        <w:rPr>
          <w:rFonts w:asciiTheme="minorHAnsi" w:hAnsiTheme="minorHAnsi"/>
          <w:color w:val="auto"/>
          <w:sz w:val="24"/>
        </w:rPr>
        <w:t>equi</w:t>
      </w:r>
      <w:proofErr w:type="spellEnd"/>
      <w:r w:rsidR="007B1069" w:rsidRPr="002531DF">
        <w:rPr>
          <w:rFonts w:asciiTheme="minorHAnsi" w:hAnsiTheme="minorHAnsi"/>
          <w:color w:val="auto"/>
          <w:sz w:val="24"/>
        </w:rPr>
        <w:t>-effective doses are considerably lower than the dose proposed:</w:t>
      </w:r>
    </w:p>
    <w:p w:rsidR="00A46EB0" w:rsidRPr="002531DF" w:rsidRDefault="00A46EB0" w:rsidP="00937D7B">
      <w:pPr>
        <w:pStyle w:val="ESnumberedparablue"/>
        <w:numPr>
          <w:ilvl w:val="0"/>
          <w:numId w:val="27"/>
        </w:numPr>
        <w:rPr>
          <w:rFonts w:asciiTheme="minorHAnsi" w:hAnsiTheme="minorHAnsi"/>
          <w:color w:val="auto"/>
          <w:sz w:val="24"/>
          <w:szCs w:val="24"/>
        </w:rPr>
      </w:pPr>
      <w:r w:rsidRPr="002531DF">
        <w:rPr>
          <w:rFonts w:asciiTheme="minorHAnsi" w:hAnsiTheme="minorHAnsi"/>
          <w:color w:val="auto"/>
          <w:sz w:val="24"/>
          <w:szCs w:val="24"/>
        </w:rPr>
        <w:t xml:space="preserve">For </w:t>
      </w:r>
      <w:proofErr w:type="spellStart"/>
      <w:r w:rsidRPr="002531DF">
        <w:rPr>
          <w:rFonts w:asciiTheme="minorHAnsi" w:hAnsiTheme="minorHAnsi"/>
          <w:color w:val="auto"/>
          <w:sz w:val="24"/>
          <w:szCs w:val="24"/>
        </w:rPr>
        <w:t>dapagliflozin</w:t>
      </w:r>
      <w:proofErr w:type="spellEnd"/>
      <w:r w:rsidRPr="002531DF">
        <w:rPr>
          <w:rFonts w:asciiTheme="minorHAnsi" w:hAnsiTheme="minorHAnsi"/>
          <w:color w:val="auto"/>
          <w:sz w:val="24"/>
          <w:szCs w:val="24"/>
        </w:rPr>
        <w:t xml:space="preserve"> in triple oral therapy in combination with metformin and a sulfonylurea the PBAC accepted </w:t>
      </w:r>
      <w:proofErr w:type="spellStart"/>
      <w:r w:rsidRPr="002531DF">
        <w:rPr>
          <w:rFonts w:asciiTheme="minorHAnsi" w:hAnsiTheme="minorHAnsi"/>
          <w:color w:val="auto"/>
          <w:sz w:val="24"/>
          <w:szCs w:val="24"/>
        </w:rPr>
        <w:t>equi</w:t>
      </w:r>
      <w:proofErr w:type="spellEnd"/>
      <w:r w:rsidRPr="002531DF">
        <w:rPr>
          <w:rFonts w:asciiTheme="minorHAnsi" w:hAnsiTheme="minorHAnsi"/>
          <w:color w:val="auto"/>
          <w:sz w:val="24"/>
          <w:szCs w:val="24"/>
        </w:rPr>
        <w:t xml:space="preserve">-effective doses of </w:t>
      </w:r>
      <w:proofErr w:type="spellStart"/>
      <w:r w:rsidRPr="002531DF">
        <w:rPr>
          <w:rFonts w:asciiTheme="minorHAnsi" w:hAnsiTheme="minorHAnsi"/>
          <w:color w:val="auto"/>
          <w:sz w:val="24"/>
          <w:szCs w:val="24"/>
        </w:rPr>
        <w:t>dapagliflozin</w:t>
      </w:r>
      <w:proofErr w:type="spellEnd"/>
      <w:r w:rsidRPr="002531DF">
        <w:rPr>
          <w:rFonts w:asciiTheme="minorHAnsi" w:hAnsiTheme="minorHAnsi"/>
          <w:color w:val="auto"/>
          <w:sz w:val="24"/>
          <w:szCs w:val="24"/>
        </w:rPr>
        <w:t xml:space="preserve"> 10 mg (oral) and insulin glargine 24 international units (IU) per day (</w:t>
      </w:r>
      <w:proofErr w:type="spellStart"/>
      <w:r w:rsidRPr="002531DF">
        <w:rPr>
          <w:rFonts w:asciiTheme="minorHAnsi" w:hAnsiTheme="minorHAnsi"/>
          <w:color w:val="auto"/>
          <w:sz w:val="24"/>
          <w:szCs w:val="24"/>
        </w:rPr>
        <w:t>Dapagliflozin</w:t>
      </w:r>
      <w:proofErr w:type="spellEnd"/>
      <w:r w:rsidRPr="002531DF">
        <w:rPr>
          <w:rFonts w:asciiTheme="minorHAnsi" w:hAnsiTheme="minorHAnsi"/>
          <w:color w:val="auto"/>
          <w:sz w:val="24"/>
          <w:szCs w:val="24"/>
        </w:rPr>
        <w:t xml:space="preserve"> PSD, March 2015)</w:t>
      </w:r>
      <w:r w:rsidR="00774E2A" w:rsidRPr="002531DF">
        <w:rPr>
          <w:rFonts w:asciiTheme="minorHAnsi" w:hAnsiTheme="minorHAnsi"/>
          <w:color w:val="auto"/>
          <w:sz w:val="24"/>
          <w:szCs w:val="24"/>
        </w:rPr>
        <w:t>.</w:t>
      </w:r>
    </w:p>
    <w:p w:rsidR="00A46EB0" w:rsidRPr="002531DF" w:rsidRDefault="00A46EB0" w:rsidP="00937D7B">
      <w:pPr>
        <w:pStyle w:val="ESnumberedparablue"/>
        <w:numPr>
          <w:ilvl w:val="0"/>
          <w:numId w:val="27"/>
        </w:numPr>
        <w:rPr>
          <w:rFonts w:asciiTheme="minorHAnsi" w:hAnsiTheme="minorHAnsi"/>
          <w:color w:val="auto"/>
          <w:sz w:val="24"/>
          <w:szCs w:val="24"/>
        </w:rPr>
      </w:pPr>
      <w:r w:rsidRPr="002531DF">
        <w:rPr>
          <w:rFonts w:asciiTheme="minorHAnsi" w:hAnsiTheme="minorHAnsi"/>
          <w:color w:val="auto"/>
          <w:sz w:val="24"/>
          <w:szCs w:val="24"/>
        </w:rPr>
        <w:t xml:space="preserve">For </w:t>
      </w:r>
      <w:proofErr w:type="spellStart"/>
      <w:r w:rsidRPr="002531DF">
        <w:rPr>
          <w:rFonts w:asciiTheme="minorHAnsi" w:hAnsiTheme="minorHAnsi"/>
          <w:color w:val="auto"/>
          <w:sz w:val="24"/>
          <w:szCs w:val="24"/>
        </w:rPr>
        <w:t>dapagliflozin</w:t>
      </w:r>
      <w:proofErr w:type="spellEnd"/>
      <w:r w:rsidRPr="002531DF">
        <w:rPr>
          <w:rFonts w:asciiTheme="minorHAnsi" w:hAnsiTheme="minorHAnsi"/>
          <w:color w:val="auto"/>
          <w:sz w:val="24"/>
          <w:szCs w:val="24"/>
        </w:rPr>
        <w:t xml:space="preserve"> in combination with insulin the PBAC accepted </w:t>
      </w:r>
      <w:proofErr w:type="spellStart"/>
      <w:r w:rsidRPr="002531DF">
        <w:rPr>
          <w:rFonts w:asciiTheme="minorHAnsi" w:hAnsiTheme="minorHAnsi"/>
          <w:color w:val="auto"/>
          <w:sz w:val="24"/>
          <w:szCs w:val="24"/>
        </w:rPr>
        <w:t>equi</w:t>
      </w:r>
      <w:proofErr w:type="spellEnd"/>
      <w:r w:rsidRPr="002531DF">
        <w:rPr>
          <w:rFonts w:asciiTheme="minorHAnsi" w:hAnsiTheme="minorHAnsi"/>
          <w:color w:val="auto"/>
          <w:sz w:val="24"/>
          <w:szCs w:val="24"/>
        </w:rPr>
        <w:t xml:space="preserve">-effective doses of </w:t>
      </w:r>
      <w:proofErr w:type="spellStart"/>
      <w:r w:rsidRPr="002531DF">
        <w:rPr>
          <w:rFonts w:asciiTheme="minorHAnsi" w:hAnsiTheme="minorHAnsi"/>
          <w:color w:val="auto"/>
          <w:sz w:val="24"/>
          <w:szCs w:val="24"/>
        </w:rPr>
        <w:t>dapagliflozin</w:t>
      </w:r>
      <w:proofErr w:type="spellEnd"/>
      <w:r w:rsidRPr="002531DF">
        <w:rPr>
          <w:rFonts w:asciiTheme="minorHAnsi" w:hAnsiTheme="minorHAnsi"/>
          <w:color w:val="auto"/>
          <w:sz w:val="24"/>
          <w:szCs w:val="24"/>
        </w:rPr>
        <w:t xml:space="preserve"> 10 mg dai</w:t>
      </w:r>
      <w:r w:rsidR="000670F2" w:rsidRPr="002531DF">
        <w:rPr>
          <w:rFonts w:asciiTheme="minorHAnsi" w:hAnsiTheme="minorHAnsi"/>
          <w:color w:val="auto"/>
          <w:sz w:val="24"/>
          <w:szCs w:val="24"/>
        </w:rPr>
        <w:t xml:space="preserve">ly and insulin glargine 26.5 IU per </w:t>
      </w:r>
      <w:r w:rsidRPr="002531DF">
        <w:rPr>
          <w:rFonts w:asciiTheme="minorHAnsi" w:hAnsiTheme="minorHAnsi"/>
          <w:color w:val="auto"/>
          <w:sz w:val="24"/>
          <w:szCs w:val="24"/>
        </w:rPr>
        <w:t>day (triple t</w:t>
      </w:r>
      <w:r w:rsidR="000670F2" w:rsidRPr="002531DF">
        <w:rPr>
          <w:rFonts w:asciiTheme="minorHAnsi" w:hAnsiTheme="minorHAnsi"/>
          <w:color w:val="auto"/>
          <w:sz w:val="24"/>
          <w:szCs w:val="24"/>
        </w:rPr>
        <w:t>herapy</w:t>
      </w:r>
      <w:r w:rsidR="007B1069" w:rsidRPr="002531DF">
        <w:rPr>
          <w:rFonts w:asciiTheme="minorHAnsi" w:hAnsiTheme="minorHAnsi"/>
          <w:color w:val="auto"/>
          <w:sz w:val="24"/>
          <w:szCs w:val="24"/>
        </w:rPr>
        <w:t xml:space="preserve"> with metformin</w:t>
      </w:r>
      <w:r w:rsidR="000670F2" w:rsidRPr="002531DF">
        <w:rPr>
          <w:rFonts w:asciiTheme="minorHAnsi" w:hAnsiTheme="minorHAnsi"/>
          <w:color w:val="auto"/>
          <w:sz w:val="24"/>
          <w:szCs w:val="24"/>
        </w:rPr>
        <w:t xml:space="preserve">) or 28.2 IU per </w:t>
      </w:r>
      <w:r w:rsidRPr="002531DF">
        <w:rPr>
          <w:rFonts w:asciiTheme="minorHAnsi" w:hAnsiTheme="minorHAnsi"/>
          <w:color w:val="auto"/>
          <w:sz w:val="24"/>
          <w:szCs w:val="24"/>
        </w:rPr>
        <w:t>day (dual therapy) (Therapeutic Relativity Sheets, April 2017).</w:t>
      </w:r>
    </w:p>
    <w:p w:rsidR="007B381C" w:rsidRDefault="007B381C" w:rsidP="009F09BC">
      <w:pPr>
        <w:pStyle w:val="ESnumberedparablue"/>
        <w:numPr>
          <w:ilvl w:val="1"/>
          <w:numId w:val="3"/>
        </w:numPr>
        <w:ind w:left="709" w:hanging="709"/>
        <w:rPr>
          <w:rFonts w:asciiTheme="minorHAnsi" w:hAnsiTheme="minorHAnsi"/>
          <w:color w:val="auto"/>
          <w:sz w:val="24"/>
        </w:rPr>
      </w:pPr>
      <w:r>
        <w:rPr>
          <w:rFonts w:asciiTheme="minorHAnsi" w:hAnsiTheme="minorHAnsi"/>
          <w:color w:val="auto"/>
          <w:sz w:val="24"/>
        </w:rPr>
        <w:t xml:space="preserve">The PBAC considered these previously recommended </w:t>
      </w:r>
      <w:proofErr w:type="spellStart"/>
      <w:r>
        <w:rPr>
          <w:rFonts w:asciiTheme="minorHAnsi" w:hAnsiTheme="minorHAnsi"/>
          <w:color w:val="auto"/>
          <w:sz w:val="24"/>
        </w:rPr>
        <w:t>equi</w:t>
      </w:r>
      <w:proofErr w:type="spellEnd"/>
      <w:r>
        <w:rPr>
          <w:rFonts w:asciiTheme="minorHAnsi" w:hAnsiTheme="minorHAnsi"/>
          <w:color w:val="auto"/>
          <w:sz w:val="24"/>
        </w:rPr>
        <w:t xml:space="preserve">-effective doses </w:t>
      </w:r>
      <w:r w:rsidR="0052371B">
        <w:rPr>
          <w:rFonts w:asciiTheme="minorHAnsi" w:hAnsiTheme="minorHAnsi"/>
          <w:color w:val="auto"/>
          <w:sz w:val="24"/>
        </w:rPr>
        <w:t>were likely to be more</w:t>
      </w:r>
      <w:r>
        <w:rPr>
          <w:rFonts w:asciiTheme="minorHAnsi" w:hAnsiTheme="minorHAnsi"/>
          <w:color w:val="auto"/>
          <w:sz w:val="24"/>
        </w:rPr>
        <w:t xml:space="preserve"> reasonable</w:t>
      </w:r>
      <w:r w:rsidR="0052371B">
        <w:rPr>
          <w:rFonts w:asciiTheme="minorHAnsi" w:hAnsiTheme="minorHAnsi"/>
          <w:color w:val="auto"/>
          <w:sz w:val="24"/>
        </w:rPr>
        <w:t xml:space="preserve"> estimate</w:t>
      </w:r>
      <w:r w:rsidR="009672C8">
        <w:rPr>
          <w:rFonts w:asciiTheme="minorHAnsi" w:hAnsiTheme="minorHAnsi"/>
          <w:color w:val="auto"/>
          <w:sz w:val="24"/>
        </w:rPr>
        <w:t>s</w:t>
      </w:r>
      <w:r>
        <w:rPr>
          <w:rFonts w:asciiTheme="minorHAnsi" w:hAnsiTheme="minorHAnsi"/>
          <w:color w:val="auto"/>
          <w:sz w:val="24"/>
        </w:rPr>
        <w:t>.</w:t>
      </w:r>
    </w:p>
    <w:p w:rsidR="002B5627" w:rsidRPr="002531DF" w:rsidRDefault="002B5627"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 xml:space="preserve">The submission did not present </w:t>
      </w:r>
      <w:proofErr w:type="spellStart"/>
      <w:r w:rsidRPr="002531DF">
        <w:rPr>
          <w:rFonts w:asciiTheme="minorHAnsi" w:hAnsiTheme="minorHAnsi"/>
          <w:color w:val="auto"/>
          <w:sz w:val="24"/>
        </w:rPr>
        <w:t>equi</w:t>
      </w:r>
      <w:proofErr w:type="spellEnd"/>
      <w:r w:rsidRPr="002531DF">
        <w:rPr>
          <w:rFonts w:asciiTheme="minorHAnsi" w:hAnsiTheme="minorHAnsi"/>
          <w:color w:val="auto"/>
          <w:sz w:val="24"/>
        </w:rPr>
        <w:t xml:space="preserve">-effective doses of </w:t>
      </w:r>
      <w:proofErr w:type="spellStart"/>
      <w:r w:rsidRPr="002531DF">
        <w:rPr>
          <w:rFonts w:asciiTheme="minorHAnsi" w:hAnsiTheme="minorHAnsi"/>
          <w:color w:val="auto"/>
          <w:sz w:val="24"/>
        </w:rPr>
        <w:t>dapagliflozin</w:t>
      </w:r>
      <w:proofErr w:type="spellEnd"/>
      <w:r w:rsidRPr="002531DF">
        <w:rPr>
          <w:rFonts w:asciiTheme="minorHAnsi" w:hAnsiTheme="minorHAnsi"/>
          <w:color w:val="auto"/>
          <w:sz w:val="24"/>
        </w:rPr>
        <w:t xml:space="preserve"> and sulfonylureas.</w:t>
      </w:r>
    </w:p>
    <w:p w:rsidR="00BD49E0" w:rsidRPr="009F09BC" w:rsidRDefault="00E07D1A" w:rsidP="009F09BC">
      <w:pPr>
        <w:pStyle w:val="ESnumberedparablue"/>
        <w:numPr>
          <w:ilvl w:val="1"/>
          <w:numId w:val="3"/>
        </w:numPr>
        <w:ind w:left="709" w:hanging="709"/>
        <w:rPr>
          <w:rFonts w:asciiTheme="minorHAnsi" w:hAnsiTheme="minorHAnsi"/>
          <w:color w:val="auto"/>
          <w:sz w:val="24"/>
        </w:rPr>
      </w:pPr>
      <w:proofErr w:type="gramStart"/>
      <w:r w:rsidRPr="0092394A">
        <w:rPr>
          <w:rFonts w:asciiTheme="minorHAnsi" w:hAnsiTheme="minorHAnsi"/>
          <w:color w:val="auto"/>
          <w:sz w:val="24"/>
        </w:rPr>
        <w:t xml:space="preserve">A cost analysis of </w:t>
      </w:r>
      <w:proofErr w:type="spellStart"/>
      <w:r w:rsidRPr="0092394A">
        <w:rPr>
          <w:rFonts w:asciiTheme="minorHAnsi" w:hAnsiTheme="minorHAnsi"/>
          <w:color w:val="auto"/>
          <w:sz w:val="24"/>
        </w:rPr>
        <w:t>dapa</w:t>
      </w:r>
      <w:r w:rsidR="00173E82" w:rsidRPr="0092394A">
        <w:rPr>
          <w:rFonts w:asciiTheme="minorHAnsi" w:hAnsiTheme="minorHAnsi"/>
          <w:color w:val="auto"/>
          <w:sz w:val="24"/>
        </w:rPr>
        <w:t>gliflozin</w:t>
      </w:r>
      <w:proofErr w:type="spellEnd"/>
      <w:r w:rsidR="00173E82" w:rsidRPr="0092394A">
        <w:rPr>
          <w:rFonts w:asciiTheme="minorHAnsi" w:hAnsiTheme="minorHAnsi"/>
          <w:color w:val="auto"/>
          <w:sz w:val="24"/>
        </w:rPr>
        <w:t xml:space="preserve"> </w:t>
      </w:r>
      <w:r w:rsidR="004E447E" w:rsidRPr="0092394A">
        <w:rPr>
          <w:rFonts w:asciiTheme="minorHAnsi" w:hAnsiTheme="minorHAnsi"/>
          <w:color w:val="auto"/>
          <w:sz w:val="24"/>
        </w:rPr>
        <w:t>and insulin gla</w:t>
      </w:r>
      <w:r w:rsidR="00D57DAB" w:rsidRPr="0092394A">
        <w:rPr>
          <w:rFonts w:asciiTheme="minorHAnsi" w:hAnsiTheme="minorHAnsi"/>
          <w:color w:val="auto"/>
          <w:sz w:val="24"/>
        </w:rPr>
        <w:t>rgine are</w:t>
      </w:r>
      <w:proofErr w:type="gramEnd"/>
      <w:r w:rsidR="00D57DAB" w:rsidRPr="0092394A">
        <w:rPr>
          <w:rFonts w:asciiTheme="minorHAnsi" w:hAnsiTheme="minorHAnsi"/>
          <w:color w:val="auto"/>
          <w:sz w:val="24"/>
        </w:rPr>
        <w:t xml:space="preserve"> presented in Table 5</w:t>
      </w:r>
      <w:r w:rsidR="002E2A71" w:rsidRPr="0092394A">
        <w:rPr>
          <w:rFonts w:asciiTheme="minorHAnsi" w:hAnsiTheme="minorHAnsi"/>
          <w:color w:val="auto"/>
          <w:sz w:val="24"/>
        </w:rPr>
        <w:t>.</w:t>
      </w:r>
    </w:p>
    <w:p w:rsidR="00575F80" w:rsidRDefault="00575F80">
      <w:pPr>
        <w:widowControl/>
        <w:jc w:val="left"/>
        <w:rPr>
          <w:rFonts w:ascii="Arial Narrow" w:eastAsiaTheme="minorHAnsi" w:hAnsi="Arial Narrow" w:cstheme="minorBidi"/>
          <w:b/>
          <w:snapToGrid/>
          <w:sz w:val="20"/>
          <w:szCs w:val="22"/>
        </w:rPr>
      </w:pPr>
      <w:r>
        <w:br w:type="page"/>
      </w:r>
    </w:p>
    <w:p w:rsidR="00641642" w:rsidRDefault="00641642" w:rsidP="00641642">
      <w:pPr>
        <w:pStyle w:val="TableHeading0"/>
      </w:pPr>
      <w:r>
        <w:t xml:space="preserve">Table </w:t>
      </w:r>
      <w:fldSimple w:instr=" SEQ Table \* ARABIC ">
        <w:r w:rsidR="00B975C4">
          <w:rPr>
            <w:noProof/>
          </w:rPr>
          <w:t>5</w:t>
        </w:r>
      </w:fldSimple>
      <w:r w:rsidRPr="002559FD">
        <w:t xml:space="preserve">: Cost analysis of </w:t>
      </w:r>
      <w:proofErr w:type="spellStart"/>
      <w:r w:rsidRPr="002559FD">
        <w:t>dapagliflozin</w:t>
      </w:r>
      <w:proofErr w:type="spellEnd"/>
      <w:r w:rsidRPr="002559FD">
        <w:t xml:space="preserve"> and insulin glargine in triple therapy</w:t>
      </w:r>
    </w:p>
    <w:tbl>
      <w:tblPr>
        <w:tblStyle w:val="TableGrid"/>
        <w:tblW w:w="9067" w:type="dxa"/>
        <w:tblLook w:val="04A0" w:firstRow="1" w:lastRow="0" w:firstColumn="1" w:lastColumn="0" w:noHBand="0" w:noVBand="1"/>
        <w:tblCaption w:val="Cost analysis of dapagliflozin and insulin glargine in triple therapy"/>
      </w:tblPr>
      <w:tblGrid>
        <w:gridCol w:w="5665"/>
        <w:gridCol w:w="3402"/>
      </w:tblGrid>
      <w:tr w:rsidR="004E447E" w:rsidRPr="00763BD0" w:rsidTr="00EA2AF9">
        <w:trPr>
          <w:tblHeader/>
        </w:trPr>
        <w:tc>
          <w:tcPr>
            <w:tcW w:w="5665" w:type="dxa"/>
            <w:vAlign w:val="center"/>
          </w:tcPr>
          <w:p w:rsidR="004E447E" w:rsidRPr="00763BD0" w:rsidRDefault="004E447E" w:rsidP="00E718E1">
            <w:pPr>
              <w:widowControl/>
              <w:rPr>
                <w:rFonts w:ascii="Arial Narrow" w:hAnsi="Arial Narrow"/>
                <w:b/>
                <w:sz w:val="20"/>
              </w:rPr>
            </w:pPr>
            <w:r w:rsidRPr="00763BD0">
              <w:rPr>
                <w:rFonts w:ascii="Arial Narrow" w:hAnsi="Arial Narrow"/>
                <w:b/>
                <w:sz w:val="20"/>
              </w:rPr>
              <w:t>Item</w:t>
            </w:r>
          </w:p>
        </w:tc>
        <w:tc>
          <w:tcPr>
            <w:tcW w:w="3402" w:type="dxa"/>
            <w:vAlign w:val="center"/>
          </w:tcPr>
          <w:p w:rsidR="004E447E" w:rsidRPr="00763BD0" w:rsidRDefault="004E447E" w:rsidP="00E718E1">
            <w:pPr>
              <w:widowControl/>
              <w:jc w:val="center"/>
              <w:rPr>
                <w:rFonts w:ascii="Arial Narrow" w:hAnsi="Arial Narrow"/>
                <w:b/>
                <w:sz w:val="20"/>
              </w:rPr>
            </w:pPr>
            <w:r w:rsidRPr="00763BD0">
              <w:rPr>
                <w:rFonts w:ascii="Arial Narrow" w:hAnsi="Arial Narrow"/>
                <w:b/>
                <w:sz w:val="20"/>
              </w:rPr>
              <w:t xml:space="preserve">Unit </w:t>
            </w:r>
          </w:p>
        </w:tc>
      </w:tr>
      <w:tr w:rsidR="004E447E" w:rsidRPr="00763BD0" w:rsidTr="00E718E1">
        <w:tc>
          <w:tcPr>
            <w:tcW w:w="9067" w:type="dxa"/>
            <w:gridSpan w:val="2"/>
            <w:vAlign w:val="center"/>
          </w:tcPr>
          <w:p w:rsidR="004E447E" w:rsidRPr="00763BD0" w:rsidRDefault="004E447E" w:rsidP="00E718E1">
            <w:pPr>
              <w:widowControl/>
              <w:jc w:val="left"/>
              <w:rPr>
                <w:rFonts w:ascii="Arial Narrow" w:hAnsi="Arial Narrow"/>
                <w:b/>
                <w:sz w:val="20"/>
              </w:rPr>
            </w:pPr>
            <w:r w:rsidRPr="00763BD0">
              <w:rPr>
                <w:rFonts w:ascii="Arial Narrow" w:hAnsi="Arial Narrow"/>
                <w:b/>
                <w:sz w:val="20"/>
              </w:rPr>
              <w:t>Drug costs</w:t>
            </w:r>
          </w:p>
        </w:tc>
      </w:tr>
      <w:tr w:rsidR="004E447E" w:rsidRPr="00763BD0" w:rsidTr="004E447E">
        <w:tc>
          <w:tcPr>
            <w:tcW w:w="5665" w:type="dxa"/>
            <w:vAlign w:val="center"/>
          </w:tcPr>
          <w:p w:rsidR="004E447E" w:rsidRPr="00763BD0" w:rsidRDefault="004E447E" w:rsidP="00E718E1">
            <w:pPr>
              <w:widowControl/>
              <w:rPr>
                <w:rFonts w:ascii="Arial Narrow" w:hAnsi="Arial Narrow"/>
                <w:sz w:val="20"/>
              </w:rPr>
            </w:pPr>
            <w:proofErr w:type="spellStart"/>
            <w:r w:rsidRPr="00763BD0">
              <w:rPr>
                <w:rFonts w:ascii="Arial Narrow" w:hAnsi="Arial Narrow"/>
                <w:sz w:val="20"/>
              </w:rPr>
              <w:t>Dapagliflozin</w:t>
            </w:r>
            <w:proofErr w:type="spellEnd"/>
            <w:r w:rsidRPr="00763BD0">
              <w:rPr>
                <w:rFonts w:ascii="Arial Narrow" w:hAnsi="Arial Narrow"/>
                <w:sz w:val="20"/>
              </w:rPr>
              <w:t xml:space="preserve"> 10</w:t>
            </w:r>
            <w:r w:rsidR="000670F2" w:rsidRPr="00763BD0">
              <w:rPr>
                <w:rFonts w:ascii="Arial Narrow" w:hAnsi="Arial Narrow"/>
                <w:sz w:val="20"/>
              </w:rPr>
              <w:t xml:space="preserve"> </w:t>
            </w:r>
            <w:r w:rsidRPr="00763BD0">
              <w:rPr>
                <w:rFonts w:ascii="Arial Narrow" w:hAnsi="Arial Narrow"/>
                <w:sz w:val="20"/>
              </w:rPr>
              <w:t>mg</w:t>
            </w:r>
          </w:p>
        </w:tc>
        <w:tc>
          <w:tcPr>
            <w:tcW w:w="3402" w:type="dxa"/>
            <w:vAlign w:val="center"/>
          </w:tcPr>
          <w:p w:rsidR="004E447E" w:rsidRPr="00763BD0" w:rsidRDefault="004E447E" w:rsidP="00E718E1">
            <w:pPr>
              <w:widowControl/>
              <w:jc w:val="center"/>
              <w:rPr>
                <w:rFonts w:ascii="Arial Narrow" w:hAnsi="Arial Narrow"/>
                <w:sz w:val="20"/>
              </w:rPr>
            </w:pPr>
            <w:r w:rsidRPr="00763BD0">
              <w:rPr>
                <w:rFonts w:ascii="Arial Narrow" w:hAnsi="Arial Narrow"/>
                <w:sz w:val="20"/>
              </w:rPr>
              <w:t>$</w:t>
            </w:r>
            <w:r w:rsidRPr="003F2089">
              <w:rPr>
                <w:rFonts w:ascii="Arial Narrow" w:hAnsi="Arial Narrow"/>
                <w:sz w:val="20"/>
              </w:rPr>
              <w:t>1.57</w:t>
            </w:r>
            <w:r w:rsidRPr="00763BD0">
              <w:rPr>
                <w:rFonts w:ascii="Arial Narrow" w:hAnsi="Arial Narrow"/>
                <w:sz w:val="20"/>
              </w:rPr>
              <w:t xml:space="preserve"> per day</w:t>
            </w:r>
            <w:r w:rsidR="00CC229A" w:rsidRPr="00763BD0">
              <w:rPr>
                <w:rFonts w:ascii="Arial Narrow" w:hAnsi="Arial Narrow"/>
                <w:sz w:val="20"/>
              </w:rPr>
              <w:t xml:space="preserve"> </w:t>
            </w:r>
          </w:p>
        </w:tc>
      </w:tr>
      <w:tr w:rsidR="004E447E" w:rsidRPr="00763BD0" w:rsidTr="004E447E">
        <w:tc>
          <w:tcPr>
            <w:tcW w:w="5665" w:type="dxa"/>
            <w:vAlign w:val="center"/>
          </w:tcPr>
          <w:p w:rsidR="004E447E" w:rsidRPr="00763BD0" w:rsidRDefault="004E447E" w:rsidP="00E718E1">
            <w:pPr>
              <w:widowControl/>
              <w:jc w:val="left"/>
              <w:rPr>
                <w:rFonts w:ascii="Arial Narrow" w:hAnsi="Arial Narrow"/>
                <w:sz w:val="20"/>
                <w:vertAlign w:val="superscript"/>
              </w:rPr>
            </w:pPr>
            <w:r w:rsidRPr="00763BD0">
              <w:rPr>
                <w:rFonts w:ascii="Arial Narrow" w:hAnsi="Arial Narrow"/>
                <w:sz w:val="20"/>
              </w:rPr>
              <w:t>Insulin glargine (drug costs only)</w:t>
            </w:r>
            <w:r w:rsidR="00CC229A" w:rsidRPr="00763BD0">
              <w:rPr>
                <w:rFonts w:ascii="Arial Narrow" w:hAnsi="Arial Narrow"/>
                <w:sz w:val="20"/>
                <w:vertAlign w:val="superscript"/>
              </w:rPr>
              <w:t>a</w:t>
            </w:r>
          </w:p>
        </w:tc>
        <w:tc>
          <w:tcPr>
            <w:tcW w:w="3402" w:type="dxa"/>
            <w:vAlign w:val="center"/>
          </w:tcPr>
          <w:p w:rsidR="004E447E" w:rsidRPr="00763BD0" w:rsidRDefault="004E447E" w:rsidP="00E718E1">
            <w:pPr>
              <w:widowControl/>
              <w:jc w:val="center"/>
              <w:rPr>
                <w:rFonts w:ascii="Arial Narrow" w:hAnsi="Arial Narrow"/>
                <w:sz w:val="20"/>
              </w:rPr>
            </w:pPr>
            <w:r w:rsidRPr="00763BD0">
              <w:rPr>
                <w:rFonts w:ascii="Arial Narrow" w:hAnsi="Arial Narrow"/>
                <w:sz w:val="20"/>
              </w:rPr>
              <w:t>$</w:t>
            </w:r>
            <w:r w:rsidR="00B02444">
              <w:rPr>
                <w:rFonts w:ascii="Arial Narrow" w:hAnsi="Arial Narrow"/>
                <w:noProof/>
                <w:color w:val="000000"/>
                <w:sz w:val="20"/>
                <w:highlight w:val="black"/>
              </w:rPr>
              <w:t>''''''''''</w:t>
            </w:r>
            <w:r w:rsidRPr="00763BD0">
              <w:rPr>
                <w:rFonts w:ascii="Arial Narrow" w:hAnsi="Arial Narrow"/>
                <w:sz w:val="20"/>
              </w:rPr>
              <w:t xml:space="preserve"> per day</w:t>
            </w:r>
          </w:p>
        </w:tc>
      </w:tr>
      <w:tr w:rsidR="004E447E" w:rsidRPr="00763BD0" w:rsidTr="004E447E">
        <w:tc>
          <w:tcPr>
            <w:tcW w:w="5665" w:type="dxa"/>
            <w:vAlign w:val="center"/>
          </w:tcPr>
          <w:p w:rsidR="004E447E" w:rsidRPr="00763BD0" w:rsidRDefault="004E447E" w:rsidP="00E718E1">
            <w:pPr>
              <w:widowControl/>
              <w:jc w:val="left"/>
              <w:rPr>
                <w:rFonts w:ascii="Arial Narrow" w:hAnsi="Arial Narrow"/>
                <w:sz w:val="20"/>
              </w:rPr>
            </w:pPr>
            <w:r w:rsidRPr="00763BD0">
              <w:rPr>
                <w:rFonts w:ascii="Arial Narrow" w:hAnsi="Arial Narrow"/>
                <w:sz w:val="20"/>
              </w:rPr>
              <w:t>Insulin glargine (including non-drug costs)</w:t>
            </w:r>
          </w:p>
        </w:tc>
        <w:tc>
          <w:tcPr>
            <w:tcW w:w="3402" w:type="dxa"/>
            <w:vAlign w:val="center"/>
          </w:tcPr>
          <w:p w:rsidR="004E447E" w:rsidRPr="00763BD0" w:rsidRDefault="004E447E" w:rsidP="00E718E1">
            <w:pPr>
              <w:widowControl/>
              <w:jc w:val="center"/>
              <w:rPr>
                <w:rFonts w:ascii="Arial Narrow" w:hAnsi="Arial Narrow"/>
                <w:sz w:val="20"/>
              </w:rPr>
            </w:pPr>
            <w:r w:rsidRPr="00763BD0">
              <w:rPr>
                <w:rFonts w:ascii="Arial Narrow" w:hAnsi="Arial Narrow"/>
                <w:sz w:val="20"/>
              </w:rPr>
              <w:t>$</w:t>
            </w:r>
            <w:r w:rsidR="00B02444">
              <w:rPr>
                <w:rFonts w:ascii="Arial Narrow" w:hAnsi="Arial Narrow"/>
                <w:noProof/>
                <w:color w:val="000000"/>
                <w:sz w:val="20"/>
                <w:highlight w:val="black"/>
              </w:rPr>
              <w:t>'''''''''''</w:t>
            </w:r>
            <w:r w:rsidRPr="00763BD0">
              <w:rPr>
                <w:rFonts w:ascii="Arial Narrow" w:hAnsi="Arial Narrow"/>
                <w:sz w:val="20"/>
              </w:rPr>
              <w:t xml:space="preserve"> per day </w:t>
            </w:r>
          </w:p>
        </w:tc>
      </w:tr>
      <w:tr w:rsidR="004E447E" w:rsidRPr="00763BD0" w:rsidTr="00E718E1">
        <w:tc>
          <w:tcPr>
            <w:tcW w:w="9067" w:type="dxa"/>
            <w:gridSpan w:val="2"/>
            <w:vAlign w:val="center"/>
          </w:tcPr>
          <w:p w:rsidR="004E447E" w:rsidRPr="00763BD0" w:rsidRDefault="004E447E" w:rsidP="00E718E1">
            <w:pPr>
              <w:widowControl/>
              <w:jc w:val="left"/>
              <w:rPr>
                <w:rFonts w:ascii="Arial Narrow" w:hAnsi="Arial Narrow"/>
                <w:b/>
                <w:sz w:val="20"/>
              </w:rPr>
            </w:pPr>
            <w:r w:rsidRPr="00763BD0">
              <w:rPr>
                <w:rFonts w:ascii="Arial Narrow" w:hAnsi="Arial Narrow"/>
                <w:b/>
                <w:sz w:val="20"/>
              </w:rPr>
              <w:t>Non-drug costs associated with insulin glargine in triple therapy</w:t>
            </w:r>
          </w:p>
        </w:tc>
      </w:tr>
      <w:tr w:rsidR="004E447E" w:rsidRPr="00763BD0" w:rsidTr="004E447E">
        <w:trPr>
          <w:trHeight w:val="191"/>
        </w:trPr>
        <w:tc>
          <w:tcPr>
            <w:tcW w:w="5665" w:type="dxa"/>
            <w:vAlign w:val="center"/>
          </w:tcPr>
          <w:p w:rsidR="004E447E" w:rsidRPr="00763BD0" w:rsidRDefault="004E447E" w:rsidP="00E718E1">
            <w:pPr>
              <w:widowControl/>
              <w:jc w:val="left"/>
              <w:rPr>
                <w:rFonts w:ascii="Arial Narrow" w:hAnsi="Arial Narrow"/>
                <w:sz w:val="20"/>
              </w:rPr>
            </w:pPr>
            <w:r w:rsidRPr="00763BD0">
              <w:rPr>
                <w:rFonts w:ascii="Arial Narrow" w:hAnsi="Arial Narrow"/>
                <w:sz w:val="20"/>
              </w:rPr>
              <w:t xml:space="preserve">Glucose test strip </w:t>
            </w:r>
          </w:p>
        </w:tc>
        <w:tc>
          <w:tcPr>
            <w:tcW w:w="3402" w:type="dxa"/>
            <w:vAlign w:val="center"/>
          </w:tcPr>
          <w:p w:rsidR="004E447E" w:rsidRPr="00763BD0" w:rsidRDefault="004E447E" w:rsidP="00E718E1">
            <w:pPr>
              <w:widowControl/>
              <w:jc w:val="center"/>
              <w:rPr>
                <w:rFonts w:ascii="Arial Narrow" w:hAnsi="Arial Narrow"/>
                <w:sz w:val="20"/>
              </w:rPr>
            </w:pPr>
            <w:r w:rsidRPr="00763BD0">
              <w:rPr>
                <w:rFonts w:ascii="Arial Narrow" w:hAnsi="Arial Narrow"/>
                <w:sz w:val="20"/>
              </w:rPr>
              <w:t>$</w:t>
            </w:r>
            <w:r w:rsidRPr="003F2089">
              <w:rPr>
                <w:rFonts w:ascii="Arial Narrow" w:hAnsi="Arial Narrow"/>
                <w:sz w:val="20"/>
              </w:rPr>
              <w:t>0.63</w:t>
            </w:r>
            <w:r w:rsidRPr="00763BD0">
              <w:rPr>
                <w:rFonts w:ascii="Arial Narrow" w:hAnsi="Arial Narrow"/>
                <w:sz w:val="20"/>
              </w:rPr>
              <w:t>, 1 per day</w:t>
            </w:r>
          </w:p>
        </w:tc>
      </w:tr>
      <w:tr w:rsidR="004E447E" w:rsidRPr="00763BD0" w:rsidTr="004E447E">
        <w:tc>
          <w:tcPr>
            <w:tcW w:w="5665" w:type="dxa"/>
            <w:vAlign w:val="center"/>
          </w:tcPr>
          <w:p w:rsidR="004E447E" w:rsidRPr="00763BD0" w:rsidRDefault="004E447E" w:rsidP="00E718E1">
            <w:pPr>
              <w:widowControl/>
              <w:jc w:val="left"/>
              <w:rPr>
                <w:rFonts w:ascii="Arial Narrow" w:hAnsi="Arial Narrow"/>
                <w:sz w:val="20"/>
              </w:rPr>
            </w:pPr>
            <w:r w:rsidRPr="00763BD0">
              <w:rPr>
                <w:rFonts w:ascii="Arial Narrow" w:hAnsi="Arial Narrow"/>
                <w:sz w:val="20"/>
              </w:rPr>
              <w:t xml:space="preserve">Needles </w:t>
            </w:r>
          </w:p>
        </w:tc>
        <w:tc>
          <w:tcPr>
            <w:tcW w:w="3402" w:type="dxa"/>
            <w:vAlign w:val="center"/>
          </w:tcPr>
          <w:p w:rsidR="004E447E" w:rsidRPr="00763BD0" w:rsidRDefault="004E447E" w:rsidP="00E718E1">
            <w:pPr>
              <w:widowControl/>
              <w:jc w:val="center"/>
              <w:rPr>
                <w:rFonts w:ascii="Arial Narrow" w:hAnsi="Arial Narrow"/>
                <w:sz w:val="20"/>
              </w:rPr>
            </w:pPr>
            <w:r w:rsidRPr="00763BD0">
              <w:rPr>
                <w:rFonts w:ascii="Arial Narrow" w:hAnsi="Arial Narrow"/>
                <w:sz w:val="20"/>
              </w:rPr>
              <w:t>$</w:t>
            </w:r>
            <w:r w:rsidRPr="003F2089">
              <w:rPr>
                <w:rFonts w:ascii="Arial Narrow" w:hAnsi="Arial Narrow"/>
                <w:sz w:val="20"/>
              </w:rPr>
              <w:t>0.13</w:t>
            </w:r>
            <w:r w:rsidRPr="00763BD0">
              <w:rPr>
                <w:rFonts w:ascii="Arial Narrow" w:hAnsi="Arial Narrow"/>
                <w:sz w:val="20"/>
              </w:rPr>
              <w:t>, 1 per day</w:t>
            </w:r>
          </w:p>
        </w:tc>
      </w:tr>
      <w:tr w:rsidR="004E447E" w:rsidRPr="00763BD0" w:rsidTr="004E447E">
        <w:tc>
          <w:tcPr>
            <w:tcW w:w="5665" w:type="dxa"/>
            <w:vAlign w:val="center"/>
          </w:tcPr>
          <w:p w:rsidR="004E447E" w:rsidRPr="00763BD0" w:rsidRDefault="004E447E" w:rsidP="00E718E1">
            <w:pPr>
              <w:widowControl/>
              <w:jc w:val="left"/>
              <w:rPr>
                <w:rFonts w:ascii="Arial Narrow" w:hAnsi="Arial Narrow"/>
                <w:sz w:val="20"/>
              </w:rPr>
            </w:pPr>
            <w:r w:rsidRPr="00763BD0">
              <w:rPr>
                <w:rFonts w:ascii="Arial Narrow" w:hAnsi="Arial Narrow"/>
                <w:sz w:val="20"/>
              </w:rPr>
              <w:t>Diabetes education</w:t>
            </w:r>
          </w:p>
        </w:tc>
        <w:tc>
          <w:tcPr>
            <w:tcW w:w="3402" w:type="dxa"/>
            <w:vAlign w:val="center"/>
          </w:tcPr>
          <w:p w:rsidR="004E447E" w:rsidRPr="00763BD0" w:rsidRDefault="004E447E" w:rsidP="00E718E1">
            <w:pPr>
              <w:widowControl/>
              <w:jc w:val="center"/>
              <w:rPr>
                <w:rFonts w:ascii="Arial Narrow" w:hAnsi="Arial Narrow"/>
                <w:sz w:val="20"/>
              </w:rPr>
            </w:pPr>
            <w:r w:rsidRPr="00763BD0">
              <w:rPr>
                <w:rFonts w:ascii="Arial Narrow" w:hAnsi="Arial Narrow"/>
                <w:sz w:val="20"/>
              </w:rPr>
              <w:t>$</w:t>
            </w:r>
            <w:r w:rsidRPr="003F2089">
              <w:rPr>
                <w:rFonts w:ascii="Arial Narrow" w:hAnsi="Arial Narrow"/>
                <w:sz w:val="20"/>
              </w:rPr>
              <w:t>0.17</w:t>
            </w:r>
            <w:r w:rsidRPr="00763BD0">
              <w:rPr>
                <w:rFonts w:ascii="Arial Narrow" w:hAnsi="Arial Narrow"/>
                <w:sz w:val="20"/>
              </w:rPr>
              <w:t>, 1 per day</w:t>
            </w:r>
          </w:p>
        </w:tc>
      </w:tr>
    </w:tbl>
    <w:p w:rsidR="004E447E" w:rsidRPr="00763BD0" w:rsidRDefault="004E447E" w:rsidP="004E447E">
      <w:pPr>
        <w:pStyle w:val="TableFooter"/>
      </w:pPr>
      <w:r w:rsidRPr="00763BD0">
        <w:t>Source: Table D.2, p132 and ‘</w:t>
      </w:r>
      <w:proofErr w:type="spellStart"/>
      <w:r w:rsidRPr="00763BD0">
        <w:t>Dapa</w:t>
      </w:r>
      <w:proofErr w:type="spellEnd"/>
      <w:r w:rsidRPr="00763BD0">
        <w:t xml:space="preserve"> add-on to MET+DPP4_SecD&amp;E’ Excel workbook of the submission</w:t>
      </w:r>
    </w:p>
    <w:p w:rsidR="00CC229A" w:rsidRPr="00763BD0" w:rsidRDefault="00CC229A" w:rsidP="004E447E">
      <w:pPr>
        <w:pStyle w:val="TableFooter"/>
      </w:pPr>
      <w:proofErr w:type="spellStart"/>
      <w:proofErr w:type="gramStart"/>
      <w:r w:rsidRPr="00763BD0">
        <w:rPr>
          <w:vertAlign w:val="superscript"/>
        </w:rPr>
        <w:t>a</w:t>
      </w:r>
      <w:proofErr w:type="spellEnd"/>
      <w:proofErr w:type="gramEnd"/>
      <w:r w:rsidRPr="00763BD0">
        <w:t xml:space="preserve"> Insulin glargine is subject to special pricing arrangements. The submission assumed an </w:t>
      </w:r>
      <w:r w:rsidR="001F1C7F" w:rsidRPr="00763BD0">
        <w:t xml:space="preserve">effective </w:t>
      </w:r>
      <w:r w:rsidRPr="00763BD0">
        <w:t>ex-manufacturer price of $</w:t>
      </w:r>
      <w:r w:rsidR="00B02444">
        <w:rPr>
          <w:noProof/>
          <w:color w:val="000000"/>
          <w:highlight w:val="black"/>
        </w:rPr>
        <w:t>''''''''''''''''''</w:t>
      </w:r>
      <w:r w:rsidRPr="00763BD0">
        <w:t>.</w:t>
      </w:r>
    </w:p>
    <w:p w:rsidR="004E447E" w:rsidRPr="00763BD0" w:rsidRDefault="004E447E" w:rsidP="00937D7B">
      <w:pPr>
        <w:pStyle w:val="ESnumberedparablue"/>
        <w:ind w:left="720"/>
        <w:rPr>
          <w:rFonts w:asciiTheme="minorHAnsi" w:hAnsiTheme="minorHAnsi"/>
          <w:color w:val="auto"/>
          <w:sz w:val="24"/>
        </w:rPr>
      </w:pPr>
    </w:p>
    <w:p w:rsidR="00937D7B" w:rsidRPr="0052371B" w:rsidRDefault="00CC229A" w:rsidP="009F09BC">
      <w:pPr>
        <w:pStyle w:val="ESnumberedparablue"/>
        <w:numPr>
          <w:ilvl w:val="1"/>
          <w:numId w:val="3"/>
        </w:numPr>
        <w:ind w:left="709" w:hanging="709"/>
        <w:rPr>
          <w:rFonts w:asciiTheme="minorHAnsi" w:hAnsiTheme="minorHAnsi"/>
          <w:color w:val="auto"/>
          <w:sz w:val="24"/>
        </w:rPr>
      </w:pPr>
      <w:r w:rsidRPr="0052371B">
        <w:rPr>
          <w:rFonts w:asciiTheme="minorHAnsi" w:hAnsiTheme="minorHAnsi"/>
          <w:color w:val="auto"/>
          <w:sz w:val="24"/>
        </w:rPr>
        <w:t>The number of test strips, needles and diabetes education visits associated with insulin glargine in triple therapy with metformin and sulfonylurea were previously accepted by the PBAC (</w:t>
      </w:r>
      <w:proofErr w:type="spellStart"/>
      <w:r w:rsidRPr="0052371B">
        <w:rPr>
          <w:rFonts w:asciiTheme="minorHAnsi" w:hAnsiTheme="minorHAnsi"/>
          <w:color w:val="auto"/>
          <w:sz w:val="24"/>
        </w:rPr>
        <w:t>dapagliflozin</w:t>
      </w:r>
      <w:proofErr w:type="spellEnd"/>
      <w:r w:rsidRPr="0052371B">
        <w:rPr>
          <w:rFonts w:asciiTheme="minorHAnsi" w:hAnsiTheme="minorHAnsi"/>
          <w:color w:val="auto"/>
          <w:sz w:val="24"/>
        </w:rPr>
        <w:t xml:space="preserve"> PSD, March 2015). </w:t>
      </w:r>
      <w:r w:rsidR="0052371B" w:rsidRPr="0052371B">
        <w:rPr>
          <w:rFonts w:asciiTheme="minorHAnsi" w:hAnsiTheme="minorHAnsi"/>
          <w:color w:val="auto"/>
          <w:sz w:val="24"/>
        </w:rPr>
        <w:t>However, t</w:t>
      </w:r>
      <w:r w:rsidR="00953DE9" w:rsidRPr="0052371B">
        <w:rPr>
          <w:rFonts w:asciiTheme="minorHAnsi" w:hAnsiTheme="minorHAnsi"/>
          <w:color w:val="auto"/>
          <w:sz w:val="24"/>
        </w:rPr>
        <w:t>he PBAC noted that, f</w:t>
      </w:r>
      <w:r w:rsidR="005757BA" w:rsidRPr="0052371B">
        <w:rPr>
          <w:rFonts w:asciiTheme="minorHAnsi" w:hAnsiTheme="minorHAnsi"/>
          <w:color w:val="auto"/>
          <w:sz w:val="24"/>
        </w:rPr>
        <w:t>rom</w:t>
      </w:r>
      <w:r w:rsidRPr="0052371B">
        <w:rPr>
          <w:rFonts w:asciiTheme="minorHAnsi" w:hAnsiTheme="minorHAnsi"/>
          <w:color w:val="auto"/>
          <w:sz w:val="24"/>
        </w:rPr>
        <w:t xml:space="preserve"> 1 July 2016, glucose test strips are no</w:t>
      </w:r>
      <w:r w:rsidR="0089099B">
        <w:rPr>
          <w:rFonts w:asciiTheme="minorHAnsi" w:hAnsiTheme="minorHAnsi"/>
          <w:color w:val="auto"/>
          <w:sz w:val="24"/>
        </w:rPr>
        <w:t>w</w:t>
      </w:r>
      <w:r w:rsidRPr="0052371B">
        <w:rPr>
          <w:rFonts w:asciiTheme="minorHAnsi" w:hAnsiTheme="minorHAnsi"/>
          <w:color w:val="auto"/>
          <w:sz w:val="24"/>
        </w:rPr>
        <w:t xml:space="preserve"> available through the National Diabetes Service Scheme (NDSS). The average cost of test strips </w:t>
      </w:r>
      <w:r w:rsidR="005757BA" w:rsidRPr="0052371B">
        <w:rPr>
          <w:rFonts w:asciiTheme="minorHAnsi" w:hAnsiTheme="minorHAnsi"/>
          <w:color w:val="auto"/>
          <w:sz w:val="24"/>
        </w:rPr>
        <w:t>available</w:t>
      </w:r>
      <w:r w:rsidRPr="0052371B">
        <w:rPr>
          <w:rFonts w:asciiTheme="minorHAnsi" w:hAnsiTheme="minorHAnsi"/>
          <w:color w:val="auto"/>
          <w:sz w:val="24"/>
        </w:rPr>
        <w:t xml:space="preserve"> through the NDSS </w:t>
      </w:r>
      <w:r w:rsidR="005757BA" w:rsidRPr="0052371B">
        <w:rPr>
          <w:rFonts w:asciiTheme="minorHAnsi" w:hAnsiTheme="minorHAnsi"/>
          <w:color w:val="auto"/>
          <w:sz w:val="24"/>
        </w:rPr>
        <w:t>($</w:t>
      </w:r>
      <w:r w:rsidR="005757BA" w:rsidRPr="003F2089">
        <w:rPr>
          <w:rFonts w:asciiTheme="minorHAnsi" w:hAnsiTheme="minorHAnsi"/>
          <w:color w:val="auto"/>
          <w:sz w:val="24"/>
        </w:rPr>
        <w:t>0.39</w:t>
      </w:r>
      <w:r w:rsidR="005757BA" w:rsidRPr="0052371B">
        <w:rPr>
          <w:rFonts w:asciiTheme="minorHAnsi" w:hAnsiTheme="minorHAnsi"/>
          <w:color w:val="auto"/>
          <w:sz w:val="24"/>
        </w:rPr>
        <w:t xml:space="preserve"> per strip) </w:t>
      </w:r>
      <w:r w:rsidRPr="0052371B">
        <w:rPr>
          <w:rFonts w:asciiTheme="minorHAnsi" w:hAnsiTheme="minorHAnsi"/>
          <w:color w:val="auto"/>
          <w:sz w:val="24"/>
        </w:rPr>
        <w:t xml:space="preserve">is lower than the </w:t>
      </w:r>
      <w:r w:rsidR="005757BA" w:rsidRPr="0052371B">
        <w:rPr>
          <w:rFonts w:asciiTheme="minorHAnsi" w:hAnsiTheme="minorHAnsi"/>
          <w:color w:val="auto"/>
          <w:sz w:val="24"/>
        </w:rPr>
        <w:t xml:space="preserve">assumed </w:t>
      </w:r>
      <w:r w:rsidR="00FA23E1" w:rsidRPr="0052371B">
        <w:rPr>
          <w:rFonts w:asciiTheme="minorHAnsi" w:hAnsiTheme="minorHAnsi"/>
          <w:color w:val="auto"/>
          <w:sz w:val="24"/>
        </w:rPr>
        <w:t>cost</w:t>
      </w:r>
      <w:r w:rsidR="005757BA" w:rsidRPr="0052371B">
        <w:rPr>
          <w:rFonts w:asciiTheme="minorHAnsi" w:hAnsiTheme="minorHAnsi"/>
          <w:color w:val="auto"/>
          <w:sz w:val="24"/>
        </w:rPr>
        <w:t xml:space="preserve"> of $</w:t>
      </w:r>
      <w:r w:rsidR="005757BA" w:rsidRPr="003F2089">
        <w:rPr>
          <w:rFonts w:asciiTheme="minorHAnsi" w:hAnsiTheme="minorHAnsi"/>
          <w:color w:val="auto"/>
          <w:sz w:val="24"/>
        </w:rPr>
        <w:t>0.63</w:t>
      </w:r>
      <w:r w:rsidR="005757BA" w:rsidRPr="0052371B">
        <w:rPr>
          <w:rFonts w:asciiTheme="minorHAnsi" w:hAnsiTheme="minorHAnsi"/>
          <w:color w:val="auto"/>
          <w:sz w:val="24"/>
        </w:rPr>
        <w:t xml:space="preserve"> per strip used</w:t>
      </w:r>
      <w:r w:rsidRPr="0052371B">
        <w:rPr>
          <w:rFonts w:asciiTheme="minorHAnsi" w:hAnsiTheme="minorHAnsi"/>
          <w:color w:val="auto"/>
          <w:sz w:val="24"/>
        </w:rPr>
        <w:t xml:space="preserve"> in submission (Post-Market Review of Products Used in the Management of Diabetes July 2013). </w:t>
      </w:r>
      <w:r w:rsidR="000C146C">
        <w:rPr>
          <w:rFonts w:asciiTheme="minorHAnsi" w:hAnsiTheme="minorHAnsi"/>
          <w:color w:val="auto"/>
          <w:sz w:val="24"/>
        </w:rPr>
        <w:t>The pre-PBAC response (p</w:t>
      </w:r>
      <w:r w:rsidR="00F94472">
        <w:rPr>
          <w:rFonts w:asciiTheme="minorHAnsi" w:hAnsiTheme="minorHAnsi"/>
          <w:color w:val="auto"/>
          <w:sz w:val="24"/>
        </w:rPr>
        <w:t>4</w:t>
      </w:r>
      <w:r w:rsidR="000C146C">
        <w:rPr>
          <w:rFonts w:asciiTheme="minorHAnsi" w:hAnsiTheme="minorHAnsi"/>
          <w:color w:val="auto"/>
          <w:sz w:val="24"/>
        </w:rPr>
        <w:t>) accepted this.</w:t>
      </w:r>
    </w:p>
    <w:p w:rsidR="00CC229A" w:rsidRPr="002531DF" w:rsidRDefault="00A141FA" w:rsidP="009F09BC">
      <w:pPr>
        <w:pStyle w:val="ESnumberedparablue"/>
        <w:numPr>
          <w:ilvl w:val="1"/>
          <w:numId w:val="3"/>
        </w:numPr>
        <w:ind w:left="709" w:hanging="709"/>
        <w:rPr>
          <w:rFonts w:asciiTheme="minorHAnsi" w:hAnsiTheme="minorHAnsi"/>
          <w:color w:val="auto"/>
          <w:sz w:val="24"/>
        </w:rPr>
      </w:pPr>
      <w:r>
        <w:rPr>
          <w:rFonts w:asciiTheme="minorHAnsi" w:hAnsiTheme="minorHAnsi"/>
          <w:color w:val="auto"/>
          <w:sz w:val="24"/>
        </w:rPr>
        <w:t>The PBAC also noted that t</w:t>
      </w:r>
      <w:r w:rsidR="00CC229A" w:rsidRPr="002531DF">
        <w:rPr>
          <w:rFonts w:asciiTheme="minorHAnsi" w:hAnsiTheme="minorHAnsi"/>
          <w:color w:val="auto"/>
          <w:sz w:val="24"/>
        </w:rPr>
        <w:t>he cost analysis did not include any incremental cost</w:t>
      </w:r>
      <w:r w:rsidR="00424FCA" w:rsidRPr="002531DF">
        <w:rPr>
          <w:rFonts w:asciiTheme="minorHAnsi" w:hAnsiTheme="minorHAnsi"/>
          <w:color w:val="auto"/>
          <w:sz w:val="24"/>
        </w:rPr>
        <w:t>s</w:t>
      </w:r>
      <w:r w:rsidR="00CC229A" w:rsidRPr="002531DF">
        <w:rPr>
          <w:rFonts w:asciiTheme="minorHAnsi" w:hAnsiTheme="minorHAnsi"/>
          <w:color w:val="auto"/>
          <w:sz w:val="24"/>
        </w:rPr>
        <w:t xml:space="preserve"> for monitoring and managing genital and urinary tract infections due to treatment with </w:t>
      </w:r>
      <w:proofErr w:type="spellStart"/>
      <w:r w:rsidR="00CC229A" w:rsidRPr="002531DF">
        <w:rPr>
          <w:rFonts w:asciiTheme="minorHAnsi" w:hAnsiTheme="minorHAnsi"/>
          <w:color w:val="auto"/>
          <w:sz w:val="24"/>
        </w:rPr>
        <w:t>dapagliflozin</w:t>
      </w:r>
      <w:proofErr w:type="spellEnd"/>
      <w:r w:rsidR="00CC229A" w:rsidRPr="002531DF">
        <w:rPr>
          <w:rFonts w:asciiTheme="minorHAnsi" w:hAnsiTheme="minorHAnsi"/>
          <w:color w:val="auto"/>
          <w:sz w:val="24"/>
        </w:rPr>
        <w:t xml:space="preserve">. The PBAC previously recommended that any costs associated with these adverse events should be applied to </w:t>
      </w:r>
      <w:proofErr w:type="spellStart"/>
      <w:r w:rsidR="00CC229A" w:rsidRPr="002531DF">
        <w:rPr>
          <w:rFonts w:asciiTheme="minorHAnsi" w:hAnsiTheme="minorHAnsi"/>
          <w:color w:val="auto"/>
          <w:sz w:val="24"/>
        </w:rPr>
        <w:t>dapagliflozin</w:t>
      </w:r>
      <w:proofErr w:type="spellEnd"/>
      <w:r w:rsidR="00CC229A" w:rsidRPr="002531DF">
        <w:rPr>
          <w:rFonts w:asciiTheme="minorHAnsi" w:hAnsiTheme="minorHAnsi"/>
          <w:color w:val="auto"/>
          <w:sz w:val="24"/>
        </w:rPr>
        <w:t xml:space="preserve"> in the triple oral therapy setting (</w:t>
      </w:r>
      <w:proofErr w:type="spellStart"/>
      <w:r w:rsidR="00CC229A" w:rsidRPr="002531DF">
        <w:rPr>
          <w:rFonts w:asciiTheme="minorHAnsi" w:hAnsiTheme="minorHAnsi"/>
          <w:color w:val="auto"/>
          <w:sz w:val="24"/>
        </w:rPr>
        <w:t>dapagliflozin</w:t>
      </w:r>
      <w:proofErr w:type="spellEnd"/>
      <w:r w:rsidR="00CC229A" w:rsidRPr="002531DF">
        <w:rPr>
          <w:rFonts w:asciiTheme="minorHAnsi" w:hAnsiTheme="minorHAnsi"/>
          <w:color w:val="auto"/>
          <w:sz w:val="24"/>
        </w:rPr>
        <w:t xml:space="preserve"> PSD, March 2015). </w:t>
      </w:r>
    </w:p>
    <w:p w:rsidR="00CC229A" w:rsidRPr="002531DF" w:rsidRDefault="00030CB2"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The su</w:t>
      </w:r>
      <w:r w:rsidR="00424FCA" w:rsidRPr="002531DF">
        <w:rPr>
          <w:rFonts w:asciiTheme="minorHAnsi" w:hAnsiTheme="minorHAnsi"/>
          <w:color w:val="auto"/>
          <w:sz w:val="24"/>
        </w:rPr>
        <w:t>bmission estimated the cost of</w:t>
      </w:r>
      <w:r w:rsidRPr="002531DF">
        <w:rPr>
          <w:rFonts w:asciiTheme="minorHAnsi" w:hAnsiTheme="minorHAnsi"/>
          <w:color w:val="auto"/>
          <w:sz w:val="24"/>
        </w:rPr>
        <w:t xml:space="preserve"> sulfonylureas </w:t>
      </w:r>
      <w:r w:rsidR="006B2220" w:rsidRPr="002531DF">
        <w:rPr>
          <w:rFonts w:asciiTheme="minorHAnsi" w:hAnsiTheme="minorHAnsi"/>
          <w:color w:val="auto"/>
          <w:sz w:val="24"/>
        </w:rPr>
        <w:t>from</w:t>
      </w:r>
      <w:r w:rsidR="00424FCA" w:rsidRPr="002531DF">
        <w:rPr>
          <w:rFonts w:asciiTheme="minorHAnsi" w:hAnsiTheme="minorHAnsi"/>
          <w:color w:val="auto"/>
          <w:sz w:val="24"/>
        </w:rPr>
        <w:t xml:space="preserve"> a previous</w:t>
      </w:r>
      <w:r w:rsidRPr="002531DF">
        <w:rPr>
          <w:rFonts w:asciiTheme="minorHAnsi" w:hAnsiTheme="minorHAnsi"/>
          <w:color w:val="auto"/>
          <w:sz w:val="24"/>
        </w:rPr>
        <w:t xml:space="preserve"> PBAC</w:t>
      </w:r>
      <w:r w:rsidR="00424FCA" w:rsidRPr="002531DF">
        <w:rPr>
          <w:rFonts w:asciiTheme="minorHAnsi" w:hAnsiTheme="minorHAnsi"/>
          <w:color w:val="auto"/>
          <w:sz w:val="24"/>
        </w:rPr>
        <w:t xml:space="preserve"> consideration that recommended </w:t>
      </w:r>
      <w:r w:rsidRPr="002531DF">
        <w:rPr>
          <w:rFonts w:asciiTheme="minorHAnsi" w:hAnsiTheme="minorHAnsi"/>
          <w:color w:val="auto"/>
          <w:sz w:val="24"/>
        </w:rPr>
        <w:t xml:space="preserve">the listing of </w:t>
      </w:r>
      <w:proofErr w:type="spellStart"/>
      <w:r w:rsidRPr="002531DF">
        <w:rPr>
          <w:rFonts w:asciiTheme="minorHAnsi" w:hAnsiTheme="minorHAnsi"/>
          <w:color w:val="auto"/>
          <w:sz w:val="24"/>
        </w:rPr>
        <w:t>alogliptin</w:t>
      </w:r>
      <w:proofErr w:type="spellEnd"/>
      <w:r w:rsidRPr="002531DF">
        <w:rPr>
          <w:rFonts w:asciiTheme="minorHAnsi" w:hAnsiTheme="minorHAnsi"/>
          <w:color w:val="auto"/>
          <w:sz w:val="24"/>
        </w:rPr>
        <w:t xml:space="preserve"> as dual therapy with metformin or sulfonylur</w:t>
      </w:r>
      <w:r w:rsidR="00424FCA" w:rsidRPr="002531DF">
        <w:rPr>
          <w:rFonts w:asciiTheme="minorHAnsi" w:hAnsiTheme="minorHAnsi"/>
          <w:color w:val="auto"/>
          <w:sz w:val="24"/>
        </w:rPr>
        <w:t xml:space="preserve">ea based on a reduced price calculated as </w:t>
      </w:r>
      <w:r w:rsidRPr="002531DF">
        <w:rPr>
          <w:rFonts w:asciiTheme="minorHAnsi" w:hAnsiTheme="minorHAnsi"/>
          <w:color w:val="auto"/>
          <w:sz w:val="24"/>
        </w:rPr>
        <w:t>60% of the</w:t>
      </w:r>
      <w:r w:rsidR="00E541B0" w:rsidRPr="002531DF">
        <w:rPr>
          <w:rFonts w:asciiTheme="minorHAnsi" w:hAnsiTheme="minorHAnsi"/>
          <w:color w:val="auto"/>
          <w:sz w:val="24"/>
        </w:rPr>
        <w:t xml:space="preserve"> price of DPP4 inhibitors</w:t>
      </w:r>
      <w:r w:rsidRPr="002531DF">
        <w:rPr>
          <w:rFonts w:asciiTheme="minorHAnsi" w:hAnsiTheme="minorHAnsi"/>
          <w:color w:val="auto"/>
          <w:sz w:val="24"/>
        </w:rPr>
        <w:t xml:space="preserve"> and 40% of the price for the average daily dose </w:t>
      </w:r>
      <w:r w:rsidR="00424FCA" w:rsidRPr="002531DF">
        <w:rPr>
          <w:rFonts w:asciiTheme="minorHAnsi" w:hAnsiTheme="minorHAnsi"/>
          <w:color w:val="auto"/>
          <w:sz w:val="24"/>
        </w:rPr>
        <w:t>of a sulfonylurea in dual therapy (</w:t>
      </w:r>
      <w:proofErr w:type="spellStart"/>
      <w:r w:rsidR="00424FCA" w:rsidRPr="002531DF">
        <w:rPr>
          <w:rFonts w:asciiTheme="minorHAnsi" w:hAnsiTheme="minorHAnsi"/>
          <w:color w:val="auto"/>
          <w:sz w:val="24"/>
        </w:rPr>
        <w:t>alogliptin</w:t>
      </w:r>
      <w:proofErr w:type="spellEnd"/>
      <w:r w:rsidR="00424FCA" w:rsidRPr="002531DF">
        <w:rPr>
          <w:rFonts w:asciiTheme="minorHAnsi" w:hAnsiTheme="minorHAnsi"/>
          <w:color w:val="auto"/>
          <w:sz w:val="24"/>
        </w:rPr>
        <w:t xml:space="preserve"> PSD, July 2013)</w:t>
      </w:r>
      <w:r w:rsidRPr="002531DF">
        <w:rPr>
          <w:rFonts w:asciiTheme="minorHAnsi" w:hAnsiTheme="minorHAnsi"/>
          <w:color w:val="auto"/>
          <w:sz w:val="24"/>
        </w:rPr>
        <w:t>.</w:t>
      </w:r>
    </w:p>
    <w:p w:rsidR="00030CB2" w:rsidRPr="002531DF" w:rsidRDefault="00030CB2"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 xml:space="preserve">The </w:t>
      </w:r>
      <w:r w:rsidR="00424FCA" w:rsidRPr="002531DF">
        <w:rPr>
          <w:rFonts w:asciiTheme="minorHAnsi" w:hAnsiTheme="minorHAnsi"/>
          <w:color w:val="auto"/>
          <w:sz w:val="24"/>
        </w:rPr>
        <w:t>cost</w:t>
      </w:r>
      <w:r w:rsidRPr="002531DF">
        <w:rPr>
          <w:rFonts w:asciiTheme="minorHAnsi" w:hAnsiTheme="minorHAnsi"/>
          <w:color w:val="auto"/>
          <w:sz w:val="24"/>
        </w:rPr>
        <w:t xml:space="preserve"> of sulfonylurea was back-calculated as $</w:t>
      </w:r>
      <w:r w:rsidR="00B02444">
        <w:rPr>
          <w:rFonts w:asciiTheme="minorHAnsi" w:hAnsiTheme="minorHAnsi"/>
          <w:noProof/>
          <w:color w:val="000000"/>
          <w:sz w:val="24"/>
          <w:highlight w:val="black"/>
        </w:rPr>
        <w:t>''''''''''''</w:t>
      </w:r>
      <w:r w:rsidRPr="002531DF">
        <w:rPr>
          <w:rFonts w:asciiTheme="minorHAnsi" w:hAnsiTheme="minorHAnsi"/>
          <w:color w:val="auto"/>
          <w:sz w:val="24"/>
        </w:rPr>
        <w:t xml:space="preserve"> per day using the ex</w:t>
      </w:r>
      <w:r w:rsidR="007B1069" w:rsidRPr="002531DF">
        <w:rPr>
          <w:rFonts w:asciiTheme="minorHAnsi" w:hAnsiTheme="minorHAnsi"/>
          <w:color w:val="auto"/>
          <w:sz w:val="24"/>
        </w:rPr>
        <w:noBreakHyphen/>
      </w:r>
      <w:r w:rsidRPr="002531DF">
        <w:rPr>
          <w:rFonts w:asciiTheme="minorHAnsi" w:hAnsiTheme="minorHAnsi"/>
          <w:color w:val="auto"/>
          <w:sz w:val="24"/>
        </w:rPr>
        <w:t xml:space="preserve">manufacturer price of </w:t>
      </w:r>
      <w:proofErr w:type="spellStart"/>
      <w:r w:rsidRPr="002531DF">
        <w:rPr>
          <w:rFonts w:asciiTheme="minorHAnsi" w:hAnsiTheme="minorHAnsi"/>
          <w:color w:val="auto"/>
          <w:sz w:val="24"/>
        </w:rPr>
        <w:t>alogliptin</w:t>
      </w:r>
      <w:proofErr w:type="spellEnd"/>
      <w:r w:rsidRPr="002531DF">
        <w:rPr>
          <w:rFonts w:asciiTheme="minorHAnsi" w:hAnsiTheme="minorHAnsi"/>
          <w:color w:val="auto"/>
          <w:sz w:val="24"/>
        </w:rPr>
        <w:t xml:space="preserve"> before the price reduction ($</w:t>
      </w:r>
      <w:r w:rsidR="00B02444">
        <w:rPr>
          <w:rFonts w:asciiTheme="minorHAnsi" w:hAnsiTheme="minorHAnsi"/>
          <w:noProof/>
          <w:color w:val="000000"/>
          <w:sz w:val="24"/>
          <w:highlight w:val="black"/>
        </w:rPr>
        <w:t>'''''''''</w:t>
      </w:r>
      <w:r w:rsidRPr="002531DF">
        <w:rPr>
          <w:rFonts w:asciiTheme="minorHAnsi" w:hAnsiTheme="minorHAnsi"/>
          <w:color w:val="auto"/>
          <w:sz w:val="24"/>
        </w:rPr>
        <w:t xml:space="preserve"> per day) and after the price reduction ($</w:t>
      </w:r>
      <w:r w:rsidR="00B02444">
        <w:rPr>
          <w:rFonts w:asciiTheme="minorHAnsi" w:hAnsiTheme="minorHAnsi"/>
          <w:noProof/>
          <w:color w:val="000000"/>
          <w:sz w:val="24"/>
          <w:highlight w:val="black"/>
        </w:rPr>
        <w:t>''''''''''''''''</w:t>
      </w:r>
      <w:r w:rsidRPr="002531DF">
        <w:rPr>
          <w:rFonts w:asciiTheme="minorHAnsi" w:hAnsiTheme="minorHAnsi"/>
          <w:color w:val="auto"/>
          <w:sz w:val="24"/>
        </w:rPr>
        <w:t xml:space="preserve"> per day). The dose of sulfonylurea used in triple therapy combination may be lower than the average daily dose used in dual therapy. </w:t>
      </w:r>
    </w:p>
    <w:p w:rsidR="00030CB2" w:rsidRPr="002531DF" w:rsidRDefault="00D57DAB"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Table 6</w:t>
      </w:r>
      <w:r w:rsidR="00B27DB8" w:rsidRPr="002531DF">
        <w:rPr>
          <w:rFonts w:asciiTheme="minorHAnsi" w:hAnsiTheme="minorHAnsi"/>
          <w:color w:val="auto"/>
          <w:sz w:val="24"/>
        </w:rPr>
        <w:t xml:space="preserve"> presents the </w:t>
      </w:r>
      <w:r w:rsidR="00424FCA" w:rsidRPr="002531DF">
        <w:rPr>
          <w:rFonts w:asciiTheme="minorHAnsi" w:hAnsiTheme="minorHAnsi"/>
          <w:color w:val="auto"/>
          <w:sz w:val="24"/>
        </w:rPr>
        <w:t>calculated</w:t>
      </w:r>
      <w:r w:rsidR="00B27DB8" w:rsidRPr="002531DF">
        <w:rPr>
          <w:rFonts w:asciiTheme="minorHAnsi" w:hAnsiTheme="minorHAnsi"/>
          <w:color w:val="auto"/>
          <w:sz w:val="24"/>
        </w:rPr>
        <w:t xml:space="preserve"> price of </w:t>
      </w:r>
      <w:proofErr w:type="spellStart"/>
      <w:r w:rsidR="00B27DB8" w:rsidRPr="002531DF">
        <w:rPr>
          <w:rFonts w:asciiTheme="minorHAnsi" w:hAnsiTheme="minorHAnsi"/>
          <w:color w:val="auto"/>
          <w:sz w:val="24"/>
        </w:rPr>
        <w:t>dapagliflozin</w:t>
      </w:r>
      <w:proofErr w:type="spellEnd"/>
      <w:r w:rsidR="00B27DB8" w:rsidRPr="002531DF">
        <w:rPr>
          <w:rFonts w:asciiTheme="minorHAnsi" w:hAnsiTheme="minorHAnsi"/>
          <w:color w:val="auto"/>
          <w:sz w:val="24"/>
        </w:rPr>
        <w:t>, weighted across the mixed comparator of insulin glargine and sulfonylureas using a 70:30 (insulin: sulfony</w:t>
      </w:r>
      <w:r w:rsidR="00E06FC6" w:rsidRPr="002531DF">
        <w:rPr>
          <w:rFonts w:asciiTheme="minorHAnsi" w:hAnsiTheme="minorHAnsi"/>
          <w:color w:val="auto"/>
          <w:sz w:val="24"/>
        </w:rPr>
        <w:t>lurea) ratio and estimated cost</w:t>
      </w:r>
      <w:r w:rsidR="00B27DB8" w:rsidRPr="002531DF">
        <w:rPr>
          <w:rFonts w:asciiTheme="minorHAnsi" w:hAnsiTheme="minorHAnsi"/>
          <w:color w:val="auto"/>
          <w:sz w:val="24"/>
        </w:rPr>
        <w:t xml:space="preserve"> per day of insulin glargine including non</w:t>
      </w:r>
      <w:r w:rsidR="00711D28">
        <w:rPr>
          <w:rFonts w:asciiTheme="minorHAnsi" w:hAnsiTheme="minorHAnsi"/>
          <w:color w:val="auto"/>
          <w:sz w:val="24"/>
        </w:rPr>
        <w:noBreakHyphen/>
      </w:r>
      <w:r w:rsidR="00B27DB8" w:rsidRPr="002531DF">
        <w:rPr>
          <w:rFonts w:asciiTheme="minorHAnsi" w:hAnsiTheme="minorHAnsi"/>
          <w:color w:val="auto"/>
          <w:sz w:val="24"/>
        </w:rPr>
        <w:t>drug costs ($</w:t>
      </w:r>
      <w:r w:rsidR="00B02444">
        <w:rPr>
          <w:rFonts w:asciiTheme="minorHAnsi" w:hAnsiTheme="minorHAnsi"/>
          <w:noProof/>
          <w:color w:val="000000"/>
          <w:sz w:val="24"/>
          <w:highlight w:val="black"/>
        </w:rPr>
        <w:t>''''''''</w:t>
      </w:r>
      <w:r w:rsidR="00B27DB8" w:rsidRPr="002531DF">
        <w:rPr>
          <w:rFonts w:asciiTheme="minorHAnsi" w:hAnsiTheme="minorHAnsi"/>
          <w:color w:val="auto"/>
          <w:sz w:val="24"/>
        </w:rPr>
        <w:t xml:space="preserve">) </w:t>
      </w:r>
      <w:r w:rsidR="00E06FC6" w:rsidRPr="002531DF">
        <w:rPr>
          <w:rFonts w:asciiTheme="minorHAnsi" w:hAnsiTheme="minorHAnsi"/>
          <w:color w:val="auto"/>
          <w:sz w:val="24"/>
        </w:rPr>
        <w:t>and the estimated daily cost</w:t>
      </w:r>
      <w:r w:rsidR="00C51412" w:rsidRPr="002531DF">
        <w:rPr>
          <w:rFonts w:asciiTheme="minorHAnsi" w:hAnsiTheme="minorHAnsi"/>
          <w:color w:val="auto"/>
          <w:sz w:val="24"/>
        </w:rPr>
        <w:t xml:space="preserve"> of sulfonylureas ($</w:t>
      </w:r>
      <w:r w:rsidR="00B02444">
        <w:rPr>
          <w:rFonts w:asciiTheme="minorHAnsi" w:hAnsiTheme="minorHAnsi"/>
          <w:noProof/>
          <w:color w:val="000000"/>
          <w:sz w:val="24"/>
          <w:highlight w:val="black"/>
        </w:rPr>
        <w:t>''''''''</w:t>
      </w:r>
      <w:r w:rsidR="00C51412" w:rsidRPr="002531DF">
        <w:rPr>
          <w:rFonts w:asciiTheme="minorHAnsi" w:hAnsiTheme="minorHAnsi"/>
          <w:color w:val="auto"/>
          <w:sz w:val="24"/>
        </w:rPr>
        <w:t>).</w:t>
      </w:r>
    </w:p>
    <w:p w:rsidR="00641642" w:rsidRDefault="00641642" w:rsidP="00641642">
      <w:pPr>
        <w:pStyle w:val="TableHeading0"/>
      </w:pPr>
      <w:r>
        <w:t xml:space="preserve">Table </w:t>
      </w:r>
      <w:fldSimple w:instr=" SEQ Table \* ARABIC ">
        <w:r w:rsidR="00B975C4">
          <w:rPr>
            <w:noProof/>
          </w:rPr>
          <w:t>6</w:t>
        </w:r>
      </w:fldSimple>
      <w:r w:rsidRPr="00354975">
        <w:t xml:space="preserve">: Calculated weighted price of </w:t>
      </w:r>
      <w:proofErr w:type="spellStart"/>
      <w:r w:rsidRPr="00354975">
        <w:t>dapagliflozin</w:t>
      </w:r>
      <w:proofErr w:type="spellEnd"/>
    </w:p>
    <w:tbl>
      <w:tblPr>
        <w:tblStyle w:val="TableGrid"/>
        <w:tblW w:w="9067" w:type="dxa"/>
        <w:tblLook w:val="04A0" w:firstRow="1" w:lastRow="0" w:firstColumn="1" w:lastColumn="0" w:noHBand="0" w:noVBand="1"/>
        <w:tblCaption w:val="Calculated weighted price of dapagliflozin"/>
      </w:tblPr>
      <w:tblGrid>
        <w:gridCol w:w="1663"/>
        <w:gridCol w:w="1851"/>
        <w:gridCol w:w="1851"/>
        <w:gridCol w:w="1851"/>
        <w:gridCol w:w="1851"/>
      </w:tblGrid>
      <w:tr w:rsidR="00DE266B" w:rsidRPr="00A5073A" w:rsidTr="00EA2AF9">
        <w:trPr>
          <w:tblHeader/>
        </w:trPr>
        <w:tc>
          <w:tcPr>
            <w:tcW w:w="1663" w:type="dxa"/>
          </w:tcPr>
          <w:p w:rsidR="00DE266B" w:rsidRPr="00A5073A" w:rsidRDefault="00DE266B" w:rsidP="00424FCA">
            <w:pPr>
              <w:keepNext/>
              <w:rPr>
                <w:rFonts w:ascii="Arial Narrow" w:hAnsi="Arial Narrow"/>
                <w:b/>
                <w:sz w:val="20"/>
              </w:rPr>
            </w:pPr>
            <w:r w:rsidRPr="00A5073A">
              <w:rPr>
                <w:rFonts w:ascii="Arial Narrow" w:hAnsi="Arial Narrow"/>
                <w:b/>
                <w:sz w:val="20"/>
              </w:rPr>
              <w:t>Product</w:t>
            </w:r>
          </w:p>
        </w:tc>
        <w:tc>
          <w:tcPr>
            <w:tcW w:w="1851" w:type="dxa"/>
          </w:tcPr>
          <w:p w:rsidR="00DE266B" w:rsidRPr="00A5073A" w:rsidRDefault="00DE266B" w:rsidP="00424FCA">
            <w:pPr>
              <w:keepNext/>
              <w:jc w:val="center"/>
              <w:rPr>
                <w:rFonts w:ascii="Arial Narrow" w:hAnsi="Arial Narrow"/>
                <w:b/>
                <w:sz w:val="20"/>
              </w:rPr>
            </w:pPr>
            <w:r w:rsidRPr="00A5073A">
              <w:rPr>
                <w:rFonts w:ascii="Arial Narrow" w:hAnsi="Arial Narrow"/>
                <w:b/>
                <w:sz w:val="20"/>
              </w:rPr>
              <w:t>Pack size</w:t>
            </w:r>
          </w:p>
        </w:tc>
        <w:tc>
          <w:tcPr>
            <w:tcW w:w="1851" w:type="dxa"/>
          </w:tcPr>
          <w:p w:rsidR="00DE266B" w:rsidRPr="00A5073A" w:rsidRDefault="00DE266B" w:rsidP="00424FCA">
            <w:pPr>
              <w:keepNext/>
              <w:jc w:val="center"/>
              <w:rPr>
                <w:rFonts w:ascii="Arial Narrow" w:hAnsi="Arial Narrow"/>
                <w:b/>
                <w:sz w:val="20"/>
              </w:rPr>
            </w:pPr>
            <w:r w:rsidRPr="00A5073A">
              <w:rPr>
                <w:rFonts w:ascii="Arial Narrow" w:hAnsi="Arial Narrow"/>
                <w:b/>
                <w:sz w:val="20"/>
              </w:rPr>
              <w:t>AEMP/unit</w:t>
            </w:r>
          </w:p>
        </w:tc>
        <w:tc>
          <w:tcPr>
            <w:tcW w:w="1851" w:type="dxa"/>
          </w:tcPr>
          <w:p w:rsidR="00DE266B" w:rsidRPr="00A5073A" w:rsidRDefault="00DE266B" w:rsidP="00424FCA">
            <w:pPr>
              <w:keepNext/>
              <w:jc w:val="center"/>
              <w:rPr>
                <w:rFonts w:ascii="Arial Narrow" w:hAnsi="Arial Narrow"/>
                <w:b/>
                <w:sz w:val="20"/>
              </w:rPr>
            </w:pPr>
            <w:r w:rsidRPr="00A5073A">
              <w:rPr>
                <w:rFonts w:ascii="Arial Narrow" w:hAnsi="Arial Narrow"/>
                <w:b/>
                <w:sz w:val="20"/>
              </w:rPr>
              <w:t>AEMP</w:t>
            </w:r>
          </w:p>
        </w:tc>
        <w:tc>
          <w:tcPr>
            <w:tcW w:w="1851" w:type="dxa"/>
          </w:tcPr>
          <w:p w:rsidR="00DE266B" w:rsidRPr="00A5073A" w:rsidRDefault="00DE266B" w:rsidP="00424FCA">
            <w:pPr>
              <w:keepNext/>
              <w:jc w:val="center"/>
              <w:rPr>
                <w:rFonts w:ascii="Arial Narrow" w:hAnsi="Arial Narrow"/>
                <w:b/>
                <w:sz w:val="20"/>
              </w:rPr>
            </w:pPr>
            <w:r w:rsidRPr="00A5073A">
              <w:rPr>
                <w:rFonts w:ascii="Arial Narrow" w:hAnsi="Arial Narrow"/>
                <w:b/>
                <w:sz w:val="20"/>
              </w:rPr>
              <w:t>DPMQ</w:t>
            </w:r>
          </w:p>
        </w:tc>
      </w:tr>
      <w:tr w:rsidR="00DE266B" w:rsidRPr="00A5073A" w:rsidTr="00DE266B">
        <w:tc>
          <w:tcPr>
            <w:tcW w:w="1663" w:type="dxa"/>
            <w:vAlign w:val="center"/>
          </w:tcPr>
          <w:p w:rsidR="00DE266B" w:rsidRPr="00A5073A" w:rsidRDefault="00DE266B" w:rsidP="00424FCA">
            <w:pPr>
              <w:keepNext/>
              <w:rPr>
                <w:rFonts w:ascii="Arial Narrow" w:hAnsi="Arial Narrow"/>
                <w:sz w:val="20"/>
              </w:rPr>
            </w:pPr>
            <w:proofErr w:type="spellStart"/>
            <w:r w:rsidRPr="00A5073A">
              <w:rPr>
                <w:rFonts w:ascii="Arial Narrow" w:hAnsi="Arial Narrow"/>
                <w:sz w:val="20"/>
              </w:rPr>
              <w:t>Dapagliflozin</w:t>
            </w:r>
            <w:proofErr w:type="spellEnd"/>
            <w:r w:rsidRPr="00A5073A">
              <w:rPr>
                <w:rFonts w:ascii="Arial Narrow" w:hAnsi="Arial Narrow"/>
                <w:sz w:val="20"/>
              </w:rPr>
              <w:t xml:space="preserve"> 10</w:t>
            </w:r>
            <w:r w:rsidR="00621C07">
              <w:rPr>
                <w:rFonts w:ascii="Arial Narrow" w:hAnsi="Arial Narrow"/>
                <w:sz w:val="20"/>
              </w:rPr>
              <w:t xml:space="preserve"> </w:t>
            </w:r>
            <w:r w:rsidRPr="00A5073A">
              <w:rPr>
                <w:rFonts w:ascii="Arial Narrow" w:hAnsi="Arial Narrow"/>
                <w:sz w:val="20"/>
              </w:rPr>
              <w:t>mg</w:t>
            </w:r>
          </w:p>
        </w:tc>
        <w:tc>
          <w:tcPr>
            <w:tcW w:w="1851" w:type="dxa"/>
            <w:vAlign w:val="center"/>
          </w:tcPr>
          <w:p w:rsidR="00DE266B" w:rsidRPr="00A5073A" w:rsidRDefault="00DE266B" w:rsidP="00424FCA">
            <w:pPr>
              <w:keepNext/>
              <w:jc w:val="center"/>
              <w:rPr>
                <w:rFonts w:ascii="Arial Narrow" w:hAnsi="Arial Narrow"/>
                <w:sz w:val="20"/>
              </w:rPr>
            </w:pPr>
            <w:r w:rsidRPr="00A5073A">
              <w:rPr>
                <w:rFonts w:ascii="Arial Narrow" w:hAnsi="Arial Narrow"/>
                <w:sz w:val="20"/>
              </w:rPr>
              <w:t>28</w:t>
            </w:r>
          </w:p>
        </w:tc>
        <w:tc>
          <w:tcPr>
            <w:tcW w:w="1851" w:type="dxa"/>
            <w:vAlign w:val="center"/>
          </w:tcPr>
          <w:p w:rsidR="00DE266B" w:rsidRPr="00A5073A" w:rsidRDefault="00DE266B" w:rsidP="00424FCA">
            <w:pPr>
              <w:keepNext/>
              <w:jc w:val="center"/>
              <w:rPr>
                <w:rFonts w:ascii="Arial Narrow" w:hAnsi="Arial Narrow"/>
                <w:sz w:val="20"/>
              </w:rPr>
            </w:pPr>
            <w:r>
              <w:rPr>
                <w:rFonts w:ascii="Arial Narrow" w:hAnsi="Arial Narrow"/>
                <w:sz w:val="20"/>
              </w:rPr>
              <w:t>$</w:t>
            </w:r>
            <w:r w:rsidR="00B02444">
              <w:rPr>
                <w:rFonts w:ascii="Arial Narrow" w:hAnsi="Arial Narrow"/>
                <w:noProof/>
                <w:color w:val="000000"/>
                <w:sz w:val="20"/>
                <w:highlight w:val="black"/>
              </w:rPr>
              <w:t>''''''''''</w:t>
            </w:r>
          </w:p>
        </w:tc>
        <w:tc>
          <w:tcPr>
            <w:tcW w:w="1851" w:type="dxa"/>
            <w:vAlign w:val="center"/>
          </w:tcPr>
          <w:p w:rsidR="00DE266B" w:rsidRPr="0082366C" w:rsidRDefault="00DE266B" w:rsidP="00424FCA">
            <w:pPr>
              <w:keepNext/>
              <w:jc w:val="center"/>
              <w:rPr>
                <w:rFonts w:ascii="Arial Narrow" w:hAnsi="Arial Narrow"/>
                <w:i/>
                <w:sz w:val="20"/>
              </w:rPr>
            </w:pPr>
            <w:r w:rsidRPr="0082366C">
              <w:rPr>
                <w:rFonts w:ascii="Arial Narrow" w:hAnsi="Arial Narrow"/>
                <w:i/>
                <w:sz w:val="20"/>
              </w:rPr>
              <w:t>$</w:t>
            </w:r>
            <w:r w:rsidR="00B02444">
              <w:rPr>
                <w:rFonts w:ascii="Arial Narrow" w:hAnsi="Arial Narrow"/>
                <w:i/>
                <w:noProof/>
                <w:color w:val="000000"/>
                <w:sz w:val="20"/>
                <w:highlight w:val="black"/>
              </w:rPr>
              <w:t>''''''''''''</w:t>
            </w:r>
          </w:p>
        </w:tc>
        <w:tc>
          <w:tcPr>
            <w:tcW w:w="1851" w:type="dxa"/>
            <w:vAlign w:val="center"/>
          </w:tcPr>
          <w:p w:rsidR="00DE266B" w:rsidRPr="0082366C" w:rsidRDefault="00DE266B" w:rsidP="00424FCA">
            <w:pPr>
              <w:keepNext/>
              <w:jc w:val="center"/>
              <w:rPr>
                <w:rFonts w:ascii="Arial Narrow" w:hAnsi="Arial Narrow"/>
                <w:i/>
                <w:sz w:val="20"/>
              </w:rPr>
            </w:pPr>
            <w:r w:rsidRPr="0082366C">
              <w:rPr>
                <w:rFonts w:ascii="Arial Narrow" w:hAnsi="Arial Narrow"/>
                <w:i/>
                <w:sz w:val="20"/>
              </w:rPr>
              <w:t>$</w:t>
            </w:r>
            <w:r w:rsidR="00B02444">
              <w:rPr>
                <w:rFonts w:ascii="Arial Narrow" w:hAnsi="Arial Narrow"/>
                <w:i/>
                <w:noProof/>
                <w:color w:val="000000"/>
                <w:sz w:val="20"/>
                <w:highlight w:val="black"/>
              </w:rPr>
              <w:t>''''''''''''''</w:t>
            </w:r>
          </w:p>
        </w:tc>
      </w:tr>
    </w:tbl>
    <w:p w:rsidR="00DE266B" w:rsidRDefault="00DE266B" w:rsidP="00424FCA">
      <w:pPr>
        <w:pStyle w:val="TableFooter"/>
        <w:keepNext/>
      </w:pPr>
      <w:r>
        <w:t>Source: Table D.6, p135 of the submission</w:t>
      </w:r>
    </w:p>
    <w:p w:rsidR="00DE266B" w:rsidRDefault="00DE266B" w:rsidP="00424FCA">
      <w:pPr>
        <w:pStyle w:val="TableFooter"/>
        <w:keepNext/>
      </w:pPr>
      <w:r>
        <w:t>Abbreviations: AEMP, ex-manufacturer price; DPMQ, dispensed price maximum quantity</w:t>
      </w:r>
    </w:p>
    <w:p w:rsidR="00B27DB8" w:rsidRDefault="00DE266B" w:rsidP="00424FCA">
      <w:pPr>
        <w:pStyle w:val="TableFooter"/>
        <w:keepNext/>
        <w:rPr>
          <w:i/>
        </w:rPr>
      </w:pPr>
      <w:r>
        <w:rPr>
          <w:i/>
        </w:rPr>
        <w:t>Estimates in italics were calculated during the evaluation.</w:t>
      </w:r>
    </w:p>
    <w:p w:rsidR="00DE266B" w:rsidRDefault="00DE266B" w:rsidP="00DE266B">
      <w:pPr>
        <w:pStyle w:val="TableFooter"/>
        <w:rPr>
          <w:sz w:val="22"/>
        </w:rPr>
      </w:pPr>
    </w:p>
    <w:p w:rsidR="00DE266B" w:rsidRPr="002531DF" w:rsidRDefault="00DE266B"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 xml:space="preserve">The </w:t>
      </w:r>
      <w:r w:rsidR="00884EB1" w:rsidRPr="002531DF">
        <w:rPr>
          <w:rFonts w:asciiTheme="minorHAnsi" w:hAnsiTheme="minorHAnsi"/>
          <w:color w:val="auto"/>
          <w:sz w:val="24"/>
        </w:rPr>
        <w:t xml:space="preserve">calculated DPMQ, </w:t>
      </w:r>
      <w:r w:rsidRPr="002531DF">
        <w:rPr>
          <w:rFonts w:asciiTheme="minorHAnsi" w:hAnsiTheme="minorHAnsi"/>
          <w:color w:val="auto"/>
          <w:sz w:val="24"/>
        </w:rPr>
        <w:t xml:space="preserve">weighted </w:t>
      </w:r>
      <w:r w:rsidR="00884EB1" w:rsidRPr="002531DF">
        <w:rPr>
          <w:rFonts w:asciiTheme="minorHAnsi" w:hAnsiTheme="minorHAnsi"/>
          <w:color w:val="auto"/>
          <w:sz w:val="24"/>
        </w:rPr>
        <w:t>using the estimated costs of</w:t>
      </w:r>
      <w:r w:rsidRPr="002531DF">
        <w:rPr>
          <w:rFonts w:asciiTheme="minorHAnsi" w:hAnsiTheme="minorHAnsi"/>
          <w:color w:val="auto"/>
          <w:sz w:val="24"/>
        </w:rPr>
        <w:t xml:space="preserve"> insulin and sulfonylurea</w:t>
      </w:r>
      <w:r w:rsidR="00884EB1" w:rsidRPr="002531DF">
        <w:rPr>
          <w:rFonts w:asciiTheme="minorHAnsi" w:hAnsiTheme="minorHAnsi"/>
          <w:color w:val="auto"/>
          <w:sz w:val="24"/>
        </w:rPr>
        <w:t>s</w:t>
      </w:r>
      <w:r w:rsidRPr="002531DF">
        <w:rPr>
          <w:rFonts w:asciiTheme="minorHAnsi" w:hAnsiTheme="minorHAnsi"/>
          <w:color w:val="auto"/>
          <w:sz w:val="24"/>
        </w:rPr>
        <w:t xml:space="preserve"> was higher than the DPMQ for current PBS-listings of </w:t>
      </w:r>
      <w:proofErr w:type="spellStart"/>
      <w:r w:rsidRPr="002531DF">
        <w:rPr>
          <w:rFonts w:asciiTheme="minorHAnsi" w:hAnsiTheme="minorHAnsi"/>
          <w:color w:val="auto"/>
          <w:sz w:val="24"/>
        </w:rPr>
        <w:t>dapagliflozin</w:t>
      </w:r>
      <w:proofErr w:type="spellEnd"/>
      <w:r w:rsidR="00057208" w:rsidRPr="002531DF">
        <w:rPr>
          <w:rFonts w:asciiTheme="minorHAnsi" w:hAnsiTheme="minorHAnsi"/>
          <w:color w:val="auto"/>
          <w:sz w:val="24"/>
        </w:rPr>
        <w:t xml:space="preserve"> ($</w:t>
      </w:r>
      <w:r w:rsidR="00057208" w:rsidRPr="003F2089">
        <w:rPr>
          <w:rFonts w:asciiTheme="minorHAnsi" w:hAnsiTheme="minorHAnsi"/>
          <w:color w:val="auto"/>
          <w:sz w:val="24"/>
        </w:rPr>
        <w:t>57.74</w:t>
      </w:r>
      <w:r w:rsidR="00057208" w:rsidRPr="002531DF">
        <w:rPr>
          <w:rFonts w:asciiTheme="minorHAnsi" w:hAnsiTheme="minorHAnsi"/>
          <w:color w:val="auto"/>
          <w:sz w:val="24"/>
        </w:rPr>
        <w:t>)</w:t>
      </w:r>
      <w:r w:rsidRPr="002531DF">
        <w:rPr>
          <w:rFonts w:asciiTheme="minorHAnsi" w:hAnsiTheme="minorHAnsi"/>
          <w:color w:val="auto"/>
          <w:sz w:val="24"/>
        </w:rPr>
        <w:t xml:space="preserve">. </w:t>
      </w:r>
    </w:p>
    <w:p w:rsidR="00A75260" w:rsidRPr="00FE4869" w:rsidRDefault="002004DF"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The 70:30 (</w:t>
      </w:r>
      <w:proofErr w:type="spellStart"/>
      <w:r w:rsidRPr="002531DF">
        <w:rPr>
          <w:rFonts w:asciiTheme="minorHAnsi" w:hAnsiTheme="minorHAnsi"/>
          <w:color w:val="auto"/>
          <w:sz w:val="24"/>
        </w:rPr>
        <w:t>insulin:sulfonylurea</w:t>
      </w:r>
      <w:proofErr w:type="spellEnd"/>
      <w:r w:rsidRPr="002531DF">
        <w:rPr>
          <w:rFonts w:asciiTheme="minorHAnsi" w:hAnsiTheme="minorHAnsi"/>
          <w:color w:val="auto"/>
          <w:sz w:val="24"/>
        </w:rPr>
        <w:t>) weighting was derived from the 10% Medicare sample analysis based on the relative reductions in the utilisation of triple therapy regimens including insulin or sulfonylureas (in combination with a DPP4 inhibitor) between 2012 and 2016 in patients previously on metformin and a DPP4 inhibitor.</w:t>
      </w:r>
      <w:r w:rsidR="00D7255E" w:rsidRPr="002531DF">
        <w:rPr>
          <w:rFonts w:asciiTheme="minorHAnsi" w:hAnsiTheme="minorHAnsi"/>
          <w:color w:val="auto"/>
          <w:sz w:val="24"/>
        </w:rPr>
        <w:t xml:space="preserve"> </w:t>
      </w:r>
      <w:r w:rsidR="002F2D29" w:rsidRPr="00FE4869">
        <w:rPr>
          <w:rFonts w:asciiTheme="minorHAnsi" w:hAnsiTheme="minorHAnsi"/>
          <w:color w:val="auto"/>
          <w:sz w:val="24"/>
        </w:rPr>
        <w:t>The submission assumed</w:t>
      </w:r>
      <w:r w:rsidR="00A75260" w:rsidRPr="00FE4869">
        <w:rPr>
          <w:rFonts w:asciiTheme="minorHAnsi" w:hAnsiTheme="minorHAnsi"/>
          <w:color w:val="auto"/>
          <w:sz w:val="24"/>
        </w:rPr>
        <w:t xml:space="preserve"> that a decrease in relative utilisation of triple therapy regimens containing insulin or sulfonylureas was related to an increase in the relative utilisation of triple therapy regimens containing SGLT2 and DPP4 inhibitors.</w:t>
      </w:r>
    </w:p>
    <w:p w:rsidR="00A75260" w:rsidRPr="00F147DB" w:rsidRDefault="00F147DB" w:rsidP="009F09BC">
      <w:pPr>
        <w:pStyle w:val="ESnumberedparablue"/>
        <w:numPr>
          <w:ilvl w:val="1"/>
          <w:numId w:val="3"/>
        </w:numPr>
        <w:ind w:left="709" w:hanging="709"/>
        <w:rPr>
          <w:rFonts w:asciiTheme="minorHAnsi" w:hAnsiTheme="minorHAnsi"/>
          <w:color w:val="auto"/>
          <w:sz w:val="24"/>
        </w:rPr>
      </w:pPr>
      <w:r w:rsidRPr="002531DF">
        <w:rPr>
          <w:rFonts w:asciiTheme="minorHAnsi" w:hAnsiTheme="minorHAnsi"/>
          <w:color w:val="auto"/>
          <w:sz w:val="24"/>
        </w:rPr>
        <w:t xml:space="preserve">Notwithstanding the inappropriate approach to using a mixed comparator, the </w:t>
      </w:r>
      <w:r>
        <w:rPr>
          <w:rFonts w:asciiTheme="minorHAnsi" w:hAnsiTheme="minorHAnsi"/>
          <w:color w:val="auto"/>
          <w:sz w:val="24"/>
        </w:rPr>
        <w:t>PBA</w:t>
      </w:r>
      <w:r w:rsidRPr="002531DF">
        <w:rPr>
          <w:rFonts w:asciiTheme="minorHAnsi" w:hAnsiTheme="minorHAnsi"/>
          <w:color w:val="auto"/>
          <w:sz w:val="24"/>
        </w:rPr>
        <w:t>C considered that the 10% Medicare sample analysis was not a reliable estimate due to concerns with applicability to the broader PBS population, the use of relative changes in utilisation that may not reflect absolute market growth, and methodology used to determine persistence in therapy which may overestimate co</w:t>
      </w:r>
      <w:r>
        <w:rPr>
          <w:rFonts w:asciiTheme="minorHAnsi" w:hAnsiTheme="minorHAnsi"/>
          <w:color w:val="auto"/>
          <w:sz w:val="24"/>
        </w:rPr>
        <w:noBreakHyphen/>
      </w:r>
      <w:r w:rsidRPr="002531DF">
        <w:rPr>
          <w:rFonts w:asciiTheme="minorHAnsi" w:hAnsiTheme="minorHAnsi"/>
          <w:color w:val="auto"/>
          <w:sz w:val="24"/>
        </w:rPr>
        <w:t>administration and underestimate treatment switching.</w:t>
      </w:r>
      <w:r>
        <w:rPr>
          <w:rFonts w:asciiTheme="minorHAnsi" w:hAnsiTheme="minorHAnsi"/>
          <w:color w:val="auto"/>
          <w:sz w:val="24"/>
        </w:rPr>
        <w:t xml:space="preserve"> </w:t>
      </w:r>
      <w:r w:rsidR="00D42CBC" w:rsidRPr="00F147DB">
        <w:rPr>
          <w:rFonts w:asciiTheme="minorHAnsi" w:hAnsiTheme="minorHAnsi"/>
          <w:color w:val="auto"/>
          <w:sz w:val="24"/>
        </w:rPr>
        <w:t xml:space="preserve">The </w:t>
      </w:r>
      <w:r w:rsidR="00884EB1" w:rsidRPr="00F147DB">
        <w:rPr>
          <w:rFonts w:asciiTheme="minorHAnsi" w:hAnsiTheme="minorHAnsi"/>
          <w:color w:val="auto"/>
          <w:sz w:val="24"/>
        </w:rPr>
        <w:t>submission</w:t>
      </w:r>
      <w:r w:rsidR="00D42CBC" w:rsidRPr="00F147DB">
        <w:rPr>
          <w:rFonts w:asciiTheme="minorHAnsi" w:hAnsiTheme="minorHAnsi"/>
          <w:color w:val="auto"/>
          <w:sz w:val="24"/>
        </w:rPr>
        <w:t xml:space="preserve"> </w:t>
      </w:r>
      <w:r>
        <w:rPr>
          <w:rFonts w:asciiTheme="minorHAnsi" w:hAnsiTheme="minorHAnsi"/>
          <w:color w:val="auto"/>
          <w:sz w:val="24"/>
        </w:rPr>
        <w:t xml:space="preserve">also </w:t>
      </w:r>
      <w:r w:rsidR="00D42CBC" w:rsidRPr="00F147DB">
        <w:rPr>
          <w:rFonts w:asciiTheme="minorHAnsi" w:hAnsiTheme="minorHAnsi"/>
          <w:color w:val="auto"/>
          <w:sz w:val="24"/>
        </w:rPr>
        <w:t>did not account for the wider pool of patients in the broader triple therapy market</w:t>
      </w:r>
      <w:r w:rsidR="00FD2A54">
        <w:rPr>
          <w:rFonts w:asciiTheme="minorHAnsi" w:hAnsiTheme="minorHAnsi"/>
          <w:color w:val="auto"/>
          <w:sz w:val="24"/>
        </w:rPr>
        <w:t>,</w:t>
      </w:r>
      <w:r w:rsidR="00D42CBC" w:rsidRPr="00F147DB">
        <w:rPr>
          <w:rFonts w:asciiTheme="minorHAnsi" w:hAnsiTheme="minorHAnsi"/>
          <w:color w:val="auto"/>
          <w:sz w:val="24"/>
        </w:rPr>
        <w:t xml:space="preserve"> with </w:t>
      </w:r>
      <w:proofErr w:type="spellStart"/>
      <w:r w:rsidR="00D42CBC" w:rsidRPr="00F147DB">
        <w:rPr>
          <w:rFonts w:asciiTheme="minorHAnsi" w:hAnsiTheme="minorHAnsi"/>
          <w:color w:val="auto"/>
          <w:sz w:val="24"/>
        </w:rPr>
        <w:t>dapagliflozin</w:t>
      </w:r>
      <w:proofErr w:type="spellEnd"/>
      <w:r w:rsidR="00D42CBC" w:rsidRPr="00F147DB">
        <w:rPr>
          <w:rFonts w:asciiTheme="minorHAnsi" w:hAnsiTheme="minorHAnsi"/>
          <w:color w:val="auto"/>
          <w:sz w:val="24"/>
        </w:rPr>
        <w:t xml:space="preserve"> potentially substituting for other glucose-lowering medications (e.g. GLP-1 analogues, </w:t>
      </w:r>
      <w:proofErr w:type="spellStart"/>
      <w:r w:rsidR="00D42CBC" w:rsidRPr="00F147DB">
        <w:rPr>
          <w:rFonts w:asciiTheme="minorHAnsi" w:hAnsiTheme="minorHAnsi"/>
          <w:color w:val="auto"/>
          <w:sz w:val="24"/>
        </w:rPr>
        <w:t>thiazolidinediones</w:t>
      </w:r>
      <w:proofErr w:type="spellEnd"/>
      <w:r w:rsidR="00D42CBC" w:rsidRPr="00F147DB">
        <w:rPr>
          <w:rFonts w:asciiTheme="minorHAnsi" w:hAnsiTheme="minorHAnsi"/>
          <w:color w:val="auto"/>
          <w:sz w:val="24"/>
        </w:rPr>
        <w:t xml:space="preserve">) as well as insulin and sulfonylurea in triple therapy regimens not initiated in a fixed sequence or via treatment switching. </w:t>
      </w:r>
    </w:p>
    <w:p w:rsidR="00FE4869" w:rsidRDefault="00FE4869" w:rsidP="009F09BC">
      <w:pPr>
        <w:pStyle w:val="ESnumberedparablue"/>
        <w:numPr>
          <w:ilvl w:val="1"/>
          <w:numId w:val="3"/>
        </w:numPr>
        <w:ind w:left="709" w:hanging="709"/>
        <w:rPr>
          <w:rFonts w:asciiTheme="minorHAnsi" w:hAnsiTheme="minorHAnsi"/>
          <w:color w:val="auto"/>
          <w:sz w:val="24"/>
        </w:rPr>
      </w:pPr>
      <w:r>
        <w:rPr>
          <w:rFonts w:asciiTheme="minorHAnsi" w:hAnsiTheme="minorHAnsi"/>
          <w:color w:val="auto"/>
          <w:sz w:val="24"/>
        </w:rPr>
        <w:t xml:space="preserve">The PBAC </w:t>
      </w:r>
      <w:r w:rsidR="00F147DB" w:rsidRPr="00F147DB">
        <w:rPr>
          <w:rFonts w:asciiTheme="minorHAnsi" w:hAnsiTheme="minorHAnsi"/>
          <w:color w:val="auto"/>
          <w:sz w:val="24"/>
        </w:rPr>
        <w:t xml:space="preserve">noted the </w:t>
      </w:r>
      <w:r w:rsidR="00F147DB">
        <w:rPr>
          <w:rFonts w:asciiTheme="minorHAnsi" w:hAnsiTheme="minorHAnsi"/>
          <w:color w:val="auto"/>
          <w:sz w:val="24"/>
        </w:rPr>
        <w:t xml:space="preserve">DUSC’s </w:t>
      </w:r>
      <w:r w:rsidR="00F147DB" w:rsidRPr="00F147DB">
        <w:rPr>
          <w:rFonts w:asciiTheme="minorHAnsi" w:hAnsiTheme="minorHAnsi"/>
          <w:color w:val="auto"/>
          <w:sz w:val="24"/>
        </w:rPr>
        <w:t xml:space="preserve">advice </w:t>
      </w:r>
      <w:r>
        <w:rPr>
          <w:rFonts w:asciiTheme="minorHAnsi" w:hAnsiTheme="minorHAnsi"/>
          <w:color w:val="auto"/>
          <w:sz w:val="24"/>
        </w:rPr>
        <w:t xml:space="preserve">that there were a number of </w:t>
      </w:r>
      <w:r w:rsidR="00F147DB">
        <w:rPr>
          <w:rFonts w:asciiTheme="minorHAnsi" w:hAnsiTheme="minorHAnsi"/>
          <w:color w:val="auto"/>
          <w:sz w:val="24"/>
        </w:rPr>
        <w:t xml:space="preserve">additional </w:t>
      </w:r>
      <w:r>
        <w:rPr>
          <w:rFonts w:asciiTheme="minorHAnsi" w:hAnsiTheme="minorHAnsi"/>
          <w:color w:val="auto"/>
          <w:sz w:val="24"/>
        </w:rPr>
        <w:t>issues with the method used to calculate the rate of substitution between insulin and sulfonylureas:</w:t>
      </w:r>
    </w:p>
    <w:p w:rsidR="00FE4869" w:rsidRPr="00FE4869" w:rsidRDefault="00F147DB" w:rsidP="00F147DB">
      <w:pPr>
        <w:pStyle w:val="ESnumberedparablue"/>
        <w:numPr>
          <w:ilvl w:val="1"/>
          <w:numId w:val="45"/>
        </w:numPr>
        <w:ind w:left="1134" w:hanging="425"/>
        <w:rPr>
          <w:rFonts w:asciiTheme="minorHAnsi" w:hAnsiTheme="minorHAnsi"/>
          <w:color w:val="auto"/>
          <w:sz w:val="24"/>
        </w:rPr>
      </w:pPr>
      <w:r>
        <w:rPr>
          <w:rFonts w:asciiTheme="minorHAnsi" w:hAnsiTheme="minorHAnsi"/>
          <w:color w:val="auto"/>
          <w:sz w:val="24"/>
        </w:rPr>
        <w:t>T</w:t>
      </w:r>
      <w:r w:rsidR="00FE4869" w:rsidRPr="00F147DB">
        <w:rPr>
          <w:rFonts w:asciiTheme="minorHAnsi" w:hAnsiTheme="minorHAnsi"/>
          <w:color w:val="auto"/>
          <w:sz w:val="24"/>
        </w:rPr>
        <w:t xml:space="preserve">he values used to estimate the split were from the 10% PBS sample analysis, but could not be verified from the submission. </w:t>
      </w:r>
    </w:p>
    <w:p w:rsidR="00FE4869" w:rsidRPr="00FE4869" w:rsidRDefault="00FE4869" w:rsidP="00F147DB">
      <w:pPr>
        <w:pStyle w:val="ESnumberedparablue"/>
        <w:numPr>
          <w:ilvl w:val="1"/>
          <w:numId w:val="45"/>
        </w:numPr>
        <w:ind w:left="1134" w:hanging="425"/>
        <w:rPr>
          <w:rFonts w:asciiTheme="minorHAnsi" w:hAnsiTheme="minorHAnsi"/>
          <w:color w:val="auto"/>
          <w:sz w:val="24"/>
        </w:rPr>
      </w:pPr>
      <w:r w:rsidRPr="00F147DB">
        <w:rPr>
          <w:rFonts w:asciiTheme="minorHAnsi" w:hAnsiTheme="minorHAnsi"/>
          <w:color w:val="auto"/>
          <w:sz w:val="24"/>
        </w:rPr>
        <w:t>This estimate relied on the percentage reductions in insulin and sulfonylurea after metformin + DPP4 inhibitor between 2012 and 2016. DUSC considered that this may be inappropriate due to rapid changes in the market over this time and potentially incomplete under co</w:t>
      </w:r>
      <w:r w:rsidR="00711D28">
        <w:rPr>
          <w:rFonts w:asciiTheme="minorHAnsi" w:hAnsiTheme="minorHAnsi"/>
          <w:color w:val="auto"/>
          <w:sz w:val="24"/>
        </w:rPr>
        <w:t>-</w:t>
      </w:r>
      <w:r w:rsidRPr="00F147DB">
        <w:rPr>
          <w:rFonts w:asciiTheme="minorHAnsi" w:hAnsiTheme="minorHAnsi"/>
          <w:color w:val="auto"/>
          <w:sz w:val="24"/>
        </w:rPr>
        <w:t xml:space="preserve">payment prescription data in 2012. </w:t>
      </w:r>
    </w:p>
    <w:p w:rsidR="00F147DB" w:rsidRPr="00F147DB" w:rsidRDefault="00F147DB" w:rsidP="00F147DB">
      <w:pPr>
        <w:pStyle w:val="ESnumberedparablue"/>
        <w:numPr>
          <w:ilvl w:val="1"/>
          <w:numId w:val="45"/>
        </w:numPr>
        <w:ind w:left="1134" w:hanging="425"/>
        <w:rPr>
          <w:rFonts w:asciiTheme="minorHAnsi" w:hAnsiTheme="minorHAnsi"/>
          <w:color w:val="auto"/>
          <w:sz w:val="24"/>
        </w:rPr>
      </w:pPr>
      <w:r>
        <w:rPr>
          <w:rFonts w:asciiTheme="minorHAnsi" w:hAnsiTheme="minorHAnsi"/>
          <w:color w:val="auto"/>
          <w:sz w:val="24"/>
        </w:rPr>
        <w:t>T</w:t>
      </w:r>
      <w:r w:rsidR="00FE4869" w:rsidRPr="00F147DB">
        <w:rPr>
          <w:rFonts w:asciiTheme="minorHAnsi" w:hAnsiTheme="minorHAnsi"/>
          <w:color w:val="auto"/>
          <w:sz w:val="24"/>
        </w:rPr>
        <w:t>he 10% PBS sample analysis method states that frequency of combination therapy that includes a potentially under co</w:t>
      </w:r>
      <w:r w:rsidR="00711D28">
        <w:rPr>
          <w:rFonts w:asciiTheme="minorHAnsi" w:hAnsiTheme="minorHAnsi"/>
          <w:color w:val="auto"/>
          <w:sz w:val="24"/>
        </w:rPr>
        <w:t>-</w:t>
      </w:r>
      <w:r w:rsidR="00FE4869" w:rsidRPr="00F147DB">
        <w:rPr>
          <w:rFonts w:asciiTheme="minorHAnsi" w:hAnsiTheme="minorHAnsi"/>
          <w:color w:val="auto"/>
          <w:sz w:val="24"/>
        </w:rPr>
        <w:t>payment prescription (</w:t>
      </w:r>
      <w:proofErr w:type="spellStart"/>
      <w:r w:rsidR="00FE4869" w:rsidRPr="00F147DB">
        <w:rPr>
          <w:rFonts w:asciiTheme="minorHAnsi" w:hAnsiTheme="minorHAnsi"/>
          <w:color w:val="auto"/>
          <w:sz w:val="24"/>
        </w:rPr>
        <w:t>ie</w:t>
      </w:r>
      <w:proofErr w:type="spellEnd"/>
      <w:r w:rsidR="00FE4869" w:rsidRPr="00F147DB">
        <w:rPr>
          <w:rFonts w:asciiTheme="minorHAnsi" w:hAnsiTheme="minorHAnsi"/>
          <w:color w:val="auto"/>
          <w:sz w:val="24"/>
        </w:rPr>
        <w:t xml:space="preserve">. includes metformin or a sulfonylurea) was estimated from the frequency of these combinations in concessional patients and then extrapolated to all patients. DUSC considered concessional patients may be older and less likely to use sulfonylurea than general patients and so this may also have impacted on the 70:30 ratio </w:t>
      </w:r>
      <w:proofErr w:type="gramStart"/>
      <w:r w:rsidR="00FE4869" w:rsidRPr="00F147DB">
        <w:rPr>
          <w:rFonts w:asciiTheme="minorHAnsi" w:hAnsiTheme="minorHAnsi"/>
          <w:color w:val="auto"/>
          <w:sz w:val="24"/>
        </w:rPr>
        <w:t>estimate</w:t>
      </w:r>
      <w:proofErr w:type="gramEnd"/>
      <w:r w:rsidR="00FE4869" w:rsidRPr="00F147DB">
        <w:rPr>
          <w:rFonts w:asciiTheme="minorHAnsi" w:hAnsiTheme="minorHAnsi"/>
          <w:color w:val="auto"/>
          <w:sz w:val="24"/>
        </w:rPr>
        <w:t xml:space="preserve">, decreasing the proportion of sulfonylurea. </w:t>
      </w:r>
    </w:p>
    <w:p w:rsidR="00FE4869" w:rsidRPr="002531DF" w:rsidRDefault="00FE4869" w:rsidP="00F147DB">
      <w:pPr>
        <w:pStyle w:val="ESnumberedparablue"/>
        <w:numPr>
          <w:ilvl w:val="1"/>
          <w:numId w:val="45"/>
        </w:numPr>
        <w:ind w:left="1134" w:hanging="425"/>
        <w:rPr>
          <w:rFonts w:asciiTheme="minorHAnsi" w:hAnsiTheme="minorHAnsi"/>
          <w:color w:val="auto"/>
          <w:sz w:val="24"/>
        </w:rPr>
      </w:pPr>
      <w:r w:rsidRPr="00F147DB">
        <w:rPr>
          <w:rFonts w:asciiTheme="minorHAnsi" w:hAnsiTheme="minorHAnsi"/>
          <w:color w:val="auto"/>
          <w:sz w:val="24"/>
        </w:rPr>
        <w:t>the number of patients on metformin + DPP4 inhibitor + sulfonylurea in mid</w:t>
      </w:r>
      <w:r w:rsidR="00711D28">
        <w:rPr>
          <w:rFonts w:asciiTheme="minorHAnsi" w:hAnsiTheme="minorHAnsi"/>
          <w:color w:val="auto"/>
          <w:sz w:val="24"/>
        </w:rPr>
        <w:noBreakHyphen/>
      </w:r>
      <w:r w:rsidRPr="00F147DB">
        <w:rPr>
          <w:rFonts w:asciiTheme="minorHAnsi" w:hAnsiTheme="minorHAnsi"/>
          <w:color w:val="auto"/>
          <w:sz w:val="24"/>
        </w:rPr>
        <w:t xml:space="preserve">2016 was approximately triple the number of patients on metformin + DPP4 inhibitor  + insulin and both groups were increasing in number (Figure 4 DUSC diabetes medicines report, February 2017). </w:t>
      </w:r>
    </w:p>
    <w:p w:rsidR="009B1E77" w:rsidRDefault="00FC2916" w:rsidP="009F09BC">
      <w:pPr>
        <w:pStyle w:val="ESnumberedparablue"/>
        <w:numPr>
          <w:ilvl w:val="1"/>
          <w:numId w:val="3"/>
        </w:numPr>
        <w:ind w:left="709" w:hanging="709"/>
        <w:rPr>
          <w:rFonts w:asciiTheme="minorHAnsi" w:hAnsiTheme="minorHAnsi"/>
          <w:color w:val="auto"/>
          <w:sz w:val="24"/>
        </w:rPr>
      </w:pPr>
      <w:r>
        <w:rPr>
          <w:rFonts w:asciiTheme="minorHAnsi" w:hAnsiTheme="minorHAnsi"/>
          <w:color w:val="auto"/>
          <w:sz w:val="24"/>
        </w:rPr>
        <w:t xml:space="preserve">The PBAC considered </w:t>
      </w:r>
      <w:r w:rsidR="00A141FA" w:rsidRPr="00FC2916">
        <w:rPr>
          <w:rFonts w:asciiTheme="minorHAnsi" w:hAnsiTheme="minorHAnsi"/>
          <w:color w:val="auto"/>
          <w:sz w:val="24"/>
        </w:rPr>
        <w:t xml:space="preserve">that </w:t>
      </w:r>
      <w:proofErr w:type="spellStart"/>
      <w:r w:rsidR="00A141FA" w:rsidRPr="00FC2916">
        <w:rPr>
          <w:rFonts w:asciiTheme="minorHAnsi" w:hAnsiTheme="minorHAnsi"/>
          <w:color w:val="auto"/>
          <w:sz w:val="24"/>
        </w:rPr>
        <w:t>dapagliflozin</w:t>
      </w:r>
      <w:proofErr w:type="spellEnd"/>
      <w:r w:rsidR="00A141FA" w:rsidRPr="00FC2916">
        <w:rPr>
          <w:rFonts w:asciiTheme="minorHAnsi" w:hAnsiTheme="minorHAnsi"/>
          <w:color w:val="auto"/>
          <w:sz w:val="24"/>
        </w:rPr>
        <w:t xml:space="preserve"> added to metformin + DPP4 inhibitor dual therapy is more likely to displace a sulfonylurea than insulin. </w:t>
      </w:r>
    </w:p>
    <w:p w:rsidR="0059197D" w:rsidRDefault="00F147DB" w:rsidP="009F09BC">
      <w:pPr>
        <w:pStyle w:val="ESnumberedparablue"/>
        <w:numPr>
          <w:ilvl w:val="1"/>
          <w:numId w:val="3"/>
        </w:numPr>
        <w:ind w:left="709" w:hanging="709"/>
        <w:rPr>
          <w:rFonts w:asciiTheme="minorHAnsi" w:hAnsiTheme="minorHAnsi"/>
          <w:color w:val="auto"/>
          <w:sz w:val="24"/>
        </w:rPr>
      </w:pPr>
      <w:r>
        <w:rPr>
          <w:rFonts w:asciiTheme="minorHAnsi" w:hAnsiTheme="minorHAnsi"/>
          <w:color w:val="auto"/>
          <w:sz w:val="24"/>
        </w:rPr>
        <w:t xml:space="preserve">The PBAC referred to </w:t>
      </w:r>
      <w:r w:rsidR="0059197D">
        <w:rPr>
          <w:rFonts w:asciiTheme="minorHAnsi" w:hAnsiTheme="minorHAnsi"/>
          <w:color w:val="auto"/>
          <w:sz w:val="24"/>
        </w:rPr>
        <w:t>its</w:t>
      </w:r>
      <w:r>
        <w:rPr>
          <w:rFonts w:asciiTheme="minorHAnsi" w:hAnsiTheme="minorHAnsi"/>
          <w:color w:val="auto"/>
          <w:sz w:val="24"/>
        </w:rPr>
        <w:t xml:space="preserve"> earlier advice that </w:t>
      </w:r>
      <w:r w:rsidR="0059197D">
        <w:rPr>
          <w:rFonts w:asciiTheme="minorHAnsi" w:hAnsiTheme="minorHAnsi"/>
          <w:color w:val="auto"/>
          <w:sz w:val="24"/>
        </w:rPr>
        <w:t xml:space="preserve">although some benefit was expected, </w:t>
      </w:r>
      <w:r>
        <w:rPr>
          <w:rFonts w:asciiTheme="minorHAnsi" w:hAnsiTheme="minorHAnsi"/>
          <w:color w:val="auto"/>
          <w:sz w:val="24"/>
        </w:rPr>
        <w:t xml:space="preserve">the evidence </w:t>
      </w:r>
      <w:r w:rsidR="00FD2A54">
        <w:rPr>
          <w:rFonts w:asciiTheme="minorHAnsi" w:hAnsiTheme="minorHAnsi"/>
          <w:color w:val="auto"/>
          <w:sz w:val="24"/>
        </w:rPr>
        <w:t xml:space="preserve">did not </w:t>
      </w:r>
      <w:r>
        <w:rPr>
          <w:rFonts w:asciiTheme="minorHAnsi" w:hAnsiTheme="minorHAnsi"/>
          <w:color w:val="auto"/>
          <w:sz w:val="24"/>
        </w:rPr>
        <w:t>suggest that the benefit of adding a third agent would be of the same magnitude as adding the same agent in the second-line setting</w:t>
      </w:r>
      <w:r w:rsidR="0059197D">
        <w:rPr>
          <w:rFonts w:asciiTheme="minorHAnsi" w:hAnsiTheme="minorHAnsi"/>
          <w:color w:val="auto"/>
          <w:sz w:val="24"/>
        </w:rPr>
        <w:t xml:space="preserve">, and it would likely be smaller. The PBAC therefore considered that it would be inappropriate for the cost of triple therapy to be at a price that represented the sum of the component parts, but rather that it should reflect this smaller incremental gain in benefit. </w:t>
      </w:r>
      <w:r w:rsidR="0059197D" w:rsidRPr="00D928C7">
        <w:rPr>
          <w:rFonts w:asciiTheme="minorHAnsi" w:hAnsiTheme="minorHAnsi"/>
          <w:color w:val="auto"/>
          <w:sz w:val="24"/>
        </w:rPr>
        <w:t xml:space="preserve">The PBAC acknowledged </w:t>
      </w:r>
      <w:r w:rsidR="0059197D">
        <w:rPr>
          <w:rFonts w:asciiTheme="minorHAnsi" w:hAnsiTheme="minorHAnsi"/>
          <w:color w:val="auto"/>
          <w:sz w:val="24"/>
        </w:rPr>
        <w:t xml:space="preserve">a </w:t>
      </w:r>
      <w:r w:rsidR="00B02444">
        <w:rPr>
          <w:rFonts w:asciiTheme="minorHAnsi" w:hAnsiTheme="minorHAnsi"/>
          <w:noProof/>
          <w:color w:val="000000"/>
          <w:sz w:val="24"/>
          <w:highlight w:val="black"/>
        </w:rPr>
        <w:t>'''''</w:t>
      </w:r>
      <w:r w:rsidR="0059197D" w:rsidRPr="00D928C7">
        <w:rPr>
          <w:rFonts w:asciiTheme="minorHAnsi" w:hAnsiTheme="minorHAnsi"/>
          <w:color w:val="auto"/>
          <w:sz w:val="24"/>
        </w:rPr>
        <w:t>% price reduction proposed in the pre-PBAC response</w:t>
      </w:r>
      <w:r w:rsidR="0059197D">
        <w:rPr>
          <w:rFonts w:asciiTheme="minorHAnsi" w:hAnsiTheme="minorHAnsi"/>
          <w:color w:val="auto"/>
          <w:sz w:val="24"/>
        </w:rPr>
        <w:t xml:space="preserve"> (</w:t>
      </w:r>
      <w:r w:rsidR="002959C9">
        <w:rPr>
          <w:rFonts w:asciiTheme="minorHAnsi" w:hAnsiTheme="minorHAnsi"/>
          <w:color w:val="auto"/>
          <w:sz w:val="24"/>
        </w:rPr>
        <w:t>p1</w:t>
      </w:r>
      <w:r w:rsidR="0059197D">
        <w:rPr>
          <w:rFonts w:asciiTheme="minorHAnsi" w:hAnsiTheme="minorHAnsi"/>
          <w:color w:val="auto"/>
          <w:sz w:val="24"/>
        </w:rPr>
        <w:t>)</w:t>
      </w:r>
      <w:r w:rsidR="0059197D" w:rsidRPr="00D928C7">
        <w:rPr>
          <w:rFonts w:asciiTheme="minorHAnsi" w:hAnsiTheme="minorHAnsi"/>
          <w:color w:val="auto"/>
          <w:sz w:val="24"/>
        </w:rPr>
        <w:t xml:space="preserve"> </w:t>
      </w:r>
      <w:r w:rsidR="0059197D">
        <w:rPr>
          <w:rFonts w:asciiTheme="minorHAnsi" w:hAnsiTheme="minorHAnsi"/>
          <w:color w:val="auto"/>
          <w:sz w:val="24"/>
        </w:rPr>
        <w:t>to</w:t>
      </w:r>
      <w:r w:rsidR="0059197D" w:rsidRPr="00D928C7">
        <w:rPr>
          <w:rFonts w:asciiTheme="minorHAnsi" w:hAnsiTheme="minorHAnsi"/>
          <w:color w:val="auto"/>
          <w:sz w:val="24"/>
        </w:rPr>
        <w:t xml:space="preserve"> the </w:t>
      </w:r>
      <w:proofErr w:type="spellStart"/>
      <w:r w:rsidR="0059197D" w:rsidRPr="00D928C7">
        <w:rPr>
          <w:rFonts w:asciiTheme="minorHAnsi" w:hAnsiTheme="minorHAnsi"/>
          <w:color w:val="auto"/>
          <w:sz w:val="24"/>
        </w:rPr>
        <w:t>dapagliflozin</w:t>
      </w:r>
      <w:proofErr w:type="spellEnd"/>
      <w:r w:rsidR="0059197D" w:rsidRPr="00D928C7">
        <w:rPr>
          <w:rFonts w:asciiTheme="minorHAnsi" w:hAnsiTheme="minorHAnsi"/>
          <w:color w:val="auto"/>
          <w:sz w:val="24"/>
        </w:rPr>
        <w:t xml:space="preserve"> </w:t>
      </w:r>
      <w:r w:rsidR="0059197D">
        <w:rPr>
          <w:rFonts w:asciiTheme="minorHAnsi" w:hAnsiTheme="minorHAnsi"/>
          <w:color w:val="auto"/>
          <w:sz w:val="24"/>
        </w:rPr>
        <w:t>with</w:t>
      </w:r>
      <w:r w:rsidR="0059197D" w:rsidRPr="00D928C7">
        <w:rPr>
          <w:rFonts w:asciiTheme="minorHAnsi" w:hAnsiTheme="minorHAnsi"/>
          <w:color w:val="auto"/>
          <w:sz w:val="24"/>
        </w:rPr>
        <w:t xml:space="preserve"> </w:t>
      </w:r>
      <w:proofErr w:type="spellStart"/>
      <w:r w:rsidR="0059197D" w:rsidRPr="00D928C7">
        <w:rPr>
          <w:rFonts w:asciiTheme="minorHAnsi" w:hAnsiTheme="minorHAnsi"/>
          <w:color w:val="auto"/>
          <w:sz w:val="24"/>
        </w:rPr>
        <w:t>saxagliptin</w:t>
      </w:r>
      <w:proofErr w:type="spellEnd"/>
      <w:r w:rsidR="0059197D" w:rsidRPr="00D928C7">
        <w:rPr>
          <w:rFonts w:asciiTheme="minorHAnsi" w:hAnsiTheme="minorHAnsi"/>
          <w:color w:val="auto"/>
          <w:sz w:val="24"/>
        </w:rPr>
        <w:t xml:space="preserve"> major submission</w:t>
      </w:r>
      <w:r w:rsidR="0059197D">
        <w:rPr>
          <w:rFonts w:asciiTheme="minorHAnsi" w:hAnsiTheme="minorHAnsi"/>
          <w:color w:val="auto"/>
          <w:sz w:val="24"/>
        </w:rPr>
        <w:t xml:space="preserve"> (item </w:t>
      </w:r>
      <w:r w:rsidR="002959C9">
        <w:rPr>
          <w:rFonts w:asciiTheme="minorHAnsi" w:hAnsiTheme="minorHAnsi"/>
          <w:color w:val="auto"/>
          <w:sz w:val="24"/>
        </w:rPr>
        <w:t xml:space="preserve">5.13 </w:t>
      </w:r>
      <w:r w:rsidR="0059197D">
        <w:rPr>
          <w:rFonts w:asciiTheme="minorHAnsi" w:hAnsiTheme="minorHAnsi"/>
          <w:color w:val="auto"/>
          <w:sz w:val="24"/>
        </w:rPr>
        <w:t>refers), but considered that this did not represent a cost-effective price.</w:t>
      </w:r>
      <w:r w:rsidR="0059197D" w:rsidRPr="00D928C7">
        <w:rPr>
          <w:rFonts w:asciiTheme="minorHAnsi" w:hAnsiTheme="minorHAnsi"/>
          <w:color w:val="auto"/>
          <w:sz w:val="24"/>
        </w:rPr>
        <w:t xml:space="preserve"> </w:t>
      </w:r>
      <w:r w:rsidR="0059197D">
        <w:rPr>
          <w:rFonts w:asciiTheme="minorHAnsi" w:hAnsiTheme="minorHAnsi"/>
          <w:color w:val="auto"/>
          <w:sz w:val="24"/>
        </w:rPr>
        <w:t xml:space="preserve">The PBAC was of the view that it may be possible to calculate a price that could be considered cost-effective if the inputs for the method to calculate the cost of treatment were adjusted to account for a lower </w:t>
      </w:r>
      <w:proofErr w:type="spellStart"/>
      <w:r w:rsidR="0059197D">
        <w:rPr>
          <w:rFonts w:asciiTheme="minorHAnsi" w:hAnsiTheme="minorHAnsi"/>
          <w:color w:val="auto"/>
          <w:sz w:val="24"/>
        </w:rPr>
        <w:t>equi</w:t>
      </w:r>
      <w:proofErr w:type="spellEnd"/>
      <w:r w:rsidR="0059197D">
        <w:rPr>
          <w:rFonts w:asciiTheme="minorHAnsi" w:hAnsiTheme="minorHAnsi"/>
          <w:color w:val="auto"/>
          <w:sz w:val="24"/>
        </w:rPr>
        <w:t xml:space="preserve">-effective insulin dose, and a more appropriate split between insulin and sulfonylurea (paragraph </w:t>
      </w:r>
      <w:r w:rsidR="005121EC">
        <w:rPr>
          <w:rFonts w:asciiTheme="minorHAnsi" w:hAnsiTheme="minorHAnsi"/>
          <w:color w:val="auto"/>
          <w:sz w:val="24"/>
        </w:rPr>
        <w:t>6.</w:t>
      </w:r>
      <w:r w:rsidR="0030301C">
        <w:rPr>
          <w:rFonts w:asciiTheme="minorHAnsi" w:hAnsiTheme="minorHAnsi"/>
          <w:color w:val="auto"/>
          <w:sz w:val="24"/>
        </w:rPr>
        <w:t>42</w:t>
      </w:r>
      <w:r w:rsidR="005121EC">
        <w:rPr>
          <w:rFonts w:asciiTheme="minorHAnsi" w:hAnsiTheme="minorHAnsi"/>
          <w:color w:val="auto"/>
          <w:sz w:val="24"/>
        </w:rPr>
        <w:t>)</w:t>
      </w:r>
      <w:r w:rsidR="0059197D">
        <w:rPr>
          <w:rFonts w:asciiTheme="minorHAnsi" w:hAnsiTheme="minorHAnsi"/>
          <w:color w:val="auto"/>
          <w:sz w:val="24"/>
        </w:rPr>
        <w:t>.</w:t>
      </w:r>
    </w:p>
    <w:p w:rsidR="00F147DB" w:rsidRPr="009B7E32" w:rsidRDefault="009B7E32" w:rsidP="009B7E32">
      <w:pPr>
        <w:pStyle w:val="ESnumberedparablue"/>
        <w:ind w:left="720"/>
        <w:rPr>
          <w:rFonts w:asciiTheme="minorHAnsi" w:hAnsiTheme="minorHAnsi"/>
          <w:i/>
          <w:color w:val="auto"/>
          <w:sz w:val="24"/>
        </w:rPr>
      </w:pPr>
      <w:r w:rsidRPr="009B7E32">
        <w:rPr>
          <w:rFonts w:asciiTheme="minorHAnsi" w:hAnsiTheme="minorHAnsi"/>
          <w:i/>
          <w:color w:val="auto"/>
          <w:sz w:val="24"/>
        </w:rPr>
        <w:t>For more detail on PBAC’s view, see section 7 “PBAC outcome.”</w:t>
      </w:r>
    </w:p>
    <w:p w:rsidR="00137F8D" w:rsidRPr="00412444"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34" w:name="_Toc413139283"/>
      <w:bookmarkStart w:id="35" w:name="_Toc476306893"/>
      <w:bookmarkStart w:id="36" w:name="_Toc482705435"/>
      <w:r w:rsidRPr="00412444">
        <w:rPr>
          <w:rFonts w:asciiTheme="minorHAnsi" w:eastAsiaTheme="majorEastAsia" w:hAnsiTheme="minorHAnsi" w:cstheme="majorBidi"/>
          <w:i/>
          <w:snapToGrid/>
          <w:sz w:val="28"/>
          <w:szCs w:val="28"/>
        </w:rPr>
        <w:t>D</w:t>
      </w:r>
      <w:r w:rsidR="002F2D29" w:rsidRPr="00412444">
        <w:rPr>
          <w:rFonts w:asciiTheme="minorHAnsi" w:eastAsiaTheme="majorEastAsia" w:hAnsiTheme="minorHAnsi" w:cstheme="majorBidi"/>
          <w:i/>
          <w:snapToGrid/>
          <w:sz w:val="28"/>
          <w:szCs w:val="28"/>
        </w:rPr>
        <w:t>rug cost/patient/year: $</w:t>
      </w:r>
      <w:r w:rsidR="002F2D29" w:rsidRPr="003F2089">
        <w:rPr>
          <w:rFonts w:asciiTheme="minorHAnsi" w:eastAsiaTheme="majorEastAsia" w:hAnsiTheme="minorHAnsi" w:cstheme="majorBidi"/>
          <w:i/>
          <w:snapToGrid/>
          <w:sz w:val="28"/>
          <w:szCs w:val="28"/>
        </w:rPr>
        <w:t>752.93</w:t>
      </w:r>
      <w:r w:rsidRPr="00412444">
        <w:rPr>
          <w:rFonts w:asciiTheme="minorHAnsi" w:eastAsiaTheme="majorEastAsia" w:hAnsiTheme="minorHAnsi" w:cstheme="majorBidi"/>
          <w:i/>
          <w:snapToGrid/>
          <w:sz w:val="28"/>
          <w:szCs w:val="28"/>
        </w:rPr>
        <w:t>.</w:t>
      </w:r>
      <w:bookmarkEnd w:id="34"/>
      <w:bookmarkEnd w:id="35"/>
      <w:bookmarkEnd w:id="36"/>
    </w:p>
    <w:p w:rsidR="00137F8D" w:rsidRPr="00763BD0" w:rsidRDefault="002F2D29" w:rsidP="009F09BC">
      <w:pPr>
        <w:pStyle w:val="ESnumberedparablue"/>
        <w:numPr>
          <w:ilvl w:val="1"/>
          <w:numId w:val="3"/>
        </w:numPr>
        <w:ind w:left="709" w:hanging="709"/>
        <w:rPr>
          <w:rFonts w:asciiTheme="minorHAnsi" w:hAnsiTheme="minorHAnsi"/>
          <w:color w:val="auto"/>
          <w:sz w:val="24"/>
        </w:rPr>
      </w:pPr>
      <w:r w:rsidRPr="00763BD0">
        <w:rPr>
          <w:rFonts w:asciiTheme="minorHAnsi" w:hAnsiTheme="minorHAnsi"/>
          <w:color w:val="auto"/>
          <w:sz w:val="24"/>
        </w:rPr>
        <w:t>At the requested DPMQ of $</w:t>
      </w:r>
      <w:r w:rsidRPr="003F2089">
        <w:rPr>
          <w:rFonts w:asciiTheme="minorHAnsi" w:hAnsiTheme="minorHAnsi"/>
          <w:color w:val="auto"/>
          <w:sz w:val="24"/>
        </w:rPr>
        <w:t>57.74</w:t>
      </w:r>
      <w:r w:rsidRPr="00763BD0">
        <w:rPr>
          <w:rFonts w:asciiTheme="minorHAnsi" w:hAnsiTheme="minorHAnsi"/>
          <w:color w:val="auto"/>
          <w:sz w:val="24"/>
        </w:rPr>
        <w:t xml:space="preserve"> for a </w:t>
      </w:r>
      <w:r w:rsidRPr="003F2089">
        <w:rPr>
          <w:rFonts w:asciiTheme="minorHAnsi" w:hAnsiTheme="minorHAnsi"/>
          <w:color w:val="auto"/>
          <w:sz w:val="24"/>
        </w:rPr>
        <w:t>28</w:t>
      </w:r>
      <w:r w:rsidRPr="00763BD0">
        <w:rPr>
          <w:rFonts w:asciiTheme="minorHAnsi" w:hAnsiTheme="minorHAnsi"/>
          <w:color w:val="auto"/>
          <w:sz w:val="24"/>
        </w:rPr>
        <w:t xml:space="preserve"> tablet pack of </w:t>
      </w:r>
      <w:proofErr w:type="spellStart"/>
      <w:r w:rsidRPr="00763BD0">
        <w:rPr>
          <w:rFonts w:asciiTheme="minorHAnsi" w:hAnsiTheme="minorHAnsi"/>
          <w:color w:val="auto"/>
          <w:sz w:val="24"/>
        </w:rPr>
        <w:t>dapagliflozin</w:t>
      </w:r>
      <w:proofErr w:type="spellEnd"/>
      <w:r w:rsidR="00E06FC6" w:rsidRPr="00763BD0">
        <w:rPr>
          <w:rFonts w:asciiTheme="minorHAnsi" w:hAnsiTheme="minorHAnsi"/>
          <w:color w:val="auto"/>
          <w:sz w:val="24"/>
        </w:rPr>
        <w:t xml:space="preserve"> 10 mg</w:t>
      </w:r>
      <w:r w:rsidRPr="00763BD0">
        <w:rPr>
          <w:rFonts w:asciiTheme="minorHAnsi" w:hAnsiTheme="minorHAnsi"/>
          <w:color w:val="auto"/>
          <w:sz w:val="24"/>
        </w:rPr>
        <w:t>, the drug cost was estimated to be $</w:t>
      </w:r>
      <w:r w:rsidRPr="003F2089">
        <w:rPr>
          <w:rFonts w:asciiTheme="minorHAnsi" w:hAnsiTheme="minorHAnsi"/>
          <w:color w:val="auto"/>
          <w:sz w:val="24"/>
        </w:rPr>
        <w:t>752.93</w:t>
      </w:r>
      <w:r w:rsidR="001F6C9B" w:rsidRPr="00763BD0">
        <w:rPr>
          <w:rFonts w:asciiTheme="minorHAnsi" w:hAnsiTheme="minorHAnsi"/>
          <w:color w:val="auto"/>
          <w:sz w:val="24"/>
        </w:rPr>
        <w:t xml:space="preserve"> based on </w:t>
      </w:r>
      <w:r w:rsidR="001F6C9B" w:rsidRPr="003F2089">
        <w:rPr>
          <w:rFonts w:asciiTheme="minorHAnsi" w:hAnsiTheme="minorHAnsi"/>
          <w:color w:val="auto"/>
          <w:sz w:val="24"/>
        </w:rPr>
        <w:t>13.04</w:t>
      </w:r>
      <w:r w:rsidR="001F6C9B" w:rsidRPr="00763BD0">
        <w:rPr>
          <w:rFonts w:asciiTheme="minorHAnsi" w:hAnsiTheme="minorHAnsi"/>
          <w:color w:val="auto"/>
          <w:sz w:val="24"/>
        </w:rPr>
        <w:t xml:space="preserve"> scripts per patient per year</w:t>
      </w:r>
      <w:r w:rsidRPr="00763BD0">
        <w:rPr>
          <w:rFonts w:asciiTheme="minorHAnsi" w:hAnsiTheme="minorHAnsi"/>
          <w:color w:val="auto"/>
          <w:sz w:val="24"/>
        </w:rPr>
        <w:t xml:space="preserve">. It </w:t>
      </w:r>
      <w:r w:rsidR="00B81466" w:rsidRPr="00763BD0">
        <w:rPr>
          <w:rFonts w:asciiTheme="minorHAnsi" w:hAnsiTheme="minorHAnsi"/>
          <w:color w:val="auto"/>
          <w:sz w:val="24"/>
        </w:rPr>
        <w:t>i</w:t>
      </w:r>
      <w:r w:rsidRPr="00763BD0">
        <w:rPr>
          <w:rFonts w:asciiTheme="minorHAnsi" w:hAnsiTheme="minorHAnsi"/>
          <w:color w:val="auto"/>
          <w:sz w:val="24"/>
        </w:rPr>
        <w:t xml:space="preserve">s difficult to estimate the comparative costs of insulin glargine and sulfonylureas as the doses are </w:t>
      </w:r>
      <w:r w:rsidR="007374F4" w:rsidRPr="00763BD0">
        <w:rPr>
          <w:rFonts w:asciiTheme="minorHAnsi" w:hAnsiTheme="minorHAnsi"/>
          <w:color w:val="auto"/>
          <w:sz w:val="24"/>
        </w:rPr>
        <w:t>variable</w:t>
      </w:r>
      <w:r w:rsidR="002531DF">
        <w:rPr>
          <w:rFonts w:asciiTheme="minorHAnsi" w:hAnsiTheme="minorHAnsi"/>
          <w:color w:val="auto"/>
          <w:sz w:val="24"/>
        </w:rPr>
        <w:t>.</w:t>
      </w:r>
      <w:r w:rsidRPr="00763BD0">
        <w:rPr>
          <w:rFonts w:asciiTheme="minorHAnsi" w:hAnsiTheme="minorHAnsi"/>
          <w:color w:val="auto"/>
          <w:sz w:val="24"/>
        </w:rPr>
        <w:t xml:space="preserve">  </w:t>
      </w:r>
    </w:p>
    <w:p w:rsidR="00137F8D" w:rsidRPr="00412444"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37" w:name="_Toc413139284"/>
      <w:bookmarkStart w:id="38" w:name="_Toc476306894"/>
      <w:bookmarkStart w:id="39" w:name="_Toc482705436"/>
      <w:r w:rsidRPr="00412444">
        <w:rPr>
          <w:rFonts w:asciiTheme="minorHAnsi" w:eastAsiaTheme="majorEastAsia" w:hAnsiTheme="minorHAnsi" w:cstheme="majorBidi"/>
          <w:i/>
          <w:snapToGrid/>
          <w:sz w:val="28"/>
          <w:szCs w:val="28"/>
        </w:rPr>
        <w:t>Estimated PBS usage &amp; financial implications</w:t>
      </w:r>
      <w:bookmarkEnd w:id="37"/>
      <w:bookmarkEnd w:id="38"/>
      <w:bookmarkEnd w:id="39"/>
    </w:p>
    <w:p w:rsidR="003B4FC0" w:rsidRPr="003B4FC0" w:rsidRDefault="003B4FC0" w:rsidP="009F09BC">
      <w:pPr>
        <w:pStyle w:val="ESnumberedparablue"/>
        <w:numPr>
          <w:ilvl w:val="1"/>
          <w:numId w:val="3"/>
        </w:numPr>
        <w:ind w:left="709" w:hanging="709"/>
        <w:rPr>
          <w:rFonts w:asciiTheme="minorHAnsi" w:hAnsiTheme="minorHAnsi"/>
          <w:color w:val="auto"/>
          <w:sz w:val="24"/>
        </w:rPr>
      </w:pPr>
      <w:r w:rsidRPr="003B4FC0">
        <w:rPr>
          <w:rFonts w:asciiTheme="minorHAnsi" w:hAnsiTheme="minorHAnsi"/>
          <w:color w:val="auto"/>
          <w:sz w:val="24"/>
        </w:rPr>
        <w:t xml:space="preserve">This submission </w:t>
      </w:r>
      <w:r w:rsidR="0059197D">
        <w:rPr>
          <w:rFonts w:asciiTheme="minorHAnsi" w:hAnsiTheme="minorHAnsi"/>
          <w:color w:val="auto"/>
          <w:sz w:val="24"/>
        </w:rPr>
        <w:t>was</w:t>
      </w:r>
      <w:r w:rsidRPr="003B4FC0">
        <w:rPr>
          <w:rFonts w:asciiTheme="minorHAnsi" w:hAnsiTheme="minorHAnsi"/>
          <w:color w:val="auto"/>
          <w:sz w:val="24"/>
        </w:rPr>
        <w:t xml:space="preserve"> considered by DUSC. </w:t>
      </w:r>
    </w:p>
    <w:p w:rsidR="003B4FC0" w:rsidRPr="003B4FC0" w:rsidRDefault="003B4FC0" w:rsidP="009F09BC">
      <w:pPr>
        <w:pStyle w:val="ESnumberedparablue"/>
        <w:numPr>
          <w:ilvl w:val="1"/>
          <w:numId w:val="3"/>
        </w:numPr>
        <w:ind w:left="709" w:hanging="709"/>
        <w:rPr>
          <w:rFonts w:asciiTheme="minorHAnsi" w:hAnsiTheme="minorHAnsi"/>
          <w:color w:val="auto"/>
          <w:sz w:val="24"/>
        </w:rPr>
      </w:pPr>
      <w:r w:rsidRPr="003B4FC0">
        <w:rPr>
          <w:rFonts w:asciiTheme="minorHAnsi" w:hAnsiTheme="minorHAnsi"/>
          <w:color w:val="auto"/>
          <w:sz w:val="24"/>
        </w:rPr>
        <w:t xml:space="preserve">The submission used a market share approach to estimate the utilisation and financial implications of listing </w:t>
      </w:r>
      <w:proofErr w:type="spellStart"/>
      <w:r w:rsidRPr="003B4FC0">
        <w:rPr>
          <w:rFonts w:asciiTheme="minorHAnsi" w:hAnsiTheme="minorHAnsi"/>
          <w:color w:val="auto"/>
          <w:sz w:val="24"/>
        </w:rPr>
        <w:t>dapagliflozin</w:t>
      </w:r>
      <w:proofErr w:type="spellEnd"/>
      <w:r w:rsidRPr="003B4FC0">
        <w:rPr>
          <w:rFonts w:asciiTheme="minorHAnsi" w:hAnsiTheme="minorHAnsi"/>
          <w:color w:val="auto"/>
          <w:sz w:val="24"/>
        </w:rPr>
        <w:t xml:space="preserve"> as presented in Table </w:t>
      </w:r>
      <w:r w:rsidR="00EA2AF9">
        <w:rPr>
          <w:rFonts w:asciiTheme="minorHAnsi" w:hAnsiTheme="minorHAnsi"/>
          <w:color w:val="auto"/>
          <w:sz w:val="24"/>
        </w:rPr>
        <w:t>7</w:t>
      </w:r>
      <w:r w:rsidRPr="003B4FC0">
        <w:rPr>
          <w:rFonts w:asciiTheme="minorHAnsi" w:hAnsiTheme="minorHAnsi"/>
          <w:color w:val="auto"/>
          <w:sz w:val="24"/>
        </w:rPr>
        <w:t>. Costs associated with insulin glargine were based on an assumed effective price (DPMQ: $</w:t>
      </w:r>
      <w:r w:rsidR="00B02444">
        <w:rPr>
          <w:rFonts w:asciiTheme="minorHAnsi" w:hAnsiTheme="minorHAnsi"/>
          <w:noProof/>
          <w:color w:val="000000"/>
          <w:sz w:val="24"/>
          <w:highlight w:val="black"/>
        </w:rPr>
        <w:t>''''''''''''</w:t>
      </w:r>
      <w:r w:rsidRPr="003B4FC0">
        <w:rPr>
          <w:rFonts w:asciiTheme="minorHAnsi" w:hAnsiTheme="minorHAnsi"/>
          <w:color w:val="auto"/>
          <w:sz w:val="24"/>
        </w:rPr>
        <w:t>).</w:t>
      </w:r>
    </w:p>
    <w:p w:rsidR="00575F80" w:rsidRDefault="00575F80">
      <w:pPr>
        <w:widowControl/>
        <w:jc w:val="left"/>
        <w:rPr>
          <w:rFonts w:ascii="Arial Narrow" w:eastAsiaTheme="minorHAnsi" w:hAnsi="Arial Narrow" w:cstheme="minorBidi"/>
          <w:b/>
          <w:snapToGrid/>
          <w:sz w:val="20"/>
          <w:szCs w:val="22"/>
        </w:rPr>
      </w:pPr>
      <w:r>
        <w:br w:type="page"/>
      </w:r>
    </w:p>
    <w:p w:rsidR="00B975C4" w:rsidRDefault="00B975C4" w:rsidP="00B975C4">
      <w:pPr>
        <w:pStyle w:val="TableHeading0"/>
      </w:pPr>
      <w:r>
        <w:t xml:space="preserve">Table </w:t>
      </w:r>
      <w:fldSimple w:instr=" SEQ Table \* ARABIC ">
        <w:r>
          <w:t>7</w:t>
        </w:r>
      </w:fldSimple>
      <w:r w:rsidRPr="00B57E0E">
        <w:t>: Estimated use and financial implications</w:t>
      </w:r>
    </w:p>
    <w:tbl>
      <w:tblPr>
        <w:tblW w:w="90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02"/>
        <w:gridCol w:w="1241"/>
        <w:gridCol w:w="1242"/>
        <w:gridCol w:w="1241"/>
        <w:gridCol w:w="1242"/>
        <w:gridCol w:w="1242"/>
      </w:tblGrid>
      <w:tr w:rsidR="003B4FC0" w:rsidRPr="009129FC" w:rsidTr="004938C5">
        <w:trPr>
          <w:trHeight w:val="58"/>
          <w:tblHeader/>
        </w:trPr>
        <w:tc>
          <w:tcPr>
            <w:tcW w:w="2802" w:type="dxa"/>
            <w:shd w:val="clear" w:color="auto" w:fill="FFFFFF" w:themeFill="background1"/>
            <w:noWrap/>
            <w:vAlign w:val="center"/>
            <w:hideMark/>
          </w:tcPr>
          <w:p w:rsidR="003B4FC0" w:rsidRPr="009129FC" w:rsidRDefault="003B4FC0" w:rsidP="004938C5">
            <w:pPr>
              <w:tabs>
                <w:tab w:val="left" w:pos="3210"/>
              </w:tabs>
              <w:ind w:left="-80"/>
              <w:jc w:val="left"/>
              <w:rPr>
                <w:rFonts w:ascii="Arial Narrow" w:hAnsi="Arial Narrow"/>
                <w:b/>
                <w:sz w:val="20"/>
              </w:rPr>
            </w:pPr>
          </w:p>
        </w:tc>
        <w:tc>
          <w:tcPr>
            <w:tcW w:w="1241" w:type="dxa"/>
            <w:shd w:val="clear" w:color="auto" w:fill="FFFFFF" w:themeFill="background1"/>
            <w:noWrap/>
            <w:vAlign w:val="center"/>
            <w:hideMark/>
          </w:tcPr>
          <w:p w:rsidR="003B4FC0" w:rsidRPr="001915DC" w:rsidRDefault="003B4FC0" w:rsidP="004938C5">
            <w:pPr>
              <w:tabs>
                <w:tab w:val="left" w:pos="3210"/>
              </w:tabs>
              <w:jc w:val="center"/>
              <w:rPr>
                <w:rFonts w:ascii="Arial Narrow" w:hAnsi="Arial Narrow"/>
                <w:b/>
                <w:sz w:val="20"/>
              </w:rPr>
            </w:pPr>
            <w:r w:rsidRPr="001915DC">
              <w:rPr>
                <w:rFonts w:ascii="Arial Narrow" w:hAnsi="Arial Narrow"/>
                <w:b/>
                <w:sz w:val="20"/>
              </w:rPr>
              <w:t>Year 1</w:t>
            </w:r>
          </w:p>
        </w:tc>
        <w:tc>
          <w:tcPr>
            <w:tcW w:w="1242" w:type="dxa"/>
            <w:shd w:val="clear" w:color="auto" w:fill="FFFFFF" w:themeFill="background1"/>
            <w:noWrap/>
            <w:vAlign w:val="center"/>
            <w:hideMark/>
          </w:tcPr>
          <w:p w:rsidR="003B4FC0" w:rsidRPr="001915DC" w:rsidRDefault="003B4FC0" w:rsidP="004938C5">
            <w:pPr>
              <w:tabs>
                <w:tab w:val="left" w:pos="3210"/>
              </w:tabs>
              <w:jc w:val="center"/>
              <w:rPr>
                <w:rFonts w:ascii="Arial Narrow" w:hAnsi="Arial Narrow"/>
                <w:b/>
                <w:sz w:val="20"/>
              </w:rPr>
            </w:pPr>
            <w:r w:rsidRPr="001915DC">
              <w:rPr>
                <w:rFonts w:ascii="Arial Narrow" w:hAnsi="Arial Narrow"/>
                <w:b/>
                <w:sz w:val="20"/>
              </w:rPr>
              <w:t>Year 2</w:t>
            </w:r>
          </w:p>
        </w:tc>
        <w:tc>
          <w:tcPr>
            <w:tcW w:w="1241" w:type="dxa"/>
            <w:shd w:val="clear" w:color="auto" w:fill="FFFFFF" w:themeFill="background1"/>
            <w:noWrap/>
            <w:vAlign w:val="center"/>
            <w:hideMark/>
          </w:tcPr>
          <w:p w:rsidR="003B4FC0" w:rsidRPr="001915DC" w:rsidRDefault="003B4FC0" w:rsidP="004938C5">
            <w:pPr>
              <w:tabs>
                <w:tab w:val="left" w:pos="3210"/>
              </w:tabs>
              <w:jc w:val="center"/>
              <w:rPr>
                <w:rFonts w:ascii="Arial Narrow" w:hAnsi="Arial Narrow"/>
                <w:b/>
                <w:sz w:val="20"/>
              </w:rPr>
            </w:pPr>
            <w:r w:rsidRPr="001915DC">
              <w:rPr>
                <w:rFonts w:ascii="Arial Narrow" w:hAnsi="Arial Narrow"/>
                <w:b/>
                <w:sz w:val="20"/>
              </w:rPr>
              <w:t>Year 3</w:t>
            </w:r>
          </w:p>
        </w:tc>
        <w:tc>
          <w:tcPr>
            <w:tcW w:w="1242" w:type="dxa"/>
            <w:shd w:val="clear" w:color="auto" w:fill="FFFFFF" w:themeFill="background1"/>
            <w:noWrap/>
            <w:vAlign w:val="center"/>
            <w:hideMark/>
          </w:tcPr>
          <w:p w:rsidR="003B4FC0" w:rsidRPr="001915DC" w:rsidRDefault="003B4FC0" w:rsidP="004938C5">
            <w:pPr>
              <w:tabs>
                <w:tab w:val="left" w:pos="3210"/>
              </w:tabs>
              <w:jc w:val="center"/>
              <w:rPr>
                <w:rFonts w:ascii="Arial Narrow" w:hAnsi="Arial Narrow"/>
                <w:b/>
                <w:sz w:val="20"/>
              </w:rPr>
            </w:pPr>
            <w:r w:rsidRPr="001915DC">
              <w:rPr>
                <w:rFonts w:ascii="Arial Narrow" w:hAnsi="Arial Narrow"/>
                <w:b/>
                <w:sz w:val="20"/>
              </w:rPr>
              <w:t>Year 4</w:t>
            </w:r>
          </w:p>
        </w:tc>
        <w:tc>
          <w:tcPr>
            <w:tcW w:w="1242" w:type="dxa"/>
            <w:shd w:val="clear" w:color="auto" w:fill="FFFFFF" w:themeFill="background1"/>
            <w:noWrap/>
            <w:vAlign w:val="center"/>
            <w:hideMark/>
          </w:tcPr>
          <w:p w:rsidR="003B4FC0" w:rsidRPr="001915DC" w:rsidRDefault="003B4FC0" w:rsidP="004938C5">
            <w:pPr>
              <w:tabs>
                <w:tab w:val="left" w:pos="3210"/>
              </w:tabs>
              <w:jc w:val="center"/>
              <w:rPr>
                <w:rFonts w:ascii="Arial Narrow" w:hAnsi="Arial Narrow"/>
                <w:b/>
                <w:sz w:val="20"/>
              </w:rPr>
            </w:pPr>
            <w:r w:rsidRPr="001915DC">
              <w:rPr>
                <w:rFonts w:ascii="Arial Narrow" w:hAnsi="Arial Narrow"/>
                <w:b/>
                <w:sz w:val="20"/>
              </w:rPr>
              <w:t>Year 5</w:t>
            </w:r>
          </w:p>
        </w:tc>
      </w:tr>
      <w:tr w:rsidR="003B4FC0" w:rsidRPr="009129FC" w:rsidTr="004938C5">
        <w:trPr>
          <w:trHeight w:val="58"/>
        </w:trPr>
        <w:tc>
          <w:tcPr>
            <w:tcW w:w="2802" w:type="dxa"/>
            <w:shd w:val="clear" w:color="auto" w:fill="auto"/>
            <w:noWrap/>
            <w:vAlign w:val="center"/>
          </w:tcPr>
          <w:p w:rsidR="003B4FC0" w:rsidRPr="004B084E" w:rsidRDefault="003B4FC0" w:rsidP="004938C5">
            <w:pPr>
              <w:tabs>
                <w:tab w:val="left" w:pos="3210"/>
              </w:tabs>
              <w:jc w:val="left"/>
              <w:rPr>
                <w:rFonts w:ascii="Arial Narrow" w:hAnsi="Arial Narrow"/>
                <w:sz w:val="20"/>
              </w:rPr>
            </w:pPr>
            <w:r>
              <w:rPr>
                <w:rFonts w:ascii="Arial Narrow" w:hAnsi="Arial Narrow"/>
                <w:sz w:val="20"/>
              </w:rPr>
              <w:t>Patients receiving triple therapy with SGLT2, 60% annual growth</w:t>
            </w:r>
          </w:p>
        </w:tc>
        <w:tc>
          <w:tcPr>
            <w:tcW w:w="1241" w:type="dxa"/>
            <w:tcBorders>
              <w:bottom w:val="single" w:sz="4" w:space="0" w:color="auto"/>
            </w:tcBorders>
            <w:shd w:val="clear" w:color="auto" w:fill="auto"/>
            <w:noWrap/>
            <w:vAlign w:val="center"/>
          </w:tcPr>
          <w:p w:rsidR="003B4FC0" w:rsidRPr="004B084E" w:rsidRDefault="00B02444" w:rsidP="004938C5">
            <w:pPr>
              <w:tabs>
                <w:tab w:val="left" w:pos="3210"/>
              </w:tabs>
              <w:jc w:val="center"/>
              <w:rPr>
                <w:rFonts w:ascii="Arial Narrow" w:hAnsi="Arial Narrow"/>
                <w:sz w:val="20"/>
              </w:rPr>
            </w:pPr>
            <w:r>
              <w:rPr>
                <w:rFonts w:ascii="Arial Narrow" w:hAnsi="Arial Narrow"/>
                <w:noProof/>
                <w:color w:val="000000"/>
                <w:sz w:val="20"/>
                <w:highlight w:val="black"/>
              </w:rPr>
              <w:t>''''''''''''''</w:t>
            </w:r>
            <w:r w:rsidR="00743164">
              <w:rPr>
                <w:rFonts w:ascii="Arial Narrow" w:hAnsi="Arial Narrow"/>
                <w:sz w:val="20"/>
              </w:rPr>
              <w:t xml:space="preserve"> </w:t>
            </w:r>
            <w:r w:rsidR="003B4FC0">
              <w:rPr>
                <w:rFonts w:ascii="Arial Narrow" w:hAnsi="Arial Narrow"/>
                <w:sz w:val="20"/>
                <w:vertAlign w:val="superscript"/>
              </w:rPr>
              <w:t>a</w:t>
            </w:r>
            <w:r w:rsidR="003B4FC0" w:rsidRPr="004B084E">
              <w:rPr>
                <w:rFonts w:ascii="Arial Narrow" w:hAnsi="Arial Narrow"/>
                <w:sz w:val="20"/>
              </w:rPr>
              <w:t xml:space="preserve"> </w:t>
            </w:r>
          </w:p>
        </w:tc>
        <w:tc>
          <w:tcPr>
            <w:tcW w:w="1242"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1"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B4FC0" w:rsidRPr="009129FC" w:rsidTr="004938C5">
        <w:trPr>
          <w:trHeight w:val="58"/>
        </w:trPr>
        <w:tc>
          <w:tcPr>
            <w:tcW w:w="9010" w:type="dxa"/>
            <w:gridSpan w:val="6"/>
            <w:shd w:val="clear" w:color="auto" w:fill="auto"/>
            <w:noWrap/>
            <w:vAlign w:val="center"/>
          </w:tcPr>
          <w:p w:rsidR="003B4FC0" w:rsidRPr="0017780B" w:rsidRDefault="003B4FC0" w:rsidP="004938C5">
            <w:pPr>
              <w:tabs>
                <w:tab w:val="left" w:pos="3210"/>
              </w:tabs>
              <w:jc w:val="left"/>
              <w:rPr>
                <w:rFonts w:ascii="Arial Narrow" w:hAnsi="Arial Narrow"/>
                <w:b/>
                <w:sz w:val="20"/>
              </w:rPr>
            </w:pPr>
            <w:r>
              <w:rPr>
                <w:rFonts w:ascii="Arial Narrow" w:hAnsi="Arial Narrow"/>
                <w:b/>
                <w:sz w:val="20"/>
              </w:rPr>
              <w:t>Estimated utilisation and total costs</w:t>
            </w:r>
            <w:r w:rsidRPr="0017780B">
              <w:rPr>
                <w:rFonts w:ascii="Arial Narrow" w:hAnsi="Arial Narrow"/>
                <w:b/>
                <w:sz w:val="20"/>
              </w:rPr>
              <w:t xml:space="preserve"> of </w:t>
            </w:r>
            <w:proofErr w:type="spellStart"/>
            <w:r w:rsidRPr="0017780B">
              <w:rPr>
                <w:rFonts w:ascii="Arial Narrow" w:hAnsi="Arial Narrow"/>
                <w:b/>
                <w:sz w:val="20"/>
              </w:rPr>
              <w:t>dapagliflozin</w:t>
            </w:r>
            <w:proofErr w:type="spellEnd"/>
          </w:p>
        </w:tc>
      </w:tr>
      <w:tr w:rsidR="003B4FC0" w:rsidRPr="009129FC" w:rsidTr="004938C5">
        <w:trPr>
          <w:trHeight w:val="58"/>
        </w:trPr>
        <w:tc>
          <w:tcPr>
            <w:tcW w:w="2802" w:type="dxa"/>
            <w:shd w:val="clear" w:color="auto" w:fill="auto"/>
            <w:noWrap/>
            <w:vAlign w:val="center"/>
          </w:tcPr>
          <w:p w:rsidR="003B4FC0" w:rsidRPr="002066D8" w:rsidRDefault="003B4FC0" w:rsidP="004938C5">
            <w:pPr>
              <w:tabs>
                <w:tab w:val="left" w:pos="3210"/>
              </w:tabs>
              <w:jc w:val="left"/>
              <w:rPr>
                <w:rFonts w:ascii="Arial Narrow" w:hAnsi="Arial Narrow"/>
                <w:sz w:val="20"/>
              </w:rPr>
            </w:pPr>
            <w:r>
              <w:rPr>
                <w:rFonts w:ascii="Arial Narrow" w:hAnsi="Arial Narrow"/>
                <w:sz w:val="20"/>
              </w:rPr>
              <w:t xml:space="preserve">Patients on </w:t>
            </w:r>
            <w:proofErr w:type="spellStart"/>
            <w:r>
              <w:rPr>
                <w:rFonts w:ascii="Arial Narrow" w:hAnsi="Arial Narrow"/>
                <w:sz w:val="20"/>
              </w:rPr>
              <w:t>dapagliflozin</w:t>
            </w:r>
            <w:proofErr w:type="spellEnd"/>
            <w:r>
              <w:rPr>
                <w:rFonts w:ascii="Arial Narrow" w:hAnsi="Arial Narrow"/>
                <w:sz w:val="20"/>
              </w:rPr>
              <w:t xml:space="preserve"> triple therapy (80% uptake) </w:t>
            </w:r>
          </w:p>
        </w:tc>
        <w:tc>
          <w:tcPr>
            <w:tcW w:w="1241"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 xml:space="preserve">'''''''''''' </w:t>
            </w:r>
          </w:p>
        </w:tc>
        <w:tc>
          <w:tcPr>
            <w:tcW w:w="1242"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1"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B4FC0" w:rsidRPr="009129FC" w:rsidTr="004938C5">
        <w:trPr>
          <w:trHeight w:val="58"/>
        </w:trPr>
        <w:tc>
          <w:tcPr>
            <w:tcW w:w="2802" w:type="dxa"/>
            <w:shd w:val="clear" w:color="auto" w:fill="auto"/>
            <w:noWrap/>
            <w:vAlign w:val="center"/>
          </w:tcPr>
          <w:p w:rsidR="003B4FC0" w:rsidRPr="002066D8" w:rsidRDefault="003B4FC0" w:rsidP="004938C5">
            <w:pPr>
              <w:tabs>
                <w:tab w:val="left" w:pos="3210"/>
              </w:tabs>
              <w:jc w:val="left"/>
              <w:rPr>
                <w:rFonts w:ascii="Arial Narrow" w:hAnsi="Arial Narrow"/>
                <w:sz w:val="20"/>
              </w:rPr>
            </w:pPr>
            <w:r>
              <w:rPr>
                <w:rFonts w:ascii="Arial Narrow" w:hAnsi="Arial Narrow"/>
                <w:sz w:val="20"/>
              </w:rPr>
              <w:t>Total PBS prescriptions (</w:t>
            </w:r>
            <w:r w:rsidRPr="003F2089">
              <w:rPr>
                <w:rFonts w:ascii="Arial Narrow" w:hAnsi="Arial Narrow"/>
                <w:sz w:val="20"/>
              </w:rPr>
              <w:t xml:space="preserve">13 </w:t>
            </w:r>
            <w:r>
              <w:rPr>
                <w:rFonts w:ascii="Arial Narrow" w:hAnsi="Arial Narrow"/>
                <w:sz w:val="20"/>
              </w:rPr>
              <w:t>scripts)</w:t>
            </w:r>
          </w:p>
        </w:tc>
        <w:tc>
          <w:tcPr>
            <w:tcW w:w="1241" w:type="dxa"/>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1" w:type="dxa"/>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B4FC0" w:rsidRPr="009129FC" w:rsidTr="004938C5">
        <w:trPr>
          <w:trHeight w:val="180"/>
        </w:trPr>
        <w:tc>
          <w:tcPr>
            <w:tcW w:w="2802" w:type="dxa"/>
            <w:shd w:val="clear" w:color="auto" w:fill="auto"/>
            <w:noWrap/>
            <w:vAlign w:val="center"/>
          </w:tcPr>
          <w:p w:rsidR="003B4FC0" w:rsidRDefault="003B4FC0" w:rsidP="004938C5">
            <w:pPr>
              <w:tabs>
                <w:tab w:val="left" w:pos="3210"/>
              </w:tabs>
              <w:jc w:val="left"/>
              <w:rPr>
                <w:rFonts w:ascii="Arial Narrow" w:hAnsi="Arial Narrow"/>
                <w:sz w:val="20"/>
              </w:rPr>
            </w:pPr>
            <w:r>
              <w:rPr>
                <w:rFonts w:ascii="Arial Narrow" w:hAnsi="Arial Narrow"/>
                <w:sz w:val="20"/>
              </w:rPr>
              <w:t>Total cost to PBS (DPMQ $</w:t>
            </w:r>
            <w:r w:rsidRPr="003F2089">
              <w:rPr>
                <w:rFonts w:ascii="Arial Narrow" w:hAnsi="Arial Narrow"/>
                <w:sz w:val="20"/>
              </w:rPr>
              <w:t>57.74</w:t>
            </w:r>
            <w:r>
              <w:rPr>
                <w:rFonts w:ascii="Arial Narrow" w:hAnsi="Arial Narrow"/>
                <w:sz w:val="20"/>
              </w:rPr>
              <w:t>)</w:t>
            </w:r>
          </w:p>
        </w:tc>
        <w:tc>
          <w:tcPr>
            <w:tcW w:w="1241" w:type="dxa"/>
            <w:shd w:val="clear" w:color="auto" w:fill="auto"/>
            <w:noWrap/>
            <w:vAlign w:val="center"/>
          </w:tcPr>
          <w:p w:rsidR="003B4FC0"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vAlign w:val="center"/>
          </w:tcPr>
          <w:p w:rsidR="003B4FC0"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1" w:type="dxa"/>
            <w:shd w:val="clear" w:color="auto" w:fill="auto"/>
            <w:noWrap/>
            <w:vAlign w:val="center"/>
          </w:tcPr>
          <w:p w:rsidR="003B4FC0"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vAlign w:val="center"/>
          </w:tcPr>
          <w:p w:rsidR="003B4FC0"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vAlign w:val="center"/>
          </w:tcPr>
          <w:p w:rsidR="003B4FC0"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r>
      <w:tr w:rsidR="003B4FC0" w:rsidRPr="009129FC" w:rsidTr="004938C5">
        <w:trPr>
          <w:trHeight w:val="58"/>
        </w:trPr>
        <w:tc>
          <w:tcPr>
            <w:tcW w:w="2802" w:type="dxa"/>
            <w:shd w:val="clear" w:color="auto" w:fill="auto"/>
            <w:noWrap/>
            <w:vAlign w:val="center"/>
          </w:tcPr>
          <w:p w:rsidR="003B4FC0" w:rsidRDefault="003B4FC0" w:rsidP="004938C5">
            <w:pPr>
              <w:tabs>
                <w:tab w:val="left" w:pos="3210"/>
              </w:tabs>
              <w:jc w:val="left"/>
              <w:rPr>
                <w:rFonts w:ascii="Arial Narrow" w:hAnsi="Arial Narrow"/>
                <w:sz w:val="20"/>
              </w:rPr>
            </w:pPr>
            <w:r>
              <w:rPr>
                <w:rFonts w:ascii="Arial Narrow" w:hAnsi="Arial Narrow"/>
                <w:sz w:val="20"/>
              </w:rPr>
              <w:t xml:space="preserve">Total PBS co-payments </w:t>
            </w:r>
          </w:p>
          <w:p w:rsidR="003B4FC0" w:rsidRPr="002066D8" w:rsidRDefault="003B4FC0" w:rsidP="004938C5">
            <w:pPr>
              <w:tabs>
                <w:tab w:val="left" w:pos="3210"/>
              </w:tabs>
              <w:jc w:val="left"/>
              <w:rPr>
                <w:rFonts w:ascii="Arial Narrow" w:hAnsi="Arial Narrow"/>
                <w:sz w:val="20"/>
              </w:rPr>
            </w:pPr>
            <w:r>
              <w:rPr>
                <w:rFonts w:ascii="Arial Narrow" w:hAnsi="Arial Narrow"/>
                <w:sz w:val="20"/>
              </w:rPr>
              <w:t>(weighted co-payment $</w:t>
            </w:r>
            <w:r w:rsidRPr="003F2089">
              <w:rPr>
                <w:rFonts w:ascii="Arial Narrow" w:hAnsi="Arial Narrow"/>
                <w:sz w:val="20"/>
              </w:rPr>
              <w:t>17.12</w:t>
            </w:r>
            <w:r>
              <w:rPr>
                <w:rFonts w:ascii="Arial Narrow" w:hAnsi="Arial Narrow"/>
                <w:sz w:val="20"/>
              </w:rPr>
              <w:t>)</w:t>
            </w:r>
          </w:p>
        </w:tc>
        <w:tc>
          <w:tcPr>
            <w:tcW w:w="1241" w:type="dxa"/>
            <w:tcBorders>
              <w:bottom w:val="single" w:sz="4" w:space="0" w:color="auto"/>
            </w:tcBorders>
            <w:shd w:val="clear" w:color="auto" w:fill="auto"/>
            <w:noWrap/>
            <w:vAlign w:val="center"/>
          </w:tcPr>
          <w:p w:rsidR="003B4FC0" w:rsidRPr="002066D8"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2066D8"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1" w:type="dxa"/>
            <w:tcBorders>
              <w:bottom w:val="single" w:sz="4" w:space="0" w:color="auto"/>
            </w:tcBorders>
            <w:shd w:val="clear" w:color="auto" w:fill="auto"/>
            <w:noWrap/>
            <w:vAlign w:val="center"/>
          </w:tcPr>
          <w:p w:rsidR="003B4FC0" w:rsidRPr="002066D8"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2066D8"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2066D8"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r>
      <w:tr w:rsidR="003B4FC0" w:rsidRPr="009129FC" w:rsidTr="004938C5">
        <w:trPr>
          <w:trHeight w:val="58"/>
        </w:trPr>
        <w:tc>
          <w:tcPr>
            <w:tcW w:w="2802" w:type="dxa"/>
            <w:shd w:val="clear" w:color="auto" w:fill="auto"/>
            <w:noWrap/>
            <w:vAlign w:val="center"/>
          </w:tcPr>
          <w:p w:rsidR="003B4FC0" w:rsidRPr="002066D8" w:rsidRDefault="003B4FC0" w:rsidP="004938C5">
            <w:pPr>
              <w:tabs>
                <w:tab w:val="left" w:pos="3210"/>
              </w:tabs>
              <w:jc w:val="left"/>
              <w:rPr>
                <w:rFonts w:ascii="Arial Narrow" w:hAnsi="Arial Narrow"/>
                <w:sz w:val="20"/>
              </w:rPr>
            </w:pPr>
            <w:r>
              <w:rPr>
                <w:rFonts w:ascii="Arial Narrow" w:hAnsi="Arial Narrow"/>
                <w:sz w:val="20"/>
              </w:rPr>
              <w:t>Total cost to PBS less co-payments</w:t>
            </w:r>
          </w:p>
        </w:tc>
        <w:tc>
          <w:tcPr>
            <w:tcW w:w="1241" w:type="dxa"/>
            <w:tcBorders>
              <w:bottom w:val="single" w:sz="4" w:space="0" w:color="auto"/>
            </w:tcBorders>
            <w:shd w:val="clear" w:color="auto" w:fill="auto"/>
            <w:noWrap/>
            <w:vAlign w:val="center"/>
          </w:tcPr>
          <w:p w:rsidR="003B4FC0" w:rsidRPr="002066D8"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2066D8"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1" w:type="dxa"/>
            <w:tcBorders>
              <w:bottom w:val="single" w:sz="4" w:space="0" w:color="auto"/>
            </w:tcBorders>
            <w:shd w:val="clear" w:color="auto" w:fill="auto"/>
            <w:noWrap/>
            <w:vAlign w:val="center"/>
          </w:tcPr>
          <w:p w:rsidR="003B4FC0" w:rsidRPr="002066D8"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2066D8"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2066D8" w:rsidRDefault="003B4FC0" w:rsidP="004938C5">
            <w:pPr>
              <w:tabs>
                <w:tab w:val="left" w:pos="3210"/>
              </w:tabs>
              <w:jc w:val="center"/>
              <w:rPr>
                <w:rFonts w:ascii="Arial Narrow" w:hAnsi="Arial Narrow"/>
                <w:sz w:val="20"/>
              </w:rPr>
            </w:pPr>
            <w:r w:rsidRPr="00225CF7">
              <w:rPr>
                <w:rFonts w:ascii="Arial Narrow" w:hAnsi="Arial Narrow"/>
                <w:sz w:val="20"/>
              </w:rPr>
              <w:t>$</w:t>
            </w:r>
            <w:r w:rsidR="00B02444">
              <w:rPr>
                <w:rFonts w:ascii="Arial Narrow" w:hAnsi="Arial Narrow"/>
                <w:noProof/>
                <w:color w:val="000000"/>
                <w:sz w:val="20"/>
                <w:highlight w:val="black"/>
              </w:rPr>
              <w:t>''''''''''''''''''''''''</w:t>
            </w:r>
          </w:p>
        </w:tc>
      </w:tr>
      <w:tr w:rsidR="003B4FC0" w:rsidRPr="009129FC" w:rsidTr="004938C5">
        <w:trPr>
          <w:trHeight w:val="58"/>
        </w:trPr>
        <w:tc>
          <w:tcPr>
            <w:tcW w:w="9010" w:type="dxa"/>
            <w:gridSpan w:val="6"/>
            <w:shd w:val="clear" w:color="auto" w:fill="auto"/>
            <w:noWrap/>
            <w:vAlign w:val="center"/>
          </w:tcPr>
          <w:p w:rsidR="003B4FC0" w:rsidRPr="00225CF7" w:rsidRDefault="003B4FC0" w:rsidP="004938C5">
            <w:pPr>
              <w:tabs>
                <w:tab w:val="left" w:pos="3210"/>
              </w:tabs>
              <w:jc w:val="left"/>
              <w:rPr>
                <w:rFonts w:ascii="Arial Narrow" w:hAnsi="Arial Narrow"/>
                <w:sz w:val="20"/>
              </w:rPr>
            </w:pPr>
            <w:r>
              <w:rPr>
                <w:rFonts w:ascii="Arial Narrow" w:hAnsi="Arial Narrow"/>
                <w:b/>
                <w:sz w:val="20"/>
              </w:rPr>
              <w:t>Estimated reduction in utilisation and costs of insulin glargine and sulfonylureas</w:t>
            </w:r>
          </w:p>
        </w:tc>
      </w:tr>
      <w:tr w:rsidR="003B4FC0" w:rsidRPr="009129FC" w:rsidTr="004938C5">
        <w:trPr>
          <w:trHeight w:val="58"/>
        </w:trPr>
        <w:tc>
          <w:tcPr>
            <w:tcW w:w="2802" w:type="dxa"/>
            <w:shd w:val="clear" w:color="auto" w:fill="auto"/>
            <w:noWrap/>
            <w:vAlign w:val="center"/>
          </w:tcPr>
          <w:p w:rsidR="003B4FC0" w:rsidRDefault="003B4FC0" w:rsidP="004938C5">
            <w:pPr>
              <w:tabs>
                <w:tab w:val="left" w:pos="3210"/>
              </w:tabs>
              <w:jc w:val="left"/>
              <w:rPr>
                <w:rFonts w:ascii="Arial Narrow" w:hAnsi="Arial Narrow"/>
                <w:sz w:val="20"/>
              </w:rPr>
            </w:pPr>
            <w:r>
              <w:rPr>
                <w:rFonts w:ascii="Arial Narrow" w:hAnsi="Arial Narrow"/>
                <w:sz w:val="20"/>
              </w:rPr>
              <w:t xml:space="preserve">Insulin glargine scripts replaced (70% of SGLT2 triple therapy patients; </w:t>
            </w:r>
            <w:r w:rsidR="00B02444">
              <w:rPr>
                <w:rFonts w:ascii="Arial Narrow" w:hAnsi="Arial Narrow"/>
                <w:noProof/>
                <w:color w:val="000000"/>
                <w:sz w:val="20"/>
                <w:highlight w:val="black"/>
              </w:rPr>
              <w:t>'''''''''</w:t>
            </w:r>
            <w:r>
              <w:rPr>
                <w:rFonts w:ascii="Arial Narrow" w:hAnsi="Arial Narrow"/>
                <w:sz w:val="20"/>
              </w:rPr>
              <w:t xml:space="preserve"> scripts per patient)</w:t>
            </w:r>
          </w:p>
        </w:tc>
        <w:tc>
          <w:tcPr>
            <w:tcW w:w="1241"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1"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B4FC0" w:rsidRPr="009129FC" w:rsidTr="004938C5">
        <w:trPr>
          <w:trHeight w:val="58"/>
        </w:trPr>
        <w:tc>
          <w:tcPr>
            <w:tcW w:w="2802" w:type="dxa"/>
            <w:shd w:val="clear" w:color="auto" w:fill="auto"/>
            <w:noWrap/>
            <w:vAlign w:val="center"/>
          </w:tcPr>
          <w:p w:rsidR="003B4FC0" w:rsidRDefault="003B4FC0" w:rsidP="004938C5">
            <w:pPr>
              <w:tabs>
                <w:tab w:val="left" w:pos="3210"/>
              </w:tabs>
              <w:jc w:val="left"/>
              <w:rPr>
                <w:rFonts w:ascii="Arial Narrow" w:hAnsi="Arial Narrow"/>
                <w:sz w:val="20"/>
              </w:rPr>
            </w:pPr>
            <w:r>
              <w:rPr>
                <w:rFonts w:ascii="Arial Narrow" w:hAnsi="Arial Narrow"/>
                <w:sz w:val="20"/>
              </w:rPr>
              <w:t>Insulin glargine costs (DPMQ less co-payment)</w:t>
            </w:r>
          </w:p>
        </w:tc>
        <w:tc>
          <w:tcPr>
            <w:tcW w:w="1241" w:type="dxa"/>
            <w:tcBorders>
              <w:bottom w:val="single" w:sz="4" w:space="0" w:color="auto"/>
            </w:tcBorders>
            <w:shd w:val="clear" w:color="auto" w:fill="auto"/>
            <w:noWrap/>
            <w:vAlign w:val="center"/>
          </w:tcPr>
          <w:p w:rsidR="003B4FC0" w:rsidRPr="00225CF7"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225CF7"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1" w:type="dxa"/>
            <w:tcBorders>
              <w:bottom w:val="single" w:sz="4" w:space="0" w:color="auto"/>
            </w:tcBorders>
            <w:shd w:val="clear" w:color="auto" w:fill="auto"/>
            <w:noWrap/>
            <w:vAlign w:val="center"/>
          </w:tcPr>
          <w:p w:rsidR="003B4FC0" w:rsidRPr="00225CF7"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225CF7"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vAlign w:val="center"/>
          </w:tcPr>
          <w:p w:rsidR="003B4FC0" w:rsidRPr="00225CF7"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r>
      <w:tr w:rsidR="003B4FC0" w:rsidRPr="009129FC" w:rsidTr="004938C5">
        <w:trPr>
          <w:trHeight w:val="58"/>
        </w:trPr>
        <w:tc>
          <w:tcPr>
            <w:tcW w:w="2802" w:type="dxa"/>
            <w:shd w:val="clear" w:color="auto" w:fill="auto"/>
            <w:noWrap/>
            <w:vAlign w:val="center"/>
          </w:tcPr>
          <w:p w:rsidR="003B4FC0" w:rsidRDefault="003B4FC0" w:rsidP="004938C5">
            <w:pPr>
              <w:tabs>
                <w:tab w:val="left" w:pos="3210"/>
              </w:tabs>
              <w:jc w:val="left"/>
              <w:rPr>
                <w:rFonts w:ascii="Arial Narrow" w:hAnsi="Arial Narrow"/>
                <w:sz w:val="20"/>
              </w:rPr>
            </w:pPr>
            <w:r>
              <w:rPr>
                <w:rFonts w:ascii="Arial Narrow" w:hAnsi="Arial Narrow"/>
                <w:sz w:val="20"/>
              </w:rPr>
              <w:t xml:space="preserve">Sulfonylurea scripts replaced (30% of SGLT2 triple therapy patients; </w:t>
            </w:r>
            <w:r w:rsidR="00B02444">
              <w:rPr>
                <w:rFonts w:ascii="Arial Narrow" w:hAnsi="Arial Narrow"/>
                <w:noProof/>
                <w:color w:val="000000"/>
                <w:sz w:val="20"/>
                <w:highlight w:val="black"/>
              </w:rPr>
              <w:t>''''''''</w:t>
            </w:r>
            <w:r>
              <w:rPr>
                <w:rFonts w:ascii="Arial Narrow" w:hAnsi="Arial Narrow"/>
                <w:sz w:val="20"/>
              </w:rPr>
              <w:t xml:space="preserve"> scripts per patient)</w:t>
            </w:r>
          </w:p>
        </w:tc>
        <w:tc>
          <w:tcPr>
            <w:tcW w:w="1241" w:type="dxa"/>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1" w:type="dxa"/>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c>
          <w:tcPr>
            <w:tcW w:w="1242" w:type="dxa"/>
            <w:shd w:val="clear" w:color="auto" w:fill="auto"/>
            <w:noWrap/>
            <w:vAlign w:val="center"/>
          </w:tcPr>
          <w:p w:rsidR="003B4FC0" w:rsidRPr="00B02444" w:rsidRDefault="00B02444" w:rsidP="004938C5">
            <w:pPr>
              <w:tabs>
                <w:tab w:val="left" w:pos="3210"/>
              </w:tabs>
              <w:jc w:val="center"/>
              <w:rPr>
                <w:rFonts w:ascii="Arial Narrow" w:hAnsi="Arial Narrow"/>
                <w:sz w:val="20"/>
                <w:highlight w:val="black"/>
              </w:rPr>
            </w:pPr>
            <w:r>
              <w:rPr>
                <w:rFonts w:ascii="Arial Narrow" w:hAnsi="Arial Narrow"/>
                <w:noProof/>
                <w:color w:val="000000"/>
                <w:sz w:val="20"/>
                <w:highlight w:val="black"/>
              </w:rPr>
              <w:t>'''''''''''''''''</w:t>
            </w:r>
          </w:p>
        </w:tc>
      </w:tr>
      <w:tr w:rsidR="003B4FC0" w:rsidRPr="009129FC" w:rsidTr="004938C5">
        <w:trPr>
          <w:trHeight w:val="58"/>
        </w:trPr>
        <w:tc>
          <w:tcPr>
            <w:tcW w:w="2802" w:type="dxa"/>
            <w:shd w:val="clear" w:color="auto" w:fill="auto"/>
            <w:noWrap/>
            <w:vAlign w:val="center"/>
          </w:tcPr>
          <w:p w:rsidR="003B4FC0" w:rsidRDefault="003B4FC0" w:rsidP="004938C5">
            <w:pPr>
              <w:tabs>
                <w:tab w:val="left" w:pos="3210"/>
              </w:tabs>
              <w:jc w:val="left"/>
              <w:rPr>
                <w:rFonts w:ascii="Arial Narrow" w:hAnsi="Arial Narrow"/>
                <w:sz w:val="20"/>
              </w:rPr>
            </w:pPr>
            <w:r>
              <w:rPr>
                <w:rFonts w:ascii="Arial Narrow" w:hAnsi="Arial Narrow"/>
                <w:sz w:val="20"/>
              </w:rPr>
              <w:t>Sulfonylurea costs (DPMQ less co-payment)</w:t>
            </w:r>
          </w:p>
        </w:tc>
        <w:tc>
          <w:tcPr>
            <w:tcW w:w="1241" w:type="dxa"/>
            <w:shd w:val="clear" w:color="auto" w:fill="auto"/>
            <w:noWrap/>
            <w:vAlign w:val="center"/>
          </w:tcPr>
          <w:p w:rsidR="003B4FC0" w:rsidRPr="00835072" w:rsidRDefault="003B4FC0" w:rsidP="004938C5">
            <w:pPr>
              <w:tabs>
                <w:tab w:val="left" w:pos="3210"/>
              </w:tabs>
              <w:jc w:val="center"/>
              <w:rPr>
                <w:rFonts w:ascii="Arial Narrow" w:hAnsi="Arial Narrow"/>
                <w:sz w:val="20"/>
              </w:rPr>
            </w:pPr>
            <w:r w:rsidRPr="00835072">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vAlign w:val="center"/>
          </w:tcPr>
          <w:p w:rsidR="003B4FC0" w:rsidRPr="00835072" w:rsidRDefault="003B4FC0" w:rsidP="004938C5">
            <w:pPr>
              <w:tabs>
                <w:tab w:val="left" w:pos="3210"/>
              </w:tabs>
              <w:jc w:val="center"/>
              <w:rPr>
                <w:rFonts w:ascii="Arial Narrow" w:hAnsi="Arial Narrow"/>
                <w:sz w:val="20"/>
              </w:rPr>
            </w:pPr>
            <w:r w:rsidRPr="00835072">
              <w:rPr>
                <w:rFonts w:ascii="Arial Narrow" w:hAnsi="Arial Narrow"/>
                <w:sz w:val="20"/>
              </w:rPr>
              <w:t>$</w:t>
            </w:r>
            <w:r w:rsidR="00B02444">
              <w:rPr>
                <w:rFonts w:ascii="Arial Narrow" w:hAnsi="Arial Narrow"/>
                <w:noProof/>
                <w:color w:val="000000"/>
                <w:sz w:val="20"/>
                <w:highlight w:val="black"/>
              </w:rPr>
              <w:t>'''''''''''''''''''</w:t>
            </w:r>
          </w:p>
        </w:tc>
        <w:tc>
          <w:tcPr>
            <w:tcW w:w="1241" w:type="dxa"/>
            <w:shd w:val="clear" w:color="auto" w:fill="auto"/>
            <w:noWrap/>
            <w:vAlign w:val="center"/>
          </w:tcPr>
          <w:p w:rsidR="003B4FC0" w:rsidRPr="00835072" w:rsidRDefault="003B4FC0" w:rsidP="004938C5">
            <w:pPr>
              <w:tabs>
                <w:tab w:val="left" w:pos="3210"/>
              </w:tabs>
              <w:jc w:val="center"/>
              <w:rPr>
                <w:rFonts w:ascii="Arial Narrow" w:hAnsi="Arial Narrow"/>
                <w:sz w:val="20"/>
              </w:rPr>
            </w:pPr>
            <w:r w:rsidRPr="00835072">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vAlign w:val="center"/>
          </w:tcPr>
          <w:p w:rsidR="003B4FC0" w:rsidRPr="00835072" w:rsidRDefault="003B4FC0" w:rsidP="004938C5">
            <w:pPr>
              <w:tabs>
                <w:tab w:val="left" w:pos="3210"/>
              </w:tabs>
              <w:jc w:val="center"/>
              <w:rPr>
                <w:rFonts w:ascii="Arial Narrow" w:hAnsi="Arial Narrow"/>
                <w:sz w:val="20"/>
              </w:rPr>
            </w:pPr>
            <w:r w:rsidRPr="00835072">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vAlign w:val="center"/>
          </w:tcPr>
          <w:p w:rsidR="003B4FC0" w:rsidRPr="00835072" w:rsidRDefault="003B4FC0" w:rsidP="004938C5">
            <w:pPr>
              <w:tabs>
                <w:tab w:val="left" w:pos="3210"/>
              </w:tabs>
              <w:jc w:val="center"/>
              <w:rPr>
                <w:rFonts w:ascii="Arial Narrow" w:hAnsi="Arial Narrow"/>
                <w:sz w:val="20"/>
              </w:rPr>
            </w:pPr>
            <w:r w:rsidRPr="00835072">
              <w:rPr>
                <w:rFonts w:ascii="Arial Narrow" w:hAnsi="Arial Narrow"/>
                <w:sz w:val="20"/>
              </w:rPr>
              <w:t>$</w:t>
            </w:r>
            <w:r w:rsidR="00B02444">
              <w:rPr>
                <w:rFonts w:ascii="Arial Narrow" w:hAnsi="Arial Narrow"/>
                <w:noProof/>
                <w:color w:val="000000"/>
                <w:sz w:val="20"/>
                <w:highlight w:val="black"/>
              </w:rPr>
              <w:t>'''''''''''''''''''''</w:t>
            </w:r>
          </w:p>
        </w:tc>
      </w:tr>
      <w:tr w:rsidR="003B4FC0" w:rsidRPr="00877AD1" w:rsidTr="004938C5">
        <w:trPr>
          <w:trHeight w:val="58"/>
        </w:trPr>
        <w:tc>
          <w:tcPr>
            <w:tcW w:w="2802" w:type="dxa"/>
            <w:shd w:val="clear" w:color="auto" w:fill="auto"/>
            <w:noWrap/>
            <w:vAlign w:val="center"/>
          </w:tcPr>
          <w:p w:rsidR="003B4FC0" w:rsidRPr="00877AD1" w:rsidRDefault="003B4FC0" w:rsidP="004938C5">
            <w:pPr>
              <w:tabs>
                <w:tab w:val="left" w:pos="3210"/>
              </w:tabs>
              <w:jc w:val="left"/>
              <w:rPr>
                <w:rFonts w:ascii="Arial Narrow" w:hAnsi="Arial Narrow"/>
                <w:sz w:val="20"/>
              </w:rPr>
            </w:pPr>
            <w:r w:rsidRPr="00877AD1">
              <w:rPr>
                <w:rFonts w:ascii="Arial Narrow" w:hAnsi="Arial Narrow"/>
                <w:sz w:val="20"/>
              </w:rPr>
              <w:t>Total reduction in costs (DPMQ)</w:t>
            </w:r>
          </w:p>
        </w:tc>
        <w:tc>
          <w:tcPr>
            <w:tcW w:w="1241" w:type="dxa"/>
            <w:shd w:val="clear" w:color="auto" w:fill="auto"/>
            <w:noWrap/>
          </w:tcPr>
          <w:p w:rsidR="003B4FC0" w:rsidRPr="00877AD1" w:rsidRDefault="003B4FC0" w:rsidP="004938C5">
            <w:pPr>
              <w:tabs>
                <w:tab w:val="left" w:pos="3210"/>
              </w:tabs>
              <w:jc w:val="center"/>
              <w:rPr>
                <w:rFonts w:ascii="Arial Narrow" w:hAnsi="Arial Narrow"/>
                <w:sz w:val="20"/>
              </w:rPr>
            </w:pPr>
            <w:r w:rsidRPr="00877AD1">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tcPr>
          <w:p w:rsidR="003B4FC0" w:rsidRPr="00877AD1" w:rsidRDefault="003B4FC0" w:rsidP="004938C5">
            <w:pPr>
              <w:tabs>
                <w:tab w:val="left" w:pos="3210"/>
              </w:tabs>
              <w:jc w:val="center"/>
              <w:rPr>
                <w:rFonts w:ascii="Arial Narrow" w:hAnsi="Arial Narrow"/>
                <w:sz w:val="20"/>
              </w:rPr>
            </w:pPr>
            <w:r w:rsidRPr="00877AD1">
              <w:rPr>
                <w:rFonts w:ascii="Arial Narrow" w:hAnsi="Arial Narrow"/>
                <w:sz w:val="20"/>
              </w:rPr>
              <w:t>$</w:t>
            </w:r>
            <w:r w:rsidR="00B02444">
              <w:rPr>
                <w:rFonts w:ascii="Arial Narrow" w:hAnsi="Arial Narrow"/>
                <w:noProof/>
                <w:color w:val="000000"/>
                <w:sz w:val="20"/>
                <w:highlight w:val="black"/>
              </w:rPr>
              <w:t>'''''''''''''''''''''''''</w:t>
            </w:r>
          </w:p>
        </w:tc>
        <w:tc>
          <w:tcPr>
            <w:tcW w:w="1241" w:type="dxa"/>
            <w:shd w:val="clear" w:color="auto" w:fill="auto"/>
            <w:noWrap/>
          </w:tcPr>
          <w:p w:rsidR="003B4FC0" w:rsidRPr="00877AD1" w:rsidRDefault="003B4FC0" w:rsidP="004938C5">
            <w:pPr>
              <w:tabs>
                <w:tab w:val="left" w:pos="3210"/>
              </w:tabs>
              <w:jc w:val="center"/>
              <w:rPr>
                <w:rFonts w:ascii="Arial Narrow" w:hAnsi="Arial Narrow"/>
                <w:sz w:val="20"/>
              </w:rPr>
            </w:pPr>
            <w:r w:rsidRPr="00877AD1">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tcPr>
          <w:p w:rsidR="003B4FC0" w:rsidRPr="00877AD1" w:rsidRDefault="003B4FC0" w:rsidP="004938C5">
            <w:pPr>
              <w:tabs>
                <w:tab w:val="left" w:pos="3210"/>
              </w:tabs>
              <w:jc w:val="center"/>
              <w:rPr>
                <w:rFonts w:ascii="Arial Narrow" w:hAnsi="Arial Narrow"/>
                <w:sz w:val="20"/>
              </w:rPr>
            </w:pPr>
            <w:r w:rsidRPr="00877AD1">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tcPr>
          <w:p w:rsidR="003B4FC0" w:rsidRPr="00877AD1" w:rsidRDefault="003B4FC0" w:rsidP="004938C5">
            <w:pPr>
              <w:tabs>
                <w:tab w:val="left" w:pos="3210"/>
              </w:tabs>
              <w:jc w:val="center"/>
              <w:rPr>
                <w:rFonts w:ascii="Arial Narrow" w:hAnsi="Arial Narrow"/>
                <w:sz w:val="20"/>
              </w:rPr>
            </w:pPr>
            <w:r w:rsidRPr="00877AD1">
              <w:rPr>
                <w:rFonts w:ascii="Arial Narrow" w:hAnsi="Arial Narrow"/>
                <w:sz w:val="20"/>
              </w:rPr>
              <w:t>$</w:t>
            </w:r>
            <w:r w:rsidR="00B02444">
              <w:rPr>
                <w:rFonts w:ascii="Arial Narrow" w:hAnsi="Arial Narrow"/>
                <w:noProof/>
                <w:color w:val="000000"/>
                <w:sz w:val="20"/>
                <w:highlight w:val="black"/>
              </w:rPr>
              <w:t>''''''''''''''''''''''''</w:t>
            </w:r>
          </w:p>
        </w:tc>
      </w:tr>
      <w:tr w:rsidR="003B4FC0" w:rsidRPr="00877AD1" w:rsidTr="004938C5">
        <w:trPr>
          <w:trHeight w:val="58"/>
        </w:trPr>
        <w:tc>
          <w:tcPr>
            <w:tcW w:w="2802" w:type="dxa"/>
            <w:shd w:val="clear" w:color="auto" w:fill="auto"/>
            <w:noWrap/>
            <w:vAlign w:val="center"/>
          </w:tcPr>
          <w:p w:rsidR="003B4FC0" w:rsidRPr="00877AD1" w:rsidRDefault="003B4FC0" w:rsidP="004938C5">
            <w:pPr>
              <w:tabs>
                <w:tab w:val="left" w:pos="3210"/>
              </w:tabs>
              <w:jc w:val="left"/>
              <w:rPr>
                <w:rFonts w:ascii="Arial Narrow" w:hAnsi="Arial Narrow"/>
                <w:sz w:val="20"/>
              </w:rPr>
            </w:pPr>
            <w:r w:rsidRPr="00877AD1">
              <w:rPr>
                <w:rFonts w:ascii="Arial Narrow" w:hAnsi="Arial Narrow"/>
                <w:sz w:val="20"/>
              </w:rPr>
              <w:t>Total reduction in costs (DPMQ less co-payment)</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FC0" w:rsidRPr="00877AD1" w:rsidRDefault="003B4FC0" w:rsidP="004938C5">
            <w:pPr>
              <w:tabs>
                <w:tab w:val="left" w:pos="3210"/>
              </w:tabs>
              <w:jc w:val="center"/>
              <w:rPr>
                <w:rFonts w:ascii="Arial Narrow" w:hAnsi="Arial Narrow"/>
                <w:sz w:val="20"/>
              </w:rPr>
            </w:pPr>
            <w:r w:rsidRPr="00877AD1">
              <w:rPr>
                <w:rFonts w:ascii="Arial Narrow" w:hAnsi="Arial Narrow"/>
                <w:color w:val="000000"/>
                <w:sz w:val="20"/>
              </w:rPr>
              <w:t>$</w:t>
            </w:r>
            <w:r w:rsidR="00B02444">
              <w:rPr>
                <w:rFonts w:ascii="Arial Narrow" w:hAnsi="Arial Narrow"/>
                <w:noProof/>
                <w:color w:val="000000"/>
                <w:sz w:val="20"/>
                <w:highlight w:val="black"/>
              </w:rPr>
              <w:t>'''''''''''''''''''''''</w:t>
            </w:r>
          </w:p>
        </w:tc>
        <w:tc>
          <w:tcPr>
            <w:tcW w:w="1242" w:type="dxa"/>
            <w:tcBorders>
              <w:top w:val="single" w:sz="4" w:space="0" w:color="auto"/>
              <w:left w:val="nil"/>
              <w:bottom w:val="single" w:sz="4" w:space="0" w:color="auto"/>
              <w:right w:val="single" w:sz="4" w:space="0" w:color="auto"/>
            </w:tcBorders>
            <w:shd w:val="clear" w:color="auto" w:fill="auto"/>
            <w:noWrap/>
            <w:vAlign w:val="center"/>
          </w:tcPr>
          <w:p w:rsidR="003B4FC0" w:rsidRPr="00877AD1" w:rsidRDefault="003B4FC0" w:rsidP="004938C5">
            <w:pPr>
              <w:tabs>
                <w:tab w:val="left" w:pos="3210"/>
              </w:tabs>
              <w:jc w:val="center"/>
              <w:rPr>
                <w:rFonts w:ascii="Arial Narrow" w:hAnsi="Arial Narrow"/>
                <w:sz w:val="20"/>
              </w:rPr>
            </w:pPr>
            <w:r w:rsidRPr="00877AD1">
              <w:rPr>
                <w:rFonts w:ascii="Arial Narrow" w:hAnsi="Arial Narrow"/>
                <w:color w:val="000000"/>
                <w:sz w:val="20"/>
              </w:rPr>
              <w:t>$</w:t>
            </w:r>
            <w:r w:rsidR="00B02444">
              <w:rPr>
                <w:rFonts w:ascii="Arial Narrow" w:hAnsi="Arial Narrow"/>
                <w:noProof/>
                <w:color w:val="000000"/>
                <w:sz w:val="20"/>
                <w:highlight w:val="black"/>
              </w:rPr>
              <w:t>'''''''''''''''''''''</w:t>
            </w:r>
          </w:p>
        </w:tc>
        <w:tc>
          <w:tcPr>
            <w:tcW w:w="1241" w:type="dxa"/>
            <w:tcBorders>
              <w:top w:val="single" w:sz="4" w:space="0" w:color="auto"/>
              <w:left w:val="nil"/>
              <w:bottom w:val="single" w:sz="4" w:space="0" w:color="auto"/>
              <w:right w:val="single" w:sz="4" w:space="0" w:color="auto"/>
            </w:tcBorders>
            <w:shd w:val="clear" w:color="auto" w:fill="auto"/>
            <w:noWrap/>
            <w:vAlign w:val="center"/>
          </w:tcPr>
          <w:p w:rsidR="003B4FC0" w:rsidRPr="00877AD1" w:rsidRDefault="003B4FC0" w:rsidP="004938C5">
            <w:pPr>
              <w:tabs>
                <w:tab w:val="left" w:pos="3210"/>
              </w:tabs>
              <w:jc w:val="center"/>
              <w:rPr>
                <w:rFonts w:ascii="Arial Narrow" w:hAnsi="Arial Narrow"/>
                <w:sz w:val="20"/>
              </w:rPr>
            </w:pPr>
            <w:r w:rsidRPr="00877AD1">
              <w:rPr>
                <w:rFonts w:ascii="Arial Narrow" w:hAnsi="Arial Narrow"/>
                <w:color w:val="000000"/>
                <w:sz w:val="20"/>
              </w:rPr>
              <w:t>$</w:t>
            </w:r>
            <w:r w:rsidR="00B02444">
              <w:rPr>
                <w:rFonts w:ascii="Arial Narrow" w:hAnsi="Arial Narrow"/>
                <w:noProof/>
                <w:color w:val="000000"/>
                <w:sz w:val="20"/>
                <w:highlight w:val="black"/>
              </w:rPr>
              <w:t>'''''''''''''''''''''</w:t>
            </w:r>
          </w:p>
        </w:tc>
        <w:tc>
          <w:tcPr>
            <w:tcW w:w="1242" w:type="dxa"/>
            <w:tcBorders>
              <w:top w:val="single" w:sz="4" w:space="0" w:color="auto"/>
              <w:left w:val="nil"/>
              <w:bottom w:val="single" w:sz="4" w:space="0" w:color="auto"/>
              <w:right w:val="single" w:sz="4" w:space="0" w:color="auto"/>
            </w:tcBorders>
            <w:shd w:val="clear" w:color="auto" w:fill="auto"/>
            <w:noWrap/>
            <w:vAlign w:val="center"/>
          </w:tcPr>
          <w:p w:rsidR="003B4FC0" w:rsidRPr="00877AD1" w:rsidRDefault="003B4FC0" w:rsidP="004938C5">
            <w:pPr>
              <w:tabs>
                <w:tab w:val="left" w:pos="3210"/>
              </w:tabs>
              <w:jc w:val="center"/>
              <w:rPr>
                <w:rFonts w:ascii="Arial Narrow" w:hAnsi="Arial Narrow"/>
                <w:sz w:val="20"/>
              </w:rPr>
            </w:pPr>
            <w:r w:rsidRPr="00877AD1">
              <w:rPr>
                <w:rFonts w:ascii="Arial Narrow" w:hAnsi="Arial Narrow"/>
                <w:color w:val="000000"/>
                <w:sz w:val="20"/>
              </w:rPr>
              <w:t>$</w:t>
            </w:r>
            <w:r w:rsidR="00B02444">
              <w:rPr>
                <w:rFonts w:ascii="Arial Narrow" w:hAnsi="Arial Narrow"/>
                <w:noProof/>
                <w:color w:val="000000"/>
                <w:sz w:val="20"/>
                <w:highlight w:val="black"/>
              </w:rPr>
              <w:t>''''''''''''''''''''''''</w:t>
            </w:r>
          </w:p>
        </w:tc>
        <w:tc>
          <w:tcPr>
            <w:tcW w:w="1242" w:type="dxa"/>
            <w:tcBorders>
              <w:top w:val="single" w:sz="4" w:space="0" w:color="auto"/>
              <w:left w:val="nil"/>
              <w:bottom w:val="single" w:sz="4" w:space="0" w:color="auto"/>
              <w:right w:val="single" w:sz="4" w:space="0" w:color="auto"/>
            </w:tcBorders>
            <w:shd w:val="clear" w:color="auto" w:fill="auto"/>
            <w:noWrap/>
            <w:vAlign w:val="center"/>
          </w:tcPr>
          <w:p w:rsidR="003B4FC0" w:rsidRPr="00877AD1" w:rsidRDefault="003B4FC0" w:rsidP="004938C5">
            <w:pPr>
              <w:tabs>
                <w:tab w:val="left" w:pos="3210"/>
              </w:tabs>
              <w:jc w:val="center"/>
              <w:rPr>
                <w:rFonts w:ascii="Arial Narrow" w:hAnsi="Arial Narrow"/>
                <w:sz w:val="20"/>
              </w:rPr>
            </w:pPr>
            <w:r w:rsidRPr="00877AD1">
              <w:rPr>
                <w:rFonts w:ascii="Arial Narrow" w:hAnsi="Arial Narrow"/>
                <w:color w:val="000000"/>
                <w:sz w:val="20"/>
              </w:rPr>
              <w:t>$</w:t>
            </w:r>
            <w:r w:rsidR="00B02444">
              <w:rPr>
                <w:rFonts w:ascii="Arial Narrow" w:hAnsi="Arial Narrow"/>
                <w:noProof/>
                <w:color w:val="000000"/>
                <w:sz w:val="20"/>
                <w:highlight w:val="black"/>
              </w:rPr>
              <w:t>''''''''''''''''''''''''''''</w:t>
            </w:r>
          </w:p>
        </w:tc>
      </w:tr>
      <w:tr w:rsidR="003B4FC0" w:rsidRPr="00877AD1" w:rsidTr="004938C5">
        <w:trPr>
          <w:trHeight w:val="58"/>
        </w:trPr>
        <w:tc>
          <w:tcPr>
            <w:tcW w:w="9010" w:type="dxa"/>
            <w:gridSpan w:val="6"/>
            <w:tcBorders>
              <w:right w:val="single" w:sz="4" w:space="0" w:color="auto"/>
            </w:tcBorders>
            <w:shd w:val="clear" w:color="auto" w:fill="auto"/>
            <w:noWrap/>
            <w:vAlign w:val="center"/>
          </w:tcPr>
          <w:p w:rsidR="003B4FC0" w:rsidRPr="00877AD1" w:rsidRDefault="003B4FC0" w:rsidP="004938C5">
            <w:pPr>
              <w:tabs>
                <w:tab w:val="left" w:pos="3210"/>
              </w:tabs>
              <w:jc w:val="left"/>
              <w:rPr>
                <w:rFonts w:ascii="Arial Narrow" w:hAnsi="Arial Narrow"/>
                <w:b/>
                <w:color w:val="000000"/>
                <w:sz w:val="20"/>
              </w:rPr>
            </w:pPr>
            <w:r>
              <w:rPr>
                <w:rFonts w:ascii="Arial Narrow" w:hAnsi="Arial Narrow"/>
                <w:b/>
                <w:color w:val="000000"/>
                <w:sz w:val="20"/>
              </w:rPr>
              <w:t xml:space="preserve">Net financial implications of listing </w:t>
            </w:r>
            <w:proofErr w:type="spellStart"/>
            <w:r>
              <w:rPr>
                <w:rFonts w:ascii="Arial Narrow" w:hAnsi="Arial Narrow"/>
                <w:b/>
                <w:color w:val="000000"/>
                <w:sz w:val="20"/>
              </w:rPr>
              <w:t>dapagliflozin</w:t>
            </w:r>
            <w:proofErr w:type="spellEnd"/>
          </w:p>
        </w:tc>
      </w:tr>
      <w:tr w:rsidR="003B4FC0" w:rsidRPr="00123152" w:rsidTr="004938C5">
        <w:trPr>
          <w:trHeight w:val="58"/>
        </w:trPr>
        <w:tc>
          <w:tcPr>
            <w:tcW w:w="2802" w:type="dxa"/>
            <w:shd w:val="clear" w:color="auto" w:fill="auto"/>
            <w:noWrap/>
            <w:vAlign w:val="center"/>
          </w:tcPr>
          <w:p w:rsidR="003B4FC0" w:rsidRPr="00123152" w:rsidRDefault="003B4FC0" w:rsidP="004938C5">
            <w:pPr>
              <w:tabs>
                <w:tab w:val="left" w:pos="3210"/>
              </w:tabs>
              <w:jc w:val="left"/>
              <w:rPr>
                <w:rFonts w:ascii="Arial Narrow" w:hAnsi="Arial Narrow"/>
                <w:sz w:val="20"/>
              </w:rPr>
            </w:pPr>
            <w:r w:rsidRPr="00123152">
              <w:rPr>
                <w:rFonts w:ascii="Arial Narrow" w:hAnsi="Arial Narrow"/>
                <w:sz w:val="20"/>
              </w:rPr>
              <w:t>Net cost to PBS (DPMQ)</w:t>
            </w:r>
          </w:p>
        </w:tc>
        <w:tc>
          <w:tcPr>
            <w:tcW w:w="1241" w:type="dxa"/>
            <w:shd w:val="clear" w:color="auto" w:fill="auto"/>
            <w:noWrap/>
          </w:tcPr>
          <w:p w:rsidR="003B4FC0" w:rsidRPr="00123152"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tcPr>
          <w:p w:rsidR="003B4FC0" w:rsidRPr="00123152"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1" w:type="dxa"/>
            <w:shd w:val="clear" w:color="auto" w:fill="auto"/>
            <w:noWrap/>
          </w:tcPr>
          <w:p w:rsidR="003B4FC0" w:rsidRPr="00123152"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tcPr>
          <w:p w:rsidR="003B4FC0" w:rsidRPr="00123152"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tcPr>
          <w:p w:rsidR="003B4FC0" w:rsidRPr="00123152"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r>
      <w:tr w:rsidR="003B4FC0" w:rsidRPr="00EB17A2" w:rsidTr="004938C5">
        <w:trPr>
          <w:trHeight w:val="58"/>
        </w:trPr>
        <w:tc>
          <w:tcPr>
            <w:tcW w:w="2802" w:type="dxa"/>
            <w:shd w:val="clear" w:color="auto" w:fill="auto"/>
            <w:noWrap/>
            <w:vAlign w:val="center"/>
          </w:tcPr>
          <w:p w:rsidR="003B4FC0" w:rsidRPr="00EB17A2" w:rsidRDefault="003B4FC0" w:rsidP="004938C5">
            <w:pPr>
              <w:tabs>
                <w:tab w:val="left" w:pos="3210"/>
              </w:tabs>
              <w:jc w:val="left"/>
              <w:rPr>
                <w:rFonts w:ascii="Arial Narrow" w:hAnsi="Arial Narrow"/>
                <w:sz w:val="20"/>
              </w:rPr>
            </w:pPr>
            <w:r w:rsidRPr="00EB17A2">
              <w:rPr>
                <w:rFonts w:ascii="Arial Narrow" w:hAnsi="Arial Narrow"/>
                <w:sz w:val="20"/>
              </w:rPr>
              <w:t>Net patient co-payments</w:t>
            </w:r>
          </w:p>
        </w:tc>
        <w:tc>
          <w:tcPr>
            <w:tcW w:w="1241" w:type="dxa"/>
            <w:shd w:val="clear" w:color="auto" w:fill="auto"/>
            <w:noWrap/>
          </w:tcPr>
          <w:p w:rsidR="003B4FC0" w:rsidRPr="00EB17A2" w:rsidRDefault="003B4FC0" w:rsidP="004938C5">
            <w:pPr>
              <w:tabs>
                <w:tab w:val="left" w:pos="3210"/>
              </w:tabs>
              <w:jc w:val="center"/>
              <w:rPr>
                <w:rFonts w:ascii="Arial Narrow" w:hAnsi="Arial Narrow"/>
                <w:sz w:val="20"/>
              </w:rPr>
            </w:pPr>
            <w:r w:rsidRPr="00EB17A2">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tcPr>
          <w:p w:rsidR="003B4FC0" w:rsidRPr="00EB17A2" w:rsidRDefault="003B4FC0" w:rsidP="004938C5">
            <w:pPr>
              <w:tabs>
                <w:tab w:val="left" w:pos="3210"/>
              </w:tabs>
              <w:jc w:val="center"/>
              <w:rPr>
                <w:rFonts w:ascii="Arial Narrow" w:hAnsi="Arial Narrow"/>
                <w:sz w:val="20"/>
              </w:rPr>
            </w:pPr>
            <w:r w:rsidRPr="00EB17A2">
              <w:rPr>
                <w:rFonts w:ascii="Arial Narrow" w:hAnsi="Arial Narrow"/>
                <w:sz w:val="20"/>
              </w:rPr>
              <w:t>$</w:t>
            </w:r>
            <w:r w:rsidR="00B02444">
              <w:rPr>
                <w:rFonts w:ascii="Arial Narrow" w:hAnsi="Arial Narrow"/>
                <w:noProof/>
                <w:color w:val="000000"/>
                <w:sz w:val="20"/>
                <w:highlight w:val="black"/>
              </w:rPr>
              <w:t>'''''''''''''''''''''''''</w:t>
            </w:r>
          </w:p>
        </w:tc>
        <w:tc>
          <w:tcPr>
            <w:tcW w:w="1241" w:type="dxa"/>
            <w:shd w:val="clear" w:color="auto" w:fill="auto"/>
            <w:noWrap/>
          </w:tcPr>
          <w:p w:rsidR="003B4FC0" w:rsidRPr="00EB17A2" w:rsidRDefault="003B4FC0" w:rsidP="004938C5">
            <w:pPr>
              <w:tabs>
                <w:tab w:val="left" w:pos="3210"/>
              </w:tabs>
              <w:jc w:val="center"/>
              <w:rPr>
                <w:rFonts w:ascii="Arial Narrow" w:hAnsi="Arial Narrow"/>
                <w:sz w:val="20"/>
              </w:rPr>
            </w:pPr>
            <w:r w:rsidRPr="00EB17A2">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tcPr>
          <w:p w:rsidR="003B4FC0" w:rsidRPr="00EB17A2" w:rsidRDefault="003B4FC0" w:rsidP="004938C5">
            <w:pPr>
              <w:tabs>
                <w:tab w:val="left" w:pos="3210"/>
              </w:tabs>
              <w:jc w:val="center"/>
              <w:rPr>
                <w:rFonts w:ascii="Arial Narrow" w:hAnsi="Arial Narrow"/>
                <w:sz w:val="20"/>
              </w:rPr>
            </w:pPr>
            <w:r w:rsidRPr="00EB17A2">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tcPr>
          <w:p w:rsidR="003B4FC0" w:rsidRPr="00EB17A2" w:rsidRDefault="003B4FC0" w:rsidP="004938C5">
            <w:pPr>
              <w:tabs>
                <w:tab w:val="left" w:pos="3210"/>
              </w:tabs>
              <w:jc w:val="center"/>
              <w:rPr>
                <w:rFonts w:ascii="Arial Narrow" w:hAnsi="Arial Narrow"/>
                <w:sz w:val="20"/>
              </w:rPr>
            </w:pPr>
            <w:r w:rsidRPr="00EB17A2">
              <w:rPr>
                <w:rFonts w:ascii="Arial Narrow" w:hAnsi="Arial Narrow"/>
                <w:sz w:val="20"/>
              </w:rPr>
              <w:t>$</w:t>
            </w:r>
            <w:r w:rsidR="00B02444">
              <w:rPr>
                <w:rFonts w:ascii="Arial Narrow" w:hAnsi="Arial Narrow"/>
                <w:noProof/>
                <w:color w:val="000000"/>
                <w:sz w:val="20"/>
                <w:highlight w:val="black"/>
              </w:rPr>
              <w:t>'''''''''''''''''''''''</w:t>
            </w:r>
          </w:p>
        </w:tc>
      </w:tr>
      <w:tr w:rsidR="003B4FC0" w:rsidRPr="00123152" w:rsidTr="004938C5">
        <w:trPr>
          <w:trHeight w:val="58"/>
        </w:trPr>
        <w:tc>
          <w:tcPr>
            <w:tcW w:w="2802" w:type="dxa"/>
            <w:shd w:val="clear" w:color="auto" w:fill="auto"/>
            <w:noWrap/>
            <w:vAlign w:val="center"/>
          </w:tcPr>
          <w:p w:rsidR="003B4FC0" w:rsidRPr="00B81466" w:rsidRDefault="003B4FC0" w:rsidP="004938C5">
            <w:pPr>
              <w:tabs>
                <w:tab w:val="left" w:pos="3210"/>
              </w:tabs>
              <w:jc w:val="left"/>
              <w:rPr>
                <w:rFonts w:ascii="Arial Narrow" w:hAnsi="Arial Narrow"/>
                <w:b/>
                <w:sz w:val="20"/>
              </w:rPr>
            </w:pPr>
            <w:r w:rsidRPr="00B81466">
              <w:rPr>
                <w:rFonts w:ascii="Arial Narrow" w:hAnsi="Arial Narrow"/>
                <w:b/>
                <w:sz w:val="20"/>
              </w:rPr>
              <w:t>Net cost to PBS less co-payments</w:t>
            </w:r>
          </w:p>
        </w:tc>
        <w:tc>
          <w:tcPr>
            <w:tcW w:w="1241" w:type="dxa"/>
            <w:shd w:val="clear" w:color="auto" w:fill="auto"/>
            <w:noWrap/>
          </w:tcPr>
          <w:p w:rsidR="003B4FC0" w:rsidRPr="00B81466" w:rsidRDefault="003B4FC0" w:rsidP="004938C5">
            <w:pPr>
              <w:tabs>
                <w:tab w:val="left" w:pos="3210"/>
              </w:tabs>
              <w:jc w:val="center"/>
              <w:rPr>
                <w:rFonts w:ascii="Arial Narrow" w:hAnsi="Arial Narrow"/>
                <w:b/>
                <w:sz w:val="20"/>
              </w:rPr>
            </w:pPr>
            <w:r w:rsidRPr="00B81466">
              <w:rPr>
                <w:rFonts w:ascii="Arial Narrow" w:hAnsi="Arial Narrow"/>
                <w:b/>
                <w:sz w:val="20"/>
              </w:rPr>
              <w:t>$</w:t>
            </w:r>
            <w:r w:rsidR="00B02444">
              <w:rPr>
                <w:rFonts w:ascii="Arial Narrow" w:hAnsi="Arial Narrow"/>
                <w:b/>
                <w:noProof/>
                <w:color w:val="000000"/>
                <w:sz w:val="20"/>
                <w:highlight w:val="black"/>
              </w:rPr>
              <w:t>'''''''''''''''''</w:t>
            </w:r>
          </w:p>
        </w:tc>
        <w:tc>
          <w:tcPr>
            <w:tcW w:w="1242" w:type="dxa"/>
            <w:shd w:val="clear" w:color="auto" w:fill="auto"/>
            <w:noWrap/>
          </w:tcPr>
          <w:p w:rsidR="003B4FC0" w:rsidRPr="00B81466" w:rsidRDefault="003B4FC0" w:rsidP="004938C5">
            <w:pPr>
              <w:tabs>
                <w:tab w:val="left" w:pos="3210"/>
              </w:tabs>
              <w:jc w:val="center"/>
              <w:rPr>
                <w:rFonts w:ascii="Arial Narrow" w:hAnsi="Arial Narrow"/>
                <w:b/>
                <w:sz w:val="20"/>
              </w:rPr>
            </w:pPr>
            <w:r w:rsidRPr="00B81466">
              <w:rPr>
                <w:rFonts w:ascii="Arial Narrow" w:hAnsi="Arial Narrow"/>
                <w:b/>
                <w:sz w:val="20"/>
              </w:rPr>
              <w:t>$</w:t>
            </w:r>
            <w:r w:rsidR="00B02444">
              <w:rPr>
                <w:rFonts w:ascii="Arial Narrow" w:hAnsi="Arial Narrow"/>
                <w:b/>
                <w:noProof/>
                <w:color w:val="000000"/>
                <w:sz w:val="20"/>
                <w:highlight w:val="black"/>
              </w:rPr>
              <w:t>'''''''''''''''</w:t>
            </w:r>
          </w:p>
        </w:tc>
        <w:tc>
          <w:tcPr>
            <w:tcW w:w="1241" w:type="dxa"/>
            <w:shd w:val="clear" w:color="auto" w:fill="auto"/>
            <w:noWrap/>
          </w:tcPr>
          <w:p w:rsidR="003B4FC0" w:rsidRPr="00B81466" w:rsidRDefault="003B4FC0" w:rsidP="004938C5">
            <w:pPr>
              <w:tabs>
                <w:tab w:val="left" w:pos="3210"/>
              </w:tabs>
              <w:jc w:val="center"/>
              <w:rPr>
                <w:rFonts w:ascii="Arial Narrow" w:hAnsi="Arial Narrow"/>
                <w:b/>
                <w:sz w:val="20"/>
              </w:rPr>
            </w:pPr>
            <w:r w:rsidRPr="00B81466">
              <w:rPr>
                <w:rFonts w:ascii="Arial Narrow" w:hAnsi="Arial Narrow"/>
                <w:b/>
                <w:sz w:val="20"/>
              </w:rPr>
              <w:t>$</w:t>
            </w:r>
            <w:r w:rsidR="00B02444">
              <w:rPr>
                <w:rFonts w:ascii="Arial Narrow" w:hAnsi="Arial Narrow"/>
                <w:b/>
                <w:noProof/>
                <w:color w:val="000000"/>
                <w:sz w:val="20"/>
                <w:highlight w:val="black"/>
              </w:rPr>
              <w:t>'''''''''''''''</w:t>
            </w:r>
          </w:p>
        </w:tc>
        <w:tc>
          <w:tcPr>
            <w:tcW w:w="1242" w:type="dxa"/>
            <w:shd w:val="clear" w:color="auto" w:fill="auto"/>
            <w:noWrap/>
          </w:tcPr>
          <w:p w:rsidR="003B4FC0" w:rsidRPr="00B81466" w:rsidRDefault="003B4FC0" w:rsidP="004938C5">
            <w:pPr>
              <w:tabs>
                <w:tab w:val="left" w:pos="3210"/>
              </w:tabs>
              <w:jc w:val="center"/>
              <w:rPr>
                <w:rFonts w:ascii="Arial Narrow" w:hAnsi="Arial Narrow"/>
                <w:b/>
                <w:sz w:val="20"/>
              </w:rPr>
            </w:pPr>
            <w:r w:rsidRPr="00B81466">
              <w:rPr>
                <w:rFonts w:ascii="Arial Narrow" w:hAnsi="Arial Narrow"/>
                <w:b/>
                <w:sz w:val="20"/>
              </w:rPr>
              <w:t>$</w:t>
            </w:r>
            <w:r w:rsidR="00B02444">
              <w:rPr>
                <w:rFonts w:ascii="Arial Narrow" w:hAnsi="Arial Narrow"/>
                <w:b/>
                <w:noProof/>
                <w:color w:val="000000"/>
                <w:sz w:val="20"/>
                <w:highlight w:val="black"/>
              </w:rPr>
              <w:t>''''''''''''''''''''</w:t>
            </w:r>
          </w:p>
        </w:tc>
        <w:tc>
          <w:tcPr>
            <w:tcW w:w="1242" w:type="dxa"/>
            <w:shd w:val="clear" w:color="auto" w:fill="auto"/>
            <w:noWrap/>
          </w:tcPr>
          <w:p w:rsidR="003B4FC0" w:rsidRPr="00B81466" w:rsidRDefault="003B4FC0" w:rsidP="004938C5">
            <w:pPr>
              <w:tabs>
                <w:tab w:val="left" w:pos="3210"/>
              </w:tabs>
              <w:jc w:val="center"/>
              <w:rPr>
                <w:rFonts w:ascii="Arial Narrow" w:hAnsi="Arial Narrow"/>
                <w:b/>
                <w:sz w:val="20"/>
              </w:rPr>
            </w:pPr>
            <w:r w:rsidRPr="00B81466">
              <w:rPr>
                <w:rFonts w:ascii="Arial Narrow" w:hAnsi="Arial Narrow"/>
                <w:b/>
                <w:sz w:val="20"/>
              </w:rPr>
              <w:t>$</w:t>
            </w:r>
            <w:r w:rsidR="00B02444">
              <w:rPr>
                <w:rFonts w:ascii="Arial Narrow" w:hAnsi="Arial Narrow"/>
                <w:b/>
                <w:noProof/>
                <w:color w:val="000000"/>
                <w:sz w:val="20"/>
                <w:highlight w:val="black"/>
              </w:rPr>
              <w:t>'''''''''''''''''''</w:t>
            </w:r>
          </w:p>
        </w:tc>
      </w:tr>
      <w:tr w:rsidR="003B4FC0" w:rsidRPr="00123152" w:rsidTr="004938C5">
        <w:trPr>
          <w:trHeight w:val="58"/>
        </w:trPr>
        <w:tc>
          <w:tcPr>
            <w:tcW w:w="2802" w:type="dxa"/>
            <w:shd w:val="clear" w:color="auto" w:fill="auto"/>
            <w:noWrap/>
            <w:vAlign w:val="center"/>
          </w:tcPr>
          <w:p w:rsidR="003B4FC0" w:rsidRPr="00123152" w:rsidRDefault="003B4FC0" w:rsidP="004938C5">
            <w:pPr>
              <w:tabs>
                <w:tab w:val="left" w:pos="3210"/>
              </w:tabs>
              <w:jc w:val="left"/>
              <w:rPr>
                <w:rFonts w:ascii="Arial Narrow" w:hAnsi="Arial Narrow"/>
                <w:sz w:val="20"/>
              </w:rPr>
            </w:pPr>
            <w:r>
              <w:rPr>
                <w:rFonts w:ascii="Arial Narrow" w:hAnsi="Arial Narrow"/>
                <w:sz w:val="20"/>
              </w:rPr>
              <w:t>Non-drug cost offsets from substitution of insulin glargine</w:t>
            </w:r>
            <w:r w:rsidRPr="00123152">
              <w:rPr>
                <w:rFonts w:ascii="Arial Narrow" w:hAnsi="Arial Narrow"/>
                <w:sz w:val="20"/>
              </w:rPr>
              <w:t xml:space="preserve"> </w:t>
            </w:r>
          </w:p>
        </w:tc>
        <w:tc>
          <w:tcPr>
            <w:tcW w:w="1241" w:type="dxa"/>
            <w:shd w:val="clear" w:color="auto" w:fill="auto"/>
            <w:noWrap/>
            <w:vAlign w:val="center"/>
          </w:tcPr>
          <w:p w:rsidR="003B4FC0" w:rsidRPr="00884EB1" w:rsidRDefault="003B4FC0" w:rsidP="004938C5">
            <w:pPr>
              <w:tabs>
                <w:tab w:val="left" w:pos="3210"/>
              </w:tabs>
              <w:jc w:val="center"/>
              <w:rPr>
                <w:rFonts w:ascii="Arial Narrow" w:hAnsi="Arial Narrow"/>
                <w:sz w:val="20"/>
              </w:rPr>
            </w:pPr>
            <w:r>
              <w:rPr>
                <w:rFonts w:ascii="Arial Narrow" w:hAnsi="Arial Narrow"/>
                <w:sz w:val="20"/>
              </w:rPr>
              <w:t>-</w:t>
            </w:r>
            <w:r w:rsidRPr="00884EB1">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vAlign w:val="center"/>
          </w:tcPr>
          <w:p w:rsidR="003B4FC0" w:rsidRPr="00884EB1" w:rsidRDefault="003B4FC0" w:rsidP="004938C5">
            <w:pPr>
              <w:tabs>
                <w:tab w:val="left" w:pos="3210"/>
              </w:tabs>
              <w:jc w:val="center"/>
              <w:rPr>
                <w:rFonts w:ascii="Arial Narrow" w:hAnsi="Arial Narrow"/>
                <w:sz w:val="20"/>
              </w:rPr>
            </w:pPr>
            <w:r>
              <w:rPr>
                <w:rFonts w:ascii="Arial Narrow" w:hAnsi="Arial Narrow"/>
                <w:sz w:val="20"/>
              </w:rPr>
              <w:t>-</w:t>
            </w:r>
            <w:r w:rsidRPr="00884EB1">
              <w:rPr>
                <w:rFonts w:ascii="Arial Narrow" w:hAnsi="Arial Narrow"/>
                <w:sz w:val="20"/>
              </w:rPr>
              <w:t>$</w:t>
            </w:r>
            <w:r w:rsidR="00B02444">
              <w:rPr>
                <w:rFonts w:ascii="Arial Narrow" w:hAnsi="Arial Narrow"/>
                <w:noProof/>
                <w:color w:val="000000"/>
                <w:sz w:val="20"/>
                <w:highlight w:val="black"/>
              </w:rPr>
              <w:t>'''''''''''''''''''''''</w:t>
            </w:r>
          </w:p>
        </w:tc>
        <w:tc>
          <w:tcPr>
            <w:tcW w:w="1241" w:type="dxa"/>
            <w:shd w:val="clear" w:color="auto" w:fill="auto"/>
            <w:noWrap/>
            <w:vAlign w:val="center"/>
          </w:tcPr>
          <w:p w:rsidR="003B4FC0" w:rsidRPr="00884EB1" w:rsidRDefault="003B4FC0" w:rsidP="004938C5">
            <w:pPr>
              <w:tabs>
                <w:tab w:val="left" w:pos="3210"/>
              </w:tabs>
              <w:jc w:val="center"/>
              <w:rPr>
                <w:rFonts w:ascii="Arial Narrow" w:hAnsi="Arial Narrow"/>
                <w:sz w:val="20"/>
              </w:rPr>
            </w:pPr>
            <w:r>
              <w:rPr>
                <w:rFonts w:ascii="Arial Narrow" w:hAnsi="Arial Narrow"/>
                <w:sz w:val="20"/>
              </w:rPr>
              <w:t>-</w:t>
            </w:r>
            <w:r w:rsidRPr="00884EB1">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vAlign w:val="center"/>
          </w:tcPr>
          <w:p w:rsidR="003B4FC0" w:rsidRPr="00884EB1" w:rsidRDefault="003B4FC0" w:rsidP="004938C5">
            <w:pPr>
              <w:tabs>
                <w:tab w:val="left" w:pos="3210"/>
              </w:tabs>
              <w:jc w:val="center"/>
              <w:rPr>
                <w:rFonts w:ascii="Arial Narrow" w:hAnsi="Arial Narrow"/>
                <w:sz w:val="20"/>
              </w:rPr>
            </w:pPr>
            <w:r>
              <w:rPr>
                <w:rFonts w:ascii="Arial Narrow" w:hAnsi="Arial Narrow"/>
                <w:sz w:val="20"/>
              </w:rPr>
              <w:t>-</w:t>
            </w:r>
            <w:r w:rsidRPr="00884EB1">
              <w:rPr>
                <w:rFonts w:ascii="Arial Narrow" w:hAnsi="Arial Narrow"/>
                <w:sz w:val="20"/>
              </w:rPr>
              <w:t>$</w:t>
            </w:r>
            <w:r w:rsidR="00B02444">
              <w:rPr>
                <w:rFonts w:ascii="Arial Narrow" w:hAnsi="Arial Narrow"/>
                <w:noProof/>
                <w:color w:val="000000"/>
                <w:sz w:val="20"/>
                <w:highlight w:val="black"/>
              </w:rPr>
              <w:t>'''''''''''''''''''''''''''</w:t>
            </w:r>
          </w:p>
        </w:tc>
        <w:tc>
          <w:tcPr>
            <w:tcW w:w="1242" w:type="dxa"/>
            <w:shd w:val="clear" w:color="auto" w:fill="auto"/>
            <w:noWrap/>
            <w:vAlign w:val="center"/>
          </w:tcPr>
          <w:p w:rsidR="003B4FC0" w:rsidRPr="00884EB1" w:rsidRDefault="003B4FC0" w:rsidP="004938C5">
            <w:pPr>
              <w:tabs>
                <w:tab w:val="left" w:pos="3210"/>
              </w:tabs>
              <w:jc w:val="center"/>
              <w:rPr>
                <w:rFonts w:ascii="Arial Narrow" w:hAnsi="Arial Narrow"/>
                <w:sz w:val="20"/>
              </w:rPr>
            </w:pPr>
            <w:r>
              <w:rPr>
                <w:rFonts w:ascii="Arial Narrow" w:hAnsi="Arial Narrow"/>
                <w:sz w:val="20"/>
              </w:rPr>
              <w:t>-</w:t>
            </w:r>
            <w:r w:rsidRPr="00884EB1">
              <w:rPr>
                <w:rFonts w:ascii="Arial Narrow" w:hAnsi="Arial Narrow"/>
                <w:sz w:val="20"/>
              </w:rPr>
              <w:t>$</w:t>
            </w:r>
            <w:r w:rsidR="00B02444">
              <w:rPr>
                <w:rFonts w:ascii="Arial Narrow" w:hAnsi="Arial Narrow"/>
                <w:noProof/>
                <w:color w:val="000000"/>
                <w:sz w:val="20"/>
                <w:highlight w:val="black"/>
              </w:rPr>
              <w:t>''''''''''''''''''''''''''''</w:t>
            </w:r>
          </w:p>
        </w:tc>
      </w:tr>
      <w:tr w:rsidR="003B4FC0" w:rsidRPr="00123152" w:rsidTr="004938C5">
        <w:trPr>
          <w:trHeight w:val="58"/>
        </w:trPr>
        <w:tc>
          <w:tcPr>
            <w:tcW w:w="2802" w:type="dxa"/>
            <w:shd w:val="clear" w:color="auto" w:fill="auto"/>
            <w:noWrap/>
            <w:vAlign w:val="center"/>
          </w:tcPr>
          <w:p w:rsidR="003B4FC0" w:rsidRPr="00123152" w:rsidRDefault="003B4FC0" w:rsidP="004938C5">
            <w:pPr>
              <w:tabs>
                <w:tab w:val="left" w:pos="3210"/>
              </w:tabs>
              <w:jc w:val="left"/>
              <w:rPr>
                <w:rFonts w:ascii="Arial Narrow" w:hAnsi="Arial Narrow"/>
                <w:sz w:val="20"/>
              </w:rPr>
            </w:pPr>
            <w:r w:rsidRPr="00123152">
              <w:rPr>
                <w:rFonts w:ascii="Arial Narrow" w:hAnsi="Arial Narrow"/>
                <w:sz w:val="20"/>
              </w:rPr>
              <w:t>Total cost to government</w:t>
            </w:r>
          </w:p>
        </w:tc>
        <w:tc>
          <w:tcPr>
            <w:tcW w:w="1241" w:type="dxa"/>
            <w:tcBorders>
              <w:bottom w:val="single" w:sz="4" w:space="0" w:color="auto"/>
            </w:tcBorders>
            <w:shd w:val="clear" w:color="auto" w:fill="auto"/>
            <w:noWrap/>
          </w:tcPr>
          <w:p w:rsidR="003B4FC0" w:rsidRPr="00123152"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B4FC0" w:rsidRPr="00123152"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1" w:type="dxa"/>
            <w:tcBorders>
              <w:bottom w:val="single" w:sz="4" w:space="0" w:color="auto"/>
            </w:tcBorders>
            <w:shd w:val="clear" w:color="auto" w:fill="auto"/>
            <w:noWrap/>
          </w:tcPr>
          <w:p w:rsidR="003B4FC0" w:rsidRPr="00123152"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B4FC0" w:rsidRPr="00123152"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c>
          <w:tcPr>
            <w:tcW w:w="1242" w:type="dxa"/>
            <w:tcBorders>
              <w:bottom w:val="single" w:sz="4" w:space="0" w:color="auto"/>
            </w:tcBorders>
            <w:shd w:val="clear" w:color="auto" w:fill="auto"/>
            <w:noWrap/>
          </w:tcPr>
          <w:p w:rsidR="003B4FC0" w:rsidRPr="00123152" w:rsidRDefault="003B4FC0" w:rsidP="004938C5">
            <w:pPr>
              <w:tabs>
                <w:tab w:val="left" w:pos="3210"/>
              </w:tabs>
              <w:jc w:val="center"/>
              <w:rPr>
                <w:rFonts w:ascii="Arial Narrow" w:hAnsi="Arial Narrow"/>
                <w:sz w:val="20"/>
              </w:rPr>
            </w:pPr>
            <w:r w:rsidRPr="00123152">
              <w:rPr>
                <w:rFonts w:ascii="Arial Narrow" w:hAnsi="Arial Narrow"/>
                <w:sz w:val="20"/>
              </w:rPr>
              <w:t>-$</w:t>
            </w:r>
            <w:r w:rsidR="00B02444">
              <w:rPr>
                <w:rFonts w:ascii="Arial Narrow" w:hAnsi="Arial Narrow"/>
                <w:noProof/>
                <w:color w:val="000000"/>
                <w:sz w:val="20"/>
                <w:highlight w:val="black"/>
              </w:rPr>
              <w:t>''''''''''''''''''''''''''''</w:t>
            </w:r>
          </w:p>
        </w:tc>
      </w:tr>
    </w:tbl>
    <w:p w:rsidR="003B4FC0" w:rsidRDefault="003B4FC0" w:rsidP="003B4FC0">
      <w:pPr>
        <w:pStyle w:val="TableFooter"/>
      </w:pPr>
      <w:r>
        <w:t>Source: Section E, p136-141 and ‘</w:t>
      </w:r>
      <w:proofErr w:type="spellStart"/>
      <w:r>
        <w:t>Dapa</w:t>
      </w:r>
      <w:proofErr w:type="spellEnd"/>
      <w:r>
        <w:t xml:space="preserve"> add-on to MET+DPP4_SecD&amp;E’ Excel workbook of the submission</w:t>
      </w:r>
    </w:p>
    <w:p w:rsidR="003B4FC0" w:rsidRPr="007651FC" w:rsidRDefault="003B4FC0" w:rsidP="003B4FC0">
      <w:pPr>
        <w:pStyle w:val="TableFooter"/>
      </w:pPr>
      <w:r>
        <w:t>Abbreviations: DPMQ, dispensed price maximum quantity; DPP4, dipeptidyl peptidase 4; SGLT2, sodium glucose transporter 2</w:t>
      </w:r>
    </w:p>
    <w:p w:rsidR="003B4FC0" w:rsidRDefault="003B4FC0" w:rsidP="003B4FC0">
      <w:pPr>
        <w:pStyle w:val="TableFooter"/>
      </w:pPr>
      <w:proofErr w:type="gramStart"/>
      <w:r>
        <w:rPr>
          <w:vertAlign w:val="superscript"/>
        </w:rPr>
        <w:t>a</w:t>
      </w:r>
      <w:proofErr w:type="gramEnd"/>
      <w:r>
        <w:t xml:space="preserve"> Submission assumed no growth for Year 1 that was based on 2016 estimates from the 10% Medicare sample analysis.</w:t>
      </w:r>
    </w:p>
    <w:p w:rsidR="003B4FC0" w:rsidRDefault="003B4FC0" w:rsidP="003B4FC0">
      <w:pPr>
        <w:pStyle w:val="TableFooter"/>
      </w:pPr>
      <w:proofErr w:type="gramStart"/>
      <w:r>
        <w:rPr>
          <w:vertAlign w:val="superscript"/>
        </w:rPr>
        <w:t>b</w:t>
      </w:r>
      <w:proofErr w:type="gramEnd"/>
      <w:r>
        <w:t xml:space="preserve"> Estimated based on average daily dose of sulfonylurea in dual therapy.</w:t>
      </w:r>
    </w:p>
    <w:p w:rsidR="003B4FC0" w:rsidRDefault="003B4FC0" w:rsidP="003B4FC0">
      <w:pPr>
        <w:pStyle w:val="TableFooter"/>
        <w:rPr>
          <w:sz w:val="22"/>
        </w:rPr>
      </w:pPr>
    </w:p>
    <w:p w:rsidR="0066475D" w:rsidRPr="003F1DB5" w:rsidRDefault="0066475D" w:rsidP="003F1DB5">
      <w:pPr>
        <w:pStyle w:val="ESnumberedparablue"/>
        <w:numPr>
          <w:ilvl w:val="1"/>
          <w:numId w:val="3"/>
        </w:numPr>
        <w:spacing w:after="0"/>
        <w:ind w:left="709" w:hanging="709"/>
        <w:rPr>
          <w:rFonts w:asciiTheme="minorHAnsi" w:hAnsiTheme="minorHAnsi"/>
          <w:color w:val="auto"/>
          <w:sz w:val="24"/>
        </w:rPr>
      </w:pPr>
      <w:r w:rsidRPr="003F1DB5">
        <w:rPr>
          <w:rFonts w:asciiTheme="minorHAnsi" w:hAnsiTheme="minorHAnsi"/>
          <w:color w:val="auto"/>
          <w:sz w:val="24"/>
        </w:rPr>
        <w:t>The redacted table shows that at year 5, the estimated number of scripts was over 200,000.</w:t>
      </w:r>
    </w:p>
    <w:p w:rsidR="0066475D" w:rsidRPr="00877AD1" w:rsidRDefault="0066475D" w:rsidP="003B4FC0">
      <w:pPr>
        <w:pStyle w:val="TableFooter"/>
        <w:rPr>
          <w:sz w:val="22"/>
        </w:rPr>
      </w:pPr>
    </w:p>
    <w:p w:rsidR="003B4FC0" w:rsidRPr="003B4FC0" w:rsidRDefault="003B4FC0" w:rsidP="009F09BC">
      <w:pPr>
        <w:pStyle w:val="ESnumberedparablue"/>
        <w:numPr>
          <w:ilvl w:val="1"/>
          <w:numId w:val="3"/>
        </w:numPr>
        <w:ind w:left="709" w:hanging="709"/>
        <w:rPr>
          <w:rFonts w:asciiTheme="minorHAnsi" w:hAnsiTheme="minorHAnsi"/>
          <w:color w:val="auto"/>
          <w:sz w:val="24"/>
        </w:rPr>
      </w:pPr>
      <w:r w:rsidRPr="003B4FC0">
        <w:rPr>
          <w:rFonts w:asciiTheme="minorHAnsi" w:hAnsiTheme="minorHAnsi"/>
          <w:color w:val="auto"/>
          <w:sz w:val="24"/>
        </w:rPr>
        <w:t xml:space="preserve">The net cost of listing </w:t>
      </w:r>
      <w:proofErr w:type="spellStart"/>
      <w:r w:rsidRPr="003B4FC0">
        <w:rPr>
          <w:rFonts w:asciiTheme="minorHAnsi" w:hAnsiTheme="minorHAnsi"/>
          <w:color w:val="auto"/>
          <w:sz w:val="24"/>
        </w:rPr>
        <w:t>dapagliflozin</w:t>
      </w:r>
      <w:proofErr w:type="spellEnd"/>
      <w:r w:rsidRPr="003B4FC0">
        <w:rPr>
          <w:rFonts w:asciiTheme="minorHAnsi" w:hAnsiTheme="minorHAnsi"/>
          <w:color w:val="auto"/>
          <w:sz w:val="24"/>
        </w:rPr>
        <w:t xml:space="preserve"> on the PBS was estimated to be up to </w:t>
      </w:r>
      <w:r w:rsidR="0066475D">
        <w:rPr>
          <w:rFonts w:asciiTheme="minorHAnsi" w:hAnsiTheme="minorHAnsi"/>
          <w:color w:val="auto"/>
          <w:sz w:val="24"/>
        </w:rPr>
        <w:t xml:space="preserve">less than $10 million </w:t>
      </w:r>
      <w:r w:rsidRPr="003B4FC0">
        <w:rPr>
          <w:rFonts w:asciiTheme="minorHAnsi" w:hAnsiTheme="minorHAnsi"/>
          <w:color w:val="auto"/>
          <w:sz w:val="24"/>
        </w:rPr>
        <w:t>in the fifth year of listing, including all drug cost offsets proposed in the submission. The estimated utilisation and financial implications were highly uncertain due to the following issues</w:t>
      </w:r>
      <w:r w:rsidR="00EB7CF1">
        <w:rPr>
          <w:rFonts w:asciiTheme="minorHAnsi" w:hAnsiTheme="minorHAnsi"/>
          <w:color w:val="auto"/>
          <w:sz w:val="24"/>
        </w:rPr>
        <w:t xml:space="preserve"> raised in the evaluation</w:t>
      </w:r>
      <w:r w:rsidRPr="003B4FC0">
        <w:rPr>
          <w:rFonts w:asciiTheme="minorHAnsi" w:hAnsiTheme="minorHAnsi"/>
          <w:color w:val="auto"/>
          <w:sz w:val="24"/>
        </w:rPr>
        <w:t>:</w:t>
      </w:r>
    </w:p>
    <w:p w:rsidR="003B4FC0" w:rsidRPr="003B4FC0" w:rsidRDefault="003B4FC0" w:rsidP="003B4FC0">
      <w:pPr>
        <w:pStyle w:val="ListParagraph"/>
        <w:numPr>
          <w:ilvl w:val="0"/>
          <w:numId w:val="25"/>
        </w:numPr>
        <w:rPr>
          <w:rFonts w:asciiTheme="minorHAnsi" w:hAnsiTheme="minorHAnsi"/>
          <w:sz w:val="24"/>
          <w:szCs w:val="24"/>
        </w:rPr>
      </w:pPr>
      <w:r w:rsidRPr="003B4FC0">
        <w:rPr>
          <w:rFonts w:asciiTheme="minorHAnsi" w:hAnsiTheme="minorHAnsi"/>
          <w:sz w:val="24"/>
          <w:szCs w:val="24"/>
        </w:rPr>
        <w:t>The estimated number of patients receiving an SGLT2 inhibitor with metformin and a DPP4 inhibitor was based on the 10% Medicare sample analysis and may not be reliable due to concerns with applicability, use of relative proportions of utilisation that may not reflect absolute market growth and persistence criteria that may overestimate co-administration and underestimate treatment switching.</w:t>
      </w:r>
    </w:p>
    <w:p w:rsidR="003B4FC0" w:rsidRPr="003B4FC0" w:rsidRDefault="003B4FC0" w:rsidP="003B4FC0">
      <w:pPr>
        <w:pStyle w:val="ListParagraph"/>
        <w:numPr>
          <w:ilvl w:val="0"/>
          <w:numId w:val="25"/>
        </w:numPr>
        <w:rPr>
          <w:rFonts w:asciiTheme="minorHAnsi" w:hAnsiTheme="minorHAnsi"/>
          <w:sz w:val="24"/>
          <w:szCs w:val="24"/>
        </w:rPr>
      </w:pPr>
      <w:r w:rsidRPr="003B4FC0">
        <w:rPr>
          <w:rFonts w:asciiTheme="minorHAnsi" w:hAnsiTheme="minorHAnsi"/>
          <w:sz w:val="24"/>
          <w:szCs w:val="24"/>
        </w:rPr>
        <w:t>The assumption of no growth in the SGLT2 inhibitor triple therapy market in Year</w:t>
      </w:r>
      <w:r w:rsidR="002B5486">
        <w:rPr>
          <w:rFonts w:asciiTheme="minorHAnsi" w:hAnsiTheme="minorHAnsi"/>
          <w:sz w:val="24"/>
          <w:szCs w:val="24"/>
        </w:rPr>
        <w:t> </w:t>
      </w:r>
      <w:r w:rsidRPr="003B4FC0">
        <w:rPr>
          <w:rFonts w:asciiTheme="minorHAnsi" w:hAnsiTheme="minorHAnsi"/>
          <w:sz w:val="24"/>
          <w:szCs w:val="24"/>
        </w:rPr>
        <w:t>1 is likely to underestimate utilisation for that year, and to a greater extent, total utilisation in the following years.</w:t>
      </w:r>
    </w:p>
    <w:p w:rsidR="003B4FC0" w:rsidRPr="003B4FC0" w:rsidRDefault="003B4FC0" w:rsidP="003B4FC0">
      <w:pPr>
        <w:pStyle w:val="ListParagraph"/>
        <w:numPr>
          <w:ilvl w:val="0"/>
          <w:numId w:val="25"/>
        </w:numPr>
        <w:rPr>
          <w:rFonts w:asciiTheme="minorHAnsi" w:hAnsiTheme="minorHAnsi"/>
          <w:b/>
          <w:sz w:val="24"/>
          <w:szCs w:val="24"/>
        </w:rPr>
      </w:pPr>
      <w:r w:rsidRPr="003B4FC0">
        <w:rPr>
          <w:rFonts w:asciiTheme="minorHAnsi" w:hAnsiTheme="minorHAnsi"/>
          <w:sz w:val="24"/>
          <w:szCs w:val="24"/>
        </w:rPr>
        <w:t xml:space="preserve">The utilisation of </w:t>
      </w:r>
      <w:proofErr w:type="spellStart"/>
      <w:r w:rsidRPr="003B4FC0">
        <w:rPr>
          <w:rFonts w:asciiTheme="minorHAnsi" w:hAnsiTheme="minorHAnsi"/>
          <w:sz w:val="24"/>
          <w:szCs w:val="24"/>
        </w:rPr>
        <w:t>dapagliflozin</w:t>
      </w:r>
      <w:proofErr w:type="spellEnd"/>
      <w:r w:rsidRPr="003B4FC0">
        <w:rPr>
          <w:rFonts w:asciiTheme="minorHAnsi" w:hAnsiTheme="minorHAnsi"/>
          <w:sz w:val="24"/>
          <w:szCs w:val="24"/>
        </w:rPr>
        <w:t xml:space="preserve"> is likely to be underestimated as the submission assumed </w:t>
      </w:r>
      <w:proofErr w:type="spellStart"/>
      <w:r w:rsidRPr="003B4FC0">
        <w:rPr>
          <w:rFonts w:asciiTheme="minorHAnsi" w:hAnsiTheme="minorHAnsi"/>
          <w:sz w:val="24"/>
          <w:szCs w:val="24"/>
        </w:rPr>
        <w:t>dapagliflozin</w:t>
      </w:r>
      <w:proofErr w:type="spellEnd"/>
      <w:r w:rsidRPr="003B4FC0">
        <w:rPr>
          <w:rFonts w:asciiTheme="minorHAnsi" w:hAnsiTheme="minorHAnsi"/>
          <w:sz w:val="24"/>
          <w:szCs w:val="24"/>
        </w:rPr>
        <w:t xml:space="preserve"> would only substitute for insulin glargine or sulfonylurea and did not consider </w:t>
      </w:r>
      <w:proofErr w:type="spellStart"/>
      <w:r w:rsidRPr="003B4FC0">
        <w:rPr>
          <w:rFonts w:asciiTheme="minorHAnsi" w:hAnsiTheme="minorHAnsi"/>
          <w:sz w:val="24"/>
          <w:szCs w:val="24"/>
        </w:rPr>
        <w:t>dapagliflozin</w:t>
      </w:r>
      <w:proofErr w:type="spellEnd"/>
      <w:r w:rsidRPr="003B4FC0">
        <w:rPr>
          <w:rFonts w:asciiTheme="minorHAnsi" w:hAnsiTheme="minorHAnsi"/>
          <w:sz w:val="24"/>
          <w:szCs w:val="24"/>
        </w:rPr>
        <w:t xml:space="preserve"> substitution in other relevant markets (i.e. insulin, sulfonylurea, </w:t>
      </w:r>
      <w:proofErr w:type="gramStart"/>
      <w:r w:rsidRPr="003B4FC0">
        <w:rPr>
          <w:rFonts w:asciiTheme="minorHAnsi" w:hAnsiTheme="minorHAnsi"/>
          <w:sz w:val="24"/>
          <w:szCs w:val="24"/>
        </w:rPr>
        <w:t>GLP</w:t>
      </w:r>
      <w:proofErr w:type="gramEnd"/>
      <w:r w:rsidRPr="003B4FC0">
        <w:rPr>
          <w:rFonts w:asciiTheme="minorHAnsi" w:hAnsiTheme="minorHAnsi"/>
          <w:sz w:val="24"/>
          <w:szCs w:val="24"/>
        </w:rPr>
        <w:t xml:space="preserve">-1 analogue and thiazolidinedione regimens) or the potential for the </w:t>
      </w:r>
      <w:proofErr w:type="spellStart"/>
      <w:r w:rsidRPr="003B4FC0">
        <w:rPr>
          <w:rFonts w:asciiTheme="minorHAnsi" w:hAnsiTheme="minorHAnsi"/>
          <w:sz w:val="24"/>
          <w:szCs w:val="24"/>
        </w:rPr>
        <w:t>dapagliflozin</w:t>
      </w:r>
      <w:proofErr w:type="spellEnd"/>
      <w:r w:rsidRPr="003B4FC0">
        <w:rPr>
          <w:rFonts w:asciiTheme="minorHAnsi" w:hAnsiTheme="minorHAnsi"/>
          <w:sz w:val="24"/>
          <w:szCs w:val="24"/>
        </w:rPr>
        <w:t xml:space="preserve"> listing to contribute to the growth of the overall triple therapy market.</w:t>
      </w:r>
    </w:p>
    <w:p w:rsidR="003B4FC0" w:rsidRPr="003B4FC0" w:rsidRDefault="003B4FC0" w:rsidP="003B4FC0">
      <w:pPr>
        <w:pStyle w:val="ListParagraph"/>
        <w:numPr>
          <w:ilvl w:val="0"/>
          <w:numId w:val="25"/>
        </w:numPr>
        <w:rPr>
          <w:rFonts w:asciiTheme="minorHAnsi" w:hAnsiTheme="minorHAnsi"/>
          <w:b/>
          <w:sz w:val="24"/>
          <w:szCs w:val="24"/>
        </w:rPr>
      </w:pPr>
      <w:r w:rsidRPr="003B4FC0">
        <w:rPr>
          <w:rFonts w:asciiTheme="minorHAnsi" w:hAnsiTheme="minorHAnsi"/>
          <w:sz w:val="24"/>
          <w:szCs w:val="24"/>
        </w:rPr>
        <w:t xml:space="preserve">The submission did not account for </w:t>
      </w:r>
      <w:proofErr w:type="spellStart"/>
      <w:r w:rsidRPr="003B4FC0">
        <w:rPr>
          <w:rFonts w:asciiTheme="minorHAnsi" w:hAnsiTheme="minorHAnsi"/>
          <w:sz w:val="24"/>
          <w:szCs w:val="24"/>
        </w:rPr>
        <w:t>dapagliflozin</w:t>
      </w:r>
      <w:proofErr w:type="spellEnd"/>
      <w:r w:rsidRPr="003B4FC0">
        <w:rPr>
          <w:rFonts w:asciiTheme="minorHAnsi" w:hAnsiTheme="minorHAnsi"/>
          <w:sz w:val="24"/>
          <w:szCs w:val="24"/>
        </w:rPr>
        <w:t xml:space="preserve"> substitution (on the PBS) in patients already receiving SGLT2 inhibitor and DPP4 inhibitor triple therapy outside of restrictions (i.e. replacing </w:t>
      </w:r>
      <w:proofErr w:type="spellStart"/>
      <w:r w:rsidRPr="003B4FC0">
        <w:rPr>
          <w:rFonts w:asciiTheme="minorHAnsi" w:hAnsiTheme="minorHAnsi"/>
          <w:sz w:val="24"/>
          <w:szCs w:val="24"/>
        </w:rPr>
        <w:t>empagliflozin</w:t>
      </w:r>
      <w:proofErr w:type="spellEnd"/>
      <w:r w:rsidRPr="003B4FC0">
        <w:rPr>
          <w:rFonts w:asciiTheme="minorHAnsi" w:hAnsiTheme="minorHAnsi"/>
          <w:sz w:val="24"/>
          <w:szCs w:val="24"/>
        </w:rPr>
        <w:t xml:space="preserve"> and </w:t>
      </w:r>
      <w:proofErr w:type="spellStart"/>
      <w:r w:rsidRPr="003B4FC0">
        <w:rPr>
          <w:rFonts w:asciiTheme="minorHAnsi" w:hAnsiTheme="minorHAnsi"/>
          <w:sz w:val="24"/>
          <w:szCs w:val="24"/>
        </w:rPr>
        <w:t>dapagliflozin</w:t>
      </w:r>
      <w:proofErr w:type="spellEnd"/>
      <w:r w:rsidRPr="003B4FC0">
        <w:rPr>
          <w:rFonts w:asciiTheme="minorHAnsi" w:hAnsiTheme="minorHAnsi"/>
          <w:sz w:val="24"/>
          <w:szCs w:val="24"/>
        </w:rPr>
        <w:t xml:space="preserve"> leakage use).  </w:t>
      </w:r>
    </w:p>
    <w:p w:rsidR="003B4FC0" w:rsidRPr="003B4FC0" w:rsidRDefault="003B4FC0" w:rsidP="003B4FC0">
      <w:pPr>
        <w:pStyle w:val="ListParagraph"/>
        <w:numPr>
          <w:ilvl w:val="0"/>
          <w:numId w:val="25"/>
        </w:numPr>
        <w:rPr>
          <w:rFonts w:asciiTheme="minorHAnsi" w:hAnsiTheme="minorHAnsi"/>
          <w:sz w:val="24"/>
          <w:szCs w:val="24"/>
        </w:rPr>
      </w:pPr>
      <w:r w:rsidRPr="003B4FC0">
        <w:rPr>
          <w:rFonts w:asciiTheme="minorHAnsi" w:hAnsiTheme="minorHAnsi"/>
          <w:sz w:val="24"/>
          <w:szCs w:val="24"/>
        </w:rPr>
        <w:t xml:space="preserve">The submission’s estimates only included patients previously receiving therapy with metformin and a DPP4 inhibitor, with subsequent addition of </w:t>
      </w:r>
      <w:proofErr w:type="spellStart"/>
      <w:r w:rsidRPr="003B4FC0">
        <w:rPr>
          <w:rFonts w:asciiTheme="minorHAnsi" w:hAnsiTheme="minorHAnsi"/>
          <w:sz w:val="24"/>
          <w:szCs w:val="24"/>
        </w:rPr>
        <w:t>dapagliflozin</w:t>
      </w:r>
      <w:proofErr w:type="spellEnd"/>
      <w:r w:rsidRPr="003B4FC0">
        <w:rPr>
          <w:rFonts w:asciiTheme="minorHAnsi" w:hAnsiTheme="minorHAnsi"/>
          <w:sz w:val="24"/>
          <w:szCs w:val="24"/>
        </w:rPr>
        <w:t xml:space="preserve"> that did not account for the substantial proportion of patients likely to receive the same combination therapy through other pathways (e.g. treatment switching). </w:t>
      </w:r>
    </w:p>
    <w:p w:rsidR="003B4FC0" w:rsidRPr="003B4FC0" w:rsidRDefault="003B4FC0" w:rsidP="003B4FC0">
      <w:pPr>
        <w:pStyle w:val="ListParagraph"/>
        <w:numPr>
          <w:ilvl w:val="0"/>
          <w:numId w:val="25"/>
        </w:numPr>
        <w:rPr>
          <w:rFonts w:asciiTheme="minorHAnsi" w:hAnsiTheme="minorHAnsi"/>
          <w:sz w:val="24"/>
          <w:szCs w:val="24"/>
        </w:rPr>
      </w:pPr>
      <w:r w:rsidRPr="003B4FC0">
        <w:rPr>
          <w:rFonts w:asciiTheme="minorHAnsi" w:hAnsiTheme="minorHAnsi"/>
          <w:sz w:val="24"/>
          <w:szCs w:val="24"/>
        </w:rPr>
        <w:t xml:space="preserve">The cost savings were likely to be overestimates, driven by the assumption that 100% of </w:t>
      </w:r>
      <w:proofErr w:type="spellStart"/>
      <w:r w:rsidRPr="003B4FC0">
        <w:rPr>
          <w:rFonts w:asciiTheme="minorHAnsi" w:hAnsiTheme="minorHAnsi"/>
          <w:sz w:val="24"/>
          <w:szCs w:val="24"/>
        </w:rPr>
        <w:t>dapagliflozin</w:t>
      </w:r>
      <w:proofErr w:type="spellEnd"/>
      <w:r w:rsidRPr="003B4FC0">
        <w:rPr>
          <w:rFonts w:asciiTheme="minorHAnsi" w:hAnsiTheme="minorHAnsi"/>
          <w:sz w:val="24"/>
          <w:szCs w:val="24"/>
        </w:rPr>
        <w:t xml:space="preserve"> use is substituting for insulin glargine (70%) and sulfonylureas (30%) based on the 10% Medicare sample analysis showing relative reductions in proportions of utilisation that may not reflect increasing use of triple therapy regimens (overall market growth) indicated by total script numbers.  </w:t>
      </w:r>
    </w:p>
    <w:p w:rsidR="003B4FC0" w:rsidRDefault="003B4FC0" w:rsidP="003B4FC0">
      <w:pPr>
        <w:pStyle w:val="ListParagraph"/>
        <w:numPr>
          <w:ilvl w:val="0"/>
          <w:numId w:val="25"/>
        </w:numPr>
        <w:rPr>
          <w:rFonts w:asciiTheme="minorHAnsi" w:hAnsiTheme="minorHAnsi"/>
          <w:sz w:val="24"/>
          <w:szCs w:val="24"/>
        </w:rPr>
      </w:pPr>
      <w:r w:rsidRPr="003B4FC0">
        <w:rPr>
          <w:rFonts w:asciiTheme="minorHAnsi" w:hAnsiTheme="minorHAnsi"/>
          <w:sz w:val="24"/>
          <w:szCs w:val="24"/>
        </w:rPr>
        <w:t xml:space="preserve">It was unclear whether the number of insulin glargine scripts per year of </w:t>
      </w:r>
      <w:r w:rsidR="00B02444">
        <w:rPr>
          <w:rFonts w:asciiTheme="minorHAnsi" w:hAnsiTheme="minorHAnsi"/>
          <w:noProof/>
          <w:color w:val="000000"/>
          <w:sz w:val="24"/>
          <w:szCs w:val="24"/>
          <w:highlight w:val="black"/>
        </w:rPr>
        <w:t>'''''''</w:t>
      </w:r>
      <w:r w:rsidRPr="003B4FC0">
        <w:rPr>
          <w:rFonts w:asciiTheme="minorHAnsi" w:hAnsiTheme="minorHAnsi"/>
          <w:sz w:val="24"/>
          <w:szCs w:val="24"/>
        </w:rPr>
        <w:t xml:space="preserve"> was reliable as it was calculated based on proposed </w:t>
      </w:r>
      <w:proofErr w:type="spellStart"/>
      <w:r w:rsidRPr="003B4FC0">
        <w:rPr>
          <w:rFonts w:asciiTheme="minorHAnsi" w:hAnsiTheme="minorHAnsi"/>
          <w:sz w:val="24"/>
          <w:szCs w:val="24"/>
        </w:rPr>
        <w:t>equi</w:t>
      </w:r>
      <w:proofErr w:type="spellEnd"/>
      <w:r w:rsidRPr="003B4FC0">
        <w:rPr>
          <w:rFonts w:asciiTheme="minorHAnsi" w:hAnsiTheme="minorHAnsi"/>
          <w:sz w:val="24"/>
          <w:szCs w:val="24"/>
        </w:rPr>
        <w:t xml:space="preserve">-effective doses of insulin glargine and </w:t>
      </w:r>
      <w:proofErr w:type="spellStart"/>
      <w:r w:rsidRPr="003B4FC0">
        <w:rPr>
          <w:rFonts w:asciiTheme="minorHAnsi" w:hAnsiTheme="minorHAnsi"/>
          <w:sz w:val="24"/>
          <w:szCs w:val="24"/>
        </w:rPr>
        <w:t>dapagliflozin</w:t>
      </w:r>
      <w:proofErr w:type="spellEnd"/>
      <w:r w:rsidRPr="003B4FC0">
        <w:rPr>
          <w:rFonts w:asciiTheme="minorHAnsi" w:hAnsiTheme="minorHAnsi"/>
          <w:sz w:val="24"/>
          <w:szCs w:val="24"/>
        </w:rPr>
        <w:t xml:space="preserve"> that was inadequately justified in the submission.</w:t>
      </w:r>
    </w:p>
    <w:p w:rsidR="004938C5" w:rsidRPr="003B4FC0" w:rsidRDefault="004938C5" w:rsidP="004938C5">
      <w:pPr>
        <w:pStyle w:val="ListParagraph"/>
        <w:ind w:left="1080"/>
        <w:rPr>
          <w:rFonts w:asciiTheme="minorHAnsi" w:hAnsiTheme="minorHAnsi"/>
          <w:sz w:val="24"/>
          <w:szCs w:val="24"/>
        </w:rPr>
      </w:pPr>
    </w:p>
    <w:p w:rsidR="004938C5" w:rsidRPr="0046002F" w:rsidRDefault="00DD1638" w:rsidP="009F09BC">
      <w:pPr>
        <w:pStyle w:val="ESnumberedparablue"/>
        <w:numPr>
          <w:ilvl w:val="1"/>
          <w:numId w:val="3"/>
        </w:numPr>
        <w:ind w:left="709" w:hanging="709"/>
        <w:rPr>
          <w:rFonts w:asciiTheme="minorHAnsi" w:hAnsiTheme="minorHAnsi"/>
          <w:color w:val="auto"/>
          <w:sz w:val="24"/>
        </w:rPr>
      </w:pPr>
      <w:r>
        <w:rPr>
          <w:rFonts w:asciiTheme="minorHAnsi" w:hAnsiTheme="minorHAnsi"/>
          <w:color w:val="auto"/>
          <w:sz w:val="24"/>
        </w:rPr>
        <w:t xml:space="preserve">The PBAC noted the </w:t>
      </w:r>
      <w:r w:rsidR="004938C5" w:rsidRPr="0046002F">
        <w:rPr>
          <w:rFonts w:asciiTheme="minorHAnsi" w:hAnsiTheme="minorHAnsi"/>
          <w:color w:val="auto"/>
          <w:sz w:val="24"/>
        </w:rPr>
        <w:t>DUSC</w:t>
      </w:r>
      <w:r>
        <w:rPr>
          <w:rFonts w:asciiTheme="minorHAnsi" w:hAnsiTheme="minorHAnsi"/>
          <w:color w:val="auto"/>
          <w:sz w:val="24"/>
        </w:rPr>
        <w:t xml:space="preserve">’s concern </w:t>
      </w:r>
      <w:r w:rsidR="0059197D">
        <w:rPr>
          <w:rFonts w:asciiTheme="minorHAnsi" w:hAnsiTheme="minorHAnsi"/>
          <w:color w:val="auto"/>
          <w:sz w:val="24"/>
        </w:rPr>
        <w:t>that</w:t>
      </w:r>
      <w:r w:rsidR="004938C5" w:rsidRPr="0046002F">
        <w:rPr>
          <w:rFonts w:asciiTheme="minorHAnsi" w:hAnsiTheme="minorHAnsi"/>
          <w:color w:val="auto"/>
          <w:sz w:val="24"/>
        </w:rPr>
        <w:t xml:space="preserve"> the estimates presented in the submission </w:t>
      </w:r>
      <w:r>
        <w:rPr>
          <w:rFonts w:asciiTheme="minorHAnsi" w:hAnsiTheme="minorHAnsi"/>
          <w:color w:val="auto"/>
          <w:sz w:val="24"/>
        </w:rPr>
        <w:t xml:space="preserve">were </w:t>
      </w:r>
      <w:r w:rsidR="004938C5" w:rsidRPr="0046002F">
        <w:rPr>
          <w:rFonts w:asciiTheme="minorHAnsi" w:hAnsiTheme="minorHAnsi"/>
          <w:color w:val="auto"/>
          <w:sz w:val="24"/>
        </w:rPr>
        <w:t xml:space="preserve">substantially underestimated. </w:t>
      </w:r>
      <w:r>
        <w:rPr>
          <w:rFonts w:asciiTheme="minorHAnsi" w:hAnsiTheme="minorHAnsi"/>
          <w:color w:val="auto"/>
          <w:sz w:val="24"/>
        </w:rPr>
        <w:t>The DUSC considered t</w:t>
      </w:r>
      <w:r w:rsidR="004938C5" w:rsidRPr="0046002F">
        <w:rPr>
          <w:rFonts w:asciiTheme="minorHAnsi" w:hAnsiTheme="minorHAnsi"/>
          <w:color w:val="auto"/>
          <w:sz w:val="24"/>
        </w:rPr>
        <w:t xml:space="preserve">he main issues </w:t>
      </w:r>
      <w:r w:rsidR="0059197D">
        <w:rPr>
          <w:rFonts w:asciiTheme="minorHAnsi" w:hAnsiTheme="minorHAnsi"/>
          <w:color w:val="auto"/>
          <w:sz w:val="24"/>
        </w:rPr>
        <w:t>to be</w:t>
      </w:r>
      <w:r w:rsidR="004938C5" w:rsidRPr="0046002F">
        <w:rPr>
          <w:rFonts w:asciiTheme="minorHAnsi" w:hAnsiTheme="minorHAnsi"/>
          <w:color w:val="auto"/>
          <w:sz w:val="24"/>
        </w:rPr>
        <w:t>:</w:t>
      </w:r>
    </w:p>
    <w:p w:rsidR="004938C5" w:rsidRPr="0046002F" w:rsidRDefault="004938C5" w:rsidP="0046002F">
      <w:pPr>
        <w:pStyle w:val="ListParagraph"/>
        <w:numPr>
          <w:ilvl w:val="0"/>
          <w:numId w:val="25"/>
        </w:numPr>
        <w:rPr>
          <w:rFonts w:asciiTheme="minorHAnsi" w:hAnsiTheme="minorHAnsi"/>
          <w:sz w:val="24"/>
          <w:szCs w:val="24"/>
        </w:rPr>
      </w:pPr>
      <w:proofErr w:type="gramStart"/>
      <w:r w:rsidRPr="0046002F">
        <w:rPr>
          <w:rFonts w:asciiTheme="minorHAnsi" w:hAnsiTheme="minorHAnsi"/>
          <w:sz w:val="24"/>
          <w:szCs w:val="24"/>
        </w:rPr>
        <w:t>the</w:t>
      </w:r>
      <w:proofErr w:type="gramEnd"/>
      <w:r w:rsidRPr="0046002F">
        <w:rPr>
          <w:rFonts w:asciiTheme="minorHAnsi" w:hAnsiTheme="minorHAnsi"/>
          <w:sz w:val="24"/>
          <w:szCs w:val="24"/>
        </w:rPr>
        <w:t xml:space="preserve"> submission only considered one pathway to metformin + DPP4 inhibitor + </w:t>
      </w:r>
      <w:proofErr w:type="spellStart"/>
      <w:r w:rsidRPr="0046002F">
        <w:rPr>
          <w:rFonts w:asciiTheme="minorHAnsi" w:hAnsiTheme="minorHAnsi"/>
          <w:sz w:val="24"/>
          <w:szCs w:val="24"/>
        </w:rPr>
        <w:t>dapagliflozin</w:t>
      </w:r>
      <w:proofErr w:type="spellEnd"/>
      <w:r w:rsidRPr="0046002F">
        <w:rPr>
          <w:rFonts w:asciiTheme="minorHAnsi" w:hAnsiTheme="minorHAnsi"/>
          <w:sz w:val="24"/>
          <w:szCs w:val="24"/>
        </w:rPr>
        <w:t xml:space="preserve"> triple therapy (</w:t>
      </w:r>
      <w:proofErr w:type="spellStart"/>
      <w:r w:rsidRPr="0046002F">
        <w:rPr>
          <w:rFonts w:asciiTheme="minorHAnsi" w:hAnsiTheme="minorHAnsi"/>
          <w:sz w:val="24"/>
          <w:szCs w:val="24"/>
        </w:rPr>
        <w:t>ie</w:t>
      </w:r>
      <w:proofErr w:type="spellEnd"/>
      <w:r w:rsidRPr="0046002F">
        <w:rPr>
          <w:rFonts w:asciiTheme="minorHAnsi" w:hAnsiTheme="minorHAnsi"/>
          <w:sz w:val="24"/>
          <w:szCs w:val="24"/>
        </w:rPr>
        <w:t xml:space="preserve">. adding </w:t>
      </w:r>
      <w:proofErr w:type="spellStart"/>
      <w:r w:rsidRPr="0046002F">
        <w:rPr>
          <w:rFonts w:asciiTheme="minorHAnsi" w:hAnsiTheme="minorHAnsi"/>
          <w:sz w:val="24"/>
          <w:szCs w:val="24"/>
        </w:rPr>
        <w:t>dapagliflozin</w:t>
      </w:r>
      <w:proofErr w:type="spellEnd"/>
      <w:r w:rsidRPr="0046002F">
        <w:rPr>
          <w:rFonts w:asciiTheme="minorHAnsi" w:hAnsiTheme="minorHAnsi"/>
          <w:sz w:val="24"/>
          <w:szCs w:val="24"/>
        </w:rPr>
        <w:t xml:space="preserve"> to metformin + DPP4 inhibitor dual therapy). DUSC considered that this triple therapy regimen will be reached via additional pathways in clinical practice; and</w:t>
      </w:r>
    </w:p>
    <w:p w:rsidR="004938C5" w:rsidRPr="0046002F" w:rsidRDefault="004938C5" w:rsidP="0046002F">
      <w:pPr>
        <w:pStyle w:val="ListParagraph"/>
        <w:numPr>
          <w:ilvl w:val="0"/>
          <w:numId w:val="25"/>
        </w:numPr>
        <w:rPr>
          <w:rFonts w:asciiTheme="minorHAnsi" w:hAnsiTheme="minorHAnsi"/>
          <w:sz w:val="24"/>
          <w:szCs w:val="24"/>
        </w:rPr>
      </w:pPr>
      <w:r w:rsidRPr="0046002F">
        <w:rPr>
          <w:rFonts w:asciiTheme="minorHAnsi" w:hAnsiTheme="minorHAnsi"/>
          <w:sz w:val="24"/>
          <w:szCs w:val="24"/>
        </w:rPr>
        <w:t xml:space="preserve">DUSC expects the proposed listing will grow the current metformin + DPP4 inhibitor + SGLT2 inhibitor market. The submission estimate for Year 1 is based on only 80% of the current off-restriction SGLT2 inhibitor added to metformin + DPP-4 inhibitor market transitioning to PBS supply and does not account for any new patients using this regimen. </w:t>
      </w:r>
    </w:p>
    <w:p w:rsidR="004938C5" w:rsidRDefault="004938C5" w:rsidP="0046002F">
      <w:pPr>
        <w:pStyle w:val="ListParagraph"/>
        <w:numPr>
          <w:ilvl w:val="0"/>
          <w:numId w:val="25"/>
        </w:numPr>
        <w:rPr>
          <w:rFonts w:asciiTheme="minorHAnsi" w:hAnsiTheme="minorHAnsi"/>
          <w:sz w:val="24"/>
          <w:szCs w:val="24"/>
        </w:rPr>
      </w:pPr>
      <w:proofErr w:type="gramStart"/>
      <w:r w:rsidRPr="0046002F">
        <w:rPr>
          <w:rFonts w:asciiTheme="minorHAnsi" w:hAnsiTheme="minorHAnsi"/>
          <w:sz w:val="24"/>
          <w:szCs w:val="24"/>
        </w:rPr>
        <w:t>cost-offsets</w:t>
      </w:r>
      <w:proofErr w:type="gramEnd"/>
      <w:r w:rsidRPr="0046002F">
        <w:rPr>
          <w:rFonts w:asciiTheme="minorHAnsi" w:hAnsiTheme="minorHAnsi"/>
          <w:sz w:val="24"/>
          <w:szCs w:val="24"/>
        </w:rPr>
        <w:t xml:space="preserve"> are overestimated as they assume </w:t>
      </w:r>
      <w:proofErr w:type="spellStart"/>
      <w:r w:rsidRPr="0046002F">
        <w:rPr>
          <w:rFonts w:asciiTheme="minorHAnsi" w:hAnsiTheme="minorHAnsi"/>
          <w:sz w:val="24"/>
          <w:szCs w:val="24"/>
        </w:rPr>
        <w:t>dapagliflozin</w:t>
      </w:r>
      <w:proofErr w:type="spellEnd"/>
      <w:r w:rsidRPr="0046002F">
        <w:rPr>
          <w:rFonts w:asciiTheme="minorHAnsi" w:hAnsiTheme="minorHAnsi"/>
          <w:sz w:val="24"/>
          <w:szCs w:val="24"/>
        </w:rPr>
        <w:t xml:space="preserve"> will substitute for insulin glargine (70%) or sulfonylureas (30%). DUSC considered that </w:t>
      </w:r>
      <w:proofErr w:type="spellStart"/>
      <w:r w:rsidRPr="0046002F">
        <w:rPr>
          <w:rFonts w:asciiTheme="minorHAnsi" w:hAnsiTheme="minorHAnsi"/>
          <w:sz w:val="24"/>
          <w:szCs w:val="24"/>
        </w:rPr>
        <w:t>dapagliflozin</w:t>
      </w:r>
      <w:proofErr w:type="spellEnd"/>
      <w:r w:rsidRPr="0046002F">
        <w:rPr>
          <w:rFonts w:asciiTheme="minorHAnsi" w:hAnsiTheme="minorHAnsi"/>
          <w:sz w:val="24"/>
          <w:szCs w:val="24"/>
        </w:rPr>
        <w:t xml:space="preserve"> will more often substitute for a less expensive alternative than insulin.</w:t>
      </w:r>
    </w:p>
    <w:p w:rsidR="00DD1638" w:rsidRPr="0046002F" w:rsidRDefault="00DD1638" w:rsidP="00DD1638">
      <w:pPr>
        <w:pStyle w:val="ListParagraph"/>
        <w:ind w:left="1080"/>
        <w:rPr>
          <w:rFonts w:asciiTheme="minorHAnsi" w:hAnsiTheme="minorHAnsi"/>
          <w:sz w:val="24"/>
          <w:szCs w:val="24"/>
        </w:rPr>
      </w:pPr>
    </w:p>
    <w:p w:rsidR="002E2852" w:rsidRDefault="002E2852" w:rsidP="009F09BC">
      <w:pPr>
        <w:pStyle w:val="ESnumberedparablue"/>
        <w:numPr>
          <w:ilvl w:val="1"/>
          <w:numId w:val="3"/>
        </w:numPr>
        <w:ind w:left="709" w:hanging="709"/>
        <w:rPr>
          <w:rFonts w:asciiTheme="minorHAnsi" w:hAnsiTheme="minorHAnsi"/>
          <w:color w:val="auto"/>
          <w:sz w:val="24"/>
        </w:rPr>
      </w:pPr>
      <w:r>
        <w:rPr>
          <w:rFonts w:asciiTheme="minorHAnsi" w:hAnsiTheme="minorHAnsi"/>
          <w:color w:val="auto"/>
          <w:sz w:val="24"/>
        </w:rPr>
        <w:t xml:space="preserve">The PBAC acknowledged the pre-PBAC response </w:t>
      </w:r>
      <w:r w:rsidR="0059197D">
        <w:rPr>
          <w:rFonts w:asciiTheme="minorHAnsi" w:hAnsiTheme="minorHAnsi"/>
          <w:color w:val="auto"/>
          <w:sz w:val="24"/>
        </w:rPr>
        <w:t>(</w:t>
      </w:r>
      <w:r w:rsidR="0059197D" w:rsidRPr="009F09BC">
        <w:rPr>
          <w:rFonts w:asciiTheme="minorHAnsi" w:hAnsiTheme="minorHAnsi"/>
          <w:color w:val="auto"/>
          <w:sz w:val="24"/>
        </w:rPr>
        <w:t>p2</w:t>
      </w:r>
      <w:r w:rsidR="0059197D">
        <w:rPr>
          <w:rFonts w:asciiTheme="minorHAnsi" w:hAnsiTheme="minorHAnsi"/>
          <w:color w:val="auto"/>
          <w:sz w:val="24"/>
        </w:rPr>
        <w:t xml:space="preserve">) </w:t>
      </w:r>
      <w:r>
        <w:rPr>
          <w:rFonts w:asciiTheme="minorHAnsi" w:hAnsiTheme="minorHAnsi"/>
          <w:color w:val="auto"/>
          <w:sz w:val="24"/>
        </w:rPr>
        <w:t>provide</w:t>
      </w:r>
      <w:r w:rsidR="00167E13">
        <w:rPr>
          <w:rFonts w:asciiTheme="minorHAnsi" w:hAnsiTheme="minorHAnsi"/>
          <w:color w:val="auto"/>
          <w:sz w:val="24"/>
        </w:rPr>
        <w:t>d</w:t>
      </w:r>
      <w:r>
        <w:rPr>
          <w:rFonts w:asciiTheme="minorHAnsi" w:hAnsiTheme="minorHAnsi"/>
          <w:color w:val="auto"/>
          <w:sz w:val="24"/>
        </w:rPr>
        <w:t xml:space="preserve"> revised patient estimates for total </w:t>
      </w:r>
      <w:proofErr w:type="spellStart"/>
      <w:r>
        <w:rPr>
          <w:rFonts w:asciiTheme="minorHAnsi" w:hAnsiTheme="minorHAnsi"/>
          <w:color w:val="auto"/>
          <w:sz w:val="24"/>
        </w:rPr>
        <w:t>dapagliflozin</w:t>
      </w:r>
      <w:proofErr w:type="spellEnd"/>
      <w:r>
        <w:rPr>
          <w:rFonts w:asciiTheme="minorHAnsi" w:hAnsiTheme="minorHAnsi"/>
          <w:color w:val="auto"/>
          <w:sz w:val="24"/>
        </w:rPr>
        <w:t xml:space="preserve"> new triple therapy from </w:t>
      </w:r>
      <w:r w:rsidR="00B02444">
        <w:rPr>
          <w:rFonts w:asciiTheme="minorHAnsi" w:hAnsiTheme="minorHAnsi"/>
          <w:noProof/>
          <w:color w:val="000000"/>
          <w:sz w:val="24"/>
          <w:highlight w:val="black"/>
        </w:rPr>
        <w:t>'''''''''''''</w:t>
      </w:r>
      <w:r>
        <w:rPr>
          <w:rFonts w:asciiTheme="minorHAnsi" w:hAnsiTheme="minorHAnsi"/>
          <w:color w:val="auto"/>
          <w:sz w:val="24"/>
        </w:rPr>
        <w:t xml:space="preserve"> to </w:t>
      </w:r>
      <w:r w:rsidR="00B02444">
        <w:rPr>
          <w:rFonts w:asciiTheme="minorHAnsi" w:hAnsiTheme="minorHAnsi"/>
          <w:noProof/>
          <w:color w:val="000000"/>
          <w:sz w:val="24"/>
          <w:highlight w:val="black"/>
        </w:rPr>
        <w:t>''''''''''''</w:t>
      </w:r>
      <w:r>
        <w:rPr>
          <w:rFonts w:asciiTheme="minorHAnsi" w:hAnsiTheme="minorHAnsi"/>
          <w:color w:val="auto"/>
          <w:sz w:val="24"/>
        </w:rPr>
        <w:t xml:space="preserve"> in year five, which included initiations and switching reached via additional treatment pathways. </w:t>
      </w:r>
      <w:r w:rsidR="0059197D">
        <w:rPr>
          <w:rFonts w:asciiTheme="minorHAnsi" w:hAnsiTheme="minorHAnsi"/>
          <w:color w:val="auto"/>
          <w:sz w:val="24"/>
        </w:rPr>
        <w:t xml:space="preserve">However, the PBAC noted that these estimates were still lower than what DUSC proposed, and considered they remained an underestimate. </w:t>
      </w:r>
    </w:p>
    <w:p w:rsidR="009B7E32" w:rsidRPr="009B7E32" w:rsidRDefault="00D928C7" w:rsidP="009F09BC">
      <w:pPr>
        <w:pStyle w:val="ESnumberedparablue"/>
        <w:numPr>
          <w:ilvl w:val="1"/>
          <w:numId w:val="3"/>
        </w:numPr>
        <w:ind w:left="709" w:hanging="709"/>
        <w:rPr>
          <w:rFonts w:asciiTheme="minorHAnsi" w:hAnsiTheme="minorHAnsi"/>
          <w:color w:val="auto"/>
          <w:sz w:val="24"/>
        </w:rPr>
      </w:pPr>
      <w:r>
        <w:rPr>
          <w:rFonts w:asciiTheme="minorHAnsi" w:hAnsiTheme="minorHAnsi"/>
          <w:color w:val="auto"/>
          <w:sz w:val="24"/>
        </w:rPr>
        <w:t xml:space="preserve">The PBAC </w:t>
      </w:r>
      <w:r w:rsidR="005121EC">
        <w:rPr>
          <w:rFonts w:asciiTheme="minorHAnsi" w:hAnsiTheme="minorHAnsi"/>
          <w:color w:val="auto"/>
          <w:sz w:val="24"/>
        </w:rPr>
        <w:t xml:space="preserve">noted that in the context of high potential market growth and uptake, </w:t>
      </w:r>
      <w:r w:rsidR="00DD1638" w:rsidRPr="00D928C7">
        <w:rPr>
          <w:rFonts w:asciiTheme="minorHAnsi" w:hAnsiTheme="minorHAnsi"/>
          <w:color w:val="auto"/>
          <w:sz w:val="24"/>
        </w:rPr>
        <w:t>a risk sharing ar</w:t>
      </w:r>
      <w:r w:rsidR="005771B4">
        <w:rPr>
          <w:rFonts w:asciiTheme="minorHAnsi" w:hAnsiTheme="minorHAnsi"/>
          <w:color w:val="auto"/>
          <w:sz w:val="24"/>
        </w:rPr>
        <w:t>rangement with the sponsor may</w:t>
      </w:r>
      <w:r w:rsidR="00DD1638" w:rsidRPr="00D928C7">
        <w:rPr>
          <w:rFonts w:asciiTheme="minorHAnsi" w:hAnsiTheme="minorHAnsi"/>
          <w:color w:val="auto"/>
          <w:sz w:val="24"/>
        </w:rPr>
        <w:t xml:space="preserve"> be required</w:t>
      </w:r>
      <w:r w:rsidR="005121EC">
        <w:rPr>
          <w:rFonts w:asciiTheme="minorHAnsi" w:hAnsiTheme="minorHAnsi"/>
          <w:color w:val="auto"/>
          <w:sz w:val="24"/>
        </w:rPr>
        <w:t>, but that this concern could also be potentially addressed through an appropriate price</w:t>
      </w:r>
      <w:r w:rsidR="00DD1638" w:rsidRPr="00D928C7">
        <w:rPr>
          <w:rFonts w:asciiTheme="minorHAnsi" w:hAnsiTheme="minorHAnsi"/>
          <w:color w:val="auto"/>
          <w:sz w:val="24"/>
        </w:rPr>
        <w:t>.</w:t>
      </w:r>
    </w:p>
    <w:p w:rsidR="009B7E32" w:rsidRPr="009B7E32" w:rsidRDefault="009B7E32" w:rsidP="009B7E32">
      <w:pPr>
        <w:pStyle w:val="ESnumberedparablue"/>
        <w:ind w:left="720"/>
        <w:rPr>
          <w:rFonts w:asciiTheme="minorHAnsi" w:hAnsiTheme="minorHAnsi"/>
          <w:i/>
          <w:color w:val="auto"/>
          <w:sz w:val="24"/>
        </w:rPr>
      </w:pPr>
      <w:r w:rsidRPr="009B7E32">
        <w:rPr>
          <w:rFonts w:asciiTheme="minorHAnsi" w:hAnsiTheme="minorHAnsi"/>
          <w:i/>
          <w:color w:val="auto"/>
          <w:sz w:val="24"/>
        </w:rPr>
        <w:t>For more detail on PBAC’s view, see section 7 “PBAC outcome.”</w:t>
      </w:r>
    </w:p>
    <w:p w:rsidR="00137F8D" w:rsidRPr="00412444"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40" w:name="_Toc413139285"/>
      <w:bookmarkStart w:id="41" w:name="_Toc476306895"/>
      <w:bookmarkStart w:id="42" w:name="_Toc482705437"/>
      <w:r w:rsidRPr="00412444">
        <w:rPr>
          <w:rFonts w:asciiTheme="minorHAnsi" w:eastAsiaTheme="majorEastAsia" w:hAnsiTheme="minorHAnsi" w:cstheme="majorBidi"/>
          <w:i/>
          <w:snapToGrid/>
          <w:sz w:val="28"/>
          <w:szCs w:val="28"/>
        </w:rPr>
        <w:t>Quality Use of Medicines</w:t>
      </w:r>
      <w:bookmarkEnd w:id="40"/>
      <w:bookmarkEnd w:id="41"/>
      <w:bookmarkEnd w:id="42"/>
    </w:p>
    <w:p w:rsidR="00137F8D" w:rsidRPr="009F09BC" w:rsidRDefault="00F71510"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No quality use of medicines issues were identified</w:t>
      </w:r>
      <w:r w:rsidR="00057208" w:rsidRPr="009F09BC">
        <w:rPr>
          <w:rFonts w:asciiTheme="minorHAnsi" w:hAnsiTheme="minorHAnsi"/>
          <w:color w:val="auto"/>
          <w:sz w:val="24"/>
        </w:rPr>
        <w:t xml:space="preserve"> </w:t>
      </w:r>
      <w:r w:rsidR="003963EA" w:rsidRPr="009F09BC">
        <w:rPr>
          <w:rFonts w:asciiTheme="minorHAnsi" w:hAnsiTheme="minorHAnsi"/>
          <w:color w:val="auto"/>
          <w:sz w:val="24"/>
        </w:rPr>
        <w:t>in</w:t>
      </w:r>
      <w:r w:rsidR="00057208" w:rsidRPr="009F09BC">
        <w:rPr>
          <w:rFonts w:asciiTheme="minorHAnsi" w:hAnsiTheme="minorHAnsi"/>
          <w:color w:val="auto"/>
          <w:sz w:val="24"/>
        </w:rPr>
        <w:t xml:space="preserve"> the submission</w:t>
      </w:r>
      <w:r w:rsidRPr="009F09BC">
        <w:rPr>
          <w:rFonts w:asciiTheme="minorHAnsi" w:hAnsiTheme="minorHAnsi"/>
          <w:color w:val="auto"/>
          <w:sz w:val="24"/>
        </w:rPr>
        <w:t>.</w:t>
      </w:r>
      <w:r w:rsidR="00E50605" w:rsidRPr="009F09BC">
        <w:rPr>
          <w:rFonts w:asciiTheme="minorHAnsi" w:hAnsiTheme="minorHAnsi"/>
          <w:color w:val="auto"/>
          <w:sz w:val="24"/>
        </w:rPr>
        <w:t xml:space="preserve"> However, there may be potential issues associated with concurrent prescribing of similar </w:t>
      </w:r>
      <w:r w:rsidR="000125DB" w:rsidRPr="009F09BC">
        <w:rPr>
          <w:rFonts w:asciiTheme="minorHAnsi" w:hAnsiTheme="minorHAnsi"/>
          <w:color w:val="auto"/>
          <w:sz w:val="24"/>
        </w:rPr>
        <w:t>glucose</w:t>
      </w:r>
      <w:r w:rsidR="00FD2A54">
        <w:rPr>
          <w:rFonts w:asciiTheme="minorHAnsi" w:hAnsiTheme="minorHAnsi"/>
          <w:color w:val="auto"/>
          <w:sz w:val="24"/>
        </w:rPr>
        <w:noBreakHyphen/>
      </w:r>
      <w:r w:rsidR="000125DB" w:rsidRPr="009F09BC">
        <w:rPr>
          <w:rFonts w:asciiTheme="minorHAnsi" w:hAnsiTheme="minorHAnsi"/>
          <w:color w:val="auto"/>
          <w:sz w:val="24"/>
        </w:rPr>
        <w:t>lowering drugs with the increasing number and different combinations of fixed-dose combinations for type 2 diabetes available (e.g. an SGLT2 inhibitor and an FDC containing an SGLT2 inhibitor).</w:t>
      </w:r>
    </w:p>
    <w:p w:rsidR="000352E1" w:rsidRDefault="0046002F" w:rsidP="000352E1">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DUSC considered that the submission did not consider the additional PBS costs due to safety issues with dapagliflozin (eg. treating urogenital infection).</w:t>
      </w:r>
    </w:p>
    <w:p w:rsidR="003F1DB5" w:rsidRPr="00BD0BDF" w:rsidRDefault="003F1DB5" w:rsidP="003F1DB5">
      <w:pPr>
        <w:pStyle w:val="ESnumberedparablue"/>
        <w:rPr>
          <w:rFonts w:asciiTheme="minorHAnsi" w:hAnsiTheme="minorHAnsi"/>
          <w:color w:val="auto"/>
          <w:sz w:val="24"/>
        </w:rPr>
      </w:pPr>
    </w:p>
    <w:p w:rsidR="003773CB" w:rsidRPr="003F1DB5" w:rsidRDefault="003773CB" w:rsidP="00BD0BDF">
      <w:pPr>
        <w:numPr>
          <w:ilvl w:val="0"/>
          <w:numId w:val="3"/>
        </w:numPr>
        <w:spacing w:before="240" w:after="120"/>
        <w:outlineLvl w:val="0"/>
        <w:rPr>
          <w:rFonts w:asciiTheme="minorHAnsi" w:hAnsiTheme="minorHAnsi"/>
          <w:b/>
          <w:bCs/>
          <w:sz w:val="32"/>
          <w:szCs w:val="32"/>
        </w:rPr>
      </w:pPr>
      <w:r w:rsidRPr="003F1DB5">
        <w:rPr>
          <w:rFonts w:asciiTheme="minorHAnsi" w:hAnsiTheme="minorHAnsi"/>
          <w:b/>
          <w:bCs/>
          <w:sz w:val="32"/>
          <w:szCs w:val="32"/>
        </w:rPr>
        <w:t>PBAC Outcome</w:t>
      </w:r>
    </w:p>
    <w:p w:rsidR="003773CB" w:rsidRPr="009F09BC" w:rsidRDefault="003773CB"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 xml:space="preserve">The PBAC </w:t>
      </w:r>
      <w:r w:rsidR="00DC60BB" w:rsidRPr="009F09BC">
        <w:rPr>
          <w:rFonts w:asciiTheme="minorHAnsi" w:hAnsiTheme="minorHAnsi"/>
          <w:color w:val="auto"/>
          <w:sz w:val="24"/>
        </w:rPr>
        <w:t xml:space="preserve">deferred making a </w:t>
      </w:r>
      <w:r w:rsidR="005121EC" w:rsidRPr="009F09BC">
        <w:rPr>
          <w:rFonts w:asciiTheme="minorHAnsi" w:hAnsiTheme="minorHAnsi"/>
          <w:color w:val="auto"/>
          <w:sz w:val="24"/>
        </w:rPr>
        <w:t xml:space="preserve">decision </w:t>
      </w:r>
      <w:r w:rsidR="00DC60BB" w:rsidRPr="009F09BC">
        <w:rPr>
          <w:rFonts w:asciiTheme="minorHAnsi" w:hAnsiTheme="minorHAnsi"/>
          <w:color w:val="auto"/>
          <w:sz w:val="24"/>
        </w:rPr>
        <w:t xml:space="preserve">regarding </w:t>
      </w:r>
      <w:r w:rsidR="005121EC" w:rsidRPr="009F09BC">
        <w:rPr>
          <w:rFonts w:asciiTheme="minorHAnsi" w:hAnsiTheme="minorHAnsi"/>
          <w:color w:val="auto"/>
          <w:sz w:val="24"/>
        </w:rPr>
        <w:t xml:space="preserve">the </w:t>
      </w:r>
      <w:r w:rsidR="00DC60BB" w:rsidRPr="009F09BC">
        <w:rPr>
          <w:rFonts w:asciiTheme="minorHAnsi" w:hAnsiTheme="minorHAnsi"/>
          <w:color w:val="auto"/>
          <w:sz w:val="24"/>
        </w:rPr>
        <w:t xml:space="preserve">Authority Required (STREAMLINED) listing for dapagliflozin for the treatment of type 2 diabetes, in combination with metformin and a dipeptidyl peptidase-4 (DPP4) inhibitor, </w:t>
      </w:r>
      <w:r w:rsidR="005121EC" w:rsidRPr="009F09BC">
        <w:rPr>
          <w:rFonts w:asciiTheme="minorHAnsi" w:hAnsiTheme="minorHAnsi"/>
          <w:color w:val="auto"/>
          <w:sz w:val="24"/>
        </w:rPr>
        <w:t xml:space="preserve">to allow </w:t>
      </w:r>
      <w:r w:rsidR="00487C7B">
        <w:rPr>
          <w:rFonts w:asciiTheme="minorHAnsi" w:hAnsiTheme="minorHAnsi"/>
          <w:color w:val="auto"/>
          <w:sz w:val="24"/>
        </w:rPr>
        <w:t>further</w:t>
      </w:r>
      <w:r w:rsidR="005121EC" w:rsidRPr="009F09BC">
        <w:rPr>
          <w:rFonts w:asciiTheme="minorHAnsi" w:hAnsiTheme="minorHAnsi"/>
          <w:color w:val="auto"/>
          <w:sz w:val="24"/>
        </w:rPr>
        <w:t xml:space="preserve"> work to establish a price </w:t>
      </w:r>
      <w:r w:rsidR="009B7E32" w:rsidRPr="009F09BC">
        <w:rPr>
          <w:rFonts w:asciiTheme="minorHAnsi" w:hAnsiTheme="minorHAnsi"/>
          <w:color w:val="auto"/>
          <w:sz w:val="24"/>
        </w:rPr>
        <w:t xml:space="preserve">for the triple therapy </w:t>
      </w:r>
      <w:r w:rsidR="005121EC" w:rsidRPr="009F09BC">
        <w:rPr>
          <w:rFonts w:asciiTheme="minorHAnsi" w:hAnsiTheme="minorHAnsi"/>
          <w:color w:val="auto"/>
          <w:sz w:val="24"/>
        </w:rPr>
        <w:t>that could be considered cost-effective</w:t>
      </w:r>
      <w:r w:rsidR="00DC60BB" w:rsidRPr="009F09BC">
        <w:rPr>
          <w:rFonts w:asciiTheme="minorHAnsi" w:hAnsiTheme="minorHAnsi"/>
          <w:color w:val="auto"/>
          <w:sz w:val="24"/>
        </w:rPr>
        <w:t xml:space="preserve">. </w:t>
      </w:r>
    </w:p>
    <w:p w:rsidR="00056FA1" w:rsidRPr="009F09BC" w:rsidRDefault="00056FA1"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 xml:space="preserve">The PBAC considered the claim of non-inferior effectiveness and safety between dapagliflozin and insulin glargine </w:t>
      </w:r>
      <w:r w:rsidR="00FD2A54">
        <w:rPr>
          <w:rFonts w:asciiTheme="minorHAnsi" w:hAnsiTheme="minorHAnsi"/>
          <w:color w:val="auto"/>
          <w:sz w:val="24"/>
        </w:rPr>
        <w:t xml:space="preserve">in combination with metformin and a DP4 inhibitor </w:t>
      </w:r>
      <w:r w:rsidRPr="009F09BC">
        <w:rPr>
          <w:rFonts w:asciiTheme="minorHAnsi" w:hAnsiTheme="minorHAnsi"/>
          <w:color w:val="auto"/>
          <w:sz w:val="24"/>
        </w:rPr>
        <w:t xml:space="preserve">was not adequately justified. The PBAC considered that the indirect comparison had a number of issues </w:t>
      </w:r>
      <w:r w:rsidR="00FD2A54">
        <w:rPr>
          <w:rFonts w:asciiTheme="minorHAnsi" w:hAnsiTheme="minorHAnsi"/>
          <w:color w:val="auto"/>
          <w:sz w:val="24"/>
        </w:rPr>
        <w:t>that</w:t>
      </w:r>
      <w:r w:rsidR="00FD2A54" w:rsidRPr="009F09BC">
        <w:rPr>
          <w:rFonts w:asciiTheme="minorHAnsi" w:hAnsiTheme="minorHAnsi"/>
          <w:color w:val="auto"/>
          <w:sz w:val="24"/>
        </w:rPr>
        <w:t xml:space="preserve"> limited the ability to assess non-inferiority </w:t>
      </w:r>
      <w:r w:rsidR="00FD2A54">
        <w:rPr>
          <w:rFonts w:asciiTheme="minorHAnsi" w:hAnsiTheme="minorHAnsi"/>
          <w:color w:val="auto"/>
          <w:sz w:val="24"/>
        </w:rPr>
        <w:t xml:space="preserve">including </w:t>
      </w:r>
      <w:r w:rsidRPr="009F09BC">
        <w:rPr>
          <w:rFonts w:asciiTheme="minorHAnsi" w:hAnsiTheme="minorHAnsi"/>
          <w:color w:val="auto"/>
          <w:sz w:val="24"/>
        </w:rPr>
        <w:t xml:space="preserve">heterogeneity, applicability and exchangeability issues, and large differences in the magnitude of effect between the common reference arms. The PBAC also noted that the search strategy used may have inappropriately excluded other sequences as the trials </w:t>
      </w:r>
      <w:r w:rsidR="00FD2A54">
        <w:rPr>
          <w:rFonts w:asciiTheme="minorHAnsi" w:hAnsiTheme="minorHAnsi"/>
          <w:color w:val="auto"/>
          <w:sz w:val="24"/>
        </w:rPr>
        <w:t>were selected based on</w:t>
      </w:r>
      <w:r w:rsidRPr="009F09BC">
        <w:rPr>
          <w:rFonts w:asciiTheme="minorHAnsi" w:hAnsiTheme="minorHAnsi"/>
          <w:color w:val="auto"/>
          <w:sz w:val="24"/>
        </w:rPr>
        <w:t xml:space="preserve"> </w:t>
      </w:r>
      <w:r w:rsidR="00FD2A54">
        <w:rPr>
          <w:rFonts w:asciiTheme="minorHAnsi" w:hAnsiTheme="minorHAnsi"/>
          <w:color w:val="auto"/>
          <w:sz w:val="24"/>
        </w:rPr>
        <w:t>a</w:t>
      </w:r>
      <w:r w:rsidR="00FD2A54" w:rsidRPr="009F09BC">
        <w:rPr>
          <w:rFonts w:asciiTheme="minorHAnsi" w:hAnsiTheme="minorHAnsi"/>
          <w:color w:val="auto"/>
          <w:sz w:val="24"/>
        </w:rPr>
        <w:t xml:space="preserve"> </w:t>
      </w:r>
      <w:r w:rsidRPr="009F09BC">
        <w:rPr>
          <w:rFonts w:asciiTheme="minorHAnsi" w:hAnsiTheme="minorHAnsi"/>
          <w:color w:val="auto"/>
          <w:sz w:val="24"/>
        </w:rPr>
        <w:t>fixed treatment sequence</w:t>
      </w:r>
      <w:r w:rsidR="00FD2A54">
        <w:rPr>
          <w:rFonts w:asciiTheme="minorHAnsi" w:hAnsiTheme="minorHAnsi"/>
          <w:color w:val="auto"/>
          <w:sz w:val="24"/>
        </w:rPr>
        <w:t xml:space="preserve"> that does not accurately represent the options in clinical practice</w:t>
      </w:r>
      <w:r w:rsidRPr="009F09BC">
        <w:rPr>
          <w:rFonts w:asciiTheme="minorHAnsi" w:hAnsiTheme="minorHAnsi"/>
          <w:color w:val="auto"/>
          <w:sz w:val="24"/>
        </w:rPr>
        <w:t xml:space="preserve">. In addition, the PBAC noted that </w:t>
      </w:r>
      <w:r w:rsidR="00D8646C" w:rsidRPr="009F09BC">
        <w:rPr>
          <w:rFonts w:asciiTheme="minorHAnsi" w:hAnsiTheme="minorHAnsi"/>
          <w:color w:val="auto"/>
          <w:sz w:val="24"/>
        </w:rPr>
        <w:t xml:space="preserve">while there may be some plausible benefits of dapagliflozin over sulfonylureas with regard to hypoglycaemia and weight gain, </w:t>
      </w:r>
      <w:r w:rsidRPr="009F09BC">
        <w:rPr>
          <w:rFonts w:asciiTheme="minorHAnsi" w:hAnsiTheme="minorHAnsi"/>
          <w:color w:val="auto"/>
          <w:sz w:val="24"/>
        </w:rPr>
        <w:t>the submission did not present any data relating to the comparative safety or efficacy of dapagliflozin compared to sulfonylureas.</w:t>
      </w:r>
    </w:p>
    <w:p w:rsidR="00BE30E2" w:rsidRPr="009F09BC" w:rsidRDefault="00BE30E2"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 xml:space="preserve">The PBAC acknowledged that it was reasonable to assume that the addition of dapagliflozin to metformin and a </w:t>
      </w:r>
      <w:r w:rsidR="00A62579">
        <w:rPr>
          <w:rFonts w:asciiTheme="minorHAnsi" w:hAnsiTheme="minorHAnsi"/>
          <w:color w:val="auto"/>
          <w:sz w:val="24"/>
        </w:rPr>
        <w:t>DPP4 inhibitor</w:t>
      </w:r>
      <w:r w:rsidR="00A62579" w:rsidRPr="009F09BC">
        <w:rPr>
          <w:rFonts w:asciiTheme="minorHAnsi" w:hAnsiTheme="minorHAnsi"/>
          <w:color w:val="auto"/>
          <w:sz w:val="24"/>
        </w:rPr>
        <w:t xml:space="preserve"> </w:t>
      </w:r>
      <w:r w:rsidRPr="009F09BC">
        <w:rPr>
          <w:rFonts w:asciiTheme="minorHAnsi" w:hAnsiTheme="minorHAnsi"/>
          <w:color w:val="auto"/>
          <w:sz w:val="24"/>
        </w:rPr>
        <w:t xml:space="preserve">would have some therapeutic benefit. However, the PBAC considered that the evidence </w:t>
      </w:r>
      <w:r w:rsidR="00A62579">
        <w:rPr>
          <w:rFonts w:asciiTheme="minorHAnsi" w:hAnsiTheme="minorHAnsi"/>
          <w:color w:val="auto"/>
          <w:sz w:val="24"/>
        </w:rPr>
        <w:t>did not</w:t>
      </w:r>
      <w:r w:rsidR="00A62579" w:rsidRPr="009F09BC">
        <w:rPr>
          <w:rFonts w:asciiTheme="minorHAnsi" w:hAnsiTheme="minorHAnsi"/>
          <w:color w:val="auto"/>
          <w:sz w:val="24"/>
        </w:rPr>
        <w:t xml:space="preserve"> </w:t>
      </w:r>
      <w:r w:rsidRPr="009F09BC">
        <w:rPr>
          <w:rFonts w:asciiTheme="minorHAnsi" w:hAnsiTheme="minorHAnsi"/>
          <w:color w:val="auto"/>
          <w:sz w:val="24"/>
        </w:rPr>
        <w:t xml:space="preserve">suggest that the </w:t>
      </w:r>
      <w:r w:rsidR="00D8646C" w:rsidRPr="009F09BC">
        <w:rPr>
          <w:rFonts w:asciiTheme="minorHAnsi" w:hAnsiTheme="minorHAnsi"/>
          <w:color w:val="auto"/>
          <w:sz w:val="24"/>
        </w:rPr>
        <w:t>benefit of metformin + dapagliflozin + a DPP4 inhibitor</w:t>
      </w:r>
      <w:r w:rsidRPr="009F09BC">
        <w:rPr>
          <w:rFonts w:asciiTheme="minorHAnsi" w:hAnsiTheme="minorHAnsi"/>
          <w:color w:val="auto"/>
          <w:sz w:val="24"/>
        </w:rPr>
        <w:t xml:space="preserve"> would be of the same magnitude as the </w:t>
      </w:r>
      <w:r w:rsidR="00D8646C" w:rsidRPr="009F09BC">
        <w:rPr>
          <w:rFonts w:asciiTheme="minorHAnsi" w:hAnsiTheme="minorHAnsi"/>
          <w:color w:val="auto"/>
          <w:sz w:val="24"/>
        </w:rPr>
        <w:t>incremental benefit of adding either dapagliflozin or a DPP4 inhibitor to metformin</w:t>
      </w:r>
      <w:r w:rsidRPr="009F09BC">
        <w:rPr>
          <w:rFonts w:asciiTheme="minorHAnsi" w:hAnsiTheme="minorHAnsi"/>
          <w:color w:val="auto"/>
          <w:sz w:val="24"/>
        </w:rPr>
        <w:t>.</w:t>
      </w:r>
    </w:p>
    <w:p w:rsidR="009B7E32" w:rsidRPr="009F09BC" w:rsidRDefault="009B7E32"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 xml:space="preserve">The PBAC also noted that there are a number of clinical trials underway that would provide valuable direct comparative data in the proposed treatment area. The PBAC therefore advised that if an agreement on a cost-effective price cannot be reached on the basis of the parameters outlined in this recommendation, no further submissions with respect to this requested listing should be made until the new clinical data becomes available for consideration. </w:t>
      </w:r>
    </w:p>
    <w:p w:rsidR="002D16E1" w:rsidRPr="009F09BC" w:rsidRDefault="002D16E1"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 xml:space="preserve">The PBAC considered that the cost-minimisation approach, based on a 70:30 split between insulin and sulfonylureas, was inappropriate. The PBAC noted the issues with the analysis of the </w:t>
      </w:r>
      <w:r w:rsidR="00D8646C" w:rsidRPr="009F09BC">
        <w:rPr>
          <w:rFonts w:asciiTheme="minorHAnsi" w:hAnsiTheme="minorHAnsi"/>
          <w:color w:val="auto"/>
          <w:sz w:val="24"/>
        </w:rPr>
        <w:t>10% M</w:t>
      </w:r>
      <w:r w:rsidRPr="009F09BC">
        <w:rPr>
          <w:rFonts w:asciiTheme="minorHAnsi" w:hAnsiTheme="minorHAnsi"/>
          <w:color w:val="auto"/>
          <w:sz w:val="24"/>
        </w:rPr>
        <w:t>edicare sample raised by DUSC (paragraph 6.</w:t>
      </w:r>
      <w:r w:rsidR="00F06FE2" w:rsidRPr="009F09BC">
        <w:rPr>
          <w:rFonts w:asciiTheme="minorHAnsi" w:hAnsiTheme="minorHAnsi"/>
          <w:color w:val="auto"/>
          <w:sz w:val="24"/>
        </w:rPr>
        <w:t>42</w:t>
      </w:r>
      <w:r w:rsidRPr="009F09BC">
        <w:rPr>
          <w:rFonts w:asciiTheme="minorHAnsi" w:hAnsiTheme="minorHAnsi"/>
          <w:color w:val="auto"/>
          <w:sz w:val="24"/>
        </w:rPr>
        <w:t>), which meant that the estimates were unreliable. Further, the PBAC noted that the number of patients on metformin + DPP4 inhibitor + sulfonylurea in mid-2016 was approximately triple the number of patients on metformin + DPP4 inhibitor + insulin, which indicated that dapagliflozin added to metformin + DPP4 inhibitor is more likely to displace a sulfonylurea than insulin.</w:t>
      </w:r>
    </w:p>
    <w:p w:rsidR="002D16E1" w:rsidRPr="009F09BC" w:rsidRDefault="002D16E1"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The PBAC</w:t>
      </w:r>
      <w:r w:rsidR="00D8646C" w:rsidRPr="009F09BC">
        <w:rPr>
          <w:rFonts w:asciiTheme="minorHAnsi" w:hAnsiTheme="minorHAnsi"/>
          <w:color w:val="auto"/>
          <w:sz w:val="24"/>
        </w:rPr>
        <w:t xml:space="preserve"> also</w:t>
      </w:r>
      <w:r w:rsidRPr="009F09BC">
        <w:rPr>
          <w:rFonts w:asciiTheme="minorHAnsi" w:hAnsiTheme="minorHAnsi"/>
          <w:color w:val="auto"/>
          <w:sz w:val="24"/>
        </w:rPr>
        <w:t xml:space="preserve"> considered that the nominated equi-effective doses of dapagliflozin 10 mg daily </w:t>
      </w:r>
      <w:r w:rsidR="009B7E32" w:rsidRPr="009F09BC">
        <w:rPr>
          <w:rFonts w:asciiTheme="minorHAnsi" w:hAnsiTheme="minorHAnsi"/>
          <w:color w:val="auto"/>
          <w:sz w:val="24"/>
        </w:rPr>
        <w:t xml:space="preserve">(in combination with a DPP4 and metformin) </w:t>
      </w:r>
      <w:r w:rsidRPr="009F09BC">
        <w:rPr>
          <w:rFonts w:asciiTheme="minorHAnsi" w:hAnsiTheme="minorHAnsi"/>
          <w:color w:val="auto"/>
          <w:sz w:val="24"/>
        </w:rPr>
        <w:t>and insulin glargine 50.6 IU daily</w:t>
      </w:r>
      <w:r w:rsidR="00BE30E2" w:rsidRPr="009F09BC">
        <w:rPr>
          <w:rFonts w:asciiTheme="minorHAnsi" w:hAnsiTheme="minorHAnsi"/>
          <w:color w:val="auto"/>
          <w:sz w:val="24"/>
        </w:rPr>
        <w:t xml:space="preserve"> </w:t>
      </w:r>
      <w:r w:rsidR="009B7E32" w:rsidRPr="009F09BC">
        <w:rPr>
          <w:rFonts w:asciiTheme="minorHAnsi" w:hAnsiTheme="minorHAnsi"/>
          <w:color w:val="auto"/>
          <w:sz w:val="24"/>
        </w:rPr>
        <w:t xml:space="preserve">(in combination with metformin) </w:t>
      </w:r>
      <w:r w:rsidR="00BE30E2" w:rsidRPr="009F09BC">
        <w:rPr>
          <w:rFonts w:asciiTheme="minorHAnsi" w:hAnsiTheme="minorHAnsi"/>
          <w:color w:val="auto"/>
          <w:sz w:val="24"/>
        </w:rPr>
        <w:t>were</w:t>
      </w:r>
      <w:r w:rsidRPr="009F09BC">
        <w:rPr>
          <w:rFonts w:asciiTheme="minorHAnsi" w:hAnsiTheme="minorHAnsi"/>
          <w:color w:val="auto"/>
          <w:sz w:val="24"/>
        </w:rPr>
        <w:t xml:space="preserve"> unreasonably high. The PBAC recalled </w:t>
      </w:r>
      <w:r w:rsidR="00BE30E2" w:rsidRPr="009F09BC">
        <w:rPr>
          <w:rFonts w:asciiTheme="minorHAnsi" w:hAnsiTheme="minorHAnsi"/>
          <w:color w:val="auto"/>
          <w:sz w:val="24"/>
        </w:rPr>
        <w:t>that relevant</w:t>
      </w:r>
      <w:r w:rsidRPr="009F09BC">
        <w:rPr>
          <w:rFonts w:asciiTheme="minorHAnsi" w:hAnsiTheme="minorHAnsi"/>
          <w:color w:val="auto"/>
          <w:sz w:val="24"/>
        </w:rPr>
        <w:t xml:space="preserve"> equi-effective doses </w:t>
      </w:r>
      <w:r w:rsidR="00BE30E2" w:rsidRPr="009F09BC">
        <w:rPr>
          <w:rFonts w:asciiTheme="minorHAnsi" w:hAnsiTheme="minorHAnsi"/>
          <w:color w:val="auto"/>
          <w:sz w:val="24"/>
        </w:rPr>
        <w:t>previously</w:t>
      </w:r>
      <w:r w:rsidRPr="009F09BC">
        <w:rPr>
          <w:rFonts w:asciiTheme="minorHAnsi" w:hAnsiTheme="minorHAnsi"/>
          <w:color w:val="auto"/>
          <w:sz w:val="24"/>
        </w:rPr>
        <w:t xml:space="preserve"> recommended</w:t>
      </w:r>
      <w:r w:rsidR="009B7E32" w:rsidRPr="009F09BC">
        <w:rPr>
          <w:rFonts w:asciiTheme="minorHAnsi" w:hAnsiTheme="minorHAnsi"/>
          <w:color w:val="auto"/>
          <w:sz w:val="24"/>
        </w:rPr>
        <w:t xml:space="preserve"> for other triple therapies</w:t>
      </w:r>
      <w:r w:rsidRPr="009F09BC">
        <w:rPr>
          <w:rFonts w:asciiTheme="minorHAnsi" w:hAnsiTheme="minorHAnsi"/>
          <w:color w:val="auto"/>
          <w:sz w:val="24"/>
        </w:rPr>
        <w:t xml:space="preserve"> were significantly lower (between </w:t>
      </w:r>
      <w:r w:rsidR="00F06FE2" w:rsidRPr="009F09BC">
        <w:rPr>
          <w:rFonts w:asciiTheme="minorHAnsi" w:hAnsiTheme="minorHAnsi"/>
          <w:color w:val="auto"/>
          <w:sz w:val="24"/>
        </w:rPr>
        <w:t xml:space="preserve">24 </w:t>
      </w:r>
      <w:r w:rsidRPr="009F09BC">
        <w:rPr>
          <w:rFonts w:asciiTheme="minorHAnsi" w:hAnsiTheme="minorHAnsi"/>
          <w:color w:val="auto"/>
          <w:sz w:val="24"/>
        </w:rPr>
        <w:t xml:space="preserve">and </w:t>
      </w:r>
      <w:r w:rsidR="00F06FE2" w:rsidRPr="009F09BC">
        <w:rPr>
          <w:rFonts w:asciiTheme="minorHAnsi" w:hAnsiTheme="minorHAnsi"/>
          <w:color w:val="auto"/>
          <w:sz w:val="24"/>
        </w:rPr>
        <w:t xml:space="preserve">26.5 </w:t>
      </w:r>
      <w:r w:rsidRPr="009F09BC">
        <w:rPr>
          <w:rFonts w:asciiTheme="minorHAnsi" w:hAnsiTheme="minorHAnsi"/>
          <w:color w:val="auto"/>
          <w:sz w:val="24"/>
        </w:rPr>
        <w:t>IU), and likely to be more appropriate.</w:t>
      </w:r>
      <w:r w:rsidR="00D8646C" w:rsidRPr="009F09BC">
        <w:rPr>
          <w:rFonts w:asciiTheme="minorHAnsi" w:hAnsiTheme="minorHAnsi"/>
          <w:color w:val="auto"/>
          <w:sz w:val="24"/>
        </w:rPr>
        <w:t xml:space="preserve"> The PBAC also noted that cost</w:t>
      </w:r>
      <w:r w:rsidR="009B7E32" w:rsidRPr="009F09BC">
        <w:rPr>
          <w:rFonts w:asciiTheme="minorHAnsi" w:hAnsiTheme="minorHAnsi"/>
          <w:color w:val="auto"/>
          <w:sz w:val="24"/>
        </w:rPr>
        <w:noBreakHyphen/>
      </w:r>
      <w:r w:rsidR="00D8646C" w:rsidRPr="009F09BC">
        <w:rPr>
          <w:rFonts w:asciiTheme="minorHAnsi" w:hAnsiTheme="minorHAnsi"/>
          <w:color w:val="auto"/>
          <w:sz w:val="24"/>
        </w:rPr>
        <w:t>offsets applied for diabetes test strips were too high.</w:t>
      </w:r>
    </w:p>
    <w:p w:rsidR="00A62579" w:rsidRDefault="00BE30E2"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The PBAC noted that the cost-minimisation approach outlined above wa</w:t>
      </w:r>
      <w:r w:rsidR="00D8646C" w:rsidRPr="009F09BC">
        <w:rPr>
          <w:rFonts w:asciiTheme="minorHAnsi" w:hAnsiTheme="minorHAnsi"/>
          <w:color w:val="auto"/>
          <w:sz w:val="24"/>
        </w:rPr>
        <w:t>s</w:t>
      </w:r>
      <w:r w:rsidRPr="009F09BC">
        <w:rPr>
          <w:rFonts w:asciiTheme="minorHAnsi" w:hAnsiTheme="minorHAnsi"/>
          <w:color w:val="auto"/>
          <w:sz w:val="24"/>
        </w:rPr>
        <w:t xml:space="preserve"> used to justify the proposed price, which is the same as the current </w:t>
      </w:r>
      <w:r w:rsidR="00D8646C" w:rsidRPr="009F09BC">
        <w:rPr>
          <w:rFonts w:asciiTheme="minorHAnsi" w:hAnsiTheme="minorHAnsi"/>
          <w:color w:val="auto"/>
          <w:sz w:val="24"/>
        </w:rPr>
        <w:t xml:space="preserve">PBS </w:t>
      </w:r>
      <w:r w:rsidRPr="009F09BC">
        <w:rPr>
          <w:rFonts w:asciiTheme="minorHAnsi" w:hAnsiTheme="minorHAnsi"/>
          <w:color w:val="auto"/>
          <w:sz w:val="24"/>
        </w:rPr>
        <w:t xml:space="preserve">subsidy for dapagliflozin on the PBS. However, the PBAC was of the view that because the addition of dapagliflozin to metformin + a DPP4 inhibitor was unlikely to have the same magnitude of effect </w:t>
      </w:r>
      <w:r w:rsidR="00D8646C" w:rsidRPr="009F09BC">
        <w:rPr>
          <w:rFonts w:asciiTheme="minorHAnsi" w:hAnsiTheme="minorHAnsi"/>
          <w:color w:val="auto"/>
          <w:sz w:val="24"/>
        </w:rPr>
        <w:t xml:space="preserve">dapagliflozin or a DPP4 inhibitor </w:t>
      </w:r>
      <w:r w:rsidRPr="009F09BC">
        <w:rPr>
          <w:rFonts w:asciiTheme="minorHAnsi" w:hAnsiTheme="minorHAnsi"/>
          <w:color w:val="auto"/>
          <w:sz w:val="24"/>
        </w:rPr>
        <w:t xml:space="preserve">added to metformin alone, it would not be cost-effective for this treatment to be at the same price as </w:t>
      </w:r>
      <w:r w:rsidR="00D8646C" w:rsidRPr="009F09BC">
        <w:rPr>
          <w:rFonts w:asciiTheme="minorHAnsi" w:hAnsiTheme="minorHAnsi"/>
          <w:color w:val="auto"/>
          <w:sz w:val="24"/>
        </w:rPr>
        <w:t xml:space="preserve">the sum of the component parts. </w:t>
      </w:r>
    </w:p>
    <w:p w:rsidR="009B7E32" w:rsidRPr="009F09BC" w:rsidRDefault="009B7E32" w:rsidP="009F09BC">
      <w:pPr>
        <w:pStyle w:val="ESnumberedparablue"/>
        <w:numPr>
          <w:ilvl w:val="1"/>
          <w:numId w:val="3"/>
        </w:numPr>
        <w:ind w:left="709" w:hanging="709"/>
        <w:rPr>
          <w:rFonts w:asciiTheme="minorHAnsi" w:hAnsiTheme="minorHAnsi"/>
          <w:color w:val="auto"/>
          <w:sz w:val="24"/>
        </w:rPr>
      </w:pPr>
      <w:r w:rsidRPr="009F09BC">
        <w:rPr>
          <w:rFonts w:asciiTheme="minorHAnsi" w:hAnsiTheme="minorHAnsi"/>
          <w:color w:val="auto"/>
          <w:sz w:val="24"/>
        </w:rPr>
        <w:t xml:space="preserve">The PBAC also considered that the financial estimates provided in the submission and the revised estimates in the pre-PBAC response </w:t>
      </w:r>
      <w:r w:rsidR="00A62579">
        <w:rPr>
          <w:rFonts w:asciiTheme="minorHAnsi" w:hAnsiTheme="minorHAnsi"/>
          <w:color w:val="auto"/>
          <w:sz w:val="24"/>
        </w:rPr>
        <w:t>remained an</w:t>
      </w:r>
      <w:r w:rsidRPr="009F09BC">
        <w:rPr>
          <w:rFonts w:asciiTheme="minorHAnsi" w:hAnsiTheme="minorHAnsi"/>
          <w:color w:val="auto"/>
          <w:sz w:val="24"/>
        </w:rPr>
        <w:t xml:space="preserve"> underestimate. The PBAC</w:t>
      </w:r>
      <w:r w:rsidR="00A62579">
        <w:rPr>
          <w:rFonts w:asciiTheme="minorHAnsi" w:hAnsiTheme="minorHAnsi"/>
          <w:color w:val="auto"/>
          <w:sz w:val="24"/>
        </w:rPr>
        <w:t xml:space="preserve"> noted the DUSC</w:t>
      </w:r>
      <w:r w:rsidRPr="009F09BC">
        <w:rPr>
          <w:rFonts w:asciiTheme="minorHAnsi" w:hAnsiTheme="minorHAnsi"/>
          <w:color w:val="auto"/>
          <w:sz w:val="24"/>
        </w:rPr>
        <w:t xml:space="preserve"> advice that the submission excluded patients because it did not consider all pathways that potential patients may take to this combination; the submission did not take into account the potential for this listing to grow the market; and the cost-offsets were overestimated. </w:t>
      </w:r>
    </w:p>
    <w:p w:rsidR="00554466" w:rsidRDefault="00554466" w:rsidP="009F09BC">
      <w:pPr>
        <w:pStyle w:val="ESnumberedparablue"/>
        <w:numPr>
          <w:ilvl w:val="1"/>
          <w:numId w:val="3"/>
        </w:numPr>
        <w:ind w:left="709" w:hanging="709"/>
        <w:rPr>
          <w:rFonts w:asciiTheme="minorHAnsi" w:hAnsiTheme="minorHAnsi"/>
          <w:color w:val="auto"/>
          <w:sz w:val="24"/>
        </w:rPr>
      </w:pPr>
      <w:r>
        <w:rPr>
          <w:rFonts w:asciiTheme="minorHAnsi" w:hAnsiTheme="minorHAnsi"/>
          <w:color w:val="auto"/>
          <w:sz w:val="24"/>
        </w:rPr>
        <w:t xml:space="preserve">The PBAC acknowledged </w:t>
      </w:r>
      <w:r w:rsidR="00BE30E2">
        <w:rPr>
          <w:rFonts w:asciiTheme="minorHAnsi" w:hAnsiTheme="minorHAnsi"/>
          <w:color w:val="auto"/>
          <w:sz w:val="24"/>
        </w:rPr>
        <w:t>that</w:t>
      </w:r>
      <w:r>
        <w:rPr>
          <w:rFonts w:asciiTheme="minorHAnsi" w:hAnsiTheme="minorHAnsi"/>
          <w:color w:val="auto"/>
          <w:sz w:val="24"/>
        </w:rPr>
        <w:t xml:space="preserve"> the </w:t>
      </w:r>
      <w:r w:rsidR="00BE30E2">
        <w:rPr>
          <w:rFonts w:asciiTheme="minorHAnsi" w:hAnsiTheme="minorHAnsi"/>
          <w:color w:val="auto"/>
          <w:sz w:val="24"/>
        </w:rPr>
        <w:t xml:space="preserve">current </w:t>
      </w:r>
      <w:r>
        <w:rPr>
          <w:rFonts w:asciiTheme="minorHAnsi" w:hAnsiTheme="minorHAnsi"/>
          <w:color w:val="auto"/>
          <w:sz w:val="24"/>
        </w:rPr>
        <w:t xml:space="preserve">PBS </w:t>
      </w:r>
      <w:r w:rsidR="00BE30E2">
        <w:rPr>
          <w:rFonts w:asciiTheme="minorHAnsi" w:hAnsiTheme="minorHAnsi"/>
          <w:color w:val="auto"/>
          <w:sz w:val="24"/>
        </w:rPr>
        <w:t xml:space="preserve">listings </w:t>
      </w:r>
      <w:r>
        <w:rPr>
          <w:rFonts w:asciiTheme="minorHAnsi" w:hAnsiTheme="minorHAnsi"/>
          <w:color w:val="auto"/>
          <w:sz w:val="24"/>
        </w:rPr>
        <w:t>for diabetes medicines</w:t>
      </w:r>
      <w:r w:rsidR="00BE30E2">
        <w:rPr>
          <w:rFonts w:asciiTheme="minorHAnsi" w:hAnsiTheme="minorHAnsi"/>
          <w:color w:val="auto"/>
          <w:sz w:val="24"/>
        </w:rPr>
        <w:t xml:space="preserve"> were confusing and difficult to interpret</w:t>
      </w:r>
      <w:r>
        <w:rPr>
          <w:rFonts w:asciiTheme="minorHAnsi" w:hAnsiTheme="minorHAnsi"/>
          <w:color w:val="auto"/>
          <w:sz w:val="24"/>
        </w:rPr>
        <w:t xml:space="preserve">. The PBAC </w:t>
      </w:r>
      <w:r w:rsidR="00BE30E2">
        <w:rPr>
          <w:rFonts w:asciiTheme="minorHAnsi" w:hAnsiTheme="minorHAnsi"/>
          <w:color w:val="auto"/>
          <w:sz w:val="24"/>
        </w:rPr>
        <w:t xml:space="preserve">therefore recommended that it may be appropriate to </w:t>
      </w:r>
      <w:r>
        <w:rPr>
          <w:rFonts w:asciiTheme="minorHAnsi" w:hAnsiTheme="minorHAnsi"/>
          <w:color w:val="auto"/>
          <w:sz w:val="24"/>
        </w:rPr>
        <w:t xml:space="preserve">develop a General Statement for </w:t>
      </w:r>
      <w:r w:rsidR="009B7E32">
        <w:rPr>
          <w:rFonts w:asciiTheme="minorHAnsi" w:hAnsiTheme="minorHAnsi"/>
          <w:color w:val="auto"/>
          <w:sz w:val="24"/>
        </w:rPr>
        <w:t xml:space="preserve">PBS listed </w:t>
      </w:r>
      <w:r w:rsidR="00BE30E2">
        <w:rPr>
          <w:rFonts w:asciiTheme="minorHAnsi" w:hAnsiTheme="minorHAnsi"/>
          <w:color w:val="auto"/>
          <w:sz w:val="24"/>
        </w:rPr>
        <w:t>medicines to treat type 2</w:t>
      </w:r>
      <w:r w:rsidR="009B7E32">
        <w:rPr>
          <w:rFonts w:asciiTheme="minorHAnsi" w:hAnsiTheme="minorHAnsi"/>
          <w:color w:val="auto"/>
          <w:sz w:val="24"/>
        </w:rPr>
        <w:t> </w:t>
      </w:r>
      <w:r w:rsidR="00BE30E2">
        <w:rPr>
          <w:rFonts w:asciiTheme="minorHAnsi" w:hAnsiTheme="minorHAnsi"/>
          <w:color w:val="auto"/>
          <w:sz w:val="24"/>
        </w:rPr>
        <w:t>diabetes</w:t>
      </w:r>
      <w:r>
        <w:rPr>
          <w:rFonts w:asciiTheme="minorHAnsi" w:hAnsiTheme="minorHAnsi"/>
          <w:color w:val="auto"/>
          <w:sz w:val="24"/>
        </w:rPr>
        <w:t>.</w:t>
      </w:r>
    </w:p>
    <w:p w:rsidR="008600D2" w:rsidRPr="00BE30E2" w:rsidRDefault="003773CB" w:rsidP="009F09BC">
      <w:pPr>
        <w:pStyle w:val="ESnumberedparablue"/>
        <w:numPr>
          <w:ilvl w:val="1"/>
          <w:numId w:val="3"/>
        </w:numPr>
        <w:ind w:left="709" w:hanging="709"/>
        <w:rPr>
          <w:rFonts w:asciiTheme="minorHAnsi" w:hAnsiTheme="minorHAnsi"/>
          <w:sz w:val="24"/>
        </w:rPr>
      </w:pPr>
      <w:r w:rsidRPr="009F09BC">
        <w:rPr>
          <w:rFonts w:asciiTheme="minorHAnsi" w:hAnsiTheme="minorHAnsi"/>
          <w:color w:val="auto"/>
          <w:sz w:val="24"/>
        </w:rPr>
        <w:t xml:space="preserve">The PBAC noted that this submission is eligible for an Independent Review. </w:t>
      </w:r>
    </w:p>
    <w:p w:rsidR="007D1B64" w:rsidRPr="007D1B64" w:rsidRDefault="007D1B64" w:rsidP="00BE30E2">
      <w:pPr>
        <w:spacing w:after="120"/>
        <w:ind w:left="720"/>
        <w:rPr>
          <w:rFonts w:asciiTheme="minorHAnsi" w:hAnsiTheme="minorHAnsi"/>
          <w:bCs/>
          <w:lang w:val="en-GB"/>
        </w:rPr>
      </w:pPr>
    </w:p>
    <w:p w:rsidR="003773CB" w:rsidRDefault="003773CB" w:rsidP="00BD0BDF">
      <w:pPr>
        <w:spacing w:before="240"/>
        <w:outlineLvl w:val="1"/>
        <w:rPr>
          <w:rFonts w:asciiTheme="minorHAnsi" w:hAnsiTheme="minorHAnsi"/>
          <w:bCs/>
          <w:sz w:val="24"/>
          <w:szCs w:val="24"/>
          <w:lang w:val="en-GB"/>
        </w:rPr>
      </w:pPr>
      <w:r w:rsidRPr="00BD0BDF">
        <w:rPr>
          <w:rFonts w:asciiTheme="minorHAnsi" w:hAnsiTheme="minorHAnsi"/>
          <w:b/>
          <w:bCs/>
          <w:sz w:val="24"/>
          <w:szCs w:val="24"/>
          <w:lang w:val="en-GB"/>
        </w:rPr>
        <w:t>Outcome</w:t>
      </w:r>
      <w:proofErr w:type="gramStart"/>
      <w:r w:rsidRPr="00BD0BDF">
        <w:rPr>
          <w:rFonts w:asciiTheme="minorHAnsi" w:hAnsiTheme="minorHAnsi"/>
          <w:b/>
          <w:bCs/>
          <w:sz w:val="24"/>
          <w:szCs w:val="24"/>
          <w:lang w:val="en-GB"/>
        </w:rPr>
        <w:t>:</w:t>
      </w:r>
      <w:proofErr w:type="gramEnd"/>
      <w:r w:rsidR="00BD0BDF">
        <w:rPr>
          <w:rFonts w:asciiTheme="minorHAnsi" w:hAnsiTheme="minorHAnsi"/>
          <w:b/>
          <w:bCs/>
          <w:sz w:val="24"/>
          <w:szCs w:val="24"/>
          <w:lang w:val="en-GB"/>
        </w:rPr>
        <w:br/>
      </w:r>
      <w:r w:rsidRPr="00BD0BDF">
        <w:rPr>
          <w:rFonts w:asciiTheme="minorHAnsi" w:hAnsiTheme="minorHAnsi"/>
          <w:bCs/>
          <w:sz w:val="24"/>
          <w:szCs w:val="24"/>
          <w:lang w:val="en-GB"/>
        </w:rPr>
        <w:t xml:space="preserve">Deferred </w:t>
      </w:r>
    </w:p>
    <w:p w:rsidR="00455DC8" w:rsidRDefault="00455DC8" w:rsidP="00EA2AF9">
      <w:pPr>
        <w:spacing w:before="240"/>
        <w:rPr>
          <w:rFonts w:asciiTheme="minorHAnsi" w:hAnsiTheme="minorHAnsi"/>
          <w:bCs/>
          <w:sz w:val="24"/>
          <w:szCs w:val="24"/>
          <w:lang w:val="en-GB"/>
        </w:rPr>
      </w:pPr>
    </w:p>
    <w:p w:rsidR="00455DC8" w:rsidRPr="00455DC8" w:rsidRDefault="00455DC8" w:rsidP="00455DC8">
      <w:pPr>
        <w:numPr>
          <w:ilvl w:val="0"/>
          <w:numId w:val="3"/>
        </w:numPr>
        <w:spacing w:before="240" w:after="120"/>
        <w:outlineLvl w:val="0"/>
        <w:rPr>
          <w:rFonts w:asciiTheme="minorHAnsi" w:eastAsiaTheme="minorHAnsi" w:hAnsiTheme="minorHAnsi" w:cstheme="minorBidi"/>
          <w:b/>
          <w:snapToGrid/>
          <w:sz w:val="32"/>
          <w:szCs w:val="32"/>
        </w:rPr>
      </w:pPr>
      <w:r w:rsidRPr="00455DC8">
        <w:rPr>
          <w:rFonts w:asciiTheme="minorHAnsi" w:eastAsiaTheme="minorHAnsi" w:hAnsiTheme="minorHAnsi" w:cstheme="minorBidi"/>
          <w:b/>
          <w:snapToGrid/>
          <w:sz w:val="32"/>
          <w:szCs w:val="32"/>
        </w:rPr>
        <w:t>Context for Decision</w:t>
      </w:r>
    </w:p>
    <w:p w:rsidR="00455DC8" w:rsidRPr="00455DC8" w:rsidRDefault="00455DC8" w:rsidP="00455DC8">
      <w:pPr>
        <w:widowControl/>
        <w:spacing w:line="276" w:lineRule="auto"/>
        <w:ind w:left="426"/>
        <w:rPr>
          <w:rFonts w:asciiTheme="minorHAnsi" w:eastAsiaTheme="minorHAnsi" w:hAnsiTheme="minorHAnsi"/>
          <w:snapToGrid/>
          <w:sz w:val="24"/>
          <w:szCs w:val="24"/>
        </w:rPr>
      </w:pPr>
    </w:p>
    <w:p w:rsidR="00455DC8" w:rsidRPr="00455DC8" w:rsidRDefault="00455DC8" w:rsidP="00B975C4">
      <w:pPr>
        <w:widowControl/>
        <w:spacing w:line="276" w:lineRule="auto"/>
        <w:rPr>
          <w:rFonts w:asciiTheme="minorHAnsi" w:eastAsiaTheme="minorHAnsi" w:hAnsiTheme="minorHAnsi"/>
          <w:snapToGrid/>
          <w:sz w:val="24"/>
          <w:szCs w:val="24"/>
        </w:rPr>
      </w:pPr>
      <w:r w:rsidRPr="00455DC8">
        <w:rPr>
          <w:rFonts w:asciiTheme="minorHAnsi" w:eastAsiaTheme="minorHAnsi" w:hAnsiTheme="minorHAnsi"/>
          <w:snapToGrid/>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55DC8" w:rsidRPr="00455DC8" w:rsidRDefault="00455DC8" w:rsidP="00455DC8">
      <w:pPr>
        <w:widowControl/>
        <w:spacing w:after="200" w:line="276" w:lineRule="auto"/>
        <w:ind w:left="426"/>
        <w:rPr>
          <w:rFonts w:asciiTheme="minorHAnsi" w:eastAsiaTheme="minorHAnsi" w:hAnsiTheme="minorHAnsi"/>
          <w:snapToGrid/>
          <w:sz w:val="24"/>
          <w:szCs w:val="24"/>
        </w:rPr>
      </w:pPr>
      <w:bookmarkStart w:id="43" w:name="_GoBack"/>
      <w:bookmarkEnd w:id="43"/>
    </w:p>
    <w:p w:rsidR="00455DC8" w:rsidRPr="00455DC8" w:rsidRDefault="00455DC8" w:rsidP="00455DC8">
      <w:pPr>
        <w:numPr>
          <w:ilvl w:val="0"/>
          <w:numId w:val="3"/>
        </w:numPr>
        <w:spacing w:before="240" w:after="120"/>
        <w:outlineLvl w:val="0"/>
        <w:rPr>
          <w:rFonts w:asciiTheme="minorHAnsi" w:eastAsiaTheme="minorHAnsi" w:hAnsiTheme="minorHAnsi" w:cstheme="minorBidi"/>
          <w:b/>
          <w:snapToGrid/>
          <w:sz w:val="32"/>
          <w:szCs w:val="32"/>
        </w:rPr>
      </w:pPr>
      <w:r w:rsidRPr="00455DC8">
        <w:rPr>
          <w:rFonts w:asciiTheme="minorHAnsi" w:eastAsiaTheme="minorHAnsi" w:hAnsiTheme="minorHAnsi" w:cstheme="minorBidi"/>
          <w:b/>
          <w:snapToGrid/>
          <w:sz w:val="32"/>
          <w:szCs w:val="32"/>
        </w:rPr>
        <w:t xml:space="preserve"> Sponsor’s Comment</w:t>
      </w:r>
    </w:p>
    <w:p w:rsidR="00455DC8" w:rsidRPr="00455DC8" w:rsidRDefault="00455DC8" w:rsidP="00455DC8">
      <w:pPr>
        <w:widowControl/>
        <w:spacing w:line="276" w:lineRule="auto"/>
        <w:ind w:left="426"/>
        <w:rPr>
          <w:rFonts w:asciiTheme="minorHAnsi" w:eastAsiaTheme="minorHAnsi" w:hAnsiTheme="minorHAnsi"/>
          <w:bCs/>
          <w:snapToGrid/>
          <w:sz w:val="24"/>
          <w:szCs w:val="24"/>
          <w:highlight w:val="yellow"/>
          <w:lang w:val="en-GB"/>
        </w:rPr>
      </w:pPr>
    </w:p>
    <w:p w:rsidR="00455DC8" w:rsidRPr="00455DC8" w:rsidRDefault="00455DC8" w:rsidP="00B975C4">
      <w:pPr>
        <w:widowControl/>
        <w:spacing w:after="120" w:line="276" w:lineRule="auto"/>
        <w:rPr>
          <w:rFonts w:asciiTheme="minorHAnsi" w:eastAsiaTheme="minorHAnsi" w:hAnsiTheme="minorHAnsi"/>
          <w:bCs/>
          <w:snapToGrid/>
          <w:sz w:val="24"/>
          <w:szCs w:val="24"/>
        </w:rPr>
      </w:pPr>
      <w:r w:rsidRPr="00455DC8">
        <w:rPr>
          <w:rFonts w:asciiTheme="minorHAnsi" w:eastAsiaTheme="minorHAnsi" w:hAnsiTheme="minorHAnsi"/>
          <w:bCs/>
          <w:snapToGrid/>
          <w:sz w:val="24"/>
          <w:szCs w:val="24"/>
        </w:rPr>
        <w:t>The sponsor had no comment.</w:t>
      </w:r>
    </w:p>
    <w:p w:rsidR="00455DC8" w:rsidRPr="00BD0BDF" w:rsidRDefault="00455DC8" w:rsidP="00EA2AF9">
      <w:pPr>
        <w:spacing w:before="240"/>
        <w:rPr>
          <w:rFonts w:asciiTheme="minorHAnsi" w:hAnsiTheme="minorHAnsi"/>
          <w:b/>
          <w:bCs/>
          <w:sz w:val="24"/>
          <w:szCs w:val="24"/>
          <w:lang w:val="en-GB"/>
        </w:rPr>
      </w:pPr>
    </w:p>
    <w:sectPr w:rsidR="00455DC8" w:rsidRPr="00BD0BDF" w:rsidSect="003E422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F264CF" w15:done="0"/>
  <w15:commentEx w15:paraId="102DAC1C" w15:done="0"/>
  <w15:commentEx w15:paraId="0511FF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642" w:rsidRDefault="00641642" w:rsidP="00124A51">
      <w:r>
        <w:separator/>
      </w:r>
    </w:p>
    <w:p w:rsidR="00641642" w:rsidRDefault="00641642"/>
  </w:endnote>
  <w:endnote w:type="continuationSeparator" w:id="0">
    <w:p w:rsidR="00641642" w:rsidRDefault="00641642" w:rsidP="00124A51">
      <w:r>
        <w:continuationSeparator/>
      </w:r>
    </w:p>
    <w:p w:rsidR="00641642" w:rsidRDefault="00641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42" w:rsidRDefault="00641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159470"/>
      <w:docPartObj>
        <w:docPartGallery w:val="Page Numbers (Bottom of Page)"/>
        <w:docPartUnique/>
      </w:docPartObj>
    </w:sdtPr>
    <w:sdtEndPr>
      <w:rPr>
        <w:rFonts w:asciiTheme="minorHAnsi" w:hAnsiTheme="minorHAnsi"/>
        <w:noProof/>
        <w:sz w:val="24"/>
        <w:szCs w:val="24"/>
      </w:rPr>
    </w:sdtEndPr>
    <w:sdtContent>
      <w:p w:rsidR="00641642" w:rsidRDefault="00641642">
        <w:pPr>
          <w:pStyle w:val="Footer"/>
          <w:jc w:val="center"/>
        </w:pPr>
      </w:p>
      <w:p w:rsidR="00641642" w:rsidRPr="002E00EF" w:rsidRDefault="00641642" w:rsidP="00BD0BDF">
        <w:pPr>
          <w:pStyle w:val="Footer"/>
          <w:tabs>
            <w:tab w:val="left" w:pos="4320"/>
          </w:tabs>
          <w:jc w:val="left"/>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sidRPr="002E00EF">
          <w:rPr>
            <w:rFonts w:asciiTheme="minorHAnsi" w:hAnsiTheme="minorHAnsi"/>
            <w:sz w:val="24"/>
            <w:szCs w:val="24"/>
          </w:rPr>
          <w:fldChar w:fldCharType="begin"/>
        </w:r>
        <w:r w:rsidRPr="002E00EF">
          <w:rPr>
            <w:rFonts w:asciiTheme="minorHAnsi" w:hAnsiTheme="minorHAnsi"/>
            <w:sz w:val="24"/>
            <w:szCs w:val="24"/>
          </w:rPr>
          <w:instrText xml:space="preserve"> PAGE   \* MERGEFORMAT </w:instrText>
        </w:r>
        <w:r w:rsidRPr="002E00EF">
          <w:rPr>
            <w:rFonts w:asciiTheme="minorHAnsi" w:hAnsiTheme="minorHAnsi"/>
            <w:sz w:val="24"/>
            <w:szCs w:val="24"/>
          </w:rPr>
          <w:fldChar w:fldCharType="separate"/>
        </w:r>
        <w:r w:rsidR="00B975C4">
          <w:rPr>
            <w:rFonts w:asciiTheme="minorHAnsi" w:hAnsiTheme="minorHAnsi"/>
            <w:noProof/>
            <w:sz w:val="24"/>
            <w:szCs w:val="24"/>
          </w:rPr>
          <w:t>21</w:t>
        </w:r>
        <w:r w:rsidRPr="002E00EF">
          <w:rPr>
            <w:rFonts w:asciiTheme="minorHAnsi" w:hAnsiTheme="minorHAnsi"/>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42" w:rsidRDefault="00641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642" w:rsidRDefault="00641642" w:rsidP="00124A51">
      <w:r>
        <w:separator/>
      </w:r>
    </w:p>
    <w:p w:rsidR="00641642" w:rsidRDefault="00641642"/>
  </w:footnote>
  <w:footnote w:type="continuationSeparator" w:id="0">
    <w:p w:rsidR="00641642" w:rsidRDefault="00641642" w:rsidP="00124A51">
      <w:r>
        <w:continuationSeparator/>
      </w:r>
    </w:p>
    <w:p w:rsidR="00641642" w:rsidRDefault="00641642"/>
  </w:footnote>
  <w:footnote w:id="1">
    <w:p w:rsidR="00641642" w:rsidRDefault="00641642" w:rsidP="00212789">
      <w:pPr>
        <w:pStyle w:val="FootnoteText"/>
      </w:pPr>
      <w:r>
        <w:rPr>
          <w:rStyle w:val="FootnoteReference"/>
        </w:rPr>
        <w:footnoteRef/>
      </w:r>
      <w:r>
        <w:t xml:space="preserve"> </w:t>
      </w:r>
      <w:r w:rsidRPr="00731F3A">
        <w:rPr>
          <w:rFonts w:asciiTheme="minorHAnsi" w:hAnsiTheme="minorHAnsi"/>
        </w:rPr>
        <w:t>NCT02419612</w:t>
      </w:r>
      <w:r w:rsidRPr="0052371B">
        <w:rPr>
          <w:rFonts w:asciiTheme="minorHAnsi" w:hAnsiTheme="minorHAnsi"/>
        </w:rPr>
        <w:t xml:space="preserve">, </w:t>
      </w:r>
      <w:r w:rsidRPr="00731F3A">
        <w:rPr>
          <w:rFonts w:asciiTheme="minorHAnsi" w:hAnsiTheme="minorHAnsi"/>
        </w:rPr>
        <w:t>NCT02551874</w:t>
      </w:r>
      <w:r w:rsidRPr="0052371B">
        <w:rPr>
          <w:rFonts w:asciiTheme="minorHAnsi" w:hAnsiTheme="minorHAnsi"/>
        </w:rPr>
        <w:t xml:space="preserve">, </w:t>
      </w:r>
      <w:r w:rsidRPr="00731F3A">
        <w:rPr>
          <w:rFonts w:asciiTheme="minorHAnsi" w:hAnsiTheme="minorHAnsi"/>
        </w:rPr>
        <w:t>NCT01730534</w:t>
      </w:r>
      <w:r w:rsidRPr="0052371B">
        <w:rPr>
          <w:rFonts w:asciiTheme="minorHAnsi" w:hAnsiTheme="minorHAnsi"/>
        </w:rPr>
        <w:t xml:space="preserve">, </w:t>
      </w:r>
      <w:r w:rsidRPr="00731F3A">
        <w:rPr>
          <w:rFonts w:asciiTheme="minorHAnsi" w:hAnsiTheme="minorHAnsi"/>
        </w:rPr>
        <w:t>NCT02471404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42" w:rsidRDefault="00641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42" w:rsidRPr="003F2089" w:rsidRDefault="00641642" w:rsidP="002E00EF">
    <w:pPr>
      <w:pStyle w:val="Header"/>
      <w:jc w:val="center"/>
      <w:rPr>
        <w:rFonts w:asciiTheme="minorHAnsi" w:hAnsiTheme="minorHAnsi"/>
        <w:i/>
        <w:color w:val="BFBFBF" w:themeColor="background1" w:themeShade="BF"/>
        <w:sz w:val="24"/>
        <w:szCs w:val="24"/>
      </w:rPr>
    </w:pPr>
    <w:r w:rsidRPr="003F2089">
      <w:rPr>
        <w:rFonts w:asciiTheme="minorHAnsi" w:hAnsiTheme="minorHAnsi"/>
        <w:i/>
        <w:color w:val="BFBFBF" w:themeColor="background1" w:themeShade="BF"/>
        <w:sz w:val="24"/>
        <w:szCs w:val="24"/>
      </w:rPr>
      <w:t>Public Summary Document – July 2017 PBAC Meeting</w:t>
    </w:r>
  </w:p>
  <w:p w:rsidR="00641642" w:rsidRPr="004655E8" w:rsidRDefault="00641642" w:rsidP="002E00EF">
    <w:pPr>
      <w:pStyle w:val="Header"/>
      <w:jc w:val="center"/>
      <w:rPr>
        <w:rFonts w:asciiTheme="minorHAnsi" w:hAnsiTheme="minorHAnsi"/>
        <w:i/>
        <w:color w:val="D9D9D9" w:themeColor="background1" w:themeShade="D9"/>
        <w:sz w:val="24"/>
        <w:szCs w:val="24"/>
      </w:rPr>
    </w:pPr>
  </w:p>
  <w:p w:rsidR="00641642" w:rsidRPr="008C7ECB" w:rsidRDefault="006416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42" w:rsidRDefault="006416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7E3"/>
    <w:multiLevelType w:val="hybridMultilevel"/>
    <w:tmpl w:val="D0422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FB0292"/>
    <w:multiLevelType w:val="hybridMultilevel"/>
    <w:tmpl w:val="60507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D162995"/>
    <w:multiLevelType w:val="hybridMultilevel"/>
    <w:tmpl w:val="ECF2A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B931D1"/>
    <w:multiLevelType w:val="multilevel"/>
    <w:tmpl w:val="40AED5A2"/>
    <w:lvl w:ilvl="0">
      <w:start w:val="6"/>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63E75B0"/>
    <w:multiLevelType w:val="hybridMultilevel"/>
    <w:tmpl w:val="78803A8C"/>
    <w:lvl w:ilvl="0" w:tplc="7C74FCA8">
      <w:start w:val="1"/>
      <w:numFmt w:val="bullet"/>
      <w:pStyle w:val="ESnon-numbere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1B327BFF"/>
    <w:multiLevelType w:val="hybridMultilevel"/>
    <w:tmpl w:val="913C4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4C39C2"/>
    <w:multiLevelType w:val="hybridMultilevel"/>
    <w:tmpl w:val="BAD0701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08421C5"/>
    <w:multiLevelType w:val="hybridMultilevel"/>
    <w:tmpl w:val="64C8A1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1073996"/>
    <w:multiLevelType w:val="hybridMultilevel"/>
    <w:tmpl w:val="E88288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3BF101B"/>
    <w:multiLevelType w:val="hybridMultilevel"/>
    <w:tmpl w:val="3C8641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5F73D1C"/>
    <w:multiLevelType w:val="hybridMultilevel"/>
    <w:tmpl w:val="33DCD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16100D"/>
    <w:multiLevelType w:val="hybridMultilevel"/>
    <w:tmpl w:val="EDF20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4E6825"/>
    <w:multiLevelType w:val="multilevel"/>
    <w:tmpl w:val="6EE482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7">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11C2BC1"/>
    <w:multiLevelType w:val="multilevel"/>
    <w:tmpl w:val="6EDEB3E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3E80F9A"/>
    <w:multiLevelType w:val="hybridMultilevel"/>
    <w:tmpl w:val="531CC77C"/>
    <w:lvl w:ilvl="0" w:tplc="0DE4523E">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4781FCC"/>
    <w:multiLevelType w:val="hybridMultilevel"/>
    <w:tmpl w:val="FD86819A"/>
    <w:lvl w:ilvl="0" w:tplc="0C090001">
      <w:start w:val="1"/>
      <w:numFmt w:val="bullet"/>
      <w:lvlText w:val=""/>
      <w:lvlJc w:val="left"/>
      <w:pPr>
        <w:ind w:left="1065" w:hanging="360"/>
      </w:pPr>
      <w:rPr>
        <w:rFonts w:ascii="Symbol" w:hAnsi="Symbol"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21">
    <w:nsid w:val="355F4A5B"/>
    <w:multiLevelType w:val="multilevel"/>
    <w:tmpl w:val="F8EC3158"/>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92D39CF"/>
    <w:multiLevelType w:val="multilevel"/>
    <w:tmpl w:val="F1B8E7A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B6839F2"/>
    <w:multiLevelType w:val="hybridMultilevel"/>
    <w:tmpl w:val="514E8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FB36603"/>
    <w:multiLevelType w:val="hybridMultilevel"/>
    <w:tmpl w:val="7B56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3583788"/>
    <w:multiLevelType w:val="hybridMultilevel"/>
    <w:tmpl w:val="109C7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4396EEA"/>
    <w:multiLevelType w:val="hybridMultilevel"/>
    <w:tmpl w:val="B93A67F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7">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nsid w:val="4A78257C"/>
    <w:multiLevelType w:val="hybridMultilevel"/>
    <w:tmpl w:val="A3742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B2875A5"/>
    <w:multiLevelType w:val="hybridMultilevel"/>
    <w:tmpl w:val="4D8C6658"/>
    <w:lvl w:ilvl="0" w:tplc="CF184C6A">
      <w:start w:val="1"/>
      <w:numFmt w:val="bullet"/>
      <w:pStyle w:val="V50InstructionsBullets"/>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22F0C51"/>
    <w:multiLevelType w:val="hybridMultilevel"/>
    <w:tmpl w:val="44E44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53FD5959"/>
    <w:multiLevelType w:val="hybridMultilevel"/>
    <w:tmpl w:val="C4C44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68D2DF5"/>
    <w:multiLevelType w:val="hybridMultilevel"/>
    <w:tmpl w:val="A40A8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A775304"/>
    <w:multiLevelType w:val="hybridMultilevel"/>
    <w:tmpl w:val="FC12CE22"/>
    <w:lvl w:ilvl="0" w:tplc="0DE4523E">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AA65311"/>
    <w:multiLevelType w:val="multilevel"/>
    <w:tmpl w:val="8BDAD036"/>
    <w:lvl w:ilvl="0">
      <w:start w:val="1"/>
      <w:numFmt w:val="decimal"/>
      <w:lvlText w:val="%1"/>
      <w:lvlJc w:val="left"/>
      <w:pPr>
        <w:ind w:left="720" w:hanging="720"/>
      </w:pPr>
      <w:rPr>
        <w:rFonts w:hint="default"/>
        <w:b/>
      </w:rPr>
    </w:lvl>
    <w:lvl w:ilvl="1">
      <w:start w:val="1"/>
      <w:numFmt w:val="decimal"/>
      <w:lvlText w:val="%1.%2"/>
      <w:lvlJc w:val="left"/>
      <w:pPr>
        <w:ind w:left="862" w:hanging="720"/>
      </w:pPr>
      <w:rPr>
        <w:rFonts w:asciiTheme="minorHAnsi" w:hAnsiTheme="minorHAnsi"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DD2137B"/>
    <w:multiLevelType w:val="hybridMultilevel"/>
    <w:tmpl w:val="0E8A2646"/>
    <w:lvl w:ilvl="0" w:tplc="DDD49C90">
      <w:start w:val="1"/>
      <w:numFmt w:val="lowerRoman"/>
      <w:lvlText w:val="(%1)"/>
      <w:lvlJc w:val="left"/>
      <w:pPr>
        <w:ind w:left="765"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F7B44C2"/>
    <w:multiLevelType w:val="hybridMultilevel"/>
    <w:tmpl w:val="EEA4C8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07F4272"/>
    <w:multiLevelType w:val="hybridMultilevel"/>
    <w:tmpl w:val="B1023182"/>
    <w:lvl w:ilvl="0" w:tplc="B09A8B2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5BB0EC5"/>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004"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66645481"/>
    <w:multiLevelType w:val="hybridMultilevel"/>
    <w:tmpl w:val="602CD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62E095D"/>
    <w:multiLevelType w:val="hybridMultilevel"/>
    <w:tmpl w:val="BE3EC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7857501"/>
    <w:multiLevelType w:val="hybridMultilevel"/>
    <w:tmpl w:val="BAD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84D033C"/>
    <w:multiLevelType w:val="multilevel"/>
    <w:tmpl w:val="8BDAD036"/>
    <w:lvl w:ilvl="0">
      <w:start w:val="1"/>
      <w:numFmt w:val="decimal"/>
      <w:lvlText w:val="%1"/>
      <w:lvlJc w:val="left"/>
      <w:pPr>
        <w:ind w:left="720" w:hanging="720"/>
      </w:pPr>
      <w:rPr>
        <w:rFonts w:hint="default"/>
        <w:b/>
      </w:rPr>
    </w:lvl>
    <w:lvl w:ilvl="1">
      <w:start w:val="1"/>
      <w:numFmt w:val="decimal"/>
      <w:lvlText w:val="%1.%2"/>
      <w:lvlJc w:val="left"/>
      <w:pPr>
        <w:ind w:left="862" w:hanging="720"/>
      </w:pPr>
      <w:rPr>
        <w:rFonts w:asciiTheme="minorHAnsi" w:hAnsiTheme="minorHAnsi"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E5E1E04"/>
    <w:multiLevelType w:val="hybridMultilevel"/>
    <w:tmpl w:val="635AF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F6C397C"/>
    <w:multiLevelType w:val="hybridMultilevel"/>
    <w:tmpl w:val="F984EA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27"/>
  </w:num>
  <w:num w:numId="3">
    <w:abstractNumId w:val="43"/>
  </w:num>
  <w:num w:numId="4">
    <w:abstractNumId w:val="15"/>
  </w:num>
  <w:num w:numId="5">
    <w:abstractNumId w:val="29"/>
  </w:num>
  <w:num w:numId="6">
    <w:abstractNumId w:val="17"/>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26"/>
  </w:num>
  <w:num w:numId="11">
    <w:abstractNumId w:val="41"/>
  </w:num>
  <w:num w:numId="12">
    <w:abstractNumId w:val="42"/>
  </w:num>
  <w:num w:numId="13">
    <w:abstractNumId w:val="4"/>
  </w:num>
  <w:num w:numId="14">
    <w:abstractNumId w:val="40"/>
  </w:num>
  <w:num w:numId="15">
    <w:abstractNumId w:val="19"/>
  </w:num>
  <w:num w:numId="16">
    <w:abstractNumId w:val="24"/>
  </w:num>
  <w:num w:numId="17">
    <w:abstractNumId w:val="44"/>
  </w:num>
  <w:num w:numId="18">
    <w:abstractNumId w:val="14"/>
  </w:num>
  <w:num w:numId="19">
    <w:abstractNumId w:val="8"/>
  </w:num>
  <w:num w:numId="20">
    <w:abstractNumId w:val="37"/>
  </w:num>
  <w:num w:numId="21">
    <w:abstractNumId w:val="23"/>
  </w:num>
  <w:num w:numId="22">
    <w:abstractNumId w:val="25"/>
  </w:num>
  <w:num w:numId="23">
    <w:abstractNumId w:val="13"/>
  </w:num>
  <w:num w:numId="24">
    <w:abstractNumId w:val="34"/>
  </w:num>
  <w:num w:numId="25">
    <w:abstractNumId w:val="30"/>
  </w:num>
  <w:num w:numId="26">
    <w:abstractNumId w:val="10"/>
  </w:num>
  <w:num w:numId="27">
    <w:abstractNumId w:val="45"/>
  </w:num>
  <w:num w:numId="28">
    <w:abstractNumId w:val="33"/>
  </w:num>
  <w:num w:numId="29">
    <w:abstractNumId w:val="28"/>
  </w:num>
  <w:num w:numId="30">
    <w:abstractNumId w:val="38"/>
  </w:num>
  <w:num w:numId="31">
    <w:abstractNumId w:val="36"/>
  </w:num>
  <w:num w:numId="32">
    <w:abstractNumId w:val="9"/>
  </w:num>
  <w:num w:numId="33">
    <w:abstractNumId w:val="11"/>
  </w:num>
  <w:num w:numId="34">
    <w:abstractNumId w:val="5"/>
  </w:num>
  <w:num w:numId="35">
    <w:abstractNumId w:val="2"/>
  </w:num>
  <w:num w:numId="36">
    <w:abstractNumId w:val="0"/>
  </w:num>
  <w:num w:numId="37">
    <w:abstractNumId w:val="18"/>
  </w:num>
  <w:num w:numId="38">
    <w:abstractNumId w:val="31"/>
  </w:num>
  <w:num w:numId="39">
    <w:abstractNumId w:val="32"/>
  </w:num>
  <w:num w:numId="40">
    <w:abstractNumId w:val="3"/>
  </w:num>
  <w:num w:numId="41">
    <w:abstractNumId w:val="1"/>
  </w:num>
  <w:num w:numId="42">
    <w:abstractNumId w:val="12"/>
  </w:num>
  <w:num w:numId="43">
    <w:abstractNumId w:val="39"/>
  </w:num>
  <w:num w:numId="44">
    <w:abstractNumId w:val="21"/>
  </w:num>
  <w:num w:numId="45">
    <w:abstractNumId w:val="22"/>
  </w:num>
  <w:num w:numId="46">
    <w:abstractNumId w:val="35"/>
  </w:num>
  <w:num w:numId="47">
    <w:abstractNumId w:val="20"/>
  </w:num>
  <w:numIdMacAtCleanup w:val="3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sten Howard">
    <w15:presenceInfo w15:providerId="AD" w15:userId="S-1-5-21-653478955-3067283134-999092648-38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DBF"/>
    <w:rsid w:val="00002614"/>
    <w:rsid w:val="00003499"/>
    <w:rsid w:val="000039BA"/>
    <w:rsid w:val="0000706F"/>
    <w:rsid w:val="00010B5A"/>
    <w:rsid w:val="000125DB"/>
    <w:rsid w:val="00013247"/>
    <w:rsid w:val="0001324D"/>
    <w:rsid w:val="0001356E"/>
    <w:rsid w:val="00013C65"/>
    <w:rsid w:val="0001461B"/>
    <w:rsid w:val="000146D2"/>
    <w:rsid w:val="0001485E"/>
    <w:rsid w:val="00015886"/>
    <w:rsid w:val="000162EF"/>
    <w:rsid w:val="00016967"/>
    <w:rsid w:val="0002225F"/>
    <w:rsid w:val="0002354F"/>
    <w:rsid w:val="00023763"/>
    <w:rsid w:val="000249EA"/>
    <w:rsid w:val="0002584B"/>
    <w:rsid w:val="00025B2A"/>
    <w:rsid w:val="00025C63"/>
    <w:rsid w:val="0002615C"/>
    <w:rsid w:val="00026713"/>
    <w:rsid w:val="00030372"/>
    <w:rsid w:val="00030CB2"/>
    <w:rsid w:val="00033D99"/>
    <w:rsid w:val="000346FB"/>
    <w:rsid w:val="000347BA"/>
    <w:rsid w:val="000352E1"/>
    <w:rsid w:val="0003638B"/>
    <w:rsid w:val="00040895"/>
    <w:rsid w:val="00040F83"/>
    <w:rsid w:val="00043C37"/>
    <w:rsid w:val="00045905"/>
    <w:rsid w:val="00047B9F"/>
    <w:rsid w:val="00051965"/>
    <w:rsid w:val="00051CEF"/>
    <w:rsid w:val="00051DD6"/>
    <w:rsid w:val="000524FE"/>
    <w:rsid w:val="00053179"/>
    <w:rsid w:val="000546D7"/>
    <w:rsid w:val="00054A29"/>
    <w:rsid w:val="00055EE6"/>
    <w:rsid w:val="00055EED"/>
    <w:rsid w:val="00056803"/>
    <w:rsid w:val="00056FA1"/>
    <w:rsid w:val="00057208"/>
    <w:rsid w:val="00060AAA"/>
    <w:rsid w:val="000618D2"/>
    <w:rsid w:val="00062490"/>
    <w:rsid w:val="000624A7"/>
    <w:rsid w:val="00062581"/>
    <w:rsid w:val="00062CA8"/>
    <w:rsid w:val="0006336E"/>
    <w:rsid w:val="0006586C"/>
    <w:rsid w:val="00066B40"/>
    <w:rsid w:val="00066D55"/>
    <w:rsid w:val="000670F2"/>
    <w:rsid w:val="00071248"/>
    <w:rsid w:val="000720B9"/>
    <w:rsid w:val="00072226"/>
    <w:rsid w:val="00073E25"/>
    <w:rsid w:val="00073F27"/>
    <w:rsid w:val="00076044"/>
    <w:rsid w:val="00077BE4"/>
    <w:rsid w:val="00080EB6"/>
    <w:rsid w:val="000812CA"/>
    <w:rsid w:val="00082470"/>
    <w:rsid w:val="00083BC8"/>
    <w:rsid w:val="000854C2"/>
    <w:rsid w:val="000857A5"/>
    <w:rsid w:val="00090C7E"/>
    <w:rsid w:val="000914F2"/>
    <w:rsid w:val="00091760"/>
    <w:rsid w:val="000933E1"/>
    <w:rsid w:val="00093586"/>
    <w:rsid w:val="00093999"/>
    <w:rsid w:val="00095175"/>
    <w:rsid w:val="00096D61"/>
    <w:rsid w:val="000A0B25"/>
    <w:rsid w:val="000A0D9C"/>
    <w:rsid w:val="000A0ED6"/>
    <w:rsid w:val="000A230D"/>
    <w:rsid w:val="000A3010"/>
    <w:rsid w:val="000A4370"/>
    <w:rsid w:val="000A4AC8"/>
    <w:rsid w:val="000A5442"/>
    <w:rsid w:val="000A5677"/>
    <w:rsid w:val="000A6EBD"/>
    <w:rsid w:val="000A7EE0"/>
    <w:rsid w:val="000A7F05"/>
    <w:rsid w:val="000B1355"/>
    <w:rsid w:val="000B1496"/>
    <w:rsid w:val="000B1D42"/>
    <w:rsid w:val="000B2B1F"/>
    <w:rsid w:val="000B74CA"/>
    <w:rsid w:val="000B74EE"/>
    <w:rsid w:val="000C058F"/>
    <w:rsid w:val="000C1356"/>
    <w:rsid w:val="000C146C"/>
    <w:rsid w:val="000C1786"/>
    <w:rsid w:val="000C18FC"/>
    <w:rsid w:val="000C3D72"/>
    <w:rsid w:val="000C5315"/>
    <w:rsid w:val="000C664A"/>
    <w:rsid w:val="000C74C6"/>
    <w:rsid w:val="000D1361"/>
    <w:rsid w:val="000D1BFC"/>
    <w:rsid w:val="000D4F39"/>
    <w:rsid w:val="000D50E0"/>
    <w:rsid w:val="000D5850"/>
    <w:rsid w:val="000D58B8"/>
    <w:rsid w:val="000D5EAA"/>
    <w:rsid w:val="000D6209"/>
    <w:rsid w:val="000D6595"/>
    <w:rsid w:val="000D66FC"/>
    <w:rsid w:val="000E0117"/>
    <w:rsid w:val="000E084C"/>
    <w:rsid w:val="000E66D0"/>
    <w:rsid w:val="000E7579"/>
    <w:rsid w:val="000F0751"/>
    <w:rsid w:val="000F24E5"/>
    <w:rsid w:val="000F27E0"/>
    <w:rsid w:val="000F4BB8"/>
    <w:rsid w:val="000F65D2"/>
    <w:rsid w:val="000F6AB3"/>
    <w:rsid w:val="000F7127"/>
    <w:rsid w:val="000F78D4"/>
    <w:rsid w:val="000F7A0F"/>
    <w:rsid w:val="00100F8A"/>
    <w:rsid w:val="001038C8"/>
    <w:rsid w:val="00103FE5"/>
    <w:rsid w:val="0010746F"/>
    <w:rsid w:val="0011032E"/>
    <w:rsid w:val="00111156"/>
    <w:rsid w:val="00112773"/>
    <w:rsid w:val="0011285B"/>
    <w:rsid w:val="001133BF"/>
    <w:rsid w:val="0011348B"/>
    <w:rsid w:val="00114897"/>
    <w:rsid w:val="00114E94"/>
    <w:rsid w:val="0011547D"/>
    <w:rsid w:val="00116DF2"/>
    <w:rsid w:val="00121799"/>
    <w:rsid w:val="00121C6D"/>
    <w:rsid w:val="001222FC"/>
    <w:rsid w:val="001224FA"/>
    <w:rsid w:val="00123152"/>
    <w:rsid w:val="00124232"/>
    <w:rsid w:val="00124A51"/>
    <w:rsid w:val="0012545D"/>
    <w:rsid w:val="00125C42"/>
    <w:rsid w:val="00126621"/>
    <w:rsid w:val="00127A10"/>
    <w:rsid w:val="00127ACD"/>
    <w:rsid w:val="001301E9"/>
    <w:rsid w:val="00130D1B"/>
    <w:rsid w:val="001329BC"/>
    <w:rsid w:val="0013594C"/>
    <w:rsid w:val="00137642"/>
    <w:rsid w:val="00137645"/>
    <w:rsid w:val="00137F8D"/>
    <w:rsid w:val="0014015A"/>
    <w:rsid w:val="00140770"/>
    <w:rsid w:val="00140E99"/>
    <w:rsid w:val="001421DA"/>
    <w:rsid w:val="00142215"/>
    <w:rsid w:val="0014287E"/>
    <w:rsid w:val="00145540"/>
    <w:rsid w:val="001456B0"/>
    <w:rsid w:val="0015001E"/>
    <w:rsid w:val="0015009F"/>
    <w:rsid w:val="00154878"/>
    <w:rsid w:val="001555D8"/>
    <w:rsid w:val="00157130"/>
    <w:rsid w:val="001572A6"/>
    <w:rsid w:val="00160CD3"/>
    <w:rsid w:val="00160ECC"/>
    <w:rsid w:val="00162913"/>
    <w:rsid w:val="00162B85"/>
    <w:rsid w:val="00163EFF"/>
    <w:rsid w:val="001661FB"/>
    <w:rsid w:val="0016666D"/>
    <w:rsid w:val="00167E13"/>
    <w:rsid w:val="00170361"/>
    <w:rsid w:val="00173E82"/>
    <w:rsid w:val="00174A13"/>
    <w:rsid w:val="0017780B"/>
    <w:rsid w:val="00177D40"/>
    <w:rsid w:val="00181E68"/>
    <w:rsid w:val="00182BEC"/>
    <w:rsid w:val="00182C2A"/>
    <w:rsid w:val="00185685"/>
    <w:rsid w:val="0018752F"/>
    <w:rsid w:val="001878A9"/>
    <w:rsid w:val="00192B2C"/>
    <w:rsid w:val="00193F3C"/>
    <w:rsid w:val="00195222"/>
    <w:rsid w:val="0019684C"/>
    <w:rsid w:val="00196D32"/>
    <w:rsid w:val="00196D68"/>
    <w:rsid w:val="001975D8"/>
    <w:rsid w:val="00197BFA"/>
    <w:rsid w:val="001A135B"/>
    <w:rsid w:val="001A217D"/>
    <w:rsid w:val="001A3D0F"/>
    <w:rsid w:val="001A45D1"/>
    <w:rsid w:val="001A4E02"/>
    <w:rsid w:val="001A6730"/>
    <w:rsid w:val="001A6C7E"/>
    <w:rsid w:val="001B1003"/>
    <w:rsid w:val="001B3443"/>
    <w:rsid w:val="001B6837"/>
    <w:rsid w:val="001B6885"/>
    <w:rsid w:val="001B6C94"/>
    <w:rsid w:val="001C3902"/>
    <w:rsid w:val="001C5243"/>
    <w:rsid w:val="001C6E66"/>
    <w:rsid w:val="001C7725"/>
    <w:rsid w:val="001D0FF5"/>
    <w:rsid w:val="001D1B7E"/>
    <w:rsid w:val="001D1ED9"/>
    <w:rsid w:val="001D2097"/>
    <w:rsid w:val="001D20CF"/>
    <w:rsid w:val="001D3918"/>
    <w:rsid w:val="001D5654"/>
    <w:rsid w:val="001D566C"/>
    <w:rsid w:val="001D64C6"/>
    <w:rsid w:val="001E1C36"/>
    <w:rsid w:val="001E238E"/>
    <w:rsid w:val="001E2B1E"/>
    <w:rsid w:val="001E3FF2"/>
    <w:rsid w:val="001E4D72"/>
    <w:rsid w:val="001E52EB"/>
    <w:rsid w:val="001E68FA"/>
    <w:rsid w:val="001E740C"/>
    <w:rsid w:val="001F1023"/>
    <w:rsid w:val="001F1235"/>
    <w:rsid w:val="001F1579"/>
    <w:rsid w:val="001F1C7F"/>
    <w:rsid w:val="001F1CB3"/>
    <w:rsid w:val="001F4344"/>
    <w:rsid w:val="001F5F1F"/>
    <w:rsid w:val="001F6C9B"/>
    <w:rsid w:val="001F72D9"/>
    <w:rsid w:val="001F7361"/>
    <w:rsid w:val="002004DF"/>
    <w:rsid w:val="0020316A"/>
    <w:rsid w:val="0020385F"/>
    <w:rsid w:val="002044CD"/>
    <w:rsid w:val="00205B5A"/>
    <w:rsid w:val="00206D8D"/>
    <w:rsid w:val="00207021"/>
    <w:rsid w:val="00207D00"/>
    <w:rsid w:val="00210042"/>
    <w:rsid w:val="002105C1"/>
    <w:rsid w:val="00210B0D"/>
    <w:rsid w:val="00212088"/>
    <w:rsid w:val="00212789"/>
    <w:rsid w:val="00213206"/>
    <w:rsid w:val="00214536"/>
    <w:rsid w:val="0021610E"/>
    <w:rsid w:val="00220EA7"/>
    <w:rsid w:val="002212F9"/>
    <w:rsid w:val="00223B49"/>
    <w:rsid w:val="00224DD4"/>
    <w:rsid w:val="00225CF7"/>
    <w:rsid w:val="00225E70"/>
    <w:rsid w:val="002309CC"/>
    <w:rsid w:val="00230FE2"/>
    <w:rsid w:val="00231513"/>
    <w:rsid w:val="00231708"/>
    <w:rsid w:val="00233ABD"/>
    <w:rsid w:val="00233B03"/>
    <w:rsid w:val="002360E3"/>
    <w:rsid w:val="00236D1B"/>
    <w:rsid w:val="002409EE"/>
    <w:rsid w:val="00242446"/>
    <w:rsid w:val="002426AE"/>
    <w:rsid w:val="002446F5"/>
    <w:rsid w:val="00245AB0"/>
    <w:rsid w:val="0025243E"/>
    <w:rsid w:val="002528AF"/>
    <w:rsid w:val="002531DF"/>
    <w:rsid w:val="00254BC1"/>
    <w:rsid w:val="00254DCF"/>
    <w:rsid w:val="0025534B"/>
    <w:rsid w:val="00255BB7"/>
    <w:rsid w:val="00255D1E"/>
    <w:rsid w:val="00257C7E"/>
    <w:rsid w:val="00260ADC"/>
    <w:rsid w:val="00261571"/>
    <w:rsid w:val="00262088"/>
    <w:rsid w:val="00262A87"/>
    <w:rsid w:val="00263055"/>
    <w:rsid w:val="00263951"/>
    <w:rsid w:val="00263AD2"/>
    <w:rsid w:val="00264563"/>
    <w:rsid w:val="00266635"/>
    <w:rsid w:val="0026677D"/>
    <w:rsid w:val="0026678C"/>
    <w:rsid w:val="00275B0C"/>
    <w:rsid w:val="00275C5A"/>
    <w:rsid w:val="00275F17"/>
    <w:rsid w:val="00281014"/>
    <w:rsid w:val="00282451"/>
    <w:rsid w:val="00282BA4"/>
    <w:rsid w:val="00282E5E"/>
    <w:rsid w:val="0028559F"/>
    <w:rsid w:val="00285AF9"/>
    <w:rsid w:val="002865A6"/>
    <w:rsid w:val="00286A0F"/>
    <w:rsid w:val="002930D3"/>
    <w:rsid w:val="00293919"/>
    <w:rsid w:val="002959C9"/>
    <w:rsid w:val="002965F5"/>
    <w:rsid w:val="0029744E"/>
    <w:rsid w:val="00297A5C"/>
    <w:rsid w:val="002A0DFE"/>
    <w:rsid w:val="002A14AB"/>
    <w:rsid w:val="002A2DBF"/>
    <w:rsid w:val="002A3D6C"/>
    <w:rsid w:val="002A3DBD"/>
    <w:rsid w:val="002A4404"/>
    <w:rsid w:val="002A6791"/>
    <w:rsid w:val="002A67D6"/>
    <w:rsid w:val="002A6F9E"/>
    <w:rsid w:val="002B0393"/>
    <w:rsid w:val="002B0EB5"/>
    <w:rsid w:val="002B1C1F"/>
    <w:rsid w:val="002B20F8"/>
    <w:rsid w:val="002B2425"/>
    <w:rsid w:val="002B432F"/>
    <w:rsid w:val="002B4657"/>
    <w:rsid w:val="002B5486"/>
    <w:rsid w:val="002B5627"/>
    <w:rsid w:val="002B6CCE"/>
    <w:rsid w:val="002B6F00"/>
    <w:rsid w:val="002B7FA0"/>
    <w:rsid w:val="002C0A44"/>
    <w:rsid w:val="002C2775"/>
    <w:rsid w:val="002C27C1"/>
    <w:rsid w:val="002C3ECB"/>
    <w:rsid w:val="002C4476"/>
    <w:rsid w:val="002C4C02"/>
    <w:rsid w:val="002C591B"/>
    <w:rsid w:val="002D074B"/>
    <w:rsid w:val="002D0E1E"/>
    <w:rsid w:val="002D15E3"/>
    <w:rsid w:val="002D16E1"/>
    <w:rsid w:val="002D1AE8"/>
    <w:rsid w:val="002D2104"/>
    <w:rsid w:val="002D3092"/>
    <w:rsid w:val="002D52EA"/>
    <w:rsid w:val="002D5D9D"/>
    <w:rsid w:val="002D6BB4"/>
    <w:rsid w:val="002D760A"/>
    <w:rsid w:val="002D79E7"/>
    <w:rsid w:val="002E00EF"/>
    <w:rsid w:val="002E0E2D"/>
    <w:rsid w:val="002E100B"/>
    <w:rsid w:val="002E2852"/>
    <w:rsid w:val="002E29CD"/>
    <w:rsid w:val="002E2A71"/>
    <w:rsid w:val="002E3C96"/>
    <w:rsid w:val="002E6009"/>
    <w:rsid w:val="002E656F"/>
    <w:rsid w:val="002E76C0"/>
    <w:rsid w:val="002E788C"/>
    <w:rsid w:val="002F08DF"/>
    <w:rsid w:val="002F0BE9"/>
    <w:rsid w:val="002F1495"/>
    <w:rsid w:val="002F245A"/>
    <w:rsid w:val="002F2D29"/>
    <w:rsid w:val="002F3689"/>
    <w:rsid w:val="002F3DDF"/>
    <w:rsid w:val="002F48EE"/>
    <w:rsid w:val="002F4D1C"/>
    <w:rsid w:val="002F4DC0"/>
    <w:rsid w:val="002F51A3"/>
    <w:rsid w:val="002F5F9D"/>
    <w:rsid w:val="002F649D"/>
    <w:rsid w:val="00301017"/>
    <w:rsid w:val="00301EF4"/>
    <w:rsid w:val="0030301C"/>
    <w:rsid w:val="003050C6"/>
    <w:rsid w:val="0030687D"/>
    <w:rsid w:val="00306E94"/>
    <w:rsid w:val="0030786C"/>
    <w:rsid w:val="0031031A"/>
    <w:rsid w:val="00310974"/>
    <w:rsid w:val="00310981"/>
    <w:rsid w:val="00312FEE"/>
    <w:rsid w:val="00314159"/>
    <w:rsid w:val="00314710"/>
    <w:rsid w:val="00314B92"/>
    <w:rsid w:val="00315498"/>
    <w:rsid w:val="003159D3"/>
    <w:rsid w:val="00315A59"/>
    <w:rsid w:val="003170C4"/>
    <w:rsid w:val="00320C6E"/>
    <w:rsid w:val="00325037"/>
    <w:rsid w:val="003268DD"/>
    <w:rsid w:val="003304AA"/>
    <w:rsid w:val="00331608"/>
    <w:rsid w:val="00333C51"/>
    <w:rsid w:val="00335059"/>
    <w:rsid w:val="003366C9"/>
    <w:rsid w:val="003371B0"/>
    <w:rsid w:val="003371F1"/>
    <w:rsid w:val="0034067D"/>
    <w:rsid w:val="00342CE4"/>
    <w:rsid w:val="00343252"/>
    <w:rsid w:val="00346921"/>
    <w:rsid w:val="00347556"/>
    <w:rsid w:val="0035156A"/>
    <w:rsid w:val="00351C52"/>
    <w:rsid w:val="00352B6F"/>
    <w:rsid w:val="00355B8D"/>
    <w:rsid w:val="0035620E"/>
    <w:rsid w:val="00357025"/>
    <w:rsid w:val="00360B6C"/>
    <w:rsid w:val="00361C30"/>
    <w:rsid w:val="0036218C"/>
    <w:rsid w:val="00362D4E"/>
    <w:rsid w:val="00363354"/>
    <w:rsid w:val="00363D73"/>
    <w:rsid w:val="00365600"/>
    <w:rsid w:val="00365FBF"/>
    <w:rsid w:val="00366142"/>
    <w:rsid w:val="0036648D"/>
    <w:rsid w:val="003672BF"/>
    <w:rsid w:val="00367698"/>
    <w:rsid w:val="00367C87"/>
    <w:rsid w:val="00375E0E"/>
    <w:rsid w:val="003773CB"/>
    <w:rsid w:val="003833A7"/>
    <w:rsid w:val="0038365C"/>
    <w:rsid w:val="003839BC"/>
    <w:rsid w:val="00383A21"/>
    <w:rsid w:val="00385654"/>
    <w:rsid w:val="0038566E"/>
    <w:rsid w:val="0038675E"/>
    <w:rsid w:val="0038693A"/>
    <w:rsid w:val="00387B0F"/>
    <w:rsid w:val="00390448"/>
    <w:rsid w:val="003910FC"/>
    <w:rsid w:val="003935D6"/>
    <w:rsid w:val="003938AB"/>
    <w:rsid w:val="003963EA"/>
    <w:rsid w:val="00396FD0"/>
    <w:rsid w:val="003A14B2"/>
    <w:rsid w:val="003A1621"/>
    <w:rsid w:val="003A18DB"/>
    <w:rsid w:val="003A1A7A"/>
    <w:rsid w:val="003A2EB7"/>
    <w:rsid w:val="003A36C5"/>
    <w:rsid w:val="003A5CA1"/>
    <w:rsid w:val="003A6736"/>
    <w:rsid w:val="003A6B45"/>
    <w:rsid w:val="003B27A7"/>
    <w:rsid w:val="003B3C39"/>
    <w:rsid w:val="003B4FC0"/>
    <w:rsid w:val="003B7D14"/>
    <w:rsid w:val="003C38E9"/>
    <w:rsid w:val="003C3D1D"/>
    <w:rsid w:val="003C4683"/>
    <w:rsid w:val="003D081D"/>
    <w:rsid w:val="003D1828"/>
    <w:rsid w:val="003D2422"/>
    <w:rsid w:val="003D2C2C"/>
    <w:rsid w:val="003D3208"/>
    <w:rsid w:val="003D58F4"/>
    <w:rsid w:val="003D68FA"/>
    <w:rsid w:val="003D6E43"/>
    <w:rsid w:val="003D7B89"/>
    <w:rsid w:val="003E150A"/>
    <w:rsid w:val="003E1F0F"/>
    <w:rsid w:val="003E3D3B"/>
    <w:rsid w:val="003E3E10"/>
    <w:rsid w:val="003E422A"/>
    <w:rsid w:val="003E538F"/>
    <w:rsid w:val="003E566E"/>
    <w:rsid w:val="003E612F"/>
    <w:rsid w:val="003F02FC"/>
    <w:rsid w:val="003F1DB5"/>
    <w:rsid w:val="003F2089"/>
    <w:rsid w:val="003F28D9"/>
    <w:rsid w:val="003F4156"/>
    <w:rsid w:val="003F7253"/>
    <w:rsid w:val="00400826"/>
    <w:rsid w:val="00403349"/>
    <w:rsid w:val="00403C35"/>
    <w:rsid w:val="00403F8E"/>
    <w:rsid w:val="00407CFF"/>
    <w:rsid w:val="00410708"/>
    <w:rsid w:val="00410E29"/>
    <w:rsid w:val="00410EC7"/>
    <w:rsid w:val="00411EC9"/>
    <w:rsid w:val="00412444"/>
    <w:rsid w:val="00412FA1"/>
    <w:rsid w:val="00414476"/>
    <w:rsid w:val="00414AC1"/>
    <w:rsid w:val="00415084"/>
    <w:rsid w:val="00415E2F"/>
    <w:rsid w:val="00417832"/>
    <w:rsid w:val="00420B9F"/>
    <w:rsid w:val="00420BF8"/>
    <w:rsid w:val="0042141A"/>
    <w:rsid w:val="00424FCA"/>
    <w:rsid w:val="00425520"/>
    <w:rsid w:val="00425826"/>
    <w:rsid w:val="00426027"/>
    <w:rsid w:val="00426045"/>
    <w:rsid w:val="00427FAA"/>
    <w:rsid w:val="004319F8"/>
    <w:rsid w:val="004324DF"/>
    <w:rsid w:val="00432E96"/>
    <w:rsid w:val="00432FF5"/>
    <w:rsid w:val="00433044"/>
    <w:rsid w:val="00443085"/>
    <w:rsid w:val="0044374E"/>
    <w:rsid w:val="0044432F"/>
    <w:rsid w:val="004443A7"/>
    <w:rsid w:val="0044503C"/>
    <w:rsid w:val="00445A2F"/>
    <w:rsid w:val="00445B90"/>
    <w:rsid w:val="00445C00"/>
    <w:rsid w:val="004464EB"/>
    <w:rsid w:val="00447117"/>
    <w:rsid w:val="0045021B"/>
    <w:rsid w:val="00450502"/>
    <w:rsid w:val="004555A0"/>
    <w:rsid w:val="00455D45"/>
    <w:rsid w:val="00455DC8"/>
    <w:rsid w:val="00457626"/>
    <w:rsid w:val="00457F73"/>
    <w:rsid w:val="0046002F"/>
    <w:rsid w:val="0046074A"/>
    <w:rsid w:val="00460E64"/>
    <w:rsid w:val="00464595"/>
    <w:rsid w:val="004655E8"/>
    <w:rsid w:val="00465AD6"/>
    <w:rsid w:val="00466D7E"/>
    <w:rsid w:val="00467481"/>
    <w:rsid w:val="0047080B"/>
    <w:rsid w:val="004742E3"/>
    <w:rsid w:val="004750EC"/>
    <w:rsid w:val="004765E5"/>
    <w:rsid w:val="00476E7B"/>
    <w:rsid w:val="0048115E"/>
    <w:rsid w:val="00481330"/>
    <w:rsid w:val="00482884"/>
    <w:rsid w:val="00484BB5"/>
    <w:rsid w:val="00485501"/>
    <w:rsid w:val="004859B5"/>
    <w:rsid w:val="004867E2"/>
    <w:rsid w:val="00486875"/>
    <w:rsid w:val="00487C7B"/>
    <w:rsid w:val="00491B3A"/>
    <w:rsid w:val="00492CFD"/>
    <w:rsid w:val="004938C5"/>
    <w:rsid w:val="004962D2"/>
    <w:rsid w:val="00497597"/>
    <w:rsid w:val="00497DCC"/>
    <w:rsid w:val="004A07FF"/>
    <w:rsid w:val="004A0DA1"/>
    <w:rsid w:val="004A1799"/>
    <w:rsid w:val="004A2752"/>
    <w:rsid w:val="004A6597"/>
    <w:rsid w:val="004B084E"/>
    <w:rsid w:val="004B1CB4"/>
    <w:rsid w:val="004B2F18"/>
    <w:rsid w:val="004B3DDB"/>
    <w:rsid w:val="004B3E3B"/>
    <w:rsid w:val="004B44FD"/>
    <w:rsid w:val="004B4544"/>
    <w:rsid w:val="004B5B96"/>
    <w:rsid w:val="004B5CA1"/>
    <w:rsid w:val="004B5CFC"/>
    <w:rsid w:val="004B63C5"/>
    <w:rsid w:val="004B7F4D"/>
    <w:rsid w:val="004C2AAE"/>
    <w:rsid w:val="004C3B2B"/>
    <w:rsid w:val="004C3ED2"/>
    <w:rsid w:val="004C4AED"/>
    <w:rsid w:val="004C527F"/>
    <w:rsid w:val="004C69AB"/>
    <w:rsid w:val="004C7E38"/>
    <w:rsid w:val="004D2D76"/>
    <w:rsid w:val="004D3E48"/>
    <w:rsid w:val="004E0EB8"/>
    <w:rsid w:val="004E24FA"/>
    <w:rsid w:val="004E2ADC"/>
    <w:rsid w:val="004E3E8C"/>
    <w:rsid w:val="004E43B2"/>
    <w:rsid w:val="004E447E"/>
    <w:rsid w:val="004E4587"/>
    <w:rsid w:val="004E5506"/>
    <w:rsid w:val="004E5702"/>
    <w:rsid w:val="004E62FE"/>
    <w:rsid w:val="004E6C80"/>
    <w:rsid w:val="004F1903"/>
    <w:rsid w:val="004F1D02"/>
    <w:rsid w:val="004F2679"/>
    <w:rsid w:val="004F47B9"/>
    <w:rsid w:val="004F6598"/>
    <w:rsid w:val="004F70F4"/>
    <w:rsid w:val="004F7865"/>
    <w:rsid w:val="005007D6"/>
    <w:rsid w:val="00501079"/>
    <w:rsid w:val="00502203"/>
    <w:rsid w:val="00503029"/>
    <w:rsid w:val="0050484F"/>
    <w:rsid w:val="00506928"/>
    <w:rsid w:val="00507C2A"/>
    <w:rsid w:val="00510A2F"/>
    <w:rsid w:val="005121EC"/>
    <w:rsid w:val="005134E3"/>
    <w:rsid w:val="005135A3"/>
    <w:rsid w:val="00514DA3"/>
    <w:rsid w:val="005152B5"/>
    <w:rsid w:val="005154B3"/>
    <w:rsid w:val="005205FE"/>
    <w:rsid w:val="00521319"/>
    <w:rsid w:val="0052371B"/>
    <w:rsid w:val="00523C28"/>
    <w:rsid w:val="00524EDF"/>
    <w:rsid w:val="005260FA"/>
    <w:rsid w:val="00527402"/>
    <w:rsid w:val="00527E9C"/>
    <w:rsid w:val="00527F90"/>
    <w:rsid w:val="0053143F"/>
    <w:rsid w:val="005331E9"/>
    <w:rsid w:val="00534F5C"/>
    <w:rsid w:val="005353F6"/>
    <w:rsid w:val="0053552B"/>
    <w:rsid w:val="00536375"/>
    <w:rsid w:val="0054241A"/>
    <w:rsid w:val="005425C5"/>
    <w:rsid w:val="00542B7E"/>
    <w:rsid w:val="005444FE"/>
    <w:rsid w:val="0055063D"/>
    <w:rsid w:val="00551B0E"/>
    <w:rsid w:val="00552BD3"/>
    <w:rsid w:val="00552F21"/>
    <w:rsid w:val="005539A5"/>
    <w:rsid w:val="00554466"/>
    <w:rsid w:val="00554C76"/>
    <w:rsid w:val="00555109"/>
    <w:rsid w:val="0055704F"/>
    <w:rsid w:val="005619BB"/>
    <w:rsid w:val="0056239E"/>
    <w:rsid w:val="00565621"/>
    <w:rsid w:val="005668B4"/>
    <w:rsid w:val="00566942"/>
    <w:rsid w:val="0056696F"/>
    <w:rsid w:val="005676C9"/>
    <w:rsid w:val="00571248"/>
    <w:rsid w:val="005750E1"/>
    <w:rsid w:val="00575170"/>
    <w:rsid w:val="00575508"/>
    <w:rsid w:val="005757BA"/>
    <w:rsid w:val="00575D8D"/>
    <w:rsid w:val="00575F80"/>
    <w:rsid w:val="00576972"/>
    <w:rsid w:val="005771B4"/>
    <w:rsid w:val="005806FE"/>
    <w:rsid w:val="0058206D"/>
    <w:rsid w:val="00583699"/>
    <w:rsid w:val="00583C8C"/>
    <w:rsid w:val="005858A6"/>
    <w:rsid w:val="005871EB"/>
    <w:rsid w:val="0059197D"/>
    <w:rsid w:val="00593BE1"/>
    <w:rsid w:val="0059413D"/>
    <w:rsid w:val="005962B5"/>
    <w:rsid w:val="005A4B06"/>
    <w:rsid w:val="005A527D"/>
    <w:rsid w:val="005A585D"/>
    <w:rsid w:val="005B18F3"/>
    <w:rsid w:val="005B1B5C"/>
    <w:rsid w:val="005B273A"/>
    <w:rsid w:val="005B27C2"/>
    <w:rsid w:val="005B2924"/>
    <w:rsid w:val="005B5857"/>
    <w:rsid w:val="005C10D7"/>
    <w:rsid w:val="005C1B83"/>
    <w:rsid w:val="005C2D96"/>
    <w:rsid w:val="005C346B"/>
    <w:rsid w:val="005C5C3C"/>
    <w:rsid w:val="005C7E0D"/>
    <w:rsid w:val="005D044D"/>
    <w:rsid w:val="005D0A27"/>
    <w:rsid w:val="005D0F51"/>
    <w:rsid w:val="005D18AD"/>
    <w:rsid w:val="005D3670"/>
    <w:rsid w:val="005D4088"/>
    <w:rsid w:val="005D45DD"/>
    <w:rsid w:val="005D53EE"/>
    <w:rsid w:val="005D5700"/>
    <w:rsid w:val="005D61A6"/>
    <w:rsid w:val="005D6B93"/>
    <w:rsid w:val="005D7C97"/>
    <w:rsid w:val="005E2FE1"/>
    <w:rsid w:val="005E4728"/>
    <w:rsid w:val="005E559E"/>
    <w:rsid w:val="005E5EAC"/>
    <w:rsid w:val="005E73C0"/>
    <w:rsid w:val="005F2706"/>
    <w:rsid w:val="005F2F67"/>
    <w:rsid w:val="005F31BF"/>
    <w:rsid w:val="005F31ED"/>
    <w:rsid w:val="005F3824"/>
    <w:rsid w:val="005F3AE7"/>
    <w:rsid w:val="005F4FFA"/>
    <w:rsid w:val="005F5C2C"/>
    <w:rsid w:val="005F6004"/>
    <w:rsid w:val="005F6A8F"/>
    <w:rsid w:val="00600571"/>
    <w:rsid w:val="00602F85"/>
    <w:rsid w:val="006047A8"/>
    <w:rsid w:val="00605C4F"/>
    <w:rsid w:val="006060D7"/>
    <w:rsid w:val="00606E3F"/>
    <w:rsid w:val="00607669"/>
    <w:rsid w:val="00612F97"/>
    <w:rsid w:val="00615966"/>
    <w:rsid w:val="00616802"/>
    <w:rsid w:val="00617DCE"/>
    <w:rsid w:val="00617E12"/>
    <w:rsid w:val="00621477"/>
    <w:rsid w:val="0062179A"/>
    <w:rsid w:val="00621C07"/>
    <w:rsid w:val="006244A5"/>
    <w:rsid w:val="006258E2"/>
    <w:rsid w:val="00627E5A"/>
    <w:rsid w:val="00630347"/>
    <w:rsid w:val="00631D6B"/>
    <w:rsid w:val="006321F4"/>
    <w:rsid w:val="0063479F"/>
    <w:rsid w:val="00635574"/>
    <w:rsid w:val="006364A1"/>
    <w:rsid w:val="00637BFD"/>
    <w:rsid w:val="00641642"/>
    <w:rsid w:val="00642B3B"/>
    <w:rsid w:val="00643893"/>
    <w:rsid w:val="00643C40"/>
    <w:rsid w:val="006471CC"/>
    <w:rsid w:val="00647814"/>
    <w:rsid w:val="0065079F"/>
    <w:rsid w:val="00652A17"/>
    <w:rsid w:val="00653AD9"/>
    <w:rsid w:val="006540D0"/>
    <w:rsid w:val="006560F4"/>
    <w:rsid w:val="00657927"/>
    <w:rsid w:val="00660E24"/>
    <w:rsid w:val="00661513"/>
    <w:rsid w:val="0066475D"/>
    <w:rsid w:val="00664E85"/>
    <w:rsid w:val="00664F65"/>
    <w:rsid w:val="0067109E"/>
    <w:rsid w:val="006742EB"/>
    <w:rsid w:val="00674E42"/>
    <w:rsid w:val="00675EAF"/>
    <w:rsid w:val="006776BF"/>
    <w:rsid w:val="006801F7"/>
    <w:rsid w:val="00682112"/>
    <w:rsid w:val="006822E7"/>
    <w:rsid w:val="006872BA"/>
    <w:rsid w:val="00687890"/>
    <w:rsid w:val="00687E81"/>
    <w:rsid w:val="00690CC5"/>
    <w:rsid w:val="006917D7"/>
    <w:rsid w:val="00694F44"/>
    <w:rsid w:val="00695970"/>
    <w:rsid w:val="00695DB6"/>
    <w:rsid w:val="00695F6E"/>
    <w:rsid w:val="006A0736"/>
    <w:rsid w:val="006A0926"/>
    <w:rsid w:val="006A0EBF"/>
    <w:rsid w:val="006A15B0"/>
    <w:rsid w:val="006A2DBC"/>
    <w:rsid w:val="006A4340"/>
    <w:rsid w:val="006A548C"/>
    <w:rsid w:val="006A5D72"/>
    <w:rsid w:val="006B07C9"/>
    <w:rsid w:val="006B09C3"/>
    <w:rsid w:val="006B0B32"/>
    <w:rsid w:val="006B2220"/>
    <w:rsid w:val="006B3048"/>
    <w:rsid w:val="006B6D58"/>
    <w:rsid w:val="006C23F1"/>
    <w:rsid w:val="006C2A8E"/>
    <w:rsid w:val="006C44C3"/>
    <w:rsid w:val="006C4FEF"/>
    <w:rsid w:val="006C592F"/>
    <w:rsid w:val="006C60FD"/>
    <w:rsid w:val="006C6CB9"/>
    <w:rsid w:val="006D2192"/>
    <w:rsid w:val="006D225F"/>
    <w:rsid w:val="006D3C7D"/>
    <w:rsid w:val="006D3F7F"/>
    <w:rsid w:val="006D4948"/>
    <w:rsid w:val="006D5D5F"/>
    <w:rsid w:val="006D70D9"/>
    <w:rsid w:val="006E13F3"/>
    <w:rsid w:val="006E166E"/>
    <w:rsid w:val="006E1986"/>
    <w:rsid w:val="006E3AEC"/>
    <w:rsid w:val="006E4E3D"/>
    <w:rsid w:val="006E5C69"/>
    <w:rsid w:val="006E7EBC"/>
    <w:rsid w:val="006F1069"/>
    <w:rsid w:val="006F2F9F"/>
    <w:rsid w:val="006F3452"/>
    <w:rsid w:val="006F4424"/>
    <w:rsid w:val="006F4BC1"/>
    <w:rsid w:val="006F63A5"/>
    <w:rsid w:val="006F696C"/>
    <w:rsid w:val="006F7B44"/>
    <w:rsid w:val="00700111"/>
    <w:rsid w:val="0070276E"/>
    <w:rsid w:val="007027ED"/>
    <w:rsid w:val="00702F8F"/>
    <w:rsid w:val="007045D4"/>
    <w:rsid w:val="00705BDC"/>
    <w:rsid w:val="007061A0"/>
    <w:rsid w:val="0070666E"/>
    <w:rsid w:val="00706C16"/>
    <w:rsid w:val="007106C9"/>
    <w:rsid w:val="00711A36"/>
    <w:rsid w:val="00711D28"/>
    <w:rsid w:val="00713E8A"/>
    <w:rsid w:val="0071646B"/>
    <w:rsid w:val="007172AD"/>
    <w:rsid w:val="00720521"/>
    <w:rsid w:val="007206E5"/>
    <w:rsid w:val="00720F8D"/>
    <w:rsid w:val="0072121E"/>
    <w:rsid w:val="007219CD"/>
    <w:rsid w:val="00723A78"/>
    <w:rsid w:val="0072416F"/>
    <w:rsid w:val="00724392"/>
    <w:rsid w:val="00724AB1"/>
    <w:rsid w:val="007264DC"/>
    <w:rsid w:val="007278CD"/>
    <w:rsid w:val="00727D3C"/>
    <w:rsid w:val="00727F2A"/>
    <w:rsid w:val="007301AE"/>
    <w:rsid w:val="00731F3A"/>
    <w:rsid w:val="00732CFB"/>
    <w:rsid w:val="0073349E"/>
    <w:rsid w:val="007339B1"/>
    <w:rsid w:val="00734209"/>
    <w:rsid w:val="00734EF2"/>
    <w:rsid w:val="00735328"/>
    <w:rsid w:val="00735C98"/>
    <w:rsid w:val="0073685B"/>
    <w:rsid w:val="007374F4"/>
    <w:rsid w:val="00742257"/>
    <w:rsid w:val="007424A3"/>
    <w:rsid w:val="00743164"/>
    <w:rsid w:val="007434B7"/>
    <w:rsid w:val="00743597"/>
    <w:rsid w:val="00745618"/>
    <w:rsid w:val="0074655F"/>
    <w:rsid w:val="00746B41"/>
    <w:rsid w:val="00747788"/>
    <w:rsid w:val="00750CFC"/>
    <w:rsid w:val="007519A3"/>
    <w:rsid w:val="007527C7"/>
    <w:rsid w:val="00755410"/>
    <w:rsid w:val="00755E55"/>
    <w:rsid w:val="00756289"/>
    <w:rsid w:val="00761772"/>
    <w:rsid w:val="00762449"/>
    <w:rsid w:val="00763BD0"/>
    <w:rsid w:val="007651FC"/>
    <w:rsid w:val="007652E7"/>
    <w:rsid w:val="007700ED"/>
    <w:rsid w:val="0077011F"/>
    <w:rsid w:val="00771BD1"/>
    <w:rsid w:val="00772C0A"/>
    <w:rsid w:val="00772E1B"/>
    <w:rsid w:val="007737B3"/>
    <w:rsid w:val="00773B1B"/>
    <w:rsid w:val="00774E2A"/>
    <w:rsid w:val="00776F8E"/>
    <w:rsid w:val="00781D7C"/>
    <w:rsid w:val="00784203"/>
    <w:rsid w:val="00785DBB"/>
    <w:rsid w:val="00787137"/>
    <w:rsid w:val="007929D5"/>
    <w:rsid w:val="00792ADD"/>
    <w:rsid w:val="00792E6B"/>
    <w:rsid w:val="00792F23"/>
    <w:rsid w:val="00794A3C"/>
    <w:rsid w:val="00795423"/>
    <w:rsid w:val="00797FA6"/>
    <w:rsid w:val="007A0706"/>
    <w:rsid w:val="007A0939"/>
    <w:rsid w:val="007A0A12"/>
    <w:rsid w:val="007A102D"/>
    <w:rsid w:val="007A5F0B"/>
    <w:rsid w:val="007B023B"/>
    <w:rsid w:val="007B1069"/>
    <w:rsid w:val="007B1D9B"/>
    <w:rsid w:val="007B1DDF"/>
    <w:rsid w:val="007B251D"/>
    <w:rsid w:val="007B2AEC"/>
    <w:rsid w:val="007B31A8"/>
    <w:rsid w:val="007B36F3"/>
    <w:rsid w:val="007B381C"/>
    <w:rsid w:val="007B77D1"/>
    <w:rsid w:val="007B7C08"/>
    <w:rsid w:val="007B7E23"/>
    <w:rsid w:val="007C150A"/>
    <w:rsid w:val="007C361D"/>
    <w:rsid w:val="007C5BA7"/>
    <w:rsid w:val="007C5C12"/>
    <w:rsid w:val="007C7B28"/>
    <w:rsid w:val="007D0564"/>
    <w:rsid w:val="007D0B38"/>
    <w:rsid w:val="007D10B8"/>
    <w:rsid w:val="007D1B64"/>
    <w:rsid w:val="007D3B2B"/>
    <w:rsid w:val="007D4D51"/>
    <w:rsid w:val="007D628C"/>
    <w:rsid w:val="007D698B"/>
    <w:rsid w:val="007D7145"/>
    <w:rsid w:val="007E088B"/>
    <w:rsid w:val="007E2C6D"/>
    <w:rsid w:val="007E3355"/>
    <w:rsid w:val="007E3515"/>
    <w:rsid w:val="007E6F87"/>
    <w:rsid w:val="007E744F"/>
    <w:rsid w:val="007F1017"/>
    <w:rsid w:val="007F1082"/>
    <w:rsid w:val="007F3D6D"/>
    <w:rsid w:val="007F4A3F"/>
    <w:rsid w:val="007F5A62"/>
    <w:rsid w:val="007F5D7D"/>
    <w:rsid w:val="007F7B15"/>
    <w:rsid w:val="00802A0E"/>
    <w:rsid w:val="00805142"/>
    <w:rsid w:val="008077AF"/>
    <w:rsid w:val="00807A8B"/>
    <w:rsid w:val="00807AEA"/>
    <w:rsid w:val="008112AE"/>
    <w:rsid w:val="00811A97"/>
    <w:rsid w:val="00812149"/>
    <w:rsid w:val="00812C36"/>
    <w:rsid w:val="00813012"/>
    <w:rsid w:val="008130CD"/>
    <w:rsid w:val="008133BC"/>
    <w:rsid w:val="0081530B"/>
    <w:rsid w:val="008166EF"/>
    <w:rsid w:val="008215E5"/>
    <w:rsid w:val="008225C1"/>
    <w:rsid w:val="008227C6"/>
    <w:rsid w:val="00822BBE"/>
    <w:rsid w:val="008231A7"/>
    <w:rsid w:val="0082366C"/>
    <w:rsid w:val="00823994"/>
    <w:rsid w:val="008250EC"/>
    <w:rsid w:val="00825BAB"/>
    <w:rsid w:val="008264EB"/>
    <w:rsid w:val="0082761F"/>
    <w:rsid w:val="008304EF"/>
    <w:rsid w:val="00831CF5"/>
    <w:rsid w:val="0083322E"/>
    <w:rsid w:val="00833B05"/>
    <w:rsid w:val="0083410A"/>
    <w:rsid w:val="00834793"/>
    <w:rsid w:val="00835072"/>
    <w:rsid w:val="00835329"/>
    <w:rsid w:val="00837522"/>
    <w:rsid w:val="008402FF"/>
    <w:rsid w:val="00840422"/>
    <w:rsid w:val="00840CA2"/>
    <w:rsid w:val="00842915"/>
    <w:rsid w:val="008447BB"/>
    <w:rsid w:val="00845DEE"/>
    <w:rsid w:val="00847767"/>
    <w:rsid w:val="00850BF0"/>
    <w:rsid w:val="00850E76"/>
    <w:rsid w:val="0085243B"/>
    <w:rsid w:val="00856E9A"/>
    <w:rsid w:val="008570DB"/>
    <w:rsid w:val="008600D2"/>
    <w:rsid w:val="00861407"/>
    <w:rsid w:val="00861413"/>
    <w:rsid w:val="008614C6"/>
    <w:rsid w:val="00862502"/>
    <w:rsid w:val="00863331"/>
    <w:rsid w:val="0086368C"/>
    <w:rsid w:val="008647CD"/>
    <w:rsid w:val="008677AB"/>
    <w:rsid w:val="00867EEB"/>
    <w:rsid w:val="00874312"/>
    <w:rsid w:val="00876552"/>
    <w:rsid w:val="00876CF6"/>
    <w:rsid w:val="00877AD1"/>
    <w:rsid w:val="00877D78"/>
    <w:rsid w:val="00882874"/>
    <w:rsid w:val="00883787"/>
    <w:rsid w:val="00883836"/>
    <w:rsid w:val="00883EFA"/>
    <w:rsid w:val="0088404B"/>
    <w:rsid w:val="0088414B"/>
    <w:rsid w:val="00884EB1"/>
    <w:rsid w:val="008859F4"/>
    <w:rsid w:val="008873B7"/>
    <w:rsid w:val="00890267"/>
    <w:rsid w:val="0089099B"/>
    <w:rsid w:val="00892D07"/>
    <w:rsid w:val="00893499"/>
    <w:rsid w:val="008935CE"/>
    <w:rsid w:val="00894489"/>
    <w:rsid w:val="00894837"/>
    <w:rsid w:val="0089634B"/>
    <w:rsid w:val="008963A5"/>
    <w:rsid w:val="00897051"/>
    <w:rsid w:val="008A337E"/>
    <w:rsid w:val="008A3C3E"/>
    <w:rsid w:val="008A6BA6"/>
    <w:rsid w:val="008A79DE"/>
    <w:rsid w:val="008B395D"/>
    <w:rsid w:val="008B537A"/>
    <w:rsid w:val="008B5B0B"/>
    <w:rsid w:val="008B64AF"/>
    <w:rsid w:val="008B7B37"/>
    <w:rsid w:val="008B7D7E"/>
    <w:rsid w:val="008C1661"/>
    <w:rsid w:val="008C49C8"/>
    <w:rsid w:val="008C59BE"/>
    <w:rsid w:val="008C7BAD"/>
    <w:rsid w:val="008C7ECB"/>
    <w:rsid w:val="008D07AC"/>
    <w:rsid w:val="008D0BDC"/>
    <w:rsid w:val="008D2BC1"/>
    <w:rsid w:val="008D3108"/>
    <w:rsid w:val="008D34ED"/>
    <w:rsid w:val="008D717C"/>
    <w:rsid w:val="008E0027"/>
    <w:rsid w:val="008E1B9E"/>
    <w:rsid w:val="008E2AB0"/>
    <w:rsid w:val="008E5AF9"/>
    <w:rsid w:val="008E5D86"/>
    <w:rsid w:val="008E69C2"/>
    <w:rsid w:val="008E6B83"/>
    <w:rsid w:val="008F0246"/>
    <w:rsid w:val="008F05EE"/>
    <w:rsid w:val="008F120A"/>
    <w:rsid w:val="008F178C"/>
    <w:rsid w:val="008F3266"/>
    <w:rsid w:val="008F3535"/>
    <w:rsid w:val="008F3D31"/>
    <w:rsid w:val="008F4342"/>
    <w:rsid w:val="008F48EB"/>
    <w:rsid w:val="008F4DE2"/>
    <w:rsid w:val="008F4F0B"/>
    <w:rsid w:val="008F70D2"/>
    <w:rsid w:val="008F7F99"/>
    <w:rsid w:val="0090213E"/>
    <w:rsid w:val="00904A81"/>
    <w:rsid w:val="009062A5"/>
    <w:rsid w:val="00907791"/>
    <w:rsid w:val="00911272"/>
    <w:rsid w:val="0091160F"/>
    <w:rsid w:val="0091191C"/>
    <w:rsid w:val="00912B6A"/>
    <w:rsid w:val="009153C4"/>
    <w:rsid w:val="009157E6"/>
    <w:rsid w:val="009172F4"/>
    <w:rsid w:val="00921925"/>
    <w:rsid w:val="00922C6A"/>
    <w:rsid w:val="0092394A"/>
    <w:rsid w:val="0092463F"/>
    <w:rsid w:val="00927534"/>
    <w:rsid w:val="00931F59"/>
    <w:rsid w:val="00934330"/>
    <w:rsid w:val="009344AD"/>
    <w:rsid w:val="00937729"/>
    <w:rsid w:val="00937D7B"/>
    <w:rsid w:val="00941D93"/>
    <w:rsid w:val="00941F00"/>
    <w:rsid w:val="009422C1"/>
    <w:rsid w:val="009425F0"/>
    <w:rsid w:val="009432A9"/>
    <w:rsid w:val="00945065"/>
    <w:rsid w:val="00946CAB"/>
    <w:rsid w:val="00946CF3"/>
    <w:rsid w:val="00953DE9"/>
    <w:rsid w:val="009544FB"/>
    <w:rsid w:val="00956A05"/>
    <w:rsid w:val="00962CB9"/>
    <w:rsid w:val="00964312"/>
    <w:rsid w:val="009645C3"/>
    <w:rsid w:val="009649D7"/>
    <w:rsid w:val="009672C8"/>
    <w:rsid w:val="00967643"/>
    <w:rsid w:val="0096778D"/>
    <w:rsid w:val="00972CA2"/>
    <w:rsid w:val="0097349B"/>
    <w:rsid w:val="00973DF0"/>
    <w:rsid w:val="00981E5B"/>
    <w:rsid w:val="00983E57"/>
    <w:rsid w:val="00984B28"/>
    <w:rsid w:val="00985221"/>
    <w:rsid w:val="00985863"/>
    <w:rsid w:val="00990CFF"/>
    <w:rsid w:val="0099137E"/>
    <w:rsid w:val="00993E5B"/>
    <w:rsid w:val="0099578A"/>
    <w:rsid w:val="00996B1A"/>
    <w:rsid w:val="0099752E"/>
    <w:rsid w:val="009A09BE"/>
    <w:rsid w:val="009A161A"/>
    <w:rsid w:val="009A1D39"/>
    <w:rsid w:val="009A5F9E"/>
    <w:rsid w:val="009A7110"/>
    <w:rsid w:val="009B07EB"/>
    <w:rsid w:val="009B0F31"/>
    <w:rsid w:val="009B1E77"/>
    <w:rsid w:val="009B3E26"/>
    <w:rsid w:val="009B462A"/>
    <w:rsid w:val="009B513D"/>
    <w:rsid w:val="009B642F"/>
    <w:rsid w:val="009B7271"/>
    <w:rsid w:val="009B7C69"/>
    <w:rsid w:val="009B7E32"/>
    <w:rsid w:val="009C114B"/>
    <w:rsid w:val="009C13BD"/>
    <w:rsid w:val="009C1722"/>
    <w:rsid w:val="009C2493"/>
    <w:rsid w:val="009C501C"/>
    <w:rsid w:val="009C7AEC"/>
    <w:rsid w:val="009C7F6F"/>
    <w:rsid w:val="009D0A07"/>
    <w:rsid w:val="009D25CC"/>
    <w:rsid w:val="009D4717"/>
    <w:rsid w:val="009D5B91"/>
    <w:rsid w:val="009D7096"/>
    <w:rsid w:val="009D73F4"/>
    <w:rsid w:val="009E1F21"/>
    <w:rsid w:val="009E4C07"/>
    <w:rsid w:val="009E53A7"/>
    <w:rsid w:val="009E5B2A"/>
    <w:rsid w:val="009E6054"/>
    <w:rsid w:val="009E637C"/>
    <w:rsid w:val="009F09BC"/>
    <w:rsid w:val="009F1415"/>
    <w:rsid w:val="009F154B"/>
    <w:rsid w:val="009F16DD"/>
    <w:rsid w:val="009F3130"/>
    <w:rsid w:val="009F7EDB"/>
    <w:rsid w:val="00A01971"/>
    <w:rsid w:val="00A01DE4"/>
    <w:rsid w:val="00A02755"/>
    <w:rsid w:val="00A02F0F"/>
    <w:rsid w:val="00A030F5"/>
    <w:rsid w:val="00A030F7"/>
    <w:rsid w:val="00A03D43"/>
    <w:rsid w:val="00A04380"/>
    <w:rsid w:val="00A0466D"/>
    <w:rsid w:val="00A079B9"/>
    <w:rsid w:val="00A10E50"/>
    <w:rsid w:val="00A118DE"/>
    <w:rsid w:val="00A118E7"/>
    <w:rsid w:val="00A1285B"/>
    <w:rsid w:val="00A12F9B"/>
    <w:rsid w:val="00A132AC"/>
    <w:rsid w:val="00A13948"/>
    <w:rsid w:val="00A13E1A"/>
    <w:rsid w:val="00A141FA"/>
    <w:rsid w:val="00A15EFE"/>
    <w:rsid w:val="00A17395"/>
    <w:rsid w:val="00A23ED8"/>
    <w:rsid w:val="00A23EFA"/>
    <w:rsid w:val="00A25254"/>
    <w:rsid w:val="00A27906"/>
    <w:rsid w:val="00A27AEC"/>
    <w:rsid w:val="00A31CFD"/>
    <w:rsid w:val="00A335A8"/>
    <w:rsid w:val="00A33647"/>
    <w:rsid w:val="00A3520A"/>
    <w:rsid w:val="00A35D16"/>
    <w:rsid w:val="00A37B53"/>
    <w:rsid w:val="00A400D4"/>
    <w:rsid w:val="00A42FEF"/>
    <w:rsid w:val="00A43C59"/>
    <w:rsid w:val="00A442D0"/>
    <w:rsid w:val="00A46EB0"/>
    <w:rsid w:val="00A47739"/>
    <w:rsid w:val="00A5073A"/>
    <w:rsid w:val="00A50ECD"/>
    <w:rsid w:val="00A52729"/>
    <w:rsid w:val="00A53616"/>
    <w:rsid w:val="00A53675"/>
    <w:rsid w:val="00A56B6A"/>
    <w:rsid w:val="00A578DC"/>
    <w:rsid w:val="00A600B8"/>
    <w:rsid w:val="00A60418"/>
    <w:rsid w:val="00A616E0"/>
    <w:rsid w:val="00A62579"/>
    <w:rsid w:val="00A62E01"/>
    <w:rsid w:val="00A64B20"/>
    <w:rsid w:val="00A64E61"/>
    <w:rsid w:val="00A6588F"/>
    <w:rsid w:val="00A6725B"/>
    <w:rsid w:val="00A67F45"/>
    <w:rsid w:val="00A7079E"/>
    <w:rsid w:val="00A735F6"/>
    <w:rsid w:val="00A74D92"/>
    <w:rsid w:val="00A75260"/>
    <w:rsid w:val="00A77C55"/>
    <w:rsid w:val="00A80D03"/>
    <w:rsid w:val="00A8212F"/>
    <w:rsid w:val="00A8368C"/>
    <w:rsid w:val="00A837BA"/>
    <w:rsid w:val="00A8664A"/>
    <w:rsid w:val="00A86E8B"/>
    <w:rsid w:val="00A93072"/>
    <w:rsid w:val="00A933AD"/>
    <w:rsid w:val="00A959D8"/>
    <w:rsid w:val="00A95B68"/>
    <w:rsid w:val="00A9659B"/>
    <w:rsid w:val="00A9705A"/>
    <w:rsid w:val="00A97120"/>
    <w:rsid w:val="00AA00CE"/>
    <w:rsid w:val="00AA191C"/>
    <w:rsid w:val="00AA2641"/>
    <w:rsid w:val="00AA2D22"/>
    <w:rsid w:val="00AA3F33"/>
    <w:rsid w:val="00AA462D"/>
    <w:rsid w:val="00AA4CBB"/>
    <w:rsid w:val="00AA5511"/>
    <w:rsid w:val="00AB01F2"/>
    <w:rsid w:val="00AB042A"/>
    <w:rsid w:val="00AB04E4"/>
    <w:rsid w:val="00AB0A14"/>
    <w:rsid w:val="00AB1296"/>
    <w:rsid w:val="00AB2D34"/>
    <w:rsid w:val="00AB3430"/>
    <w:rsid w:val="00AB6842"/>
    <w:rsid w:val="00AB6D41"/>
    <w:rsid w:val="00AB7CFA"/>
    <w:rsid w:val="00AC06F9"/>
    <w:rsid w:val="00AC0B10"/>
    <w:rsid w:val="00AC1A6D"/>
    <w:rsid w:val="00AC235F"/>
    <w:rsid w:val="00AC3D61"/>
    <w:rsid w:val="00AC5CF4"/>
    <w:rsid w:val="00AC7600"/>
    <w:rsid w:val="00AD1215"/>
    <w:rsid w:val="00AD47EE"/>
    <w:rsid w:val="00AD4E46"/>
    <w:rsid w:val="00AD5C7E"/>
    <w:rsid w:val="00AE06B0"/>
    <w:rsid w:val="00AE49F0"/>
    <w:rsid w:val="00AE58DD"/>
    <w:rsid w:val="00AE62D5"/>
    <w:rsid w:val="00AE6AE7"/>
    <w:rsid w:val="00AF4AE9"/>
    <w:rsid w:val="00AF4E31"/>
    <w:rsid w:val="00B00968"/>
    <w:rsid w:val="00B011E2"/>
    <w:rsid w:val="00B02444"/>
    <w:rsid w:val="00B036C9"/>
    <w:rsid w:val="00B063A3"/>
    <w:rsid w:val="00B066C4"/>
    <w:rsid w:val="00B13576"/>
    <w:rsid w:val="00B14C0C"/>
    <w:rsid w:val="00B160F7"/>
    <w:rsid w:val="00B16665"/>
    <w:rsid w:val="00B20851"/>
    <w:rsid w:val="00B20D41"/>
    <w:rsid w:val="00B21455"/>
    <w:rsid w:val="00B228F0"/>
    <w:rsid w:val="00B2350D"/>
    <w:rsid w:val="00B261EE"/>
    <w:rsid w:val="00B26F4A"/>
    <w:rsid w:val="00B27DB8"/>
    <w:rsid w:val="00B32280"/>
    <w:rsid w:val="00B34F68"/>
    <w:rsid w:val="00B36778"/>
    <w:rsid w:val="00B36E14"/>
    <w:rsid w:val="00B406F8"/>
    <w:rsid w:val="00B42851"/>
    <w:rsid w:val="00B42E71"/>
    <w:rsid w:val="00B42F07"/>
    <w:rsid w:val="00B477F5"/>
    <w:rsid w:val="00B47F82"/>
    <w:rsid w:val="00B50DB8"/>
    <w:rsid w:val="00B5129E"/>
    <w:rsid w:val="00B51820"/>
    <w:rsid w:val="00B53905"/>
    <w:rsid w:val="00B54B5B"/>
    <w:rsid w:val="00B54B88"/>
    <w:rsid w:val="00B5562E"/>
    <w:rsid w:val="00B55B1C"/>
    <w:rsid w:val="00B56CF2"/>
    <w:rsid w:val="00B57000"/>
    <w:rsid w:val="00B60120"/>
    <w:rsid w:val="00B60939"/>
    <w:rsid w:val="00B60AFD"/>
    <w:rsid w:val="00B6131A"/>
    <w:rsid w:val="00B62715"/>
    <w:rsid w:val="00B62B32"/>
    <w:rsid w:val="00B65E4D"/>
    <w:rsid w:val="00B665A3"/>
    <w:rsid w:val="00B66E7F"/>
    <w:rsid w:val="00B70608"/>
    <w:rsid w:val="00B7445D"/>
    <w:rsid w:val="00B74989"/>
    <w:rsid w:val="00B761CB"/>
    <w:rsid w:val="00B81466"/>
    <w:rsid w:val="00B818A4"/>
    <w:rsid w:val="00B821EF"/>
    <w:rsid w:val="00B8276C"/>
    <w:rsid w:val="00B83452"/>
    <w:rsid w:val="00B8649C"/>
    <w:rsid w:val="00B87000"/>
    <w:rsid w:val="00B92D0B"/>
    <w:rsid w:val="00B93367"/>
    <w:rsid w:val="00B94945"/>
    <w:rsid w:val="00B975C4"/>
    <w:rsid w:val="00BA0803"/>
    <w:rsid w:val="00BA19C2"/>
    <w:rsid w:val="00BA4BD1"/>
    <w:rsid w:val="00BB046A"/>
    <w:rsid w:val="00BB208F"/>
    <w:rsid w:val="00BB4DEE"/>
    <w:rsid w:val="00BB5B82"/>
    <w:rsid w:val="00BB6F44"/>
    <w:rsid w:val="00BB7405"/>
    <w:rsid w:val="00BC138B"/>
    <w:rsid w:val="00BC167B"/>
    <w:rsid w:val="00BC1846"/>
    <w:rsid w:val="00BC33F5"/>
    <w:rsid w:val="00BC4099"/>
    <w:rsid w:val="00BC512E"/>
    <w:rsid w:val="00BC614B"/>
    <w:rsid w:val="00BD08E0"/>
    <w:rsid w:val="00BD0BDF"/>
    <w:rsid w:val="00BD13DA"/>
    <w:rsid w:val="00BD2F7D"/>
    <w:rsid w:val="00BD3CE9"/>
    <w:rsid w:val="00BD49E0"/>
    <w:rsid w:val="00BD526D"/>
    <w:rsid w:val="00BD6CF3"/>
    <w:rsid w:val="00BD7CBB"/>
    <w:rsid w:val="00BE054C"/>
    <w:rsid w:val="00BE1022"/>
    <w:rsid w:val="00BE1F84"/>
    <w:rsid w:val="00BE2180"/>
    <w:rsid w:val="00BE30E2"/>
    <w:rsid w:val="00BE4275"/>
    <w:rsid w:val="00BF0BBE"/>
    <w:rsid w:val="00BF2433"/>
    <w:rsid w:val="00BF4533"/>
    <w:rsid w:val="00BF6198"/>
    <w:rsid w:val="00BF61C9"/>
    <w:rsid w:val="00BF745E"/>
    <w:rsid w:val="00BF7570"/>
    <w:rsid w:val="00C01C09"/>
    <w:rsid w:val="00C033CB"/>
    <w:rsid w:val="00C03744"/>
    <w:rsid w:val="00C0418D"/>
    <w:rsid w:val="00C10887"/>
    <w:rsid w:val="00C1110E"/>
    <w:rsid w:val="00C11454"/>
    <w:rsid w:val="00C12F69"/>
    <w:rsid w:val="00C13C11"/>
    <w:rsid w:val="00C13F5D"/>
    <w:rsid w:val="00C14B00"/>
    <w:rsid w:val="00C14B19"/>
    <w:rsid w:val="00C15082"/>
    <w:rsid w:val="00C17866"/>
    <w:rsid w:val="00C17FAF"/>
    <w:rsid w:val="00C20F9D"/>
    <w:rsid w:val="00C21DB7"/>
    <w:rsid w:val="00C21FC0"/>
    <w:rsid w:val="00C22413"/>
    <w:rsid w:val="00C25418"/>
    <w:rsid w:val="00C25D9C"/>
    <w:rsid w:val="00C26FB3"/>
    <w:rsid w:val="00C30132"/>
    <w:rsid w:val="00C31649"/>
    <w:rsid w:val="00C3218A"/>
    <w:rsid w:val="00C33C50"/>
    <w:rsid w:val="00C34A81"/>
    <w:rsid w:val="00C35D16"/>
    <w:rsid w:val="00C40385"/>
    <w:rsid w:val="00C40402"/>
    <w:rsid w:val="00C423D9"/>
    <w:rsid w:val="00C4368C"/>
    <w:rsid w:val="00C43D51"/>
    <w:rsid w:val="00C4479E"/>
    <w:rsid w:val="00C44EDD"/>
    <w:rsid w:val="00C45FD0"/>
    <w:rsid w:val="00C46815"/>
    <w:rsid w:val="00C46B4D"/>
    <w:rsid w:val="00C47D3F"/>
    <w:rsid w:val="00C5029A"/>
    <w:rsid w:val="00C50757"/>
    <w:rsid w:val="00C51412"/>
    <w:rsid w:val="00C51444"/>
    <w:rsid w:val="00C5451B"/>
    <w:rsid w:val="00C5617F"/>
    <w:rsid w:val="00C56435"/>
    <w:rsid w:val="00C57825"/>
    <w:rsid w:val="00C615EB"/>
    <w:rsid w:val="00C62781"/>
    <w:rsid w:val="00C63E5F"/>
    <w:rsid w:val="00C65576"/>
    <w:rsid w:val="00C66165"/>
    <w:rsid w:val="00C66AF8"/>
    <w:rsid w:val="00C67E5F"/>
    <w:rsid w:val="00C70517"/>
    <w:rsid w:val="00C71838"/>
    <w:rsid w:val="00C7185E"/>
    <w:rsid w:val="00C73AA7"/>
    <w:rsid w:val="00C750C8"/>
    <w:rsid w:val="00C768D8"/>
    <w:rsid w:val="00C8055B"/>
    <w:rsid w:val="00C8213F"/>
    <w:rsid w:val="00C82833"/>
    <w:rsid w:val="00C82A39"/>
    <w:rsid w:val="00C8797A"/>
    <w:rsid w:val="00C87B10"/>
    <w:rsid w:val="00C92605"/>
    <w:rsid w:val="00C938CF"/>
    <w:rsid w:val="00C94F1C"/>
    <w:rsid w:val="00C95775"/>
    <w:rsid w:val="00C95F29"/>
    <w:rsid w:val="00C9624E"/>
    <w:rsid w:val="00C96B61"/>
    <w:rsid w:val="00C96C88"/>
    <w:rsid w:val="00CA5245"/>
    <w:rsid w:val="00CA7B09"/>
    <w:rsid w:val="00CA7FC9"/>
    <w:rsid w:val="00CB0516"/>
    <w:rsid w:val="00CB1293"/>
    <w:rsid w:val="00CB26E4"/>
    <w:rsid w:val="00CB29CB"/>
    <w:rsid w:val="00CB48E9"/>
    <w:rsid w:val="00CB4FB4"/>
    <w:rsid w:val="00CB5B1A"/>
    <w:rsid w:val="00CB64F0"/>
    <w:rsid w:val="00CC0161"/>
    <w:rsid w:val="00CC06D6"/>
    <w:rsid w:val="00CC0881"/>
    <w:rsid w:val="00CC10B2"/>
    <w:rsid w:val="00CC138C"/>
    <w:rsid w:val="00CC229A"/>
    <w:rsid w:val="00CC2862"/>
    <w:rsid w:val="00CC3D10"/>
    <w:rsid w:val="00CC3F71"/>
    <w:rsid w:val="00CC4CE7"/>
    <w:rsid w:val="00CC7283"/>
    <w:rsid w:val="00CD3BF2"/>
    <w:rsid w:val="00CD5C71"/>
    <w:rsid w:val="00CD6ADC"/>
    <w:rsid w:val="00CE14E4"/>
    <w:rsid w:val="00CE20FF"/>
    <w:rsid w:val="00CE2975"/>
    <w:rsid w:val="00CE2F4E"/>
    <w:rsid w:val="00CE32CD"/>
    <w:rsid w:val="00CE3527"/>
    <w:rsid w:val="00CE4D2A"/>
    <w:rsid w:val="00CE6274"/>
    <w:rsid w:val="00CF155B"/>
    <w:rsid w:val="00CF1F30"/>
    <w:rsid w:val="00CF36F9"/>
    <w:rsid w:val="00CF456B"/>
    <w:rsid w:val="00CF4DCE"/>
    <w:rsid w:val="00CF5A22"/>
    <w:rsid w:val="00CF5F20"/>
    <w:rsid w:val="00D0262E"/>
    <w:rsid w:val="00D0601C"/>
    <w:rsid w:val="00D066CE"/>
    <w:rsid w:val="00D110BD"/>
    <w:rsid w:val="00D14749"/>
    <w:rsid w:val="00D14FF0"/>
    <w:rsid w:val="00D17D6C"/>
    <w:rsid w:val="00D17DDB"/>
    <w:rsid w:val="00D20119"/>
    <w:rsid w:val="00D215D7"/>
    <w:rsid w:val="00D21F08"/>
    <w:rsid w:val="00D23D57"/>
    <w:rsid w:val="00D2569C"/>
    <w:rsid w:val="00D30305"/>
    <w:rsid w:val="00D3344C"/>
    <w:rsid w:val="00D337D7"/>
    <w:rsid w:val="00D34B91"/>
    <w:rsid w:val="00D35795"/>
    <w:rsid w:val="00D357FF"/>
    <w:rsid w:val="00D3600B"/>
    <w:rsid w:val="00D36262"/>
    <w:rsid w:val="00D3639A"/>
    <w:rsid w:val="00D41F6C"/>
    <w:rsid w:val="00D429F1"/>
    <w:rsid w:val="00D42CBC"/>
    <w:rsid w:val="00D43EEC"/>
    <w:rsid w:val="00D44BEE"/>
    <w:rsid w:val="00D4573A"/>
    <w:rsid w:val="00D46823"/>
    <w:rsid w:val="00D50700"/>
    <w:rsid w:val="00D525D7"/>
    <w:rsid w:val="00D52C71"/>
    <w:rsid w:val="00D53369"/>
    <w:rsid w:val="00D5435B"/>
    <w:rsid w:val="00D55527"/>
    <w:rsid w:val="00D560BB"/>
    <w:rsid w:val="00D564CF"/>
    <w:rsid w:val="00D57956"/>
    <w:rsid w:val="00D57DAB"/>
    <w:rsid w:val="00D60481"/>
    <w:rsid w:val="00D612D0"/>
    <w:rsid w:val="00D625FF"/>
    <w:rsid w:val="00D644D4"/>
    <w:rsid w:val="00D6795C"/>
    <w:rsid w:val="00D70550"/>
    <w:rsid w:val="00D71262"/>
    <w:rsid w:val="00D71591"/>
    <w:rsid w:val="00D71834"/>
    <w:rsid w:val="00D7255E"/>
    <w:rsid w:val="00D756F5"/>
    <w:rsid w:val="00D75E9B"/>
    <w:rsid w:val="00D768BE"/>
    <w:rsid w:val="00D768C6"/>
    <w:rsid w:val="00D76A44"/>
    <w:rsid w:val="00D820A3"/>
    <w:rsid w:val="00D8326F"/>
    <w:rsid w:val="00D84E61"/>
    <w:rsid w:val="00D8646C"/>
    <w:rsid w:val="00D86774"/>
    <w:rsid w:val="00D928C7"/>
    <w:rsid w:val="00D92E7E"/>
    <w:rsid w:val="00D93489"/>
    <w:rsid w:val="00D93753"/>
    <w:rsid w:val="00D93C54"/>
    <w:rsid w:val="00D95D8B"/>
    <w:rsid w:val="00D979B8"/>
    <w:rsid w:val="00D97A2E"/>
    <w:rsid w:val="00DA08B7"/>
    <w:rsid w:val="00DA0D57"/>
    <w:rsid w:val="00DA1B8F"/>
    <w:rsid w:val="00DA1E2A"/>
    <w:rsid w:val="00DA2998"/>
    <w:rsid w:val="00DA4BB9"/>
    <w:rsid w:val="00DA4F28"/>
    <w:rsid w:val="00DA7426"/>
    <w:rsid w:val="00DA7583"/>
    <w:rsid w:val="00DA75BE"/>
    <w:rsid w:val="00DA77A5"/>
    <w:rsid w:val="00DB1477"/>
    <w:rsid w:val="00DB2155"/>
    <w:rsid w:val="00DB3A9E"/>
    <w:rsid w:val="00DB618C"/>
    <w:rsid w:val="00DB6C8C"/>
    <w:rsid w:val="00DB7165"/>
    <w:rsid w:val="00DB7959"/>
    <w:rsid w:val="00DB7CB8"/>
    <w:rsid w:val="00DC0115"/>
    <w:rsid w:val="00DC02AA"/>
    <w:rsid w:val="00DC1B42"/>
    <w:rsid w:val="00DC3B49"/>
    <w:rsid w:val="00DC4AF6"/>
    <w:rsid w:val="00DC5501"/>
    <w:rsid w:val="00DC60BB"/>
    <w:rsid w:val="00DC6D47"/>
    <w:rsid w:val="00DD1638"/>
    <w:rsid w:val="00DD21C6"/>
    <w:rsid w:val="00DD3F28"/>
    <w:rsid w:val="00DD4537"/>
    <w:rsid w:val="00DD4E15"/>
    <w:rsid w:val="00DD6ED0"/>
    <w:rsid w:val="00DE2155"/>
    <w:rsid w:val="00DE25D7"/>
    <w:rsid w:val="00DE266B"/>
    <w:rsid w:val="00DE4F4A"/>
    <w:rsid w:val="00DE4FCB"/>
    <w:rsid w:val="00DE7A4B"/>
    <w:rsid w:val="00DF043A"/>
    <w:rsid w:val="00DF1759"/>
    <w:rsid w:val="00DF206D"/>
    <w:rsid w:val="00DF2C0E"/>
    <w:rsid w:val="00DF3A2C"/>
    <w:rsid w:val="00DF5D2B"/>
    <w:rsid w:val="00DF713B"/>
    <w:rsid w:val="00E00C73"/>
    <w:rsid w:val="00E01F31"/>
    <w:rsid w:val="00E0217B"/>
    <w:rsid w:val="00E0451B"/>
    <w:rsid w:val="00E05E4B"/>
    <w:rsid w:val="00E06FC6"/>
    <w:rsid w:val="00E07D1A"/>
    <w:rsid w:val="00E10149"/>
    <w:rsid w:val="00E145D5"/>
    <w:rsid w:val="00E1498D"/>
    <w:rsid w:val="00E15237"/>
    <w:rsid w:val="00E153ED"/>
    <w:rsid w:val="00E16372"/>
    <w:rsid w:val="00E20ED6"/>
    <w:rsid w:val="00E21358"/>
    <w:rsid w:val="00E21ABB"/>
    <w:rsid w:val="00E21EF3"/>
    <w:rsid w:val="00E2249B"/>
    <w:rsid w:val="00E22A0D"/>
    <w:rsid w:val="00E23B39"/>
    <w:rsid w:val="00E2586A"/>
    <w:rsid w:val="00E25C65"/>
    <w:rsid w:val="00E2771E"/>
    <w:rsid w:val="00E3130D"/>
    <w:rsid w:val="00E32AD6"/>
    <w:rsid w:val="00E32BAC"/>
    <w:rsid w:val="00E370A2"/>
    <w:rsid w:val="00E37569"/>
    <w:rsid w:val="00E376B5"/>
    <w:rsid w:val="00E41E30"/>
    <w:rsid w:val="00E42734"/>
    <w:rsid w:val="00E43D70"/>
    <w:rsid w:val="00E4765E"/>
    <w:rsid w:val="00E47B2C"/>
    <w:rsid w:val="00E50605"/>
    <w:rsid w:val="00E50D01"/>
    <w:rsid w:val="00E51560"/>
    <w:rsid w:val="00E52959"/>
    <w:rsid w:val="00E53986"/>
    <w:rsid w:val="00E541B0"/>
    <w:rsid w:val="00E54872"/>
    <w:rsid w:val="00E54B53"/>
    <w:rsid w:val="00E55424"/>
    <w:rsid w:val="00E556F3"/>
    <w:rsid w:val="00E55BB5"/>
    <w:rsid w:val="00E62C93"/>
    <w:rsid w:val="00E62D1B"/>
    <w:rsid w:val="00E65E79"/>
    <w:rsid w:val="00E67416"/>
    <w:rsid w:val="00E7002F"/>
    <w:rsid w:val="00E70959"/>
    <w:rsid w:val="00E718B6"/>
    <w:rsid w:val="00E718E1"/>
    <w:rsid w:val="00E7200D"/>
    <w:rsid w:val="00E73130"/>
    <w:rsid w:val="00E73581"/>
    <w:rsid w:val="00E75E6B"/>
    <w:rsid w:val="00E80933"/>
    <w:rsid w:val="00E827CB"/>
    <w:rsid w:val="00E83933"/>
    <w:rsid w:val="00E83BDF"/>
    <w:rsid w:val="00E90180"/>
    <w:rsid w:val="00E905D6"/>
    <w:rsid w:val="00E92DFB"/>
    <w:rsid w:val="00E93DA9"/>
    <w:rsid w:val="00E94275"/>
    <w:rsid w:val="00E954EE"/>
    <w:rsid w:val="00EA075B"/>
    <w:rsid w:val="00EA27BB"/>
    <w:rsid w:val="00EA2AF9"/>
    <w:rsid w:val="00EA3517"/>
    <w:rsid w:val="00EA3864"/>
    <w:rsid w:val="00EA3E6C"/>
    <w:rsid w:val="00EA4179"/>
    <w:rsid w:val="00EA5163"/>
    <w:rsid w:val="00EA592B"/>
    <w:rsid w:val="00EA5F81"/>
    <w:rsid w:val="00EB0140"/>
    <w:rsid w:val="00EB15B6"/>
    <w:rsid w:val="00EB17A2"/>
    <w:rsid w:val="00EB1FE9"/>
    <w:rsid w:val="00EB23B9"/>
    <w:rsid w:val="00EB42C0"/>
    <w:rsid w:val="00EB4916"/>
    <w:rsid w:val="00EB4972"/>
    <w:rsid w:val="00EB70C3"/>
    <w:rsid w:val="00EB7CF1"/>
    <w:rsid w:val="00EC00C9"/>
    <w:rsid w:val="00EC2D27"/>
    <w:rsid w:val="00EC3E18"/>
    <w:rsid w:val="00EC5259"/>
    <w:rsid w:val="00EC560A"/>
    <w:rsid w:val="00EC60C5"/>
    <w:rsid w:val="00EC6B7C"/>
    <w:rsid w:val="00ED0599"/>
    <w:rsid w:val="00ED2B96"/>
    <w:rsid w:val="00ED511E"/>
    <w:rsid w:val="00ED7E7F"/>
    <w:rsid w:val="00EE00AC"/>
    <w:rsid w:val="00EE07D3"/>
    <w:rsid w:val="00EE13CA"/>
    <w:rsid w:val="00EE2336"/>
    <w:rsid w:val="00EE54BB"/>
    <w:rsid w:val="00EE5A5F"/>
    <w:rsid w:val="00EE7A2F"/>
    <w:rsid w:val="00EF157B"/>
    <w:rsid w:val="00EF43D3"/>
    <w:rsid w:val="00EF6AD6"/>
    <w:rsid w:val="00F0074F"/>
    <w:rsid w:val="00F0157A"/>
    <w:rsid w:val="00F025A0"/>
    <w:rsid w:val="00F025D5"/>
    <w:rsid w:val="00F02AE5"/>
    <w:rsid w:val="00F05460"/>
    <w:rsid w:val="00F067A2"/>
    <w:rsid w:val="00F06FE2"/>
    <w:rsid w:val="00F07156"/>
    <w:rsid w:val="00F077EF"/>
    <w:rsid w:val="00F1148C"/>
    <w:rsid w:val="00F12FCF"/>
    <w:rsid w:val="00F13257"/>
    <w:rsid w:val="00F147DB"/>
    <w:rsid w:val="00F15F91"/>
    <w:rsid w:val="00F22077"/>
    <w:rsid w:val="00F23203"/>
    <w:rsid w:val="00F23AD8"/>
    <w:rsid w:val="00F24837"/>
    <w:rsid w:val="00F2575F"/>
    <w:rsid w:val="00F259FF"/>
    <w:rsid w:val="00F265C2"/>
    <w:rsid w:val="00F26F79"/>
    <w:rsid w:val="00F30FBE"/>
    <w:rsid w:val="00F3100B"/>
    <w:rsid w:val="00F31815"/>
    <w:rsid w:val="00F3247D"/>
    <w:rsid w:val="00F33DE9"/>
    <w:rsid w:val="00F34D67"/>
    <w:rsid w:val="00F3619A"/>
    <w:rsid w:val="00F440E7"/>
    <w:rsid w:val="00F4668F"/>
    <w:rsid w:val="00F4672B"/>
    <w:rsid w:val="00F46CB6"/>
    <w:rsid w:val="00F51EC6"/>
    <w:rsid w:val="00F51F13"/>
    <w:rsid w:val="00F5233C"/>
    <w:rsid w:val="00F5313B"/>
    <w:rsid w:val="00F53E01"/>
    <w:rsid w:val="00F55D01"/>
    <w:rsid w:val="00F55E73"/>
    <w:rsid w:val="00F60092"/>
    <w:rsid w:val="00F60A61"/>
    <w:rsid w:val="00F62C85"/>
    <w:rsid w:val="00F630FF"/>
    <w:rsid w:val="00F6490B"/>
    <w:rsid w:val="00F65185"/>
    <w:rsid w:val="00F65F15"/>
    <w:rsid w:val="00F66D51"/>
    <w:rsid w:val="00F71510"/>
    <w:rsid w:val="00F71514"/>
    <w:rsid w:val="00F72091"/>
    <w:rsid w:val="00F7482C"/>
    <w:rsid w:val="00F776C0"/>
    <w:rsid w:val="00F80E5D"/>
    <w:rsid w:val="00F81D60"/>
    <w:rsid w:val="00F82146"/>
    <w:rsid w:val="00F851CE"/>
    <w:rsid w:val="00F85537"/>
    <w:rsid w:val="00F86E12"/>
    <w:rsid w:val="00F90A99"/>
    <w:rsid w:val="00F91C37"/>
    <w:rsid w:val="00F94472"/>
    <w:rsid w:val="00F95C0A"/>
    <w:rsid w:val="00F97A78"/>
    <w:rsid w:val="00F97D25"/>
    <w:rsid w:val="00FA0AF8"/>
    <w:rsid w:val="00FA0B2A"/>
    <w:rsid w:val="00FA23E1"/>
    <w:rsid w:val="00FA24E7"/>
    <w:rsid w:val="00FA3B36"/>
    <w:rsid w:val="00FA74DF"/>
    <w:rsid w:val="00FB0960"/>
    <w:rsid w:val="00FB0B7F"/>
    <w:rsid w:val="00FB251E"/>
    <w:rsid w:val="00FB2FCB"/>
    <w:rsid w:val="00FB42C8"/>
    <w:rsid w:val="00FB76D5"/>
    <w:rsid w:val="00FB7B45"/>
    <w:rsid w:val="00FC0028"/>
    <w:rsid w:val="00FC1074"/>
    <w:rsid w:val="00FC1884"/>
    <w:rsid w:val="00FC2368"/>
    <w:rsid w:val="00FC2916"/>
    <w:rsid w:val="00FC622C"/>
    <w:rsid w:val="00FC7399"/>
    <w:rsid w:val="00FC73A9"/>
    <w:rsid w:val="00FC7FD5"/>
    <w:rsid w:val="00FD2100"/>
    <w:rsid w:val="00FD2690"/>
    <w:rsid w:val="00FD2A54"/>
    <w:rsid w:val="00FD446D"/>
    <w:rsid w:val="00FE4869"/>
    <w:rsid w:val="00FE5473"/>
    <w:rsid w:val="00FE60C7"/>
    <w:rsid w:val="00FE7971"/>
    <w:rsid w:val="00FF0CDF"/>
    <w:rsid w:val="00FF1E97"/>
    <w:rsid w:val="00FF2961"/>
    <w:rsid w:val="00FF3080"/>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57025"/>
    <w:pPr>
      <w:widowControl w:val="0"/>
      <w:jc w:val="both"/>
    </w:pPr>
    <w:rPr>
      <w:rFonts w:ascii="Arial" w:hAnsi="Arial" w:cs="Arial"/>
      <w:snapToGrid w:val="0"/>
      <w:sz w:val="22"/>
      <w:lang w:eastAsia="en-US"/>
    </w:rPr>
  </w:style>
  <w:style w:type="paragraph" w:styleId="Heading1">
    <w:name w:val="heading 1"/>
    <w:aliases w:val="ESHeading 1"/>
    <w:basedOn w:val="Normal"/>
    <w:next w:val="Normal"/>
    <w:link w:val="Heading1Char"/>
    <w:uiPriority w:val="1"/>
    <w:qFormat/>
    <w:rsid w:val="00D76A44"/>
    <w:pPr>
      <w:outlineLvl w:val="0"/>
    </w:pPr>
    <w:rPr>
      <w:rFonts w:ascii="Arial Bold" w:hAnsi="Arial Bold"/>
      <w:b/>
      <w:caps/>
    </w:rPr>
  </w:style>
  <w:style w:type="paragraph" w:styleId="Heading2">
    <w:name w:val="heading 2"/>
    <w:aliases w:val="ESHeading 2"/>
    <w:basedOn w:val="Normal"/>
    <w:next w:val="Normal"/>
    <w:link w:val="Heading2Char"/>
    <w:uiPriority w:val="9"/>
    <w:qFormat/>
    <w:rsid w:val="004B3DDB"/>
    <w:pPr>
      <w:outlineLvl w:val="1"/>
    </w:pPr>
    <w:rPr>
      <w:b/>
    </w:rPr>
  </w:style>
  <w:style w:type="paragraph" w:styleId="Heading3">
    <w:name w:val="heading 3"/>
    <w:aliases w:val="ESHeading 3"/>
    <w:basedOn w:val="Normal"/>
    <w:next w:val="Normal"/>
    <w:link w:val="Heading3Char"/>
    <w:uiPriority w:val="1"/>
    <w:qFormat/>
    <w:rsid w:val="001F7361"/>
    <w:pPr>
      <w:outlineLvl w:val="2"/>
    </w:pPr>
    <w:rPr>
      <w:u w:val="single"/>
    </w:rPr>
  </w:style>
  <w:style w:type="paragraph" w:styleId="Heading4">
    <w:name w:val="heading 4"/>
    <w:aliases w:val="ESHeading 4"/>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7"/>
    <w:qFormat/>
    <w:rsid w:val="00124A51"/>
    <w:pPr>
      <w:spacing w:before="240" w:after="60"/>
      <w:outlineLvl w:val="4"/>
    </w:pPr>
    <w:rPr>
      <w:b/>
      <w:bCs/>
      <w:iCs/>
      <w:sz w:val="26"/>
      <w:szCs w:val="26"/>
    </w:rPr>
  </w:style>
  <w:style w:type="paragraph" w:styleId="Heading6">
    <w:name w:val="heading 6"/>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ES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7"/>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Footnote,Bullet point,List Paragraph1,List Paragraph11,Recommendation"/>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Heading1Char">
    <w:name w:val="Heading 1 Char"/>
    <w:aliases w:val="ESHeading 1 Char"/>
    <w:basedOn w:val="DefaultParagraphFont"/>
    <w:link w:val="Heading1"/>
    <w:uiPriority w:val="1"/>
    <w:rsid w:val="00137F8D"/>
    <w:rPr>
      <w:rFonts w:ascii="Arial Bold" w:hAnsi="Arial Bold" w:cs="Arial"/>
      <w:b/>
      <w:caps/>
      <w:snapToGrid w:val="0"/>
      <w:sz w:val="22"/>
      <w:lang w:eastAsia="en-US"/>
    </w:rPr>
  </w:style>
  <w:style w:type="character" w:customStyle="1" w:styleId="Heading3Char">
    <w:name w:val="Heading 3 Char"/>
    <w:aliases w:val="ESHeading 3 Char"/>
    <w:basedOn w:val="DefaultParagraphFont"/>
    <w:link w:val="Heading3"/>
    <w:uiPriority w:val="9"/>
    <w:rsid w:val="00137F8D"/>
    <w:rPr>
      <w:rFonts w:ascii="Arial" w:hAnsi="Arial" w:cs="Arial"/>
      <w:snapToGrid w:val="0"/>
      <w:sz w:val="22"/>
      <w:u w:val="single"/>
      <w:lang w:eastAsia="en-US"/>
    </w:rPr>
  </w:style>
  <w:style w:type="paragraph" w:customStyle="1" w:styleId="V50Heading2nonumbers">
    <w:name w:val="V5.0 Heading 2 no numbers"/>
    <w:basedOn w:val="Heading2"/>
    <w:qFormat/>
    <w:rsid w:val="00137F8D"/>
    <w:pPr>
      <w:keepNext/>
      <w:keepLines/>
      <w:widowControl/>
      <w:spacing w:before="240" w:after="120"/>
      <w:ind w:left="578" w:hanging="578"/>
    </w:pPr>
    <w:rPr>
      <w:rFonts w:eastAsiaTheme="majorEastAsia" w:cstheme="majorBidi"/>
      <w:i/>
      <w:snapToGrid/>
      <w:sz w:val="28"/>
      <w:szCs w:val="28"/>
    </w:rPr>
  </w:style>
  <w:style w:type="paragraph" w:customStyle="1" w:styleId="V50Instructions">
    <w:name w:val="V5.0 Instructions"/>
    <w:basedOn w:val="Normal"/>
    <w:link w:val="V50InstructionsChar"/>
    <w:qFormat/>
    <w:rsid w:val="00137F8D"/>
    <w:pPr>
      <w:widowControl/>
      <w:spacing w:before="120" w:after="160"/>
    </w:pPr>
    <w:rPr>
      <w:rFonts w:eastAsiaTheme="minorHAnsi" w:cstheme="minorBidi"/>
      <w:snapToGrid/>
      <w:color w:val="4BACC6" w:themeColor="accent5"/>
      <w:szCs w:val="22"/>
    </w:rPr>
  </w:style>
  <w:style w:type="character" w:customStyle="1" w:styleId="Heading4Char">
    <w:name w:val="Heading 4 Char"/>
    <w:aliases w:val="ESHeading 4 Char"/>
    <w:basedOn w:val="DefaultParagraphFont"/>
    <w:link w:val="Heading4"/>
    <w:uiPriority w:val="5"/>
    <w:rsid w:val="00137F8D"/>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7"/>
    <w:rsid w:val="00137F8D"/>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7"/>
    <w:rsid w:val="00137F8D"/>
    <w:rPr>
      <w:rFonts w:ascii="Arial" w:hAnsi="Arial" w:cs="Arial"/>
      <w:b/>
      <w:bCs/>
      <w:i/>
      <w:snapToGrid w:val="0"/>
      <w:sz w:val="22"/>
      <w:szCs w:val="22"/>
      <w:lang w:eastAsia="en-US"/>
    </w:rPr>
  </w:style>
  <w:style w:type="paragraph" w:customStyle="1" w:styleId="V50Heading1nonumbers">
    <w:name w:val="V5.0 Heading 1 no numbers"/>
    <w:basedOn w:val="Heading1"/>
    <w:qFormat/>
    <w:rsid w:val="00137F8D"/>
    <w:pPr>
      <w:keepNext/>
      <w:keepLines/>
      <w:widowControl/>
      <w:spacing w:before="400" w:after="120"/>
    </w:pPr>
    <w:rPr>
      <w:rFonts w:ascii="Arial" w:eastAsiaTheme="majorEastAsia" w:hAnsi="Arial" w:cstheme="majorBidi"/>
      <w:caps w:val="0"/>
      <w:snapToGrid/>
      <w:sz w:val="32"/>
      <w:szCs w:val="28"/>
    </w:rPr>
  </w:style>
  <w:style w:type="paragraph" w:customStyle="1" w:styleId="V50InstructionsBullets">
    <w:name w:val="V5.0 Instructions Bullets"/>
    <w:basedOn w:val="V50Instructions"/>
    <w:qFormat/>
    <w:rsid w:val="00137F8D"/>
    <w:pPr>
      <w:numPr>
        <w:numId w:val="5"/>
      </w:numPr>
      <w:spacing w:before="0" w:after="0"/>
      <w:ind w:left="714" w:hanging="357"/>
    </w:pPr>
  </w:style>
  <w:style w:type="table" w:customStyle="1" w:styleId="TableGridLight1">
    <w:name w:val="Table Grid Light1"/>
    <w:basedOn w:val="TableNormal"/>
    <w:uiPriority w:val="40"/>
    <w:rsid w:val="00137F8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137F8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137F8D"/>
    <w:pPr>
      <w:keepNext/>
      <w:widowControl/>
      <w:spacing w:before="40" w:after="40"/>
    </w:pPr>
    <w:rPr>
      <w:rFonts w:ascii="Arial Narrow" w:eastAsiaTheme="minorHAnsi" w:hAnsi="Arial Narrow" w:cstheme="minorBidi"/>
      <w:snapToGrid/>
      <w:sz w:val="20"/>
      <w:szCs w:val="22"/>
    </w:rPr>
  </w:style>
  <w:style w:type="character" w:styleId="FootnoteReference">
    <w:name w:val="footnote reference"/>
    <w:basedOn w:val="DefaultParagraphFont"/>
    <w:uiPriority w:val="99"/>
    <w:unhideWhenUsed/>
    <w:rsid w:val="00137F8D"/>
    <w:rPr>
      <w:vertAlign w:val="superscript"/>
    </w:rPr>
  </w:style>
  <w:style w:type="paragraph" w:customStyle="1" w:styleId="TableHeading0">
    <w:name w:val="Table Heading"/>
    <w:basedOn w:val="Normal"/>
    <w:qFormat/>
    <w:rsid w:val="00137F8D"/>
    <w:pPr>
      <w:keepNext/>
      <w:widowControl/>
      <w:spacing w:before="240" w:after="60"/>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137F8D"/>
    <w:rPr>
      <w:rFonts w:ascii="Arial" w:eastAsiaTheme="minorHAnsi" w:hAnsi="Arial" w:cstheme="minorBidi"/>
      <w:color w:val="4BACC6" w:themeColor="accent5"/>
      <w:sz w:val="22"/>
      <w:szCs w:val="22"/>
      <w:lang w:eastAsia="en-US"/>
    </w:rPr>
  </w:style>
  <w:style w:type="character" w:customStyle="1" w:styleId="TableFooterChar">
    <w:name w:val="Table Footer Char"/>
    <w:link w:val="TableFooter"/>
    <w:rsid w:val="00137F8D"/>
    <w:rPr>
      <w:rFonts w:ascii="Arial Narrow" w:hAnsi="Arial Narrow" w:cs="Arial"/>
      <w:snapToGrid w:val="0"/>
      <w:sz w:val="18"/>
      <w:lang w:eastAsia="en-US"/>
    </w:rPr>
  </w:style>
  <w:style w:type="numbering" w:customStyle="1" w:styleId="Headings">
    <w:name w:val="Headings"/>
    <w:uiPriority w:val="99"/>
    <w:rsid w:val="00137F8D"/>
    <w:pPr>
      <w:numPr>
        <w:numId w:val="6"/>
      </w:numPr>
    </w:pPr>
  </w:style>
  <w:style w:type="character" w:styleId="FollowedHyperlink">
    <w:name w:val="FollowedHyperlink"/>
    <w:basedOn w:val="DefaultParagraphFont"/>
    <w:uiPriority w:val="99"/>
    <w:semiHidden/>
    <w:unhideWhenUsed/>
    <w:rsid w:val="00137F8D"/>
    <w:rPr>
      <w:color w:val="800080" w:themeColor="followedHyperlink"/>
      <w:u w:val="single"/>
    </w:rPr>
  </w:style>
  <w:style w:type="paragraph" w:customStyle="1" w:styleId="ESnumberedpara">
    <w:name w:val="ES numbered para"/>
    <w:basedOn w:val="Normal"/>
    <w:link w:val="ESnumberedparaChar"/>
    <w:qFormat/>
    <w:rsid w:val="00137F8D"/>
    <w:pPr>
      <w:widowControl/>
      <w:spacing w:after="120"/>
      <w:ind w:left="720" w:hanging="720"/>
    </w:pPr>
    <w:rPr>
      <w:rFonts w:eastAsiaTheme="minorHAnsi" w:cstheme="minorBidi"/>
      <w:snapToGrid/>
      <w:szCs w:val="22"/>
    </w:rPr>
  </w:style>
  <w:style w:type="character" w:customStyle="1" w:styleId="ESnumberedparaChar">
    <w:name w:val="ES numbered para Char"/>
    <w:basedOn w:val="DefaultParagraphFont"/>
    <w:link w:val="ESnumberedpara"/>
    <w:rsid w:val="00137F8D"/>
    <w:rPr>
      <w:rFonts w:ascii="Arial" w:eastAsiaTheme="minorHAnsi" w:hAnsi="Arial" w:cstheme="minorBidi"/>
      <w:sz w:val="22"/>
      <w:szCs w:val="22"/>
      <w:lang w:eastAsia="en-US"/>
    </w:rPr>
  </w:style>
  <w:style w:type="paragraph" w:customStyle="1" w:styleId="ESnumberedparablue">
    <w:name w:val="ES numbered para blue"/>
    <w:basedOn w:val="ESnumberedpara"/>
    <w:qFormat/>
    <w:rsid w:val="00137F8D"/>
    <w:pPr>
      <w:ind w:left="0" w:firstLine="0"/>
    </w:pPr>
    <w:rPr>
      <w:color w:val="4BACC6" w:themeColor="accent5"/>
    </w:rPr>
  </w:style>
  <w:style w:type="paragraph" w:customStyle="1" w:styleId="ESnon-numberedpara">
    <w:name w:val="ES non-numbered para"/>
    <w:basedOn w:val="Normal"/>
    <w:qFormat/>
    <w:rsid w:val="00137F8D"/>
    <w:pPr>
      <w:widowControl/>
      <w:spacing w:after="120"/>
      <w:ind w:left="709"/>
    </w:pPr>
    <w:rPr>
      <w:rFonts w:eastAsiaTheme="minorHAnsi" w:cstheme="minorBidi"/>
      <w:snapToGrid/>
      <w:szCs w:val="22"/>
    </w:rPr>
  </w:style>
  <w:style w:type="paragraph" w:customStyle="1" w:styleId="ESnon-numberedparablue">
    <w:name w:val="ES non-numbered para blue"/>
    <w:basedOn w:val="ESnon-numberedpara"/>
    <w:qFormat/>
    <w:rsid w:val="00137F8D"/>
    <w:rPr>
      <w:color w:val="4BACC6" w:themeColor="accent5"/>
    </w:rPr>
  </w:style>
  <w:style w:type="paragraph" w:customStyle="1" w:styleId="ESnon-numberedbullet">
    <w:name w:val="ES non-numbered bullet"/>
    <w:basedOn w:val="ESnon-numberedpara"/>
    <w:qFormat/>
    <w:rsid w:val="00137F8D"/>
    <w:pPr>
      <w:numPr>
        <w:numId w:val="8"/>
      </w:numPr>
      <w:spacing w:after="240"/>
      <w:ind w:left="993" w:hanging="284"/>
      <w:contextualSpacing/>
    </w:pPr>
  </w:style>
  <w:style w:type="paragraph" w:customStyle="1" w:styleId="ESNormalblue">
    <w:name w:val="ESNormalblue"/>
    <w:basedOn w:val="Normal"/>
    <w:link w:val="ESNormalblueChar"/>
    <w:qFormat/>
    <w:rsid w:val="00E94275"/>
    <w:pPr>
      <w:widowControl/>
      <w:spacing w:before="120" w:after="160"/>
    </w:pPr>
    <w:rPr>
      <w:rFonts w:eastAsiaTheme="minorHAnsi" w:cstheme="minorBidi"/>
      <w:snapToGrid/>
      <w:color w:val="0070C0"/>
      <w:szCs w:val="22"/>
    </w:rPr>
  </w:style>
  <w:style w:type="character" w:customStyle="1" w:styleId="ESNormalblueChar">
    <w:name w:val="ESNormalblue Char"/>
    <w:basedOn w:val="DefaultParagraphFont"/>
    <w:link w:val="ESNormalblue"/>
    <w:rsid w:val="00E94275"/>
    <w:rPr>
      <w:rFonts w:ascii="Arial" w:eastAsiaTheme="minorHAnsi" w:hAnsi="Arial" w:cstheme="minorBidi"/>
      <w:color w:val="0070C0"/>
      <w:sz w:val="22"/>
      <w:szCs w:val="22"/>
      <w:lang w:eastAsia="en-US"/>
    </w:rPr>
  </w:style>
  <w:style w:type="character" w:styleId="PlaceholderText">
    <w:name w:val="Placeholder Text"/>
    <w:basedOn w:val="DefaultParagraphFont"/>
    <w:uiPriority w:val="99"/>
    <w:semiHidden/>
    <w:rsid w:val="00457F73"/>
    <w:rPr>
      <w:color w:val="808080"/>
    </w:rPr>
  </w:style>
  <w:style w:type="paragraph" w:customStyle="1" w:styleId="COMBody">
    <w:name w:val="COMBody"/>
    <w:basedOn w:val="Normal"/>
    <w:link w:val="COMBodyChar"/>
    <w:qFormat/>
    <w:rsid w:val="00EE54BB"/>
    <w:rPr>
      <w:snapToGrid/>
      <w:szCs w:val="22"/>
    </w:rPr>
  </w:style>
  <w:style w:type="character" w:customStyle="1" w:styleId="COMBodyChar">
    <w:name w:val="COMBody Char"/>
    <w:basedOn w:val="DefaultParagraphFont"/>
    <w:link w:val="COMBody"/>
    <w:rsid w:val="00EE54BB"/>
    <w:rPr>
      <w:rFonts w:ascii="Arial" w:hAnsi="Arial" w:cs="Arial"/>
      <w:sz w:val="22"/>
      <w:szCs w:val="22"/>
      <w:lang w:eastAsia="en-US"/>
    </w:rPr>
  </w:style>
  <w:style w:type="character" w:customStyle="1" w:styleId="glossary-term">
    <w:name w:val="glossary-term"/>
    <w:basedOn w:val="DefaultParagraphFont"/>
    <w:rsid w:val="003910FC"/>
  </w:style>
  <w:style w:type="character" w:customStyle="1" w:styleId="tgc">
    <w:name w:val="_tgc"/>
    <w:basedOn w:val="DefaultParagraphFont"/>
    <w:rsid w:val="00FE60C7"/>
  </w:style>
  <w:style w:type="paragraph" w:customStyle="1" w:styleId="COMTbl-foot">
    <w:name w:val="COMTbl-foot"/>
    <w:basedOn w:val="TableFooter"/>
    <w:link w:val="COMTbl-footChar"/>
    <w:qFormat/>
    <w:rsid w:val="006060D7"/>
  </w:style>
  <w:style w:type="character" w:customStyle="1" w:styleId="COMTbl-footChar">
    <w:name w:val="COMTbl-foot Char"/>
    <w:basedOn w:val="TableFooterChar"/>
    <w:link w:val="COMTbl-foot"/>
    <w:rsid w:val="006060D7"/>
    <w:rPr>
      <w:rFonts w:ascii="Arial Narrow" w:hAnsi="Arial Narrow"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930D3"/>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Footnote Char,Bullet point Char,List Paragraph1 Char,List Paragraph11 Char,Recommendation Char"/>
    <w:link w:val="ListParagraph"/>
    <w:uiPriority w:val="34"/>
    <w:rsid w:val="003B4FC0"/>
    <w:rPr>
      <w:rFonts w:ascii="Arial" w:hAnsi="Arial" w:cs="Arial"/>
      <w:snapToGrid w:val="0"/>
      <w:sz w:val="22"/>
      <w:lang w:eastAsia="en-US"/>
    </w:rPr>
  </w:style>
  <w:style w:type="paragraph" w:styleId="EndnoteText">
    <w:name w:val="endnote text"/>
    <w:basedOn w:val="Normal"/>
    <w:link w:val="EndnoteTextChar"/>
    <w:semiHidden/>
    <w:unhideWhenUsed/>
    <w:rsid w:val="0052371B"/>
    <w:rPr>
      <w:sz w:val="20"/>
    </w:rPr>
  </w:style>
  <w:style w:type="character" w:customStyle="1" w:styleId="EndnoteTextChar">
    <w:name w:val="Endnote Text Char"/>
    <w:basedOn w:val="DefaultParagraphFont"/>
    <w:link w:val="EndnoteText"/>
    <w:semiHidden/>
    <w:rsid w:val="0052371B"/>
    <w:rPr>
      <w:rFonts w:ascii="Arial" w:hAnsi="Arial" w:cs="Arial"/>
      <w:snapToGrid w:val="0"/>
      <w:lang w:eastAsia="en-US"/>
    </w:rPr>
  </w:style>
  <w:style w:type="character" w:styleId="EndnoteReference">
    <w:name w:val="endnote reference"/>
    <w:basedOn w:val="DefaultParagraphFont"/>
    <w:semiHidden/>
    <w:unhideWhenUsed/>
    <w:rsid w:val="0052371B"/>
    <w:rPr>
      <w:vertAlign w:val="superscript"/>
    </w:rPr>
  </w:style>
  <w:style w:type="paragraph" w:styleId="FootnoteText">
    <w:name w:val="footnote text"/>
    <w:basedOn w:val="Normal"/>
    <w:link w:val="FootnoteTextChar"/>
    <w:semiHidden/>
    <w:unhideWhenUsed/>
    <w:rsid w:val="0052371B"/>
    <w:rPr>
      <w:sz w:val="20"/>
    </w:rPr>
  </w:style>
  <w:style w:type="character" w:customStyle="1" w:styleId="FootnoteTextChar">
    <w:name w:val="Footnote Text Char"/>
    <w:basedOn w:val="DefaultParagraphFont"/>
    <w:link w:val="FootnoteText"/>
    <w:semiHidden/>
    <w:rsid w:val="0052371B"/>
    <w:rPr>
      <w:rFonts w:ascii="Arial" w:hAnsi="Arial" w:cs="Arial"/>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57025"/>
    <w:pPr>
      <w:widowControl w:val="0"/>
      <w:jc w:val="both"/>
    </w:pPr>
    <w:rPr>
      <w:rFonts w:ascii="Arial" w:hAnsi="Arial" w:cs="Arial"/>
      <w:snapToGrid w:val="0"/>
      <w:sz w:val="22"/>
      <w:lang w:eastAsia="en-US"/>
    </w:rPr>
  </w:style>
  <w:style w:type="paragraph" w:styleId="Heading1">
    <w:name w:val="heading 1"/>
    <w:aliases w:val="ESHeading 1"/>
    <w:basedOn w:val="Normal"/>
    <w:next w:val="Normal"/>
    <w:link w:val="Heading1Char"/>
    <w:uiPriority w:val="1"/>
    <w:qFormat/>
    <w:rsid w:val="00D76A44"/>
    <w:pPr>
      <w:outlineLvl w:val="0"/>
    </w:pPr>
    <w:rPr>
      <w:rFonts w:ascii="Arial Bold" w:hAnsi="Arial Bold"/>
      <w:b/>
      <w:caps/>
    </w:rPr>
  </w:style>
  <w:style w:type="paragraph" w:styleId="Heading2">
    <w:name w:val="heading 2"/>
    <w:aliases w:val="ESHeading 2"/>
    <w:basedOn w:val="Normal"/>
    <w:next w:val="Normal"/>
    <w:link w:val="Heading2Char"/>
    <w:uiPriority w:val="9"/>
    <w:qFormat/>
    <w:rsid w:val="004B3DDB"/>
    <w:pPr>
      <w:outlineLvl w:val="1"/>
    </w:pPr>
    <w:rPr>
      <w:b/>
    </w:rPr>
  </w:style>
  <w:style w:type="paragraph" w:styleId="Heading3">
    <w:name w:val="heading 3"/>
    <w:aliases w:val="ESHeading 3"/>
    <w:basedOn w:val="Normal"/>
    <w:next w:val="Normal"/>
    <w:link w:val="Heading3Char"/>
    <w:uiPriority w:val="1"/>
    <w:qFormat/>
    <w:rsid w:val="001F7361"/>
    <w:pPr>
      <w:outlineLvl w:val="2"/>
    </w:pPr>
    <w:rPr>
      <w:u w:val="single"/>
    </w:rPr>
  </w:style>
  <w:style w:type="paragraph" w:styleId="Heading4">
    <w:name w:val="heading 4"/>
    <w:aliases w:val="ESHeading 4"/>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7"/>
    <w:qFormat/>
    <w:rsid w:val="00124A51"/>
    <w:pPr>
      <w:spacing w:before="240" w:after="60"/>
      <w:outlineLvl w:val="4"/>
    </w:pPr>
    <w:rPr>
      <w:b/>
      <w:bCs/>
      <w:iCs/>
      <w:sz w:val="26"/>
      <w:szCs w:val="26"/>
    </w:rPr>
  </w:style>
  <w:style w:type="paragraph" w:styleId="Heading6">
    <w:name w:val="heading 6"/>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ES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7"/>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Footnote,Bullet point,List Paragraph1,List Paragraph11,Recommendation"/>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Heading1Char">
    <w:name w:val="Heading 1 Char"/>
    <w:aliases w:val="ESHeading 1 Char"/>
    <w:basedOn w:val="DefaultParagraphFont"/>
    <w:link w:val="Heading1"/>
    <w:uiPriority w:val="1"/>
    <w:rsid w:val="00137F8D"/>
    <w:rPr>
      <w:rFonts w:ascii="Arial Bold" w:hAnsi="Arial Bold" w:cs="Arial"/>
      <w:b/>
      <w:caps/>
      <w:snapToGrid w:val="0"/>
      <w:sz w:val="22"/>
      <w:lang w:eastAsia="en-US"/>
    </w:rPr>
  </w:style>
  <w:style w:type="character" w:customStyle="1" w:styleId="Heading3Char">
    <w:name w:val="Heading 3 Char"/>
    <w:aliases w:val="ESHeading 3 Char"/>
    <w:basedOn w:val="DefaultParagraphFont"/>
    <w:link w:val="Heading3"/>
    <w:uiPriority w:val="9"/>
    <w:rsid w:val="00137F8D"/>
    <w:rPr>
      <w:rFonts w:ascii="Arial" w:hAnsi="Arial" w:cs="Arial"/>
      <w:snapToGrid w:val="0"/>
      <w:sz w:val="22"/>
      <w:u w:val="single"/>
      <w:lang w:eastAsia="en-US"/>
    </w:rPr>
  </w:style>
  <w:style w:type="paragraph" w:customStyle="1" w:styleId="V50Heading2nonumbers">
    <w:name w:val="V5.0 Heading 2 no numbers"/>
    <w:basedOn w:val="Heading2"/>
    <w:qFormat/>
    <w:rsid w:val="00137F8D"/>
    <w:pPr>
      <w:keepNext/>
      <w:keepLines/>
      <w:widowControl/>
      <w:spacing w:before="240" w:after="120"/>
      <w:ind w:left="578" w:hanging="578"/>
    </w:pPr>
    <w:rPr>
      <w:rFonts w:eastAsiaTheme="majorEastAsia" w:cstheme="majorBidi"/>
      <w:i/>
      <w:snapToGrid/>
      <w:sz w:val="28"/>
      <w:szCs w:val="28"/>
    </w:rPr>
  </w:style>
  <w:style w:type="paragraph" w:customStyle="1" w:styleId="V50Instructions">
    <w:name w:val="V5.0 Instructions"/>
    <w:basedOn w:val="Normal"/>
    <w:link w:val="V50InstructionsChar"/>
    <w:qFormat/>
    <w:rsid w:val="00137F8D"/>
    <w:pPr>
      <w:widowControl/>
      <w:spacing w:before="120" w:after="160"/>
    </w:pPr>
    <w:rPr>
      <w:rFonts w:eastAsiaTheme="minorHAnsi" w:cstheme="minorBidi"/>
      <w:snapToGrid/>
      <w:color w:val="4BACC6" w:themeColor="accent5"/>
      <w:szCs w:val="22"/>
    </w:rPr>
  </w:style>
  <w:style w:type="character" w:customStyle="1" w:styleId="Heading4Char">
    <w:name w:val="Heading 4 Char"/>
    <w:aliases w:val="ESHeading 4 Char"/>
    <w:basedOn w:val="DefaultParagraphFont"/>
    <w:link w:val="Heading4"/>
    <w:uiPriority w:val="5"/>
    <w:rsid w:val="00137F8D"/>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7"/>
    <w:rsid w:val="00137F8D"/>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7"/>
    <w:rsid w:val="00137F8D"/>
    <w:rPr>
      <w:rFonts w:ascii="Arial" w:hAnsi="Arial" w:cs="Arial"/>
      <w:b/>
      <w:bCs/>
      <w:i/>
      <w:snapToGrid w:val="0"/>
      <w:sz w:val="22"/>
      <w:szCs w:val="22"/>
      <w:lang w:eastAsia="en-US"/>
    </w:rPr>
  </w:style>
  <w:style w:type="paragraph" w:customStyle="1" w:styleId="V50Heading1nonumbers">
    <w:name w:val="V5.0 Heading 1 no numbers"/>
    <w:basedOn w:val="Heading1"/>
    <w:qFormat/>
    <w:rsid w:val="00137F8D"/>
    <w:pPr>
      <w:keepNext/>
      <w:keepLines/>
      <w:widowControl/>
      <w:spacing w:before="400" w:after="120"/>
    </w:pPr>
    <w:rPr>
      <w:rFonts w:ascii="Arial" w:eastAsiaTheme="majorEastAsia" w:hAnsi="Arial" w:cstheme="majorBidi"/>
      <w:caps w:val="0"/>
      <w:snapToGrid/>
      <w:sz w:val="32"/>
      <w:szCs w:val="28"/>
    </w:rPr>
  </w:style>
  <w:style w:type="paragraph" w:customStyle="1" w:styleId="V50InstructionsBullets">
    <w:name w:val="V5.0 Instructions Bullets"/>
    <w:basedOn w:val="V50Instructions"/>
    <w:qFormat/>
    <w:rsid w:val="00137F8D"/>
    <w:pPr>
      <w:numPr>
        <w:numId w:val="5"/>
      </w:numPr>
      <w:spacing w:before="0" w:after="0"/>
      <w:ind w:left="714" w:hanging="357"/>
    </w:pPr>
  </w:style>
  <w:style w:type="table" w:customStyle="1" w:styleId="TableGridLight1">
    <w:name w:val="Table Grid Light1"/>
    <w:basedOn w:val="TableNormal"/>
    <w:uiPriority w:val="40"/>
    <w:rsid w:val="00137F8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137F8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137F8D"/>
    <w:pPr>
      <w:keepNext/>
      <w:widowControl/>
      <w:spacing w:before="40" w:after="40"/>
    </w:pPr>
    <w:rPr>
      <w:rFonts w:ascii="Arial Narrow" w:eastAsiaTheme="minorHAnsi" w:hAnsi="Arial Narrow" w:cstheme="minorBidi"/>
      <w:snapToGrid/>
      <w:sz w:val="20"/>
      <w:szCs w:val="22"/>
    </w:rPr>
  </w:style>
  <w:style w:type="character" w:styleId="FootnoteReference">
    <w:name w:val="footnote reference"/>
    <w:basedOn w:val="DefaultParagraphFont"/>
    <w:uiPriority w:val="99"/>
    <w:unhideWhenUsed/>
    <w:rsid w:val="00137F8D"/>
    <w:rPr>
      <w:vertAlign w:val="superscript"/>
    </w:rPr>
  </w:style>
  <w:style w:type="paragraph" w:customStyle="1" w:styleId="TableHeading0">
    <w:name w:val="Table Heading"/>
    <w:basedOn w:val="Normal"/>
    <w:qFormat/>
    <w:rsid w:val="00137F8D"/>
    <w:pPr>
      <w:keepNext/>
      <w:widowControl/>
      <w:spacing w:before="240" w:after="60"/>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137F8D"/>
    <w:rPr>
      <w:rFonts w:ascii="Arial" w:eastAsiaTheme="minorHAnsi" w:hAnsi="Arial" w:cstheme="minorBidi"/>
      <w:color w:val="4BACC6" w:themeColor="accent5"/>
      <w:sz w:val="22"/>
      <w:szCs w:val="22"/>
      <w:lang w:eastAsia="en-US"/>
    </w:rPr>
  </w:style>
  <w:style w:type="character" w:customStyle="1" w:styleId="TableFooterChar">
    <w:name w:val="Table Footer Char"/>
    <w:link w:val="TableFooter"/>
    <w:rsid w:val="00137F8D"/>
    <w:rPr>
      <w:rFonts w:ascii="Arial Narrow" w:hAnsi="Arial Narrow" w:cs="Arial"/>
      <w:snapToGrid w:val="0"/>
      <w:sz w:val="18"/>
      <w:lang w:eastAsia="en-US"/>
    </w:rPr>
  </w:style>
  <w:style w:type="numbering" w:customStyle="1" w:styleId="Headings">
    <w:name w:val="Headings"/>
    <w:uiPriority w:val="99"/>
    <w:rsid w:val="00137F8D"/>
    <w:pPr>
      <w:numPr>
        <w:numId w:val="6"/>
      </w:numPr>
    </w:pPr>
  </w:style>
  <w:style w:type="character" w:styleId="FollowedHyperlink">
    <w:name w:val="FollowedHyperlink"/>
    <w:basedOn w:val="DefaultParagraphFont"/>
    <w:uiPriority w:val="99"/>
    <w:semiHidden/>
    <w:unhideWhenUsed/>
    <w:rsid w:val="00137F8D"/>
    <w:rPr>
      <w:color w:val="800080" w:themeColor="followedHyperlink"/>
      <w:u w:val="single"/>
    </w:rPr>
  </w:style>
  <w:style w:type="paragraph" w:customStyle="1" w:styleId="ESnumberedpara">
    <w:name w:val="ES numbered para"/>
    <w:basedOn w:val="Normal"/>
    <w:link w:val="ESnumberedparaChar"/>
    <w:qFormat/>
    <w:rsid w:val="00137F8D"/>
    <w:pPr>
      <w:widowControl/>
      <w:spacing w:after="120"/>
      <w:ind w:left="720" w:hanging="720"/>
    </w:pPr>
    <w:rPr>
      <w:rFonts w:eastAsiaTheme="minorHAnsi" w:cstheme="minorBidi"/>
      <w:snapToGrid/>
      <w:szCs w:val="22"/>
    </w:rPr>
  </w:style>
  <w:style w:type="character" w:customStyle="1" w:styleId="ESnumberedparaChar">
    <w:name w:val="ES numbered para Char"/>
    <w:basedOn w:val="DefaultParagraphFont"/>
    <w:link w:val="ESnumberedpara"/>
    <w:rsid w:val="00137F8D"/>
    <w:rPr>
      <w:rFonts w:ascii="Arial" w:eastAsiaTheme="minorHAnsi" w:hAnsi="Arial" w:cstheme="minorBidi"/>
      <w:sz w:val="22"/>
      <w:szCs w:val="22"/>
      <w:lang w:eastAsia="en-US"/>
    </w:rPr>
  </w:style>
  <w:style w:type="paragraph" w:customStyle="1" w:styleId="ESnumberedparablue">
    <w:name w:val="ES numbered para blue"/>
    <w:basedOn w:val="ESnumberedpara"/>
    <w:qFormat/>
    <w:rsid w:val="00137F8D"/>
    <w:pPr>
      <w:ind w:left="0" w:firstLine="0"/>
    </w:pPr>
    <w:rPr>
      <w:color w:val="4BACC6" w:themeColor="accent5"/>
    </w:rPr>
  </w:style>
  <w:style w:type="paragraph" w:customStyle="1" w:styleId="ESnon-numberedpara">
    <w:name w:val="ES non-numbered para"/>
    <w:basedOn w:val="Normal"/>
    <w:qFormat/>
    <w:rsid w:val="00137F8D"/>
    <w:pPr>
      <w:widowControl/>
      <w:spacing w:after="120"/>
      <w:ind w:left="709"/>
    </w:pPr>
    <w:rPr>
      <w:rFonts w:eastAsiaTheme="minorHAnsi" w:cstheme="minorBidi"/>
      <w:snapToGrid/>
      <w:szCs w:val="22"/>
    </w:rPr>
  </w:style>
  <w:style w:type="paragraph" w:customStyle="1" w:styleId="ESnon-numberedparablue">
    <w:name w:val="ES non-numbered para blue"/>
    <w:basedOn w:val="ESnon-numberedpara"/>
    <w:qFormat/>
    <w:rsid w:val="00137F8D"/>
    <w:rPr>
      <w:color w:val="4BACC6" w:themeColor="accent5"/>
    </w:rPr>
  </w:style>
  <w:style w:type="paragraph" w:customStyle="1" w:styleId="ESnon-numberedbullet">
    <w:name w:val="ES non-numbered bullet"/>
    <w:basedOn w:val="ESnon-numberedpara"/>
    <w:qFormat/>
    <w:rsid w:val="00137F8D"/>
    <w:pPr>
      <w:numPr>
        <w:numId w:val="8"/>
      </w:numPr>
      <w:spacing w:after="240"/>
      <w:ind w:left="993" w:hanging="284"/>
      <w:contextualSpacing/>
    </w:pPr>
  </w:style>
  <w:style w:type="paragraph" w:customStyle="1" w:styleId="ESNormalblue">
    <w:name w:val="ESNormalblue"/>
    <w:basedOn w:val="Normal"/>
    <w:link w:val="ESNormalblueChar"/>
    <w:qFormat/>
    <w:rsid w:val="00E94275"/>
    <w:pPr>
      <w:widowControl/>
      <w:spacing w:before="120" w:after="160"/>
    </w:pPr>
    <w:rPr>
      <w:rFonts w:eastAsiaTheme="minorHAnsi" w:cstheme="minorBidi"/>
      <w:snapToGrid/>
      <w:color w:val="0070C0"/>
      <w:szCs w:val="22"/>
    </w:rPr>
  </w:style>
  <w:style w:type="character" w:customStyle="1" w:styleId="ESNormalblueChar">
    <w:name w:val="ESNormalblue Char"/>
    <w:basedOn w:val="DefaultParagraphFont"/>
    <w:link w:val="ESNormalblue"/>
    <w:rsid w:val="00E94275"/>
    <w:rPr>
      <w:rFonts w:ascii="Arial" w:eastAsiaTheme="minorHAnsi" w:hAnsi="Arial" w:cstheme="minorBidi"/>
      <w:color w:val="0070C0"/>
      <w:sz w:val="22"/>
      <w:szCs w:val="22"/>
      <w:lang w:eastAsia="en-US"/>
    </w:rPr>
  </w:style>
  <w:style w:type="character" w:styleId="PlaceholderText">
    <w:name w:val="Placeholder Text"/>
    <w:basedOn w:val="DefaultParagraphFont"/>
    <w:uiPriority w:val="99"/>
    <w:semiHidden/>
    <w:rsid w:val="00457F73"/>
    <w:rPr>
      <w:color w:val="808080"/>
    </w:rPr>
  </w:style>
  <w:style w:type="paragraph" w:customStyle="1" w:styleId="COMBody">
    <w:name w:val="COMBody"/>
    <w:basedOn w:val="Normal"/>
    <w:link w:val="COMBodyChar"/>
    <w:qFormat/>
    <w:rsid w:val="00EE54BB"/>
    <w:rPr>
      <w:snapToGrid/>
      <w:szCs w:val="22"/>
    </w:rPr>
  </w:style>
  <w:style w:type="character" w:customStyle="1" w:styleId="COMBodyChar">
    <w:name w:val="COMBody Char"/>
    <w:basedOn w:val="DefaultParagraphFont"/>
    <w:link w:val="COMBody"/>
    <w:rsid w:val="00EE54BB"/>
    <w:rPr>
      <w:rFonts w:ascii="Arial" w:hAnsi="Arial" w:cs="Arial"/>
      <w:sz w:val="22"/>
      <w:szCs w:val="22"/>
      <w:lang w:eastAsia="en-US"/>
    </w:rPr>
  </w:style>
  <w:style w:type="character" w:customStyle="1" w:styleId="glossary-term">
    <w:name w:val="glossary-term"/>
    <w:basedOn w:val="DefaultParagraphFont"/>
    <w:rsid w:val="003910FC"/>
  </w:style>
  <w:style w:type="character" w:customStyle="1" w:styleId="tgc">
    <w:name w:val="_tgc"/>
    <w:basedOn w:val="DefaultParagraphFont"/>
    <w:rsid w:val="00FE60C7"/>
  </w:style>
  <w:style w:type="paragraph" w:customStyle="1" w:styleId="COMTbl-foot">
    <w:name w:val="COMTbl-foot"/>
    <w:basedOn w:val="TableFooter"/>
    <w:link w:val="COMTbl-footChar"/>
    <w:qFormat/>
    <w:rsid w:val="006060D7"/>
  </w:style>
  <w:style w:type="character" w:customStyle="1" w:styleId="COMTbl-footChar">
    <w:name w:val="COMTbl-foot Char"/>
    <w:basedOn w:val="TableFooterChar"/>
    <w:link w:val="COMTbl-foot"/>
    <w:rsid w:val="006060D7"/>
    <w:rPr>
      <w:rFonts w:ascii="Arial Narrow" w:hAnsi="Arial Narrow"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930D3"/>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Footnote Char,Bullet point Char,List Paragraph1 Char,List Paragraph11 Char,Recommendation Char"/>
    <w:link w:val="ListParagraph"/>
    <w:uiPriority w:val="34"/>
    <w:rsid w:val="003B4FC0"/>
    <w:rPr>
      <w:rFonts w:ascii="Arial" w:hAnsi="Arial" w:cs="Arial"/>
      <w:snapToGrid w:val="0"/>
      <w:sz w:val="22"/>
      <w:lang w:eastAsia="en-US"/>
    </w:rPr>
  </w:style>
  <w:style w:type="paragraph" w:styleId="EndnoteText">
    <w:name w:val="endnote text"/>
    <w:basedOn w:val="Normal"/>
    <w:link w:val="EndnoteTextChar"/>
    <w:semiHidden/>
    <w:unhideWhenUsed/>
    <w:rsid w:val="0052371B"/>
    <w:rPr>
      <w:sz w:val="20"/>
    </w:rPr>
  </w:style>
  <w:style w:type="character" w:customStyle="1" w:styleId="EndnoteTextChar">
    <w:name w:val="Endnote Text Char"/>
    <w:basedOn w:val="DefaultParagraphFont"/>
    <w:link w:val="EndnoteText"/>
    <w:semiHidden/>
    <w:rsid w:val="0052371B"/>
    <w:rPr>
      <w:rFonts w:ascii="Arial" w:hAnsi="Arial" w:cs="Arial"/>
      <w:snapToGrid w:val="0"/>
      <w:lang w:eastAsia="en-US"/>
    </w:rPr>
  </w:style>
  <w:style w:type="character" w:styleId="EndnoteReference">
    <w:name w:val="endnote reference"/>
    <w:basedOn w:val="DefaultParagraphFont"/>
    <w:semiHidden/>
    <w:unhideWhenUsed/>
    <w:rsid w:val="0052371B"/>
    <w:rPr>
      <w:vertAlign w:val="superscript"/>
    </w:rPr>
  </w:style>
  <w:style w:type="paragraph" w:styleId="FootnoteText">
    <w:name w:val="footnote text"/>
    <w:basedOn w:val="Normal"/>
    <w:link w:val="FootnoteTextChar"/>
    <w:semiHidden/>
    <w:unhideWhenUsed/>
    <w:rsid w:val="0052371B"/>
    <w:rPr>
      <w:sz w:val="20"/>
    </w:rPr>
  </w:style>
  <w:style w:type="character" w:customStyle="1" w:styleId="FootnoteTextChar">
    <w:name w:val="Footnote Text Char"/>
    <w:basedOn w:val="DefaultParagraphFont"/>
    <w:link w:val="FootnoteText"/>
    <w:semiHidden/>
    <w:rsid w:val="0052371B"/>
    <w:rPr>
      <w:rFonts w:ascii="Arial" w:hAnsi="Arial" w:cs="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492">
      <w:bodyDiv w:val="1"/>
      <w:marLeft w:val="0"/>
      <w:marRight w:val="0"/>
      <w:marTop w:val="0"/>
      <w:marBottom w:val="0"/>
      <w:divBdr>
        <w:top w:val="none" w:sz="0" w:space="0" w:color="auto"/>
        <w:left w:val="none" w:sz="0" w:space="0" w:color="auto"/>
        <w:bottom w:val="none" w:sz="0" w:space="0" w:color="auto"/>
        <w:right w:val="none" w:sz="0" w:space="0" w:color="auto"/>
      </w:divBdr>
    </w:div>
    <w:div w:id="232468115">
      <w:bodyDiv w:val="1"/>
      <w:marLeft w:val="0"/>
      <w:marRight w:val="0"/>
      <w:marTop w:val="0"/>
      <w:marBottom w:val="0"/>
      <w:divBdr>
        <w:top w:val="none" w:sz="0" w:space="0" w:color="auto"/>
        <w:left w:val="none" w:sz="0" w:space="0" w:color="auto"/>
        <w:bottom w:val="none" w:sz="0" w:space="0" w:color="auto"/>
        <w:right w:val="none" w:sz="0" w:space="0" w:color="auto"/>
      </w:divBdr>
    </w:div>
    <w:div w:id="232936506">
      <w:bodyDiv w:val="1"/>
      <w:marLeft w:val="0"/>
      <w:marRight w:val="0"/>
      <w:marTop w:val="0"/>
      <w:marBottom w:val="0"/>
      <w:divBdr>
        <w:top w:val="none" w:sz="0" w:space="0" w:color="auto"/>
        <w:left w:val="none" w:sz="0" w:space="0" w:color="auto"/>
        <w:bottom w:val="none" w:sz="0" w:space="0" w:color="auto"/>
        <w:right w:val="none" w:sz="0" w:space="0" w:color="auto"/>
      </w:divBdr>
    </w:div>
    <w:div w:id="461964284">
      <w:bodyDiv w:val="1"/>
      <w:marLeft w:val="0"/>
      <w:marRight w:val="0"/>
      <w:marTop w:val="0"/>
      <w:marBottom w:val="0"/>
      <w:divBdr>
        <w:top w:val="none" w:sz="0" w:space="0" w:color="auto"/>
        <w:left w:val="none" w:sz="0" w:space="0" w:color="auto"/>
        <w:bottom w:val="none" w:sz="0" w:space="0" w:color="auto"/>
        <w:right w:val="none" w:sz="0" w:space="0" w:color="auto"/>
      </w:divBdr>
    </w:div>
    <w:div w:id="701126811">
      <w:bodyDiv w:val="1"/>
      <w:marLeft w:val="0"/>
      <w:marRight w:val="0"/>
      <w:marTop w:val="0"/>
      <w:marBottom w:val="0"/>
      <w:divBdr>
        <w:top w:val="none" w:sz="0" w:space="0" w:color="auto"/>
        <w:left w:val="none" w:sz="0" w:space="0" w:color="auto"/>
        <w:bottom w:val="none" w:sz="0" w:space="0" w:color="auto"/>
        <w:right w:val="none" w:sz="0" w:space="0" w:color="auto"/>
      </w:divBdr>
    </w:div>
    <w:div w:id="753015007">
      <w:bodyDiv w:val="1"/>
      <w:marLeft w:val="0"/>
      <w:marRight w:val="0"/>
      <w:marTop w:val="0"/>
      <w:marBottom w:val="0"/>
      <w:divBdr>
        <w:top w:val="none" w:sz="0" w:space="0" w:color="auto"/>
        <w:left w:val="none" w:sz="0" w:space="0" w:color="auto"/>
        <w:bottom w:val="none" w:sz="0" w:space="0" w:color="auto"/>
        <w:right w:val="none" w:sz="0" w:space="0" w:color="auto"/>
      </w:divBdr>
    </w:div>
    <w:div w:id="92997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903E-0FAE-4977-9112-35A4B568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7336</Words>
  <Characters>43370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2017-10-16T01:24:00Z</dcterms:created>
  <dcterms:modified xsi:type="dcterms:W3CDTF">2017-10-16T01:43:00Z</dcterms:modified>
</cp:coreProperties>
</file>